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9953" w14:textId="77777777" w:rsidR="006C6BA7" w:rsidRDefault="006C6BA7" w:rsidP="006C6BA7">
      <w:pPr>
        <w:pStyle w:val="NoSpacing"/>
      </w:pPr>
      <w:r>
        <w:rPr>
          <w:noProof/>
        </w:rPr>
        <w:drawing>
          <wp:anchor distT="0" distB="0" distL="114300" distR="114300" simplePos="0" relativeHeight="251659264" behindDoc="0" locked="0" layoutInCell="1" allowOverlap="1" wp14:anchorId="6FC82634" wp14:editId="6C6E8263">
            <wp:simplePos x="0" y="0"/>
            <wp:positionH relativeFrom="column">
              <wp:posOffset>1341912</wp:posOffset>
            </wp:positionH>
            <wp:positionV relativeFrom="paragraph">
              <wp:posOffset>0</wp:posOffset>
            </wp:positionV>
            <wp:extent cx="3035935" cy="1103630"/>
            <wp:effectExtent l="0" t="0" r="0" b="1270"/>
            <wp:wrapSquare wrapText="bothSides"/>
            <wp:docPr id="1" name="Picture 1" descr="Logo,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5935" cy="1103630"/>
                    </a:xfrm>
                    <a:prstGeom prst="rect">
                      <a:avLst/>
                    </a:prstGeom>
                    <a:noFill/>
                  </pic:spPr>
                </pic:pic>
              </a:graphicData>
            </a:graphic>
          </wp:anchor>
        </w:drawing>
      </w:r>
    </w:p>
    <w:p w14:paraId="60F1F000" w14:textId="77777777" w:rsidR="006C6BA7" w:rsidRPr="00156E12" w:rsidRDefault="006C6BA7" w:rsidP="006C6BA7">
      <w:pPr>
        <w:pStyle w:val="NoSpacing"/>
      </w:pPr>
    </w:p>
    <w:p w14:paraId="3C912198" w14:textId="77777777" w:rsidR="006C6BA7" w:rsidRDefault="006C6BA7" w:rsidP="006C6BA7">
      <w:pPr>
        <w:pStyle w:val="NoSpacing"/>
      </w:pPr>
    </w:p>
    <w:p w14:paraId="26C285C8" w14:textId="77777777" w:rsidR="006C6BA7" w:rsidRDefault="006C6BA7" w:rsidP="006C6BA7">
      <w:pPr>
        <w:pStyle w:val="NoSpacing"/>
      </w:pPr>
    </w:p>
    <w:p w14:paraId="0F932107" w14:textId="77777777" w:rsidR="006C6BA7" w:rsidRPr="00156E12" w:rsidRDefault="006C6BA7" w:rsidP="006C6BA7">
      <w:pPr>
        <w:pStyle w:val="NoSpacing"/>
        <w:rPr>
          <w:rFonts w:asciiTheme="majorBidi" w:hAnsiTheme="majorBidi" w:cstheme="majorBidi"/>
        </w:rPr>
      </w:pPr>
    </w:p>
    <w:p w14:paraId="1A66B514" w14:textId="77777777" w:rsidR="006C6BA7" w:rsidRPr="00156E12" w:rsidRDefault="006C6BA7" w:rsidP="006C6BA7">
      <w:pPr>
        <w:pStyle w:val="NoSpacing"/>
        <w:rPr>
          <w:rFonts w:asciiTheme="majorBidi" w:hAnsiTheme="majorBidi" w:cstheme="majorBidi"/>
        </w:rPr>
      </w:pPr>
    </w:p>
    <w:p w14:paraId="713D8832" w14:textId="77777777" w:rsidR="006C6BA7" w:rsidRPr="00156E12" w:rsidRDefault="006C6BA7" w:rsidP="006C6BA7">
      <w:pPr>
        <w:pStyle w:val="NoSpacing"/>
        <w:rPr>
          <w:rFonts w:asciiTheme="majorBidi" w:hAnsiTheme="majorBidi" w:cstheme="majorBidi"/>
        </w:rPr>
      </w:pPr>
    </w:p>
    <w:p w14:paraId="609ECE63" w14:textId="77777777" w:rsidR="006C6BA7" w:rsidRPr="00156E12" w:rsidRDefault="006C6BA7" w:rsidP="006C6BA7">
      <w:pPr>
        <w:pStyle w:val="NoSpacing"/>
        <w:rPr>
          <w:rFonts w:asciiTheme="majorBidi" w:hAnsiTheme="majorBidi" w:cstheme="majorBidi"/>
        </w:rPr>
      </w:pPr>
    </w:p>
    <w:p w14:paraId="47609F48" w14:textId="77777777" w:rsidR="006C6BA7" w:rsidRPr="0095115F" w:rsidRDefault="006C6BA7" w:rsidP="006C6BA7">
      <w:pPr>
        <w:pStyle w:val="NoSpacing"/>
        <w:rPr>
          <w:rFonts w:asciiTheme="majorBidi" w:hAnsiTheme="majorBidi" w:cstheme="majorBidi"/>
        </w:rPr>
      </w:pPr>
    </w:p>
    <w:p w14:paraId="60CB5589" w14:textId="77777777" w:rsidR="006C6BA7" w:rsidRPr="0095115F" w:rsidRDefault="006C6BA7" w:rsidP="006C6BA7">
      <w:pPr>
        <w:pStyle w:val="NoSpacing"/>
        <w:rPr>
          <w:rFonts w:asciiTheme="majorBidi" w:hAnsiTheme="majorBidi" w:cstheme="majorBidi"/>
        </w:rPr>
      </w:pPr>
    </w:p>
    <w:p w14:paraId="739D5470" w14:textId="77777777" w:rsidR="006C6BA7" w:rsidRDefault="006C6BA7" w:rsidP="006C6BA7">
      <w:pPr>
        <w:pStyle w:val="NoSpacing"/>
        <w:rPr>
          <w:rFonts w:asciiTheme="majorBidi" w:hAnsiTheme="majorBidi" w:cstheme="majorBidi"/>
        </w:rPr>
      </w:pPr>
    </w:p>
    <w:p w14:paraId="75BD4D90" w14:textId="77777777" w:rsidR="006C6BA7" w:rsidRDefault="006C6BA7" w:rsidP="006C6BA7">
      <w:pPr>
        <w:pStyle w:val="NoSpacing"/>
        <w:rPr>
          <w:rFonts w:asciiTheme="majorBidi" w:hAnsiTheme="majorBidi" w:cstheme="majorBidi"/>
        </w:rPr>
      </w:pPr>
    </w:p>
    <w:p w14:paraId="7A557755" w14:textId="77777777" w:rsidR="006C6BA7" w:rsidRPr="0095115F" w:rsidRDefault="006C6BA7" w:rsidP="006C6BA7">
      <w:pPr>
        <w:pStyle w:val="NoSpacing"/>
        <w:rPr>
          <w:rFonts w:asciiTheme="majorBidi" w:hAnsiTheme="majorBidi" w:cstheme="majorBidi"/>
        </w:rPr>
      </w:pPr>
    </w:p>
    <w:p w14:paraId="3BCFF8FB" w14:textId="77777777" w:rsidR="006C6BA7" w:rsidRDefault="006C6BA7" w:rsidP="006C6BA7">
      <w:pPr>
        <w:pStyle w:val="NoSpacing"/>
        <w:jc w:val="center"/>
        <w:rPr>
          <w:rFonts w:asciiTheme="majorBidi" w:hAnsiTheme="majorBidi" w:cstheme="majorBidi"/>
          <w:b/>
          <w:bCs/>
          <w:sz w:val="28"/>
          <w:szCs w:val="28"/>
        </w:rPr>
      </w:pPr>
    </w:p>
    <w:p w14:paraId="348F8DD3" w14:textId="77777777" w:rsidR="006C6BA7" w:rsidRPr="00101189" w:rsidRDefault="006C6BA7" w:rsidP="006C6BA7">
      <w:pPr>
        <w:pStyle w:val="NoSpacing"/>
        <w:spacing w:line="480" w:lineRule="auto"/>
        <w:jc w:val="center"/>
        <w:rPr>
          <w:rFonts w:asciiTheme="majorBidi" w:hAnsiTheme="majorBidi" w:cstheme="majorBidi"/>
          <w:b/>
          <w:bCs/>
          <w:sz w:val="32"/>
          <w:szCs w:val="32"/>
        </w:rPr>
      </w:pPr>
      <w:r w:rsidRPr="00101189">
        <w:rPr>
          <w:rFonts w:asciiTheme="majorBidi" w:hAnsiTheme="majorBidi" w:cstheme="majorBidi"/>
          <w:b/>
          <w:bCs/>
          <w:sz w:val="32"/>
          <w:szCs w:val="32"/>
        </w:rPr>
        <w:t>An application of value-based decision-making (VBDM) to the study of addiction and recovery from it</w:t>
      </w:r>
    </w:p>
    <w:p w14:paraId="0240ACED" w14:textId="77777777" w:rsidR="006C6BA7" w:rsidRPr="0095115F" w:rsidRDefault="006C6BA7" w:rsidP="006C6BA7">
      <w:pPr>
        <w:pStyle w:val="NoSpacing"/>
        <w:spacing w:line="480" w:lineRule="auto"/>
        <w:rPr>
          <w:rFonts w:asciiTheme="majorBidi" w:hAnsiTheme="majorBidi" w:cstheme="majorBidi"/>
        </w:rPr>
      </w:pPr>
    </w:p>
    <w:p w14:paraId="0636A857" w14:textId="77777777" w:rsidR="006C6BA7" w:rsidRPr="00101189" w:rsidRDefault="006C6BA7" w:rsidP="006C6BA7">
      <w:pPr>
        <w:pStyle w:val="NoSpacing"/>
        <w:spacing w:line="480" w:lineRule="auto"/>
        <w:jc w:val="center"/>
        <w:rPr>
          <w:rFonts w:asciiTheme="majorBidi" w:hAnsiTheme="majorBidi" w:cstheme="majorBidi"/>
          <w:b/>
          <w:bCs/>
        </w:rPr>
      </w:pPr>
      <w:r w:rsidRPr="00101189">
        <w:rPr>
          <w:rFonts w:asciiTheme="majorBidi" w:hAnsiTheme="majorBidi" w:cstheme="majorBidi"/>
          <w:b/>
          <w:bCs/>
        </w:rPr>
        <w:t>By:</w:t>
      </w:r>
    </w:p>
    <w:p w14:paraId="79E4B379" w14:textId="77777777" w:rsidR="006C6BA7"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Amber Copelan</w:t>
      </w:r>
      <w:r>
        <w:rPr>
          <w:rFonts w:asciiTheme="majorBidi" w:hAnsiTheme="majorBidi" w:cstheme="majorBidi"/>
        </w:rPr>
        <w:t>d</w:t>
      </w:r>
    </w:p>
    <w:p w14:paraId="55C61DAF" w14:textId="77777777" w:rsidR="006C6BA7" w:rsidRDefault="006C6BA7" w:rsidP="006C6BA7">
      <w:pPr>
        <w:pStyle w:val="NoSpacing"/>
        <w:spacing w:line="480" w:lineRule="auto"/>
        <w:jc w:val="center"/>
        <w:rPr>
          <w:rFonts w:asciiTheme="majorBidi" w:hAnsiTheme="majorBidi" w:cstheme="majorBidi"/>
        </w:rPr>
      </w:pPr>
    </w:p>
    <w:p w14:paraId="2C6DB37E" w14:textId="77777777" w:rsidR="006C6BA7" w:rsidRDefault="006C6BA7" w:rsidP="006C6BA7">
      <w:pPr>
        <w:pStyle w:val="NoSpacing"/>
        <w:spacing w:line="480" w:lineRule="auto"/>
        <w:jc w:val="center"/>
        <w:rPr>
          <w:rFonts w:asciiTheme="majorBidi" w:hAnsiTheme="majorBidi" w:cstheme="majorBidi"/>
        </w:rPr>
      </w:pPr>
    </w:p>
    <w:p w14:paraId="078BB85A" w14:textId="77777777" w:rsidR="006C6BA7" w:rsidRPr="0095115F"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A thesis submitted in partial fulfilment of the requirements for the degree of</w:t>
      </w:r>
    </w:p>
    <w:p w14:paraId="162C046D" w14:textId="77777777" w:rsidR="006C6BA7" w:rsidRPr="0095115F"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Doctor of Philosophy</w:t>
      </w:r>
    </w:p>
    <w:p w14:paraId="31B29820" w14:textId="77777777" w:rsidR="006C6BA7" w:rsidRDefault="006C6BA7" w:rsidP="006C6BA7">
      <w:pPr>
        <w:pStyle w:val="NoSpacing"/>
        <w:spacing w:line="480" w:lineRule="auto"/>
        <w:rPr>
          <w:rFonts w:asciiTheme="majorBidi" w:hAnsiTheme="majorBidi" w:cstheme="majorBidi"/>
        </w:rPr>
      </w:pPr>
    </w:p>
    <w:p w14:paraId="2B82C4E4" w14:textId="77777777" w:rsidR="006C6BA7" w:rsidRDefault="006C6BA7" w:rsidP="006C6BA7">
      <w:pPr>
        <w:pStyle w:val="NoSpacing"/>
        <w:spacing w:line="480" w:lineRule="auto"/>
        <w:rPr>
          <w:rFonts w:asciiTheme="majorBidi" w:hAnsiTheme="majorBidi" w:cstheme="majorBidi"/>
        </w:rPr>
      </w:pPr>
    </w:p>
    <w:p w14:paraId="52C81A52" w14:textId="77777777" w:rsidR="006C6BA7" w:rsidRPr="0095115F"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The University of Sheffield</w:t>
      </w:r>
    </w:p>
    <w:p w14:paraId="61A69E2B" w14:textId="77777777" w:rsidR="006C6BA7" w:rsidRPr="0095115F"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Faculty of Science</w:t>
      </w:r>
    </w:p>
    <w:p w14:paraId="500EC46B" w14:textId="77777777" w:rsidR="006C6BA7" w:rsidRDefault="006C6BA7" w:rsidP="006C6BA7">
      <w:pPr>
        <w:pStyle w:val="NoSpacing"/>
        <w:spacing w:line="480" w:lineRule="auto"/>
        <w:jc w:val="center"/>
        <w:rPr>
          <w:rFonts w:asciiTheme="majorBidi" w:hAnsiTheme="majorBidi" w:cstheme="majorBidi"/>
        </w:rPr>
      </w:pPr>
      <w:r w:rsidRPr="0095115F">
        <w:rPr>
          <w:rFonts w:asciiTheme="majorBidi" w:hAnsiTheme="majorBidi" w:cstheme="majorBidi"/>
        </w:rPr>
        <w:t>Department of Psychology</w:t>
      </w:r>
    </w:p>
    <w:p w14:paraId="61920CD1" w14:textId="77777777" w:rsidR="006C6BA7" w:rsidRDefault="006C6BA7" w:rsidP="006C6BA7">
      <w:pPr>
        <w:pStyle w:val="NoSpacing"/>
        <w:spacing w:line="480" w:lineRule="auto"/>
        <w:jc w:val="center"/>
        <w:rPr>
          <w:rFonts w:asciiTheme="majorBidi" w:hAnsiTheme="majorBidi" w:cstheme="majorBidi"/>
        </w:rPr>
      </w:pPr>
    </w:p>
    <w:p w14:paraId="3B02A6DC" w14:textId="771D6C6D" w:rsidR="006C6BA7" w:rsidRDefault="004474D3" w:rsidP="006C6BA7">
      <w:pPr>
        <w:pStyle w:val="NoSpacing"/>
        <w:spacing w:line="480" w:lineRule="auto"/>
        <w:jc w:val="center"/>
        <w:rPr>
          <w:rFonts w:asciiTheme="majorBidi" w:hAnsiTheme="majorBidi" w:cstheme="majorBidi"/>
        </w:rPr>
      </w:pPr>
      <w:r>
        <w:rPr>
          <w:rFonts w:asciiTheme="majorBidi" w:hAnsiTheme="majorBidi" w:cstheme="majorBidi"/>
        </w:rPr>
        <w:t>August</w:t>
      </w:r>
      <w:r w:rsidR="006C6BA7" w:rsidRPr="0095115F">
        <w:rPr>
          <w:rFonts w:asciiTheme="majorBidi" w:hAnsiTheme="majorBidi" w:cstheme="majorBidi"/>
        </w:rPr>
        <w:t xml:space="preserve"> 202</w:t>
      </w:r>
      <w:r w:rsidR="006C6BA7">
        <w:rPr>
          <w:rFonts w:asciiTheme="majorBidi" w:hAnsiTheme="majorBidi" w:cstheme="majorBidi"/>
        </w:rPr>
        <w:t>2</w:t>
      </w:r>
    </w:p>
    <w:p w14:paraId="3F464E80" w14:textId="71D1264A" w:rsidR="00E42C66" w:rsidRDefault="00E42C66" w:rsidP="00986A39">
      <w:pPr>
        <w:pStyle w:val="NoSpacing"/>
      </w:pPr>
    </w:p>
    <w:p w14:paraId="45030233" w14:textId="4E4BB3A8" w:rsidR="00E42C66" w:rsidRDefault="00E42C66" w:rsidP="00107EBB">
      <w:pPr>
        <w:pStyle w:val="Heading1"/>
      </w:pPr>
      <w:bookmarkStart w:id="0" w:name="_Toc109901448"/>
      <w:bookmarkStart w:id="1" w:name="_Toc109901921"/>
      <w:bookmarkStart w:id="2" w:name="_Toc109911314"/>
      <w:bookmarkStart w:id="3" w:name="_Toc110612717"/>
      <w:bookmarkStart w:id="4" w:name="_Toc110629027"/>
      <w:bookmarkStart w:id="5" w:name="_Toc110870935"/>
      <w:r w:rsidRPr="00E42C66">
        <w:lastRenderedPageBreak/>
        <w:t>Acknowledgements</w:t>
      </w:r>
      <w:bookmarkEnd w:id="0"/>
      <w:bookmarkEnd w:id="1"/>
      <w:bookmarkEnd w:id="2"/>
      <w:bookmarkEnd w:id="3"/>
      <w:bookmarkEnd w:id="4"/>
      <w:bookmarkEnd w:id="5"/>
    </w:p>
    <w:p w14:paraId="71385482" w14:textId="190EF8C3" w:rsidR="00E42C66" w:rsidRDefault="00E42C66" w:rsidP="00986A39">
      <w:pPr>
        <w:pStyle w:val="NoSpacing"/>
      </w:pPr>
    </w:p>
    <w:p w14:paraId="6A5819FE" w14:textId="02276197" w:rsidR="00814616" w:rsidRPr="00814616" w:rsidRDefault="00814616" w:rsidP="00914392">
      <w:pPr>
        <w:pStyle w:val="NoSpacing"/>
        <w:spacing w:line="480" w:lineRule="auto"/>
        <w:rPr>
          <w:rFonts w:ascii="Times New Roman" w:hAnsi="Times New Roman" w:cs="Times New Roman"/>
        </w:rPr>
      </w:pPr>
      <w:r w:rsidRPr="00814616">
        <w:rPr>
          <w:rFonts w:ascii="Times New Roman" w:hAnsi="Times New Roman" w:cs="Times New Roman"/>
        </w:rPr>
        <w:t>I would like to</w:t>
      </w:r>
      <w:r w:rsidR="006C58B1">
        <w:rPr>
          <w:rFonts w:ascii="Times New Roman" w:hAnsi="Times New Roman" w:cs="Times New Roman"/>
        </w:rPr>
        <w:t xml:space="preserve"> </w:t>
      </w:r>
      <w:r w:rsidRPr="00814616">
        <w:rPr>
          <w:rFonts w:ascii="Times New Roman" w:hAnsi="Times New Roman" w:cs="Times New Roman"/>
        </w:rPr>
        <w:t xml:space="preserve">thank my supervisors, Professor Matt </w:t>
      </w:r>
      <w:r w:rsidR="006C58B1" w:rsidRPr="00814616">
        <w:rPr>
          <w:rFonts w:ascii="Times New Roman" w:hAnsi="Times New Roman" w:cs="Times New Roman"/>
        </w:rPr>
        <w:t>Field</w:t>
      </w:r>
      <w:r w:rsidRPr="00814616">
        <w:rPr>
          <w:rFonts w:ascii="Times New Roman" w:hAnsi="Times New Roman" w:cs="Times New Roman"/>
        </w:rPr>
        <w:t xml:space="preserve"> and Dr Tom Stafford. Matt, thank you for not only seeing something in me all those years ago, but for continuing to believe in my abilities and investing so many hours into my professional development. I am incredibly lucky to look up to you, your enthusiasm for research is infectious. Tom, thank you for being so patient</w:t>
      </w:r>
      <w:r w:rsidR="00607C29">
        <w:rPr>
          <w:rFonts w:ascii="Times New Roman" w:hAnsi="Times New Roman" w:cs="Times New Roman"/>
        </w:rPr>
        <w:t>, especially</w:t>
      </w:r>
      <w:r w:rsidRPr="00814616">
        <w:rPr>
          <w:rFonts w:ascii="Times New Roman" w:hAnsi="Times New Roman" w:cs="Times New Roman"/>
        </w:rPr>
        <w:t xml:space="preserve"> as I entered</w:t>
      </w:r>
      <w:r w:rsidR="006C58B1">
        <w:rPr>
          <w:rFonts w:ascii="Times New Roman" w:hAnsi="Times New Roman" w:cs="Times New Roman"/>
        </w:rPr>
        <w:t xml:space="preserve"> into</w:t>
      </w:r>
      <w:r w:rsidRPr="00814616">
        <w:rPr>
          <w:rFonts w:ascii="Times New Roman" w:hAnsi="Times New Roman" w:cs="Times New Roman"/>
        </w:rPr>
        <w:t xml:space="preserve"> the world of coding. Your kindness, generosity with your time, and our regular chats have helped me in so many ways. I could not have asked for more</w:t>
      </w:r>
      <w:r w:rsidR="00A74370">
        <w:rPr>
          <w:rFonts w:ascii="Times New Roman" w:hAnsi="Times New Roman" w:cs="Times New Roman"/>
        </w:rPr>
        <w:t>, and I am extremely excited</w:t>
      </w:r>
      <w:r w:rsidR="00914392">
        <w:rPr>
          <w:rFonts w:ascii="Times New Roman" w:hAnsi="Times New Roman" w:cs="Times New Roman"/>
        </w:rPr>
        <w:t xml:space="preserve"> to </w:t>
      </w:r>
      <w:r w:rsidR="00A74370">
        <w:rPr>
          <w:rFonts w:ascii="Times New Roman" w:hAnsi="Times New Roman" w:cs="Times New Roman"/>
        </w:rPr>
        <w:t>continue working with you both.</w:t>
      </w:r>
    </w:p>
    <w:p w14:paraId="50EA2194" w14:textId="77777777" w:rsidR="00814616" w:rsidRPr="00814616" w:rsidRDefault="00814616" w:rsidP="00814616">
      <w:pPr>
        <w:pStyle w:val="NoSpacing"/>
        <w:spacing w:line="480" w:lineRule="auto"/>
        <w:rPr>
          <w:rFonts w:ascii="Times New Roman" w:hAnsi="Times New Roman" w:cs="Times New Roman"/>
        </w:rPr>
      </w:pPr>
    </w:p>
    <w:p w14:paraId="4D8E00AE" w14:textId="5F2A9F33" w:rsidR="004A7333" w:rsidRPr="00814616" w:rsidRDefault="004A7333" w:rsidP="004A7333">
      <w:pPr>
        <w:pStyle w:val="NoSpacing"/>
        <w:spacing w:line="480" w:lineRule="auto"/>
        <w:rPr>
          <w:rFonts w:ascii="Times New Roman" w:hAnsi="Times New Roman" w:cs="Times New Roman"/>
        </w:rPr>
      </w:pPr>
      <w:r w:rsidRPr="00814616">
        <w:rPr>
          <w:rFonts w:ascii="Times New Roman" w:hAnsi="Times New Roman" w:cs="Times New Roman"/>
        </w:rPr>
        <w:t xml:space="preserve">Thank you to the people who dedicated </w:t>
      </w:r>
      <w:r>
        <w:rPr>
          <w:rFonts w:ascii="Times New Roman" w:hAnsi="Times New Roman" w:cs="Times New Roman"/>
        </w:rPr>
        <w:t xml:space="preserve">their </w:t>
      </w:r>
      <w:r w:rsidRPr="00814616">
        <w:rPr>
          <w:rFonts w:ascii="Times New Roman" w:hAnsi="Times New Roman" w:cs="Times New Roman"/>
        </w:rPr>
        <w:t xml:space="preserve">time to participate in the studies, and to the Department of Psychology </w:t>
      </w:r>
      <w:r w:rsidR="001F0387">
        <w:rPr>
          <w:rFonts w:ascii="Times New Roman" w:hAnsi="Times New Roman" w:cs="Times New Roman"/>
        </w:rPr>
        <w:t xml:space="preserve">at the University of Sheffield </w:t>
      </w:r>
      <w:r w:rsidRPr="00814616">
        <w:rPr>
          <w:rFonts w:ascii="Times New Roman" w:hAnsi="Times New Roman" w:cs="Times New Roman"/>
        </w:rPr>
        <w:t xml:space="preserve">for funding </w:t>
      </w:r>
      <w:r>
        <w:rPr>
          <w:rFonts w:ascii="Times New Roman" w:hAnsi="Times New Roman" w:cs="Times New Roman"/>
        </w:rPr>
        <w:t>this</w:t>
      </w:r>
      <w:r w:rsidRPr="00814616">
        <w:rPr>
          <w:rFonts w:ascii="Times New Roman" w:hAnsi="Times New Roman" w:cs="Times New Roman"/>
        </w:rPr>
        <w:t xml:space="preserve"> PhD. To </w:t>
      </w:r>
      <w:r w:rsidR="00754CB2">
        <w:rPr>
          <w:rFonts w:ascii="Times New Roman" w:hAnsi="Times New Roman" w:cs="Times New Roman"/>
        </w:rPr>
        <w:t>those</w:t>
      </w:r>
      <w:r w:rsidRPr="00814616">
        <w:rPr>
          <w:rFonts w:ascii="Times New Roman" w:hAnsi="Times New Roman" w:cs="Times New Roman"/>
        </w:rPr>
        <w:t xml:space="preserve"> in Cathedral Court, thank you. Anton Martínez, you have been my rock. Dr Ben Lorimer, </w:t>
      </w:r>
      <w:r>
        <w:rPr>
          <w:rFonts w:ascii="Times New Roman" w:hAnsi="Times New Roman" w:cs="Times New Roman"/>
        </w:rPr>
        <w:t xml:space="preserve">Dr </w:t>
      </w:r>
      <w:proofErr w:type="spellStart"/>
      <w:r w:rsidRPr="00814616">
        <w:rPr>
          <w:rFonts w:ascii="Times New Roman" w:hAnsi="Times New Roman" w:cs="Times New Roman"/>
        </w:rPr>
        <w:t>Fidan</w:t>
      </w:r>
      <w:proofErr w:type="spellEnd"/>
      <w:r w:rsidRPr="00814616">
        <w:rPr>
          <w:rFonts w:ascii="Times New Roman" w:hAnsi="Times New Roman" w:cs="Times New Roman"/>
        </w:rPr>
        <w:t xml:space="preserve"> Turk, Haifa Bin </w:t>
      </w:r>
      <w:proofErr w:type="spellStart"/>
      <w:r w:rsidRPr="00814616">
        <w:rPr>
          <w:rFonts w:ascii="Times New Roman" w:hAnsi="Times New Roman" w:cs="Times New Roman"/>
        </w:rPr>
        <w:t>Haamed</w:t>
      </w:r>
      <w:proofErr w:type="spellEnd"/>
      <w:r w:rsidRPr="00814616">
        <w:rPr>
          <w:rFonts w:ascii="Times New Roman" w:hAnsi="Times New Roman" w:cs="Times New Roman"/>
        </w:rPr>
        <w:t xml:space="preserve">, Dr Meghann Matthews, Danielle Beaton, Dr Ella James-Brabham, Dr Harriet Baird, Dr Mel Simmonds-Buckley, Dr Myles Jones, Dr </w:t>
      </w:r>
      <w:proofErr w:type="spellStart"/>
      <w:r w:rsidRPr="00814616">
        <w:rPr>
          <w:rFonts w:ascii="Times New Roman" w:hAnsi="Times New Roman" w:cs="Times New Roman"/>
        </w:rPr>
        <w:t>Aikaterini</w:t>
      </w:r>
      <w:proofErr w:type="spellEnd"/>
      <w:r w:rsidRPr="00814616">
        <w:rPr>
          <w:rFonts w:ascii="Times New Roman" w:hAnsi="Times New Roman" w:cs="Times New Roman"/>
        </w:rPr>
        <w:t xml:space="preserve"> </w:t>
      </w:r>
      <w:proofErr w:type="spellStart"/>
      <w:r w:rsidRPr="00814616">
        <w:rPr>
          <w:rFonts w:ascii="Times New Roman" w:hAnsi="Times New Roman" w:cs="Times New Roman"/>
        </w:rPr>
        <w:t>Giannadou</w:t>
      </w:r>
      <w:proofErr w:type="spellEnd"/>
      <w:r w:rsidRPr="00814616">
        <w:rPr>
          <w:rFonts w:ascii="Times New Roman" w:hAnsi="Times New Roman" w:cs="Times New Roman"/>
        </w:rPr>
        <w:t>, I feel ridiculously lucky to have been surrounded by you all, we had so much (maybe at times, too much) fun. Jayne Whitley, not only have you been a great student support officer, but also a great friend.</w:t>
      </w:r>
    </w:p>
    <w:p w14:paraId="2D0F895A" w14:textId="77777777" w:rsidR="00814616" w:rsidRPr="00814616" w:rsidRDefault="00814616" w:rsidP="00814616">
      <w:pPr>
        <w:pStyle w:val="NoSpacing"/>
        <w:spacing w:line="480" w:lineRule="auto"/>
        <w:rPr>
          <w:rFonts w:ascii="Times New Roman" w:hAnsi="Times New Roman" w:cs="Times New Roman"/>
        </w:rPr>
      </w:pPr>
    </w:p>
    <w:p w14:paraId="4814FC70" w14:textId="5BD2CFB9"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To the Sheffield Alcohol Research Group, thank you for allowing me to be part of the team. A special acknowledgement goes to Dr Inge </w:t>
      </w:r>
      <w:proofErr w:type="spellStart"/>
      <w:r w:rsidRPr="00814616">
        <w:rPr>
          <w:rFonts w:ascii="Times New Roman" w:hAnsi="Times New Roman" w:cs="Times New Roman"/>
        </w:rPr>
        <w:t>Kersbergen</w:t>
      </w:r>
      <w:proofErr w:type="spellEnd"/>
      <w:r w:rsidRPr="00814616">
        <w:rPr>
          <w:rFonts w:ascii="Times New Roman" w:hAnsi="Times New Roman" w:cs="Times New Roman"/>
        </w:rPr>
        <w:t xml:space="preserve"> and Dr Melissa Oldham for the friendship and invaluable advice over the years. Jen Boyd, Olivia Sexton, </w:t>
      </w:r>
      <w:r w:rsidR="006C58B1">
        <w:rPr>
          <w:rFonts w:ascii="Times New Roman" w:hAnsi="Times New Roman" w:cs="Times New Roman"/>
        </w:rPr>
        <w:t xml:space="preserve">Jane Hughes, Dr Abi </w:t>
      </w:r>
      <w:proofErr w:type="spellStart"/>
      <w:r w:rsidR="006C58B1">
        <w:rPr>
          <w:rFonts w:ascii="Times New Roman" w:hAnsi="Times New Roman" w:cs="Times New Roman"/>
        </w:rPr>
        <w:t>Stevely</w:t>
      </w:r>
      <w:proofErr w:type="spellEnd"/>
      <w:r w:rsidR="006C58B1">
        <w:rPr>
          <w:rFonts w:ascii="Times New Roman" w:hAnsi="Times New Roman" w:cs="Times New Roman"/>
        </w:rPr>
        <w:t xml:space="preserve">, </w:t>
      </w:r>
      <w:r w:rsidRPr="00814616">
        <w:rPr>
          <w:rFonts w:ascii="Times New Roman" w:hAnsi="Times New Roman" w:cs="Times New Roman"/>
        </w:rPr>
        <w:t xml:space="preserve">Dr Charlotte Buckley, and </w:t>
      </w:r>
      <w:r w:rsidR="006C58B1">
        <w:rPr>
          <w:rFonts w:ascii="Times New Roman" w:hAnsi="Times New Roman" w:cs="Times New Roman"/>
        </w:rPr>
        <w:t xml:space="preserve">Maddy </w:t>
      </w:r>
      <w:proofErr w:type="spellStart"/>
      <w:r w:rsidR="006C58B1">
        <w:rPr>
          <w:rFonts w:ascii="Times New Roman" w:hAnsi="Times New Roman" w:cs="Times New Roman"/>
        </w:rPr>
        <w:t>Henney</w:t>
      </w:r>
      <w:proofErr w:type="spellEnd"/>
      <w:r w:rsidRPr="00814616">
        <w:rPr>
          <w:rFonts w:ascii="Times New Roman" w:hAnsi="Times New Roman" w:cs="Times New Roman"/>
        </w:rPr>
        <w:t>–I am so happy to have met you all</w:t>
      </w:r>
      <w:r w:rsidR="001F0387">
        <w:rPr>
          <w:rFonts w:ascii="Times New Roman" w:hAnsi="Times New Roman" w:cs="Times New Roman"/>
        </w:rPr>
        <w:t xml:space="preserve"> and</w:t>
      </w:r>
      <w:r w:rsidRPr="00814616">
        <w:rPr>
          <w:rFonts w:ascii="Times New Roman" w:hAnsi="Times New Roman" w:cs="Times New Roman"/>
        </w:rPr>
        <w:t xml:space="preserve"> I will always remember our hilarious trip to Utrecht</w:t>
      </w:r>
      <w:r w:rsidR="009350EC">
        <w:rPr>
          <w:rFonts w:ascii="Times New Roman" w:hAnsi="Times New Roman" w:cs="Times New Roman"/>
        </w:rPr>
        <w:t>.</w:t>
      </w:r>
      <w:r w:rsidRPr="00814616">
        <w:rPr>
          <w:rFonts w:ascii="Times New Roman" w:hAnsi="Times New Roman" w:cs="Times New Roman"/>
        </w:rPr>
        <w:t xml:space="preserve"> </w:t>
      </w:r>
      <w:r w:rsidR="00A74370" w:rsidRPr="00814616">
        <w:rPr>
          <w:rFonts w:ascii="Times New Roman" w:hAnsi="Times New Roman" w:cs="Times New Roman"/>
        </w:rPr>
        <w:t>Lastly</w:t>
      </w:r>
      <w:r w:rsidRPr="00814616">
        <w:rPr>
          <w:rFonts w:ascii="Times New Roman" w:hAnsi="Times New Roman" w:cs="Times New Roman"/>
        </w:rPr>
        <w:t xml:space="preserve">, Dr Emma Thornton, even though </w:t>
      </w:r>
      <w:r w:rsidR="009350EC">
        <w:rPr>
          <w:rFonts w:ascii="Times New Roman" w:hAnsi="Times New Roman" w:cs="Times New Roman"/>
        </w:rPr>
        <w:t>you are in Liverpool</w:t>
      </w:r>
      <w:r w:rsidRPr="00814616">
        <w:rPr>
          <w:rFonts w:ascii="Times New Roman" w:hAnsi="Times New Roman" w:cs="Times New Roman"/>
        </w:rPr>
        <w:t xml:space="preserve">, you </w:t>
      </w:r>
      <w:r w:rsidR="001F0387">
        <w:rPr>
          <w:rFonts w:ascii="Times New Roman" w:hAnsi="Times New Roman" w:cs="Times New Roman"/>
        </w:rPr>
        <w:t xml:space="preserve">have always been </w:t>
      </w:r>
      <w:r w:rsidR="00AF3DB1">
        <w:rPr>
          <w:rFonts w:ascii="Times New Roman" w:hAnsi="Times New Roman" w:cs="Times New Roman"/>
        </w:rPr>
        <w:t>an amazing friend to</w:t>
      </w:r>
      <w:r w:rsidRPr="00814616">
        <w:rPr>
          <w:rFonts w:ascii="Times New Roman" w:hAnsi="Times New Roman" w:cs="Times New Roman"/>
        </w:rPr>
        <w:t xml:space="preserve"> me, thank you. </w:t>
      </w:r>
    </w:p>
    <w:p w14:paraId="68253E1C" w14:textId="77777777" w:rsidR="00814616" w:rsidRPr="00814616" w:rsidRDefault="00814616" w:rsidP="00814616">
      <w:pPr>
        <w:pStyle w:val="NoSpacing"/>
        <w:spacing w:line="480" w:lineRule="auto"/>
        <w:rPr>
          <w:rFonts w:ascii="Times New Roman" w:hAnsi="Times New Roman" w:cs="Times New Roman"/>
        </w:rPr>
      </w:pPr>
    </w:p>
    <w:p w14:paraId="77CCA7D0" w14:textId="704474AD" w:rsidR="00814616" w:rsidRPr="00814616" w:rsidRDefault="00814616" w:rsidP="00DE6C7B">
      <w:pPr>
        <w:pStyle w:val="NoSpacing"/>
        <w:spacing w:line="480" w:lineRule="auto"/>
        <w:rPr>
          <w:rFonts w:ascii="Times New Roman" w:hAnsi="Times New Roman" w:cs="Times New Roman"/>
        </w:rPr>
      </w:pPr>
      <w:r w:rsidRPr="00814616">
        <w:rPr>
          <w:rFonts w:ascii="Times New Roman" w:hAnsi="Times New Roman" w:cs="Times New Roman"/>
        </w:rPr>
        <w:lastRenderedPageBreak/>
        <w:t xml:space="preserve">Thank you to my family for always supporting me and for kindly not asking questions about how </w:t>
      </w:r>
      <w:r w:rsidR="00AF0B62">
        <w:rPr>
          <w:rFonts w:ascii="Times New Roman" w:hAnsi="Times New Roman" w:cs="Times New Roman"/>
        </w:rPr>
        <w:t>the</w:t>
      </w:r>
      <w:r w:rsidRPr="00814616">
        <w:rPr>
          <w:rFonts w:ascii="Times New Roman" w:hAnsi="Times New Roman" w:cs="Times New Roman"/>
        </w:rPr>
        <w:t xml:space="preserve"> PhD is going. Mum, a long time ago you made the decision to go to university as a single parent with three young children. So much of my motivation and ambition comes from you. Thank you for inspiring me. Lynn and Phil Langton, thank you for all the encouragement</w:t>
      </w:r>
      <w:r w:rsidR="00364B8E">
        <w:rPr>
          <w:rFonts w:ascii="Times New Roman" w:hAnsi="Times New Roman" w:cs="Times New Roman"/>
        </w:rPr>
        <w:t xml:space="preserve"> and for always being there for me.</w:t>
      </w:r>
      <w:r w:rsidR="00AF5DF0">
        <w:rPr>
          <w:rFonts w:ascii="Times New Roman" w:hAnsi="Times New Roman" w:cs="Times New Roman"/>
        </w:rPr>
        <w:t xml:space="preserve"> </w:t>
      </w:r>
      <w:r w:rsidR="009A136C">
        <w:rPr>
          <w:rFonts w:ascii="Times New Roman" w:hAnsi="Times New Roman" w:cs="Times New Roman"/>
        </w:rPr>
        <w:t xml:space="preserve">Regardless of anything else that was happening, being with you </w:t>
      </w:r>
      <w:r w:rsidR="00DE6C7B">
        <w:rPr>
          <w:rFonts w:ascii="Times New Roman" w:hAnsi="Times New Roman" w:cs="Times New Roman"/>
        </w:rPr>
        <w:t xml:space="preserve">both </w:t>
      </w:r>
      <w:r w:rsidR="009A136C">
        <w:rPr>
          <w:rFonts w:ascii="Times New Roman" w:hAnsi="Times New Roman" w:cs="Times New Roman"/>
        </w:rPr>
        <w:t xml:space="preserve">brought me so much </w:t>
      </w:r>
      <w:r w:rsidR="002B3391">
        <w:rPr>
          <w:rFonts w:ascii="Times New Roman" w:hAnsi="Times New Roman" w:cs="Times New Roman"/>
        </w:rPr>
        <w:t>calmness</w:t>
      </w:r>
      <w:r w:rsidR="00F05457">
        <w:rPr>
          <w:rFonts w:ascii="Times New Roman" w:hAnsi="Times New Roman" w:cs="Times New Roman"/>
        </w:rPr>
        <w:t xml:space="preserve"> and </w:t>
      </w:r>
      <w:r w:rsidR="00364B8E">
        <w:rPr>
          <w:rFonts w:ascii="Times New Roman" w:hAnsi="Times New Roman" w:cs="Times New Roman"/>
        </w:rPr>
        <w:t xml:space="preserve">I </w:t>
      </w:r>
      <w:r w:rsidR="00123207">
        <w:rPr>
          <w:rFonts w:ascii="Times New Roman" w:hAnsi="Times New Roman" w:cs="Times New Roman"/>
        </w:rPr>
        <w:t>owe so much to you</w:t>
      </w:r>
      <w:r w:rsidR="00F05457">
        <w:rPr>
          <w:rFonts w:ascii="Times New Roman" w:hAnsi="Times New Roman" w:cs="Times New Roman"/>
        </w:rPr>
        <w:t xml:space="preserve"> (and </w:t>
      </w:r>
      <w:r w:rsidR="00364B8E">
        <w:rPr>
          <w:rFonts w:ascii="Times New Roman" w:hAnsi="Times New Roman" w:cs="Times New Roman"/>
        </w:rPr>
        <w:t>to</w:t>
      </w:r>
      <w:r w:rsidRPr="00814616">
        <w:rPr>
          <w:rFonts w:ascii="Times New Roman" w:hAnsi="Times New Roman" w:cs="Times New Roman"/>
        </w:rPr>
        <w:t xml:space="preserve"> Alfie (the dog) for cuddling me when I felt stressed</w:t>
      </w:r>
      <w:r w:rsidR="00F05457">
        <w:rPr>
          <w:rFonts w:ascii="Times New Roman" w:hAnsi="Times New Roman" w:cs="Times New Roman"/>
        </w:rPr>
        <w:t>)</w:t>
      </w:r>
      <w:r w:rsidRPr="00814616">
        <w:rPr>
          <w:rFonts w:ascii="Times New Roman" w:hAnsi="Times New Roman" w:cs="Times New Roman"/>
        </w:rPr>
        <w:t xml:space="preserve">. Emily Langton, I am so grateful to have had your love and support throughout this time in my life. You kept me smiling every single day. Thank you for everything you have done, and everything that you continue to do. I hope I have made you as proud of me as I am of you. And to </w:t>
      </w:r>
      <w:r w:rsidR="00AF3DB1">
        <w:rPr>
          <w:rFonts w:ascii="Times New Roman" w:hAnsi="Times New Roman" w:cs="Times New Roman"/>
        </w:rPr>
        <w:t>our</w:t>
      </w:r>
      <w:r w:rsidRPr="00814616">
        <w:rPr>
          <w:rFonts w:ascii="Times New Roman" w:hAnsi="Times New Roman" w:cs="Times New Roman"/>
        </w:rPr>
        <w:t xml:space="preserve"> kitten, Luca, in just one month you have brought so much happiness and joy to my life.</w:t>
      </w:r>
    </w:p>
    <w:p w14:paraId="014EC922" w14:textId="77777777" w:rsidR="00814616" w:rsidRDefault="00814616" w:rsidP="00814616">
      <w:pPr>
        <w:pStyle w:val="NoSpacing"/>
      </w:pPr>
    </w:p>
    <w:p w14:paraId="4686C67D" w14:textId="77777777" w:rsidR="00814616" w:rsidRDefault="00814616" w:rsidP="00814616">
      <w:pPr>
        <w:pStyle w:val="NoSpacing"/>
      </w:pPr>
    </w:p>
    <w:p w14:paraId="3B797889" w14:textId="77777777" w:rsidR="00814616" w:rsidRDefault="00814616" w:rsidP="00814616">
      <w:pPr>
        <w:pStyle w:val="NoSpacing"/>
      </w:pPr>
    </w:p>
    <w:p w14:paraId="3E11FDE1" w14:textId="77777777" w:rsidR="00814616" w:rsidRDefault="00814616" w:rsidP="00814616">
      <w:pPr>
        <w:pStyle w:val="NoSpacing"/>
      </w:pPr>
    </w:p>
    <w:p w14:paraId="6E6A1C4A" w14:textId="77CC3FB6" w:rsidR="00E42C66" w:rsidRDefault="00E42C66" w:rsidP="00986A39">
      <w:pPr>
        <w:pStyle w:val="NoSpacing"/>
      </w:pPr>
    </w:p>
    <w:p w14:paraId="71B51AA1" w14:textId="4BCB99E2" w:rsidR="00E42C66" w:rsidRDefault="00E42C66" w:rsidP="00986A39">
      <w:pPr>
        <w:pStyle w:val="NoSpacing"/>
      </w:pPr>
    </w:p>
    <w:p w14:paraId="5CDB55A1" w14:textId="6570FC38" w:rsidR="00E42C66" w:rsidRDefault="00E42C66" w:rsidP="00986A39">
      <w:pPr>
        <w:pStyle w:val="NoSpacing"/>
      </w:pPr>
    </w:p>
    <w:p w14:paraId="3A88DE6A" w14:textId="2FC95BD4" w:rsidR="00E42C66" w:rsidRDefault="00E42C66" w:rsidP="00986A39">
      <w:pPr>
        <w:pStyle w:val="NoSpacing"/>
      </w:pPr>
    </w:p>
    <w:p w14:paraId="5AD4AD41" w14:textId="2C077D44" w:rsidR="00E42C66" w:rsidRDefault="00E42C66" w:rsidP="00986A39">
      <w:pPr>
        <w:pStyle w:val="NoSpacing"/>
      </w:pPr>
    </w:p>
    <w:p w14:paraId="365D6DB3" w14:textId="39463742" w:rsidR="00E42C66" w:rsidRDefault="00E42C66" w:rsidP="00986A39">
      <w:pPr>
        <w:pStyle w:val="NoSpacing"/>
      </w:pPr>
    </w:p>
    <w:p w14:paraId="55C2A08A" w14:textId="2695A580" w:rsidR="00E42C66" w:rsidRDefault="00E42C66" w:rsidP="00986A39">
      <w:pPr>
        <w:pStyle w:val="NoSpacing"/>
      </w:pPr>
    </w:p>
    <w:p w14:paraId="55FAF165" w14:textId="170B9DFD" w:rsidR="00E42C66" w:rsidRDefault="00E42C66" w:rsidP="00986A39">
      <w:pPr>
        <w:pStyle w:val="NoSpacing"/>
      </w:pPr>
    </w:p>
    <w:p w14:paraId="33B8B4C6" w14:textId="4FFBDCCE" w:rsidR="00E42C66" w:rsidRDefault="00E42C66" w:rsidP="00986A39">
      <w:pPr>
        <w:pStyle w:val="NoSpacing"/>
      </w:pPr>
    </w:p>
    <w:p w14:paraId="0C52B29D" w14:textId="5B9AFA77" w:rsidR="00E42C66" w:rsidRDefault="00E42C66" w:rsidP="00986A39">
      <w:pPr>
        <w:pStyle w:val="NoSpacing"/>
      </w:pPr>
    </w:p>
    <w:p w14:paraId="6387815E" w14:textId="607AE0B1" w:rsidR="00E42C66" w:rsidRDefault="00E42C66" w:rsidP="00986A39">
      <w:pPr>
        <w:pStyle w:val="NoSpacing"/>
      </w:pPr>
    </w:p>
    <w:p w14:paraId="650AD591" w14:textId="6BB011C3" w:rsidR="00E42C66" w:rsidRDefault="00E42C66" w:rsidP="00986A39">
      <w:pPr>
        <w:pStyle w:val="NoSpacing"/>
      </w:pPr>
    </w:p>
    <w:p w14:paraId="5CA649DE" w14:textId="726CB65E" w:rsidR="00E42C66" w:rsidRDefault="00E42C66" w:rsidP="00986A39">
      <w:pPr>
        <w:pStyle w:val="NoSpacing"/>
      </w:pPr>
    </w:p>
    <w:p w14:paraId="4F9D237E" w14:textId="5A676F9D" w:rsidR="00E42C66" w:rsidRDefault="00E42C66" w:rsidP="00986A39">
      <w:pPr>
        <w:pStyle w:val="NoSpacing"/>
      </w:pPr>
    </w:p>
    <w:p w14:paraId="4D31C7E1" w14:textId="09CDE785" w:rsidR="00E42C66" w:rsidRDefault="00E42C66" w:rsidP="00986A39">
      <w:pPr>
        <w:pStyle w:val="NoSpacing"/>
      </w:pPr>
    </w:p>
    <w:p w14:paraId="3B37988E" w14:textId="5EE4651D" w:rsidR="00E42C66" w:rsidRDefault="00E42C66" w:rsidP="00986A39">
      <w:pPr>
        <w:pStyle w:val="NoSpacing"/>
      </w:pPr>
    </w:p>
    <w:p w14:paraId="7B07E817" w14:textId="795FC365" w:rsidR="00E42C66" w:rsidRDefault="00E42C66" w:rsidP="00986A39">
      <w:pPr>
        <w:pStyle w:val="NoSpacing"/>
      </w:pPr>
    </w:p>
    <w:p w14:paraId="69D8026F" w14:textId="1EE24933" w:rsidR="00E42C66" w:rsidRDefault="00E42C66" w:rsidP="00986A39">
      <w:pPr>
        <w:pStyle w:val="NoSpacing"/>
      </w:pPr>
    </w:p>
    <w:p w14:paraId="6A1EDA14" w14:textId="3CA12614" w:rsidR="00E42C66" w:rsidRDefault="00E42C66" w:rsidP="00986A39">
      <w:pPr>
        <w:pStyle w:val="NoSpacing"/>
      </w:pPr>
    </w:p>
    <w:p w14:paraId="4EFAE78D" w14:textId="0622F95F" w:rsidR="00B85248" w:rsidRDefault="00B85248" w:rsidP="00986A39">
      <w:pPr>
        <w:pStyle w:val="NoSpacing"/>
      </w:pPr>
    </w:p>
    <w:p w14:paraId="35A514D7" w14:textId="77777777" w:rsidR="00DE6C7B" w:rsidRDefault="00DE6C7B" w:rsidP="00986A39">
      <w:pPr>
        <w:pStyle w:val="NoSpacing"/>
      </w:pPr>
    </w:p>
    <w:p w14:paraId="600EF73A" w14:textId="77777777" w:rsidR="00E42C66" w:rsidRDefault="00E42C66" w:rsidP="00986A39">
      <w:pPr>
        <w:pStyle w:val="NoSpacing"/>
      </w:pPr>
    </w:p>
    <w:p w14:paraId="3150AB5F" w14:textId="127C48D6" w:rsidR="00E42C66" w:rsidRDefault="00E42C66" w:rsidP="00107EBB">
      <w:pPr>
        <w:pStyle w:val="Heading1"/>
      </w:pPr>
      <w:bookmarkStart w:id="6" w:name="_Toc109901449"/>
      <w:bookmarkStart w:id="7" w:name="_Toc109901922"/>
      <w:bookmarkStart w:id="8" w:name="_Toc109911315"/>
      <w:bookmarkStart w:id="9" w:name="_Toc110612718"/>
      <w:bookmarkStart w:id="10" w:name="_Toc110629028"/>
      <w:bookmarkStart w:id="11" w:name="_Toc110870936"/>
      <w:r w:rsidRPr="00E42C66">
        <w:lastRenderedPageBreak/>
        <w:t>Declaration and Note on Inclusion of Published Work</w:t>
      </w:r>
      <w:bookmarkEnd w:id="6"/>
      <w:bookmarkEnd w:id="7"/>
      <w:bookmarkEnd w:id="8"/>
      <w:bookmarkEnd w:id="9"/>
      <w:bookmarkEnd w:id="10"/>
      <w:bookmarkEnd w:id="11"/>
    </w:p>
    <w:p w14:paraId="509D3F7A" w14:textId="77777777" w:rsidR="00E42C66" w:rsidRDefault="00E42C66" w:rsidP="00986A39">
      <w:pPr>
        <w:pStyle w:val="NoSpacing"/>
      </w:pPr>
    </w:p>
    <w:p w14:paraId="01DF5243" w14:textId="190CDA0D"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I, Amber Copeland, confirm that the Thesis is my own work. I am aware of the University’s Guidance on the Use of Unfair Means (</w:t>
      </w:r>
      <w:hyperlink r:id="rId9" w:history="1">
        <w:r w:rsidRPr="0057190E">
          <w:rPr>
            <w:rStyle w:val="Hyperlink"/>
            <w:rFonts w:ascii="Times New Roman" w:hAnsi="Times New Roman" w:cs="Times New Roman"/>
          </w:rPr>
          <w:t>www.sheffield.ac.uk/ssid/unfair-means</w:t>
        </w:r>
      </w:hyperlink>
      <w:r>
        <w:rPr>
          <w:rFonts w:ascii="Times New Roman" w:hAnsi="Times New Roman" w:cs="Times New Roman"/>
        </w:rPr>
        <w:t xml:space="preserve">). </w:t>
      </w:r>
      <w:r w:rsidRPr="00814616">
        <w:rPr>
          <w:rFonts w:ascii="Times New Roman" w:hAnsi="Times New Roman" w:cs="Times New Roman"/>
        </w:rPr>
        <w:t xml:space="preserve">This work has not previously been presented for an award at this, or any other, university.  </w:t>
      </w:r>
    </w:p>
    <w:p w14:paraId="6F637F7F" w14:textId="77777777" w:rsidR="00814616" w:rsidRPr="00814616" w:rsidRDefault="00814616" w:rsidP="00814616">
      <w:pPr>
        <w:pStyle w:val="NoSpacing"/>
        <w:spacing w:line="480" w:lineRule="auto"/>
        <w:rPr>
          <w:rFonts w:ascii="Times New Roman" w:hAnsi="Times New Roman" w:cs="Times New Roman"/>
        </w:rPr>
      </w:pPr>
    </w:p>
    <w:p w14:paraId="505C42FD" w14:textId="1470AE7D"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This thesis is in a </w:t>
      </w:r>
      <w:r w:rsidRPr="00AD621C">
        <w:rPr>
          <w:rFonts w:ascii="Times New Roman" w:hAnsi="Times New Roman" w:cs="Times New Roman"/>
          <w:b/>
          <w:bCs/>
        </w:rPr>
        <w:t>publication format</w:t>
      </w:r>
      <w:r w:rsidRPr="00814616">
        <w:rPr>
          <w:rFonts w:ascii="Times New Roman" w:hAnsi="Times New Roman" w:cs="Times New Roman"/>
        </w:rPr>
        <w:t xml:space="preserve">, and contains the following </w:t>
      </w:r>
      <w:r w:rsidRPr="00AD621C">
        <w:rPr>
          <w:rFonts w:ascii="Times New Roman" w:hAnsi="Times New Roman" w:cs="Times New Roman"/>
          <w:b/>
          <w:bCs/>
        </w:rPr>
        <w:t>published work</w:t>
      </w:r>
      <w:r w:rsidRPr="00814616">
        <w:rPr>
          <w:rFonts w:ascii="Times New Roman" w:hAnsi="Times New Roman" w:cs="Times New Roman"/>
        </w:rPr>
        <w:t xml:space="preserve">: </w:t>
      </w:r>
    </w:p>
    <w:p w14:paraId="566A3375" w14:textId="1D15E949"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The narrative review presented in Chapter 1 is published as a Chapter within an edited book:</w:t>
      </w:r>
    </w:p>
    <w:p w14:paraId="0564DB5B" w14:textId="55917D74" w:rsidR="00814616" w:rsidRDefault="00814616" w:rsidP="00AD621C">
      <w:pPr>
        <w:pStyle w:val="NoSpacing"/>
        <w:spacing w:line="480" w:lineRule="auto"/>
        <w:ind w:left="720" w:hanging="720"/>
        <w:rPr>
          <w:rFonts w:ascii="Times New Roman" w:hAnsi="Times New Roman" w:cs="Times New Roman"/>
        </w:rPr>
      </w:pPr>
      <w:bookmarkStart w:id="12" w:name="_Hlk110755870"/>
      <w:r w:rsidRPr="00814616">
        <w:rPr>
          <w:rFonts w:ascii="Times New Roman" w:hAnsi="Times New Roman" w:cs="Times New Roman"/>
        </w:rPr>
        <w:t xml:space="preserve">Copeland, A., Stafford, T., &amp; Field, M. (2021). Recovery from addiction: A synthesis of perspectives from </w:t>
      </w:r>
      <w:proofErr w:type="spellStart"/>
      <w:r w:rsidRPr="00814616">
        <w:rPr>
          <w:rFonts w:ascii="Times New Roman" w:hAnsi="Times New Roman" w:cs="Times New Roman"/>
        </w:rPr>
        <w:t>behavioral</w:t>
      </w:r>
      <w:proofErr w:type="spellEnd"/>
      <w:r w:rsidRPr="00814616">
        <w:rPr>
          <w:rFonts w:ascii="Times New Roman" w:hAnsi="Times New Roman" w:cs="Times New Roman"/>
        </w:rPr>
        <w:t xml:space="preserve"> economics, psychology, and decision </w:t>
      </w:r>
      <w:proofErr w:type="spellStart"/>
      <w:r w:rsidRPr="00814616">
        <w:rPr>
          <w:rFonts w:ascii="Times New Roman" w:hAnsi="Times New Roman" w:cs="Times New Roman"/>
        </w:rPr>
        <w:t>modeling</w:t>
      </w:r>
      <w:proofErr w:type="spellEnd"/>
      <w:r w:rsidRPr="00814616">
        <w:rPr>
          <w:rFonts w:ascii="Times New Roman" w:hAnsi="Times New Roman" w:cs="Times New Roman"/>
        </w:rPr>
        <w:t xml:space="preserve">. In D. Frings &amp; I. P. </w:t>
      </w:r>
      <w:proofErr w:type="spellStart"/>
      <w:r w:rsidRPr="00814616">
        <w:rPr>
          <w:rFonts w:ascii="Times New Roman" w:hAnsi="Times New Roman" w:cs="Times New Roman"/>
        </w:rPr>
        <w:t>Albery</w:t>
      </w:r>
      <w:proofErr w:type="spellEnd"/>
      <w:r w:rsidRPr="00814616">
        <w:rPr>
          <w:rFonts w:ascii="Times New Roman" w:hAnsi="Times New Roman" w:cs="Times New Roman"/>
        </w:rPr>
        <w:t xml:space="preserve"> (Eds.), </w:t>
      </w:r>
      <w:r w:rsidRPr="00AD621C">
        <w:rPr>
          <w:rFonts w:ascii="Times New Roman" w:hAnsi="Times New Roman" w:cs="Times New Roman"/>
          <w:i/>
          <w:iCs/>
        </w:rPr>
        <w:t>The handbook of alcohol use</w:t>
      </w:r>
      <w:r w:rsidRPr="00814616">
        <w:rPr>
          <w:rFonts w:ascii="Times New Roman" w:hAnsi="Times New Roman" w:cs="Times New Roman"/>
        </w:rPr>
        <w:t xml:space="preserve"> (pp. 563-579). Academic Press. </w:t>
      </w:r>
      <w:hyperlink r:id="rId10" w:history="1">
        <w:r w:rsidR="00AD621C" w:rsidRPr="0057190E">
          <w:rPr>
            <w:rStyle w:val="Hyperlink"/>
            <w:rFonts w:ascii="Times New Roman" w:hAnsi="Times New Roman" w:cs="Times New Roman"/>
          </w:rPr>
          <w:t>https://doi.org/10.1016/B978-0-12-816720-5.00002-5</w:t>
        </w:r>
      </w:hyperlink>
    </w:p>
    <w:bookmarkEnd w:id="12"/>
    <w:p w14:paraId="758EE1CD" w14:textId="4214A2E0"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Copyright of this book </w:t>
      </w:r>
      <w:r w:rsidR="0025053E">
        <w:rPr>
          <w:rFonts w:ascii="Times New Roman" w:hAnsi="Times New Roman" w:cs="Times New Roman"/>
        </w:rPr>
        <w:t>C</w:t>
      </w:r>
      <w:r w:rsidRPr="00814616">
        <w:rPr>
          <w:rFonts w:ascii="Times New Roman" w:hAnsi="Times New Roman" w:cs="Times New Roman"/>
        </w:rPr>
        <w:t xml:space="preserve">hapter resides with the publishers; however, the reproduction of </w:t>
      </w:r>
      <w:r w:rsidR="0025053E">
        <w:rPr>
          <w:rFonts w:ascii="Times New Roman" w:hAnsi="Times New Roman" w:cs="Times New Roman"/>
        </w:rPr>
        <w:t xml:space="preserve">a variant of </w:t>
      </w:r>
      <w:r w:rsidRPr="00814616">
        <w:rPr>
          <w:rFonts w:ascii="Times New Roman" w:hAnsi="Times New Roman" w:cs="Times New Roman"/>
        </w:rPr>
        <w:t xml:space="preserve">the book </w:t>
      </w:r>
      <w:r w:rsidR="0025053E">
        <w:rPr>
          <w:rFonts w:ascii="Times New Roman" w:hAnsi="Times New Roman" w:cs="Times New Roman"/>
        </w:rPr>
        <w:t>C</w:t>
      </w:r>
      <w:r w:rsidRPr="00814616">
        <w:rPr>
          <w:rFonts w:ascii="Times New Roman" w:hAnsi="Times New Roman" w:cs="Times New Roman"/>
        </w:rPr>
        <w:t xml:space="preserve">hapter as a thesis </w:t>
      </w:r>
      <w:r w:rsidR="0025053E">
        <w:rPr>
          <w:rFonts w:ascii="Times New Roman" w:hAnsi="Times New Roman" w:cs="Times New Roman"/>
        </w:rPr>
        <w:t>C</w:t>
      </w:r>
      <w:r w:rsidRPr="00814616">
        <w:rPr>
          <w:rFonts w:ascii="Times New Roman" w:hAnsi="Times New Roman" w:cs="Times New Roman"/>
        </w:rPr>
        <w:t>hapter is permitted in the terms of the copyright agreement.</w:t>
      </w:r>
    </w:p>
    <w:p w14:paraId="05795922" w14:textId="77777777" w:rsidR="00814616" w:rsidRPr="00814616" w:rsidRDefault="00814616" w:rsidP="00814616">
      <w:pPr>
        <w:pStyle w:val="NoSpacing"/>
        <w:spacing w:line="480" w:lineRule="auto"/>
        <w:rPr>
          <w:rFonts w:ascii="Times New Roman" w:hAnsi="Times New Roman" w:cs="Times New Roman"/>
        </w:rPr>
      </w:pPr>
    </w:p>
    <w:p w14:paraId="1B5D10F2" w14:textId="41F955BE" w:rsidR="00814616" w:rsidRPr="00814616" w:rsidRDefault="00814616" w:rsidP="00814616">
      <w:pPr>
        <w:pStyle w:val="NoSpacing"/>
        <w:spacing w:line="480" w:lineRule="auto"/>
        <w:rPr>
          <w:rFonts w:ascii="Times New Roman" w:hAnsi="Times New Roman" w:cs="Times New Roman"/>
        </w:rPr>
      </w:pPr>
      <w:bookmarkStart w:id="13" w:name="_Hlk110428121"/>
      <w:r w:rsidRPr="00814616">
        <w:rPr>
          <w:rFonts w:ascii="Times New Roman" w:hAnsi="Times New Roman" w:cs="Times New Roman"/>
        </w:rPr>
        <w:t xml:space="preserve">The research presented in Chapter 2 </w:t>
      </w:r>
      <w:r w:rsidR="0088246A">
        <w:rPr>
          <w:rFonts w:ascii="Times New Roman" w:hAnsi="Times New Roman" w:cs="Times New Roman"/>
        </w:rPr>
        <w:t>has been</w:t>
      </w:r>
      <w:r w:rsidRPr="00814616">
        <w:rPr>
          <w:rFonts w:ascii="Times New Roman" w:hAnsi="Times New Roman" w:cs="Times New Roman"/>
        </w:rPr>
        <w:t xml:space="preserve"> </w:t>
      </w:r>
      <w:r w:rsidR="0088246A">
        <w:rPr>
          <w:rFonts w:ascii="Times New Roman" w:hAnsi="Times New Roman" w:cs="Times New Roman"/>
        </w:rPr>
        <w:t xml:space="preserve">published and is available online </w:t>
      </w:r>
      <w:r w:rsidRPr="00814616">
        <w:rPr>
          <w:rFonts w:ascii="Times New Roman" w:hAnsi="Times New Roman" w:cs="Times New Roman"/>
        </w:rPr>
        <w:t xml:space="preserve">at </w:t>
      </w:r>
      <w:r w:rsidRPr="00AD621C">
        <w:rPr>
          <w:rFonts w:ascii="Times New Roman" w:hAnsi="Times New Roman" w:cs="Times New Roman"/>
          <w:i/>
          <w:iCs/>
        </w:rPr>
        <w:t>Addiction Research &amp; Theory</w:t>
      </w:r>
      <w:r w:rsidRPr="00814616">
        <w:rPr>
          <w:rFonts w:ascii="Times New Roman" w:hAnsi="Times New Roman" w:cs="Times New Roman"/>
        </w:rPr>
        <w:t xml:space="preserve">: </w:t>
      </w:r>
    </w:p>
    <w:p w14:paraId="5C5FD21A" w14:textId="460DDC6C" w:rsidR="00814616" w:rsidRDefault="00814616" w:rsidP="00AD621C">
      <w:pPr>
        <w:pStyle w:val="NoSpacing"/>
        <w:spacing w:line="480" w:lineRule="auto"/>
        <w:ind w:left="720" w:hanging="720"/>
        <w:rPr>
          <w:rFonts w:ascii="Times New Roman" w:hAnsi="Times New Roman" w:cs="Times New Roman"/>
        </w:rPr>
      </w:pPr>
      <w:bookmarkStart w:id="14" w:name="_Hlk110755997"/>
      <w:r w:rsidRPr="00814616">
        <w:rPr>
          <w:rFonts w:ascii="Times New Roman" w:hAnsi="Times New Roman" w:cs="Times New Roman"/>
        </w:rPr>
        <w:t xml:space="preserve">Copeland, A., Jones, A., Acuff, S. F., Murphy, J. G., &amp; Field, M. (2022). Meaning in life: Investigating protective and risk factors for harmful alcohol consumption. </w:t>
      </w:r>
      <w:r w:rsidR="0088246A" w:rsidRPr="0088246A">
        <w:rPr>
          <w:rFonts w:ascii="Times New Roman" w:hAnsi="Times New Roman" w:cs="Times New Roman"/>
          <w:i/>
          <w:iCs/>
        </w:rPr>
        <w:t>Addiction Research &amp; Theory.</w:t>
      </w:r>
      <w:r w:rsidR="0088246A" w:rsidRPr="0088246A">
        <w:rPr>
          <w:rFonts w:ascii="Times New Roman" w:hAnsi="Times New Roman" w:cs="Times New Roman"/>
        </w:rPr>
        <w:t xml:space="preserve"> https://doi.org/10.1080/16066359.2022.2134991</w:t>
      </w:r>
    </w:p>
    <w:bookmarkEnd w:id="13"/>
    <w:bookmarkEnd w:id="14"/>
    <w:p w14:paraId="3F4709B4" w14:textId="77777777" w:rsidR="0088246A" w:rsidRPr="00814616" w:rsidRDefault="0088246A" w:rsidP="0088246A">
      <w:pPr>
        <w:pStyle w:val="NoSpacing"/>
        <w:spacing w:line="480" w:lineRule="auto"/>
        <w:rPr>
          <w:rFonts w:ascii="Times New Roman" w:hAnsi="Times New Roman" w:cs="Times New Roman"/>
        </w:rPr>
      </w:pPr>
      <w:r w:rsidRPr="00814616">
        <w:rPr>
          <w:rFonts w:ascii="Times New Roman" w:hAnsi="Times New Roman" w:cs="Times New Roman"/>
        </w:rPr>
        <w:t>This open access article is distributed under a Creative Commons Attribution (CC-BY) 4.0 license which permits unrestricted use, distribution, and reproduction in any medium, provided the original work is properly cited. There is no requirement to obtain permission to reuse this article.</w:t>
      </w:r>
    </w:p>
    <w:p w14:paraId="642E14C1" w14:textId="77777777" w:rsidR="00814616" w:rsidRPr="00814616" w:rsidRDefault="00814616" w:rsidP="00814616">
      <w:pPr>
        <w:pStyle w:val="NoSpacing"/>
        <w:spacing w:line="480" w:lineRule="auto"/>
        <w:rPr>
          <w:rFonts w:ascii="Times New Roman" w:hAnsi="Times New Roman" w:cs="Times New Roman"/>
        </w:rPr>
      </w:pPr>
    </w:p>
    <w:p w14:paraId="56DF0D8C" w14:textId="77777777"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lastRenderedPageBreak/>
        <w:t xml:space="preserve">The research presented in Chapter 3 has been published and is available </w:t>
      </w:r>
      <w:bookmarkStart w:id="15" w:name="_Hlk110516200"/>
      <w:r w:rsidRPr="00814616">
        <w:rPr>
          <w:rFonts w:ascii="Times New Roman" w:hAnsi="Times New Roman" w:cs="Times New Roman"/>
        </w:rPr>
        <w:t xml:space="preserve">online at </w:t>
      </w:r>
      <w:r w:rsidRPr="00AD621C">
        <w:rPr>
          <w:rFonts w:ascii="Times New Roman" w:hAnsi="Times New Roman" w:cs="Times New Roman"/>
          <w:i/>
          <w:iCs/>
        </w:rPr>
        <w:t>Cogent Psychology</w:t>
      </w:r>
      <w:r w:rsidRPr="00814616">
        <w:rPr>
          <w:rFonts w:ascii="Times New Roman" w:hAnsi="Times New Roman" w:cs="Times New Roman"/>
        </w:rPr>
        <w:t xml:space="preserve">: </w:t>
      </w:r>
      <w:bookmarkEnd w:id="15"/>
    </w:p>
    <w:p w14:paraId="4617A11B" w14:textId="7C184D64" w:rsidR="00814616" w:rsidRDefault="00814616" w:rsidP="00AD621C">
      <w:pPr>
        <w:pStyle w:val="NoSpacing"/>
        <w:spacing w:line="480" w:lineRule="auto"/>
        <w:ind w:left="720" w:hanging="720"/>
        <w:rPr>
          <w:rFonts w:ascii="Times New Roman" w:hAnsi="Times New Roman" w:cs="Times New Roman"/>
        </w:rPr>
      </w:pPr>
      <w:bookmarkStart w:id="16" w:name="_Hlk110755849"/>
      <w:r w:rsidRPr="00814616">
        <w:rPr>
          <w:rFonts w:ascii="Times New Roman" w:hAnsi="Times New Roman" w:cs="Times New Roman"/>
        </w:rPr>
        <w:t xml:space="preserve">Copeland, A., Stafford, T., &amp; Field, M. (2022). Methodological issues with value-based decision-making (VBDM) tasks: The effect of trial wording on evidence accumulation outputs from the EZ drift-diffusion model. </w:t>
      </w:r>
      <w:r w:rsidRPr="00520348">
        <w:rPr>
          <w:rFonts w:ascii="Times New Roman" w:hAnsi="Times New Roman" w:cs="Times New Roman"/>
          <w:i/>
          <w:iCs/>
        </w:rPr>
        <w:t>Cogent Psychology, 9</w:t>
      </w:r>
      <w:r w:rsidRPr="00814616">
        <w:rPr>
          <w:rFonts w:ascii="Times New Roman" w:hAnsi="Times New Roman" w:cs="Times New Roman"/>
        </w:rPr>
        <w:t xml:space="preserve">(1), 2079801. </w:t>
      </w:r>
      <w:hyperlink r:id="rId11" w:history="1">
        <w:r w:rsidR="00AD621C" w:rsidRPr="0057190E">
          <w:rPr>
            <w:rStyle w:val="Hyperlink"/>
            <w:rFonts w:ascii="Times New Roman" w:hAnsi="Times New Roman" w:cs="Times New Roman"/>
          </w:rPr>
          <w:t>https://doi.org/10.1080/23311908.2022.2079801</w:t>
        </w:r>
      </w:hyperlink>
    </w:p>
    <w:bookmarkEnd w:id="16"/>
    <w:p w14:paraId="138C5C35" w14:textId="5D1EB6E0"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This open access article is distributed under a Creative Commons Attribution (CC-BY) 4.0 license which permits unrestricted use, distribution, and reproduction in any medium, provided the original work is properly cited. There is no requirement to obtain permission to reuse this article.</w:t>
      </w:r>
    </w:p>
    <w:p w14:paraId="0ABA171A" w14:textId="77777777" w:rsidR="00814616" w:rsidRPr="00814616" w:rsidRDefault="00814616" w:rsidP="00814616">
      <w:pPr>
        <w:pStyle w:val="NoSpacing"/>
        <w:spacing w:line="480" w:lineRule="auto"/>
        <w:rPr>
          <w:rFonts w:ascii="Times New Roman" w:hAnsi="Times New Roman" w:cs="Times New Roman"/>
        </w:rPr>
      </w:pPr>
    </w:p>
    <w:p w14:paraId="2014FC9D" w14:textId="155C5007"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The research presented in Chapter 6 has been </w:t>
      </w:r>
      <w:r w:rsidR="0088246A">
        <w:rPr>
          <w:rFonts w:ascii="Times New Roman" w:hAnsi="Times New Roman" w:cs="Times New Roman"/>
        </w:rPr>
        <w:t>published and is available online</w:t>
      </w:r>
      <w:r w:rsidRPr="00814616">
        <w:rPr>
          <w:rFonts w:ascii="Times New Roman" w:hAnsi="Times New Roman" w:cs="Times New Roman"/>
        </w:rPr>
        <w:t xml:space="preserve"> </w:t>
      </w:r>
      <w:r w:rsidR="0088246A">
        <w:rPr>
          <w:rFonts w:ascii="Times New Roman" w:hAnsi="Times New Roman" w:cs="Times New Roman"/>
        </w:rPr>
        <w:t>at</w:t>
      </w:r>
      <w:r w:rsidRPr="00814616">
        <w:rPr>
          <w:rFonts w:ascii="Times New Roman" w:hAnsi="Times New Roman" w:cs="Times New Roman"/>
        </w:rPr>
        <w:t xml:space="preserve"> </w:t>
      </w:r>
      <w:r w:rsidRPr="00AD621C">
        <w:rPr>
          <w:rFonts w:ascii="Times New Roman" w:hAnsi="Times New Roman" w:cs="Times New Roman"/>
          <w:i/>
          <w:iCs/>
        </w:rPr>
        <w:t xml:space="preserve">Psychology of Addictive </w:t>
      </w:r>
      <w:proofErr w:type="spellStart"/>
      <w:r w:rsidRPr="00AD621C">
        <w:rPr>
          <w:rFonts w:ascii="Times New Roman" w:hAnsi="Times New Roman" w:cs="Times New Roman"/>
          <w:i/>
          <w:iCs/>
        </w:rPr>
        <w:t>Behaviors</w:t>
      </w:r>
      <w:proofErr w:type="spellEnd"/>
      <w:r w:rsidRPr="00814616">
        <w:rPr>
          <w:rFonts w:ascii="Times New Roman" w:hAnsi="Times New Roman" w:cs="Times New Roman"/>
        </w:rPr>
        <w:t>:</w:t>
      </w:r>
    </w:p>
    <w:p w14:paraId="602BE767" w14:textId="4C8FC0E0" w:rsidR="00814616" w:rsidRDefault="00814616" w:rsidP="00AD621C">
      <w:pPr>
        <w:pStyle w:val="NoSpacing"/>
        <w:spacing w:line="480" w:lineRule="auto"/>
        <w:ind w:left="720" w:hanging="720"/>
        <w:rPr>
          <w:rFonts w:ascii="Times New Roman" w:hAnsi="Times New Roman" w:cs="Times New Roman"/>
        </w:rPr>
      </w:pPr>
      <w:bookmarkStart w:id="17" w:name="_Hlk110755861"/>
      <w:r w:rsidRPr="00814616">
        <w:rPr>
          <w:rFonts w:ascii="Times New Roman" w:hAnsi="Times New Roman" w:cs="Times New Roman"/>
        </w:rPr>
        <w:t xml:space="preserve">Copeland, A., Stafford, T., Acuff, S. F., Murphy, J. G., &amp; Field, M. (2022). </w:t>
      </w:r>
      <w:proofErr w:type="spellStart"/>
      <w:r w:rsidRPr="00814616">
        <w:rPr>
          <w:rFonts w:ascii="Times New Roman" w:hAnsi="Times New Roman" w:cs="Times New Roman"/>
        </w:rPr>
        <w:t>Behavioral</w:t>
      </w:r>
      <w:proofErr w:type="spellEnd"/>
      <w:r w:rsidRPr="00814616">
        <w:rPr>
          <w:rFonts w:ascii="Times New Roman" w:hAnsi="Times New Roman" w:cs="Times New Roman"/>
        </w:rPr>
        <w:t xml:space="preserve"> economic and value-based decision-making constructs that discriminate current heavy drinkers versus people who reduced their drinking without treatment. </w:t>
      </w:r>
      <w:r w:rsidRPr="00520348">
        <w:rPr>
          <w:rFonts w:ascii="Times New Roman" w:hAnsi="Times New Roman" w:cs="Times New Roman"/>
          <w:i/>
          <w:iCs/>
        </w:rPr>
        <w:t xml:space="preserve">Psychology of Addictive </w:t>
      </w:r>
      <w:proofErr w:type="spellStart"/>
      <w:r w:rsidRPr="00520348">
        <w:rPr>
          <w:rFonts w:ascii="Times New Roman" w:hAnsi="Times New Roman" w:cs="Times New Roman"/>
          <w:i/>
          <w:iCs/>
        </w:rPr>
        <w:t>Behaviors</w:t>
      </w:r>
      <w:proofErr w:type="spellEnd"/>
      <w:r w:rsidRPr="00520348">
        <w:rPr>
          <w:rFonts w:ascii="Times New Roman" w:hAnsi="Times New Roman" w:cs="Times New Roman"/>
          <w:i/>
          <w:iCs/>
        </w:rPr>
        <w:t>.</w:t>
      </w:r>
      <w:r w:rsidRPr="00814616">
        <w:rPr>
          <w:rFonts w:ascii="Times New Roman" w:hAnsi="Times New Roman" w:cs="Times New Roman"/>
        </w:rPr>
        <w:t xml:space="preserve"> </w:t>
      </w:r>
      <w:hyperlink r:id="rId12" w:history="1">
        <w:r w:rsidR="00AD621C" w:rsidRPr="0057190E">
          <w:rPr>
            <w:rStyle w:val="Hyperlink"/>
            <w:rFonts w:ascii="Times New Roman" w:hAnsi="Times New Roman" w:cs="Times New Roman"/>
          </w:rPr>
          <w:t>https://doi.org/10.1037/adb0000873</w:t>
        </w:r>
      </w:hyperlink>
    </w:p>
    <w:bookmarkEnd w:id="17"/>
    <w:p w14:paraId="0F59487E" w14:textId="1559BFA6" w:rsid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Copyright of this article resides with the publishers; however, the reproduction of </w:t>
      </w:r>
      <w:r w:rsidR="0025053E">
        <w:rPr>
          <w:rFonts w:ascii="Times New Roman" w:hAnsi="Times New Roman" w:cs="Times New Roman"/>
        </w:rPr>
        <w:t xml:space="preserve">a variant of </w:t>
      </w:r>
      <w:r w:rsidRPr="00814616">
        <w:rPr>
          <w:rFonts w:ascii="Times New Roman" w:hAnsi="Times New Roman" w:cs="Times New Roman"/>
        </w:rPr>
        <w:t>th</w:t>
      </w:r>
      <w:r w:rsidR="0025053E">
        <w:rPr>
          <w:rFonts w:ascii="Times New Roman" w:hAnsi="Times New Roman" w:cs="Times New Roman"/>
        </w:rPr>
        <w:t>is</w:t>
      </w:r>
      <w:r w:rsidRPr="00814616">
        <w:rPr>
          <w:rFonts w:ascii="Times New Roman" w:hAnsi="Times New Roman" w:cs="Times New Roman"/>
        </w:rPr>
        <w:t xml:space="preserve"> article as a thesis </w:t>
      </w:r>
      <w:r w:rsidR="0025053E">
        <w:rPr>
          <w:rFonts w:ascii="Times New Roman" w:hAnsi="Times New Roman" w:cs="Times New Roman"/>
        </w:rPr>
        <w:t>C</w:t>
      </w:r>
      <w:r w:rsidRPr="00814616">
        <w:rPr>
          <w:rFonts w:ascii="Times New Roman" w:hAnsi="Times New Roman" w:cs="Times New Roman"/>
        </w:rPr>
        <w:t>hapter is permitted in the terms of the copyright agreement.</w:t>
      </w:r>
    </w:p>
    <w:p w14:paraId="2D434FD4" w14:textId="77777777" w:rsidR="00107EBB" w:rsidRDefault="00107EBB" w:rsidP="00814616">
      <w:pPr>
        <w:pStyle w:val="NoSpacing"/>
        <w:spacing w:line="480" w:lineRule="auto"/>
        <w:rPr>
          <w:rFonts w:ascii="Times New Roman" w:hAnsi="Times New Roman" w:cs="Times New Roman"/>
        </w:rPr>
      </w:pPr>
    </w:p>
    <w:p w14:paraId="720094C9" w14:textId="5D830803" w:rsidR="0088246A" w:rsidRDefault="0088246A" w:rsidP="00814616">
      <w:pPr>
        <w:pStyle w:val="NoSpacing"/>
        <w:spacing w:line="480" w:lineRule="auto"/>
        <w:rPr>
          <w:rFonts w:ascii="Times New Roman" w:hAnsi="Times New Roman" w:cs="Times New Roman"/>
        </w:rPr>
      </w:pPr>
      <w:r>
        <w:rPr>
          <w:rFonts w:ascii="Times New Roman" w:hAnsi="Times New Roman" w:cs="Times New Roman"/>
        </w:rPr>
        <w:t>The research presented in Chapter 7 has been submitted for publication and is available online as a preprint</w:t>
      </w:r>
      <w:r w:rsidR="00107EBB">
        <w:rPr>
          <w:rFonts w:ascii="Times New Roman" w:hAnsi="Times New Roman" w:cs="Times New Roman"/>
        </w:rPr>
        <w:t>:</w:t>
      </w:r>
    </w:p>
    <w:p w14:paraId="6F247BE0" w14:textId="4A4DE44B" w:rsidR="00107EBB" w:rsidRPr="00107EBB" w:rsidRDefault="00107EBB" w:rsidP="00107EBB">
      <w:pPr>
        <w:pStyle w:val="NoSpacing"/>
        <w:spacing w:line="480" w:lineRule="auto"/>
        <w:ind w:left="720" w:hanging="720"/>
        <w:rPr>
          <w:rFonts w:ascii="Times New Roman" w:hAnsi="Times New Roman" w:cs="Times New Roman"/>
          <w:color w:val="000000"/>
        </w:rPr>
      </w:pPr>
      <w:r w:rsidRPr="00107EBB">
        <w:rPr>
          <w:rFonts w:ascii="Times New Roman" w:hAnsi="Times New Roman" w:cs="Times New Roman"/>
          <w:color w:val="000000"/>
        </w:rPr>
        <w:t xml:space="preserve">Copeland, A., Stafford, T., &amp; Field, M. (2022). Recovery from nicotine addiction: A diffusion model decomposition of value-based decision-making in current smokers and ex-smokers. </w:t>
      </w:r>
      <w:hyperlink r:id="rId13" w:history="1">
        <w:r w:rsidRPr="00C93489">
          <w:rPr>
            <w:rStyle w:val="Hyperlink"/>
            <w:rFonts w:ascii="Times New Roman" w:hAnsi="Times New Roman" w:cs="Times New Roman"/>
          </w:rPr>
          <w:t>https://doi.org/10.31234/osf.io/3jrze</w:t>
        </w:r>
      </w:hyperlink>
    </w:p>
    <w:p w14:paraId="0102F42F" w14:textId="77777777" w:rsidR="00107EBB" w:rsidRPr="00814616" w:rsidRDefault="00107EBB" w:rsidP="00107EBB">
      <w:pPr>
        <w:pStyle w:val="NoSpacing"/>
        <w:spacing w:line="480" w:lineRule="auto"/>
        <w:rPr>
          <w:rFonts w:ascii="Times New Roman" w:hAnsi="Times New Roman" w:cs="Times New Roman"/>
        </w:rPr>
      </w:pPr>
      <w:r w:rsidRPr="00814616">
        <w:rPr>
          <w:rFonts w:ascii="Times New Roman" w:hAnsi="Times New Roman" w:cs="Times New Roman"/>
        </w:rPr>
        <w:lastRenderedPageBreak/>
        <w:t>This preprint is distributed under a Creative Commons Attribution (CC-BY) 4.0 license which permits unrestricted use, distribution, and reproduction in any medium, provided the original work is properly cited. There is no requirement to obtain permission to reuse thi</w:t>
      </w:r>
      <w:r>
        <w:rPr>
          <w:rFonts w:ascii="Times New Roman" w:hAnsi="Times New Roman" w:cs="Times New Roman"/>
        </w:rPr>
        <w:t xml:space="preserve">s </w:t>
      </w:r>
      <w:r w:rsidRPr="00814616">
        <w:rPr>
          <w:rFonts w:ascii="Times New Roman" w:hAnsi="Times New Roman" w:cs="Times New Roman"/>
        </w:rPr>
        <w:t>article.</w:t>
      </w:r>
    </w:p>
    <w:p w14:paraId="6F3EB6BA" w14:textId="77777777" w:rsidR="00814616" w:rsidRPr="00814616" w:rsidRDefault="00814616" w:rsidP="00814616">
      <w:pPr>
        <w:pStyle w:val="NoSpacing"/>
        <w:spacing w:line="480" w:lineRule="auto"/>
        <w:rPr>
          <w:rFonts w:ascii="Times New Roman" w:hAnsi="Times New Roman" w:cs="Times New Roman"/>
        </w:rPr>
      </w:pPr>
    </w:p>
    <w:p w14:paraId="53F4FD2C" w14:textId="77777777" w:rsidR="00814616" w:rsidRPr="00814616" w:rsidRDefault="00814616" w:rsidP="00814616">
      <w:pPr>
        <w:pStyle w:val="NoSpacing"/>
        <w:spacing w:line="480" w:lineRule="auto"/>
        <w:rPr>
          <w:rFonts w:ascii="Times New Roman" w:hAnsi="Times New Roman" w:cs="Times New Roman"/>
        </w:rPr>
      </w:pPr>
      <w:r w:rsidRPr="00814616">
        <w:rPr>
          <w:rFonts w:ascii="Times New Roman" w:hAnsi="Times New Roman" w:cs="Times New Roman"/>
        </w:rPr>
        <w:t xml:space="preserve">At the start of each Chapter, I detail my contribution(s) to the work, as well as that of my supervisors, co-authors, and collaborators. This thesis is in publication format which necessitates some repetition of methodological details and background literature across Chapters. Some Chapters contain additional methodological detail and discussion that is not in the submitted and/or published manuscripts, and therefore Chapters are sometimes variations of publications. For coherence, I also provide a brief commentary that links the Chapters together. </w:t>
      </w:r>
    </w:p>
    <w:p w14:paraId="78A167B5" w14:textId="77777777" w:rsidR="00814616" w:rsidRPr="00814616" w:rsidRDefault="00814616" w:rsidP="00192660">
      <w:pPr>
        <w:pStyle w:val="NoSpacing"/>
        <w:spacing w:line="480" w:lineRule="auto"/>
        <w:rPr>
          <w:rFonts w:ascii="Times New Roman" w:hAnsi="Times New Roman" w:cs="Times New Roman"/>
        </w:rPr>
      </w:pPr>
    </w:p>
    <w:p w14:paraId="264EC8E3" w14:textId="3C81548C" w:rsidR="00814616" w:rsidRPr="00192660" w:rsidRDefault="00840039" w:rsidP="00192660">
      <w:pPr>
        <w:pStyle w:val="NoSpacing"/>
        <w:spacing w:line="480" w:lineRule="auto"/>
        <w:rPr>
          <w:rFonts w:ascii="Times New Roman" w:hAnsi="Times New Roman" w:cs="Times New Roman"/>
          <w:b/>
          <w:bCs/>
        </w:rPr>
      </w:pPr>
      <w:r w:rsidRPr="00192660">
        <w:rPr>
          <w:rFonts w:ascii="Times New Roman" w:hAnsi="Times New Roman" w:cs="Times New Roman"/>
          <w:b/>
          <w:bCs/>
        </w:rPr>
        <w:t>Conference</w:t>
      </w:r>
      <w:r w:rsidR="00192660">
        <w:rPr>
          <w:rFonts w:ascii="Times New Roman" w:hAnsi="Times New Roman" w:cs="Times New Roman"/>
          <w:b/>
          <w:bCs/>
        </w:rPr>
        <w:t xml:space="preserve"> </w:t>
      </w:r>
      <w:r w:rsidR="008D23D3">
        <w:rPr>
          <w:rFonts w:ascii="Times New Roman" w:hAnsi="Times New Roman" w:cs="Times New Roman"/>
          <w:b/>
          <w:bCs/>
        </w:rPr>
        <w:t>D</w:t>
      </w:r>
      <w:r w:rsidR="00192660">
        <w:rPr>
          <w:rFonts w:ascii="Times New Roman" w:hAnsi="Times New Roman" w:cs="Times New Roman"/>
          <w:b/>
          <w:bCs/>
        </w:rPr>
        <w:t>issemination</w:t>
      </w:r>
    </w:p>
    <w:p w14:paraId="78E58405" w14:textId="46919D8C" w:rsidR="00E42C66" w:rsidRDefault="00192660" w:rsidP="00107EBB">
      <w:pPr>
        <w:pStyle w:val="NoSpacing"/>
        <w:spacing w:line="480" w:lineRule="auto"/>
        <w:rPr>
          <w:rFonts w:ascii="Times New Roman" w:hAnsi="Times New Roman" w:cs="Times New Roman"/>
        </w:rPr>
      </w:pPr>
      <w:r>
        <w:rPr>
          <w:rFonts w:ascii="Times New Roman" w:hAnsi="Times New Roman" w:cs="Times New Roman"/>
        </w:rPr>
        <w:t>Although not published in academic journal</w:t>
      </w:r>
      <w:r w:rsidR="008D23D3">
        <w:rPr>
          <w:rFonts w:ascii="Times New Roman" w:hAnsi="Times New Roman" w:cs="Times New Roman"/>
        </w:rPr>
        <w:t>s</w:t>
      </w:r>
      <w:r>
        <w:rPr>
          <w:rFonts w:ascii="Times New Roman" w:hAnsi="Times New Roman" w:cs="Times New Roman"/>
        </w:rPr>
        <w:t xml:space="preserve">, </w:t>
      </w:r>
      <w:r w:rsidRPr="00192660">
        <w:rPr>
          <w:rFonts w:ascii="Times New Roman" w:hAnsi="Times New Roman" w:cs="Times New Roman"/>
        </w:rPr>
        <w:t>Chapter</w:t>
      </w:r>
      <w:r>
        <w:rPr>
          <w:rFonts w:ascii="Times New Roman" w:hAnsi="Times New Roman" w:cs="Times New Roman"/>
        </w:rPr>
        <w:t>s</w:t>
      </w:r>
      <w:r w:rsidRPr="00192660">
        <w:rPr>
          <w:rFonts w:ascii="Times New Roman" w:hAnsi="Times New Roman" w:cs="Times New Roman"/>
        </w:rPr>
        <w:t xml:space="preserve"> 4</w:t>
      </w:r>
      <w:r>
        <w:rPr>
          <w:rFonts w:ascii="Times New Roman" w:hAnsi="Times New Roman" w:cs="Times New Roman"/>
        </w:rPr>
        <w:t xml:space="preserve"> and 7</w:t>
      </w:r>
      <w:r w:rsidRPr="00192660">
        <w:rPr>
          <w:rFonts w:ascii="Times New Roman" w:hAnsi="Times New Roman" w:cs="Times New Roman"/>
        </w:rPr>
        <w:t xml:space="preserve"> ha</w:t>
      </w:r>
      <w:r>
        <w:rPr>
          <w:rFonts w:ascii="Times New Roman" w:hAnsi="Times New Roman" w:cs="Times New Roman"/>
        </w:rPr>
        <w:t>ve</w:t>
      </w:r>
      <w:r w:rsidRPr="00192660">
        <w:rPr>
          <w:rFonts w:ascii="Times New Roman" w:hAnsi="Times New Roman" w:cs="Times New Roman"/>
        </w:rPr>
        <w:t xml:space="preserve"> been presented </w:t>
      </w:r>
      <w:r w:rsidR="008065C8">
        <w:rPr>
          <w:rFonts w:ascii="Times New Roman" w:hAnsi="Times New Roman" w:cs="Times New Roman"/>
        </w:rPr>
        <w:t>online</w:t>
      </w:r>
      <w:r w:rsidR="008D23D3">
        <w:rPr>
          <w:rFonts w:ascii="Times New Roman" w:hAnsi="Times New Roman" w:cs="Times New Roman"/>
        </w:rPr>
        <w:t xml:space="preserve"> as</w:t>
      </w:r>
      <w:r w:rsidR="008065C8">
        <w:rPr>
          <w:rFonts w:ascii="Times New Roman" w:hAnsi="Times New Roman" w:cs="Times New Roman"/>
        </w:rPr>
        <w:t xml:space="preserve"> </w:t>
      </w:r>
      <w:r w:rsidRPr="00192660">
        <w:rPr>
          <w:rFonts w:ascii="Times New Roman" w:hAnsi="Times New Roman" w:cs="Times New Roman"/>
        </w:rPr>
        <w:t>poster</w:t>
      </w:r>
      <w:r>
        <w:rPr>
          <w:rFonts w:ascii="Times New Roman" w:hAnsi="Times New Roman" w:cs="Times New Roman"/>
        </w:rPr>
        <w:t>s</w:t>
      </w:r>
      <w:r w:rsidRPr="00192660">
        <w:rPr>
          <w:rFonts w:ascii="Times New Roman" w:hAnsi="Times New Roman" w:cs="Times New Roman"/>
        </w:rPr>
        <w:t xml:space="preserve"> </w:t>
      </w:r>
      <w:r w:rsidR="008D23D3">
        <w:rPr>
          <w:rFonts w:ascii="Times New Roman" w:hAnsi="Times New Roman" w:cs="Times New Roman"/>
        </w:rPr>
        <w:t>at the</w:t>
      </w:r>
      <w:r w:rsidRPr="00192660">
        <w:rPr>
          <w:rFonts w:ascii="Times New Roman" w:hAnsi="Times New Roman" w:cs="Times New Roman"/>
        </w:rPr>
        <w:t xml:space="preserve"> Society for the Study of Addiction</w:t>
      </w:r>
      <w:r>
        <w:rPr>
          <w:rFonts w:ascii="Times New Roman" w:hAnsi="Times New Roman" w:cs="Times New Roman"/>
        </w:rPr>
        <w:t xml:space="preserve">’s Annual Conference </w:t>
      </w:r>
      <w:r w:rsidR="008D23D3">
        <w:rPr>
          <w:rFonts w:ascii="Times New Roman" w:hAnsi="Times New Roman" w:cs="Times New Roman"/>
        </w:rPr>
        <w:t>(</w:t>
      </w:r>
      <w:r>
        <w:rPr>
          <w:rFonts w:ascii="Times New Roman" w:hAnsi="Times New Roman" w:cs="Times New Roman"/>
        </w:rPr>
        <w:t>2020</w:t>
      </w:r>
      <w:r w:rsidR="00236212">
        <w:rPr>
          <w:rFonts w:ascii="Times New Roman" w:hAnsi="Times New Roman" w:cs="Times New Roman"/>
        </w:rPr>
        <w:t xml:space="preserve"> and </w:t>
      </w:r>
      <w:r>
        <w:rPr>
          <w:rFonts w:ascii="Times New Roman" w:hAnsi="Times New Roman" w:cs="Times New Roman"/>
        </w:rPr>
        <w:t>2021</w:t>
      </w:r>
      <w:r w:rsidR="008D23D3">
        <w:rPr>
          <w:rFonts w:ascii="Times New Roman" w:hAnsi="Times New Roman" w:cs="Times New Roman"/>
        </w:rPr>
        <w:t>)</w:t>
      </w:r>
      <w:r w:rsidR="008065C8">
        <w:rPr>
          <w:rFonts w:ascii="Times New Roman" w:hAnsi="Times New Roman" w:cs="Times New Roman"/>
        </w:rPr>
        <w:t xml:space="preserve">, and </w:t>
      </w:r>
      <w:r w:rsidR="008D23D3">
        <w:rPr>
          <w:rFonts w:ascii="Times New Roman" w:hAnsi="Times New Roman" w:cs="Times New Roman"/>
        </w:rPr>
        <w:t xml:space="preserve">these </w:t>
      </w:r>
      <w:r w:rsidR="008065C8">
        <w:rPr>
          <w:rFonts w:ascii="Times New Roman" w:hAnsi="Times New Roman" w:cs="Times New Roman"/>
        </w:rPr>
        <w:t xml:space="preserve">are publicly </w:t>
      </w:r>
      <w:r w:rsidR="008D23D3">
        <w:rPr>
          <w:rFonts w:ascii="Times New Roman" w:hAnsi="Times New Roman" w:cs="Times New Roman"/>
        </w:rPr>
        <w:t>available</w:t>
      </w:r>
      <w:r>
        <w:rPr>
          <w:rFonts w:ascii="Times New Roman" w:hAnsi="Times New Roman" w:cs="Times New Roman"/>
        </w:rPr>
        <w:t xml:space="preserve"> (Chapter 4; </w:t>
      </w:r>
      <w:hyperlink r:id="rId14" w:history="1">
        <w:r w:rsidRPr="00471589">
          <w:rPr>
            <w:rStyle w:val="Hyperlink"/>
            <w:rFonts w:ascii="Times New Roman" w:hAnsi="Times New Roman" w:cs="Times New Roman"/>
          </w:rPr>
          <w:t>https://www.addiction-ssa.org/author-publications/modelling-value-based-decision-making-in-regular-alcohol-consumers-after-experimental-manipulation-of-the-value-of-alcohol/</w:t>
        </w:r>
      </w:hyperlink>
      <w:r w:rsidR="00236212">
        <w:rPr>
          <w:rFonts w:ascii="Times New Roman" w:hAnsi="Times New Roman" w:cs="Times New Roman"/>
        </w:rPr>
        <w:t>,</w:t>
      </w:r>
      <w:r>
        <w:rPr>
          <w:rFonts w:ascii="Times New Roman" w:hAnsi="Times New Roman" w:cs="Times New Roman"/>
        </w:rPr>
        <w:t xml:space="preserve"> and Chapter 7; </w:t>
      </w:r>
      <w:hyperlink r:id="rId15" w:history="1">
        <w:r w:rsidRPr="00471589">
          <w:rPr>
            <w:rStyle w:val="Hyperlink"/>
            <w:rFonts w:ascii="Times New Roman" w:hAnsi="Times New Roman" w:cs="Times New Roman"/>
          </w:rPr>
          <w:t>https://www.addiction-ssa.org/author-publications/modelling-value-based-decision-making-vbdm-in-current-smokers-and-ex-smokers/</w:t>
        </w:r>
      </w:hyperlink>
      <w:r>
        <w:rPr>
          <w:rFonts w:ascii="Times New Roman" w:hAnsi="Times New Roman" w:cs="Times New Roman"/>
        </w:rPr>
        <w:t>).</w:t>
      </w:r>
      <w:r w:rsidR="00107EBB">
        <w:rPr>
          <w:rFonts w:ascii="Times New Roman" w:hAnsi="Times New Roman" w:cs="Times New Roman"/>
        </w:rPr>
        <w:t xml:space="preserve"> More recently, Chapter 5 has been presented in-person as a poster at the Society for the Study of Addiction’s Annual Conference (2022</w:t>
      </w:r>
      <w:r w:rsidR="0017110F">
        <w:rPr>
          <w:rFonts w:ascii="Times New Roman" w:hAnsi="Times New Roman" w:cs="Times New Roman"/>
        </w:rPr>
        <w:t xml:space="preserve">; </w:t>
      </w:r>
      <w:hyperlink r:id="rId16" w:history="1">
        <w:r w:rsidR="0017110F" w:rsidRPr="00345A43">
          <w:rPr>
            <w:rStyle w:val="Hyperlink"/>
            <w:rFonts w:ascii="Times New Roman" w:hAnsi="Times New Roman" w:cs="Times New Roman"/>
          </w:rPr>
          <w:t>https://www.addiction-ssa.org/author-publications/modelling-value-based-decision-making-vbdm-in-daily-tobacco-smokers-after-experimental-manipulation-of-mood/</w:t>
        </w:r>
      </w:hyperlink>
      <w:r w:rsidR="0017110F">
        <w:rPr>
          <w:rFonts w:ascii="Times New Roman" w:hAnsi="Times New Roman" w:cs="Times New Roman"/>
        </w:rPr>
        <w:t>).</w:t>
      </w:r>
    </w:p>
    <w:p w14:paraId="11E55431" w14:textId="77777777" w:rsidR="00107EBB" w:rsidRPr="00107EBB" w:rsidRDefault="00107EBB" w:rsidP="00107EBB">
      <w:pPr>
        <w:pStyle w:val="NoSpacing"/>
        <w:spacing w:line="480" w:lineRule="auto"/>
        <w:rPr>
          <w:rFonts w:ascii="Times New Roman" w:hAnsi="Times New Roman" w:cs="Times New Roman"/>
        </w:rPr>
      </w:pPr>
    </w:p>
    <w:p w14:paraId="60D026CE" w14:textId="2BB4723A" w:rsidR="009350EC" w:rsidRDefault="00E42C66" w:rsidP="00107EBB">
      <w:pPr>
        <w:pStyle w:val="Heading1"/>
      </w:pPr>
      <w:bookmarkStart w:id="18" w:name="_Toc109901450"/>
      <w:bookmarkStart w:id="19" w:name="_Toc109901923"/>
      <w:bookmarkStart w:id="20" w:name="_Toc109911316"/>
      <w:bookmarkStart w:id="21" w:name="_Toc110612719"/>
      <w:bookmarkStart w:id="22" w:name="_Toc110629029"/>
      <w:bookmarkStart w:id="23" w:name="_Toc110870937"/>
      <w:r w:rsidRPr="00E42C66">
        <w:lastRenderedPageBreak/>
        <w:t>Thesis Abstract</w:t>
      </w:r>
      <w:bookmarkEnd w:id="18"/>
      <w:bookmarkEnd w:id="19"/>
      <w:bookmarkEnd w:id="20"/>
      <w:bookmarkEnd w:id="21"/>
      <w:bookmarkEnd w:id="22"/>
      <w:bookmarkEnd w:id="23"/>
    </w:p>
    <w:p w14:paraId="29FE28CD" w14:textId="088A9C5E" w:rsidR="00C03B36" w:rsidRPr="00D15F18" w:rsidRDefault="009E64DC" w:rsidP="00D15F18">
      <w:pPr>
        <w:pStyle w:val="NoSpacing"/>
        <w:spacing w:line="480" w:lineRule="auto"/>
        <w:rPr>
          <w:rFonts w:ascii="Times New Roman" w:hAnsi="Times New Roman" w:cs="Times New Roman"/>
        </w:rPr>
      </w:pPr>
      <w:r w:rsidRPr="00E1463A">
        <w:rPr>
          <w:rFonts w:ascii="Times New Roman" w:hAnsi="Times New Roman" w:cs="Times New Roman"/>
        </w:rPr>
        <w:t xml:space="preserve">A body of theoretical and empirical work </w:t>
      </w:r>
      <w:r w:rsidR="00587D74" w:rsidRPr="00E1463A">
        <w:rPr>
          <w:rFonts w:ascii="Times New Roman" w:hAnsi="Times New Roman" w:cs="Times New Roman"/>
        </w:rPr>
        <w:t>postulates</w:t>
      </w:r>
      <w:r w:rsidR="00186D76" w:rsidRPr="00E1463A">
        <w:rPr>
          <w:rFonts w:ascii="Times New Roman" w:hAnsi="Times New Roman" w:cs="Times New Roman"/>
        </w:rPr>
        <w:t xml:space="preserve"> that addiction arises from, and is maintained by, excessive valuation of substances relative to substance-free alternative reinforcers.</w:t>
      </w:r>
      <w:r w:rsidR="00DC590D">
        <w:rPr>
          <w:rFonts w:ascii="Times New Roman" w:hAnsi="Times New Roman" w:cs="Times New Roman"/>
        </w:rPr>
        <w:t xml:space="preserve"> </w:t>
      </w:r>
      <w:r w:rsidR="001F0387" w:rsidRPr="00E1463A">
        <w:rPr>
          <w:rFonts w:ascii="Times New Roman" w:hAnsi="Times New Roman" w:cs="Times New Roman"/>
        </w:rPr>
        <w:t>E</w:t>
      </w:r>
      <w:r w:rsidR="00186D76" w:rsidRPr="00E1463A">
        <w:rPr>
          <w:rFonts w:ascii="Times New Roman" w:hAnsi="Times New Roman" w:cs="Times New Roman"/>
        </w:rPr>
        <w:t>xisting research</w:t>
      </w:r>
      <w:r w:rsidR="00587D74" w:rsidRPr="00E1463A">
        <w:rPr>
          <w:rFonts w:ascii="Times New Roman" w:hAnsi="Times New Roman" w:cs="Times New Roman"/>
        </w:rPr>
        <w:t>,</w:t>
      </w:r>
      <w:r w:rsidR="00186D76" w:rsidRPr="00E1463A">
        <w:rPr>
          <w:rFonts w:ascii="Times New Roman" w:hAnsi="Times New Roman" w:cs="Times New Roman"/>
        </w:rPr>
        <w:t xml:space="preserve"> </w:t>
      </w:r>
      <w:r w:rsidR="001F0387" w:rsidRPr="00E1463A">
        <w:rPr>
          <w:rFonts w:ascii="Times New Roman" w:hAnsi="Times New Roman" w:cs="Times New Roman"/>
        </w:rPr>
        <w:t>however</w:t>
      </w:r>
      <w:r w:rsidR="00587D74" w:rsidRPr="00E1463A">
        <w:rPr>
          <w:rFonts w:ascii="Times New Roman" w:hAnsi="Times New Roman" w:cs="Times New Roman"/>
        </w:rPr>
        <w:t>,</w:t>
      </w:r>
      <w:r w:rsidR="001F0387" w:rsidRPr="00E1463A">
        <w:rPr>
          <w:rFonts w:ascii="Times New Roman" w:hAnsi="Times New Roman" w:cs="Times New Roman"/>
        </w:rPr>
        <w:t xml:space="preserve"> </w:t>
      </w:r>
      <w:r w:rsidR="00186D76" w:rsidRPr="00E1463A">
        <w:rPr>
          <w:rFonts w:ascii="Times New Roman" w:hAnsi="Times New Roman" w:cs="Times New Roman"/>
        </w:rPr>
        <w:t>has largely focused on final choices that are made</w:t>
      </w:r>
      <w:r w:rsidR="001F0387" w:rsidRPr="00E1463A">
        <w:rPr>
          <w:rFonts w:ascii="Times New Roman" w:hAnsi="Times New Roman" w:cs="Times New Roman"/>
        </w:rPr>
        <w:t xml:space="preserve"> (Hardy et al., 2018)</w:t>
      </w:r>
      <w:r w:rsidR="00186D76" w:rsidRPr="00E1463A">
        <w:rPr>
          <w:rFonts w:ascii="Times New Roman" w:hAnsi="Times New Roman" w:cs="Times New Roman"/>
        </w:rPr>
        <w:t xml:space="preserve"> or temporally extended </w:t>
      </w:r>
      <w:r w:rsidR="00472483">
        <w:rPr>
          <w:rFonts w:ascii="Times New Roman" w:hAnsi="Times New Roman" w:cs="Times New Roman"/>
        </w:rPr>
        <w:t>behaviour</w:t>
      </w:r>
      <w:r w:rsidR="00C66A60">
        <w:rPr>
          <w:rFonts w:ascii="Times New Roman" w:hAnsi="Times New Roman" w:cs="Times New Roman"/>
        </w:rPr>
        <w:t>al</w:t>
      </w:r>
      <w:r w:rsidR="00472483">
        <w:rPr>
          <w:rFonts w:ascii="Times New Roman" w:hAnsi="Times New Roman" w:cs="Times New Roman"/>
        </w:rPr>
        <w:t xml:space="preserve"> </w:t>
      </w:r>
      <w:r w:rsidR="00186D76" w:rsidRPr="00E1463A">
        <w:rPr>
          <w:rFonts w:ascii="Times New Roman" w:hAnsi="Times New Roman" w:cs="Times New Roman"/>
        </w:rPr>
        <w:t xml:space="preserve">patterns </w:t>
      </w:r>
      <w:r w:rsidR="00AF3DB1" w:rsidRPr="00E1463A">
        <w:rPr>
          <w:rFonts w:ascii="Times New Roman" w:hAnsi="Times New Roman" w:cs="Times New Roman"/>
        </w:rPr>
        <w:t xml:space="preserve">over time </w:t>
      </w:r>
      <w:r w:rsidR="001F0387" w:rsidRPr="00E1463A">
        <w:rPr>
          <w:rFonts w:ascii="Times New Roman" w:hAnsi="Times New Roman" w:cs="Times New Roman"/>
        </w:rPr>
        <w:t>(Tucker et al., 2021)</w:t>
      </w:r>
      <w:r w:rsidR="00186D76" w:rsidRPr="00E1463A">
        <w:rPr>
          <w:rFonts w:ascii="Times New Roman" w:hAnsi="Times New Roman" w:cs="Times New Roman"/>
        </w:rPr>
        <w:t>.</w:t>
      </w:r>
      <w:r w:rsidR="001F0387" w:rsidRPr="00E1463A">
        <w:rPr>
          <w:rFonts w:ascii="Times New Roman" w:hAnsi="Times New Roman" w:cs="Times New Roman"/>
        </w:rPr>
        <w:t xml:space="preserve"> </w:t>
      </w:r>
      <w:r w:rsidR="00C66A60">
        <w:rPr>
          <w:rFonts w:ascii="Times New Roman" w:hAnsi="Times New Roman" w:cs="Times New Roman"/>
        </w:rPr>
        <w:t>L</w:t>
      </w:r>
      <w:r w:rsidR="00AF3DB1" w:rsidRPr="00E1463A">
        <w:rPr>
          <w:rFonts w:ascii="Times New Roman" w:hAnsi="Times New Roman" w:cs="Times New Roman"/>
        </w:rPr>
        <w:t xml:space="preserve">ess </w:t>
      </w:r>
      <w:r w:rsidR="00186D76" w:rsidRPr="00E1463A">
        <w:rPr>
          <w:rFonts w:ascii="Times New Roman" w:hAnsi="Times New Roman" w:cs="Times New Roman"/>
        </w:rPr>
        <w:t xml:space="preserve">is </w:t>
      </w:r>
      <w:r w:rsidR="00C66A60">
        <w:rPr>
          <w:rFonts w:ascii="Times New Roman" w:hAnsi="Times New Roman" w:cs="Times New Roman"/>
        </w:rPr>
        <w:t xml:space="preserve">therefore </w:t>
      </w:r>
      <w:r w:rsidR="00186D76" w:rsidRPr="00E1463A">
        <w:rPr>
          <w:rFonts w:ascii="Times New Roman" w:hAnsi="Times New Roman" w:cs="Times New Roman"/>
        </w:rPr>
        <w:t xml:space="preserve">known about how valuation processes affect </w:t>
      </w:r>
      <w:r w:rsidR="001F0387" w:rsidRPr="00E1463A">
        <w:rPr>
          <w:rFonts w:ascii="Times New Roman" w:hAnsi="Times New Roman" w:cs="Times New Roman"/>
        </w:rPr>
        <w:t xml:space="preserve">the internal processes of </w:t>
      </w:r>
      <w:r w:rsidR="00186D76" w:rsidRPr="00E1463A">
        <w:rPr>
          <w:rFonts w:ascii="Times New Roman" w:hAnsi="Times New Roman" w:cs="Times New Roman"/>
        </w:rPr>
        <w:t xml:space="preserve">decision-making </w:t>
      </w:r>
      <w:r w:rsidR="001F0387" w:rsidRPr="00E1463A">
        <w:rPr>
          <w:rFonts w:ascii="Times New Roman" w:hAnsi="Times New Roman" w:cs="Times New Roman"/>
        </w:rPr>
        <w:t xml:space="preserve">that </w:t>
      </w:r>
      <w:r w:rsidR="002B3F73">
        <w:rPr>
          <w:rFonts w:ascii="Times New Roman" w:hAnsi="Times New Roman" w:cs="Times New Roman"/>
        </w:rPr>
        <w:t xml:space="preserve">occur in the lead up to, and </w:t>
      </w:r>
      <w:r w:rsidR="001F0387" w:rsidRPr="00E1463A">
        <w:rPr>
          <w:rFonts w:ascii="Times New Roman" w:hAnsi="Times New Roman" w:cs="Times New Roman"/>
        </w:rPr>
        <w:t>determine</w:t>
      </w:r>
      <w:r w:rsidR="002B3F73">
        <w:rPr>
          <w:rFonts w:ascii="Times New Roman" w:hAnsi="Times New Roman" w:cs="Times New Roman"/>
        </w:rPr>
        <w:t>,</w:t>
      </w:r>
      <w:r w:rsidR="001F0387" w:rsidRPr="00E1463A">
        <w:rPr>
          <w:rFonts w:ascii="Times New Roman" w:hAnsi="Times New Roman" w:cs="Times New Roman"/>
        </w:rPr>
        <w:t xml:space="preserve"> discrete decisions </w:t>
      </w:r>
      <w:r w:rsidR="00FE0C5A">
        <w:rPr>
          <w:rFonts w:ascii="Times New Roman" w:hAnsi="Times New Roman" w:cs="Times New Roman"/>
        </w:rPr>
        <w:t xml:space="preserve">that are </w:t>
      </w:r>
      <w:r w:rsidR="001F0387" w:rsidRPr="00E1463A">
        <w:rPr>
          <w:rFonts w:ascii="Times New Roman" w:hAnsi="Times New Roman" w:cs="Times New Roman"/>
        </w:rPr>
        <w:t>made</w:t>
      </w:r>
      <w:r w:rsidR="00186D76" w:rsidRPr="00E1463A">
        <w:rPr>
          <w:rFonts w:ascii="Times New Roman" w:hAnsi="Times New Roman" w:cs="Times New Roman"/>
        </w:rPr>
        <w:t>.</w:t>
      </w:r>
      <w:r w:rsidR="00E1463A">
        <w:rPr>
          <w:rFonts w:ascii="Times New Roman" w:hAnsi="Times New Roman" w:cs="Times New Roman"/>
        </w:rPr>
        <w:t xml:space="preserve"> </w:t>
      </w:r>
      <w:r w:rsidR="00E1463A" w:rsidRPr="006E589C">
        <w:rPr>
          <w:rFonts w:ascii="Times New Roman" w:hAnsi="Times New Roman" w:cs="Times New Roman"/>
        </w:rPr>
        <w:t>This PhD aim</w:t>
      </w:r>
      <w:r w:rsidR="006E589C" w:rsidRPr="006E589C">
        <w:rPr>
          <w:rFonts w:ascii="Times New Roman" w:hAnsi="Times New Roman" w:cs="Times New Roman"/>
        </w:rPr>
        <w:t>ed</w:t>
      </w:r>
      <w:r w:rsidR="00E1463A" w:rsidRPr="006E589C">
        <w:rPr>
          <w:rFonts w:ascii="Times New Roman" w:hAnsi="Times New Roman" w:cs="Times New Roman"/>
        </w:rPr>
        <w:t xml:space="preserve"> to address this </w:t>
      </w:r>
      <w:r w:rsidR="00F67CC3">
        <w:rPr>
          <w:rFonts w:ascii="Times New Roman" w:hAnsi="Times New Roman" w:cs="Times New Roman"/>
        </w:rPr>
        <w:t xml:space="preserve">important </w:t>
      </w:r>
      <w:r w:rsidR="00E1463A" w:rsidRPr="006E589C">
        <w:rPr>
          <w:rFonts w:ascii="Times New Roman" w:hAnsi="Times New Roman" w:cs="Times New Roman"/>
        </w:rPr>
        <w:t>research gap</w:t>
      </w:r>
      <w:r w:rsidR="002B3F73">
        <w:rPr>
          <w:rFonts w:ascii="Times New Roman" w:hAnsi="Times New Roman" w:cs="Times New Roman"/>
        </w:rPr>
        <w:t>. The first aim was to</w:t>
      </w:r>
      <w:r w:rsidR="00F67CC3">
        <w:rPr>
          <w:rFonts w:ascii="Times New Roman" w:hAnsi="Times New Roman" w:cs="Times New Roman"/>
        </w:rPr>
        <w:t xml:space="preserve"> </w:t>
      </w:r>
      <w:r w:rsidR="00CA2C7F" w:rsidRPr="006E589C">
        <w:rPr>
          <w:rFonts w:ascii="Times New Roman" w:hAnsi="Times New Roman" w:cs="Times New Roman"/>
        </w:rPr>
        <w:t xml:space="preserve">develop a novel value-based decision-making (VBDM) task that </w:t>
      </w:r>
      <w:r w:rsidR="006A67EF" w:rsidRPr="002B3F73">
        <w:rPr>
          <w:rFonts w:ascii="Times New Roman" w:hAnsi="Times New Roman" w:cs="Times New Roman"/>
          <w:color w:val="000000" w:themeColor="text1"/>
        </w:rPr>
        <w:t xml:space="preserve">is methodologically appropriate to implement in addiction-related research and that </w:t>
      </w:r>
      <w:r w:rsidR="00F67CC3" w:rsidRPr="002B3F73">
        <w:rPr>
          <w:rFonts w:ascii="Times New Roman" w:hAnsi="Times New Roman" w:cs="Times New Roman"/>
          <w:color w:val="000000" w:themeColor="text1"/>
        </w:rPr>
        <w:t xml:space="preserve">can generate the behavioural data required to parameterise the internal processes of decision-making. </w:t>
      </w:r>
      <w:r w:rsidR="00472483" w:rsidRPr="002B3F73">
        <w:rPr>
          <w:rFonts w:ascii="Times New Roman" w:hAnsi="Times New Roman" w:cs="Times New Roman"/>
          <w:color w:val="000000" w:themeColor="text1"/>
        </w:rPr>
        <w:t>The second aim was to empirically test predictions from recent conceptual accounts (Field, Heather, et al., 2020) by exploring whether decision parameters recovered from the VBDM task are sensitive to experimental manipulations of substance value</w:t>
      </w:r>
      <w:r w:rsidR="002B3F73" w:rsidRPr="002B3F73">
        <w:rPr>
          <w:rFonts w:ascii="Times New Roman" w:hAnsi="Times New Roman" w:cs="Times New Roman"/>
          <w:color w:val="000000" w:themeColor="text1"/>
        </w:rPr>
        <w:t xml:space="preserve"> (Chapters 4 and 5)</w:t>
      </w:r>
      <w:r w:rsidR="00472483" w:rsidRPr="002B3F73">
        <w:rPr>
          <w:rFonts w:ascii="Times New Roman" w:hAnsi="Times New Roman" w:cs="Times New Roman"/>
          <w:color w:val="000000" w:themeColor="text1"/>
        </w:rPr>
        <w:t xml:space="preserve"> and whether they characterise stable behaviour change and recovery from addiction</w:t>
      </w:r>
      <w:r w:rsidR="002B3F73" w:rsidRPr="002B3F73">
        <w:rPr>
          <w:rFonts w:ascii="Times New Roman" w:hAnsi="Times New Roman" w:cs="Times New Roman"/>
          <w:color w:val="000000" w:themeColor="text1"/>
        </w:rPr>
        <w:t xml:space="preserve"> (Chapters 6 and 7)</w:t>
      </w:r>
      <w:r w:rsidR="00472483" w:rsidRPr="002B3F73">
        <w:rPr>
          <w:rFonts w:ascii="Times New Roman" w:hAnsi="Times New Roman" w:cs="Times New Roman"/>
          <w:color w:val="000000" w:themeColor="text1"/>
        </w:rPr>
        <w:t>.</w:t>
      </w:r>
      <w:r w:rsidR="00C03B36">
        <w:rPr>
          <w:rFonts w:ascii="Times New Roman" w:hAnsi="Times New Roman" w:cs="Times New Roman"/>
          <w:color w:val="000000" w:themeColor="text1"/>
        </w:rPr>
        <w:t xml:space="preserve"> </w:t>
      </w:r>
      <w:r w:rsidR="00C03B36" w:rsidRPr="00C03B36">
        <w:rPr>
          <w:rFonts w:ascii="Times New Roman" w:hAnsi="Times New Roman" w:cs="Times New Roman"/>
        </w:rPr>
        <w:t>Chapter 1 presented a narrative review that described in detail predictions derived from Field, Heather, et al. (2020).</w:t>
      </w:r>
      <w:r w:rsidR="00C03B36">
        <w:rPr>
          <w:rFonts w:ascii="Times New Roman" w:hAnsi="Times New Roman" w:cs="Times New Roman"/>
        </w:rPr>
        <w:t xml:space="preserve"> The sensitivity of </w:t>
      </w:r>
      <w:r w:rsidR="00C03B36" w:rsidRPr="00C03B36">
        <w:rPr>
          <w:rFonts w:ascii="Times New Roman" w:hAnsi="Times New Roman" w:cs="Times New Roman"/>
        </w:rPr>
        <w:t>VBDM tasks to minor alterations in trial wording</w:t>
      </w:r>
      <w:r w:rsidR="00C03B36">
        <w:rPr>
          <w:rFonts w:ascii="Times New Roman" w:hAnsi="Times New Roman" w:cs="Times New Roman"/>
        </w:rPr>
        <w:t xml:space="preserve"> was </w:t>
      </w:r>
      <w:r w:rsidR="00754CB2">
        <w:rPr>
          <w:rFonts w:ascii="Times New Roman" w:hAnsi="Times New Roman" w:cs="Times New Roman"/>
        </w:rPr>
        <w:t>subsequently</w:t>
      </w:r>
      <w:r w:rsidR="00C03B36">
        <w:rPr>
          <w:rFonts w:ascii="Times New Roman" w:hAnsi="Times New Roman" w:cs="Times New Roman"/>
        </w:rPr>
        <w:t xml:space="preserve"> explored in Chapter 3, </w:t>
      </w:r>
      <w:r w:rsidR="00DC590D" w:rsidRPr="00DC590D">
        <w:rPr>
          <w:rFonts w:ascii="Times New Roman" w:hAnsi="Times New Roman" w:cs="Times New Roman"/>
        </w:rPr>
        <w:t xml:space="preserve">with the overall aim being to identify appropriate methodology </w:t>
      </w:r>
      <w:r w:rsidR="00C66A60">
        <w:rPr>
          <w:rFonts w:ascii="Times New Roman" w:hAnsi="Times New Roman" w:cs="Times New Roman"/>
        </w:rPr>
        <w:t xml:space="preserve">that can be </w:t>
      </w:r>
      <w:r w:rsidR="00D15F18">
        <w:rPr>
          <w:rFonts w:ascii="Times New Roman" w:hAnsi="Times New Roman" w:cs="Times New Roman"/>
        </w:rPr>
        <w:t>implemented</w:t>
      </w:r>
      <w:r w:rsidR="00C66A60">
        <w:rPr>
          <w:rFonts w:ascii="Times New Roman" w:hAnsi="Times New Roman" w:cs="Times New Roman"/>
        </w:rPr>
        <w:t xml:space="preserve"> in</w:t>
      </w:r>
      <w:r w:rsidR="00DC590D" w:rsidRPr="00DC590D">
        <w:rPr>
          <w:rFonts w:ascii="Times New Roman" w:hAnsi="Times New Roman" w:cs="Times New Roman"/>
        </w:rPr>
        <w:t xml:space="preserve"> future addiction-related research.</w:t>
      </w:r>
      <w:r w:rsidR="00DC590D">
        <w:rPr>
          <w:rFonts w:ascii="Times New Roman" w:hAnsi="Times New Roman" w:cs="Times New Roman"/>
        </w:rPr>
        <w:t xml:space="preserve"> </w:t>
      </w:r>
      <w:r w:rsidR="00CA2C7F" w:rsidRPr="00FD5B24">
        <w:rPr>
          <w:rFonts w:ascii="Times New Roman" w:hAnsi="Times New Roman" w:cs="Times New Roman"/>
        </w:rPr>
        <w:t xml:space="preserve">Chapters 4, 5, 6, and 7 </w:t>
      </w:r>
      <w:r w:rsidR="00FD5B24" w:rsidRPr="00FD5B24">
        <w:rPr>
          <w:rFonts w:ascii="Times New Roman" w:hAnsi="Times New Roman" w:cs="Times New Roman"/>
        </w:rPr>
        <w:t xml:space="preserve">then </w:t>
      </w:r>
      <w:r w:rsidR="00D1643D" w:rsidRPr="00FD5B24">
        <w:rPr>
          <w:rFonts w:ascii="Times New Roman" w:hAnsi="Times New Roman" w:cs="Times New Roman"/>
        </w:rPr>
        <w:t>applied</w:t>
      </w:r>
      <w:r w:rsidR="00CA2C7F" w:rsidRPr="00FD5B24">
        <w:rPr>
          <w:rFonts w:ascii="Times New Roman" w:hAnsi="Times New Roman" w:cs="Times New Roman"/>
        </w:rPr>
        <w:t xml:space="preserve"> the VBDM task to the field of addiction. </w:t>
      </w:r>
      <w:r w:rsidR="00D15F18" w:rsidRPr="00342E7D">
        <w:rPr>
          <w:rFonts w:ascii="Times New Roman" w:hAnsi="Times New Roman" w:cs="Times New Roman"/>
        </w:rPr>
        <w:t>F</w:t>
      </w:r>
      <w:r w:rsidR="00CA2C7F" w:rsidRPr="00342E7D">
        <w:rPr>
          <w:rFonts w:ascii="Times New Roman" w:hAnsi="Times New Roman" w:cs="Times New Roman"/>
        </w:rPr>
        <w:t>indings demonstrate</w:t>
      </w:r>
      <w:r w:rsidR="00D1643D" w:rsidRPr="00342E7D">
        <w:rPr>
          <w:rFonts w:ascii="Times New Roman" w:hAnsi="Times New Roman" w:cs="Times New Roman"/>
        </w:rPr>
        <w:t>d</w:t>
      </w:r>
      <w:r w:rsidR="00CA2C7F" w:rsidRPr="00342E7D">
        <w:rPr>
          <w:rFonts w:ascii="Times New Roman" w:hAnsi="Times New Roman" w:cs="Times New Roman"/>
        </w:rPr>
        <w:t xml:space="preserve"> that</w:t>
      </w:r>
      <w:r w:rsidR="00D1643D" w:rsidRPr="00342E7D">
        <w:rPr>
          <w:rFonts w:ascii="Times New Roman" w:hAnsi="Times New Roman" w:cs="Times New Roman"/>
        </w:rPr>
        <w:t xml:space="preserve"> the</w:t>
      </w:r>
      <w:r w:rsidR="00CA2C7F" w:rsidRPr="00342E7D">
        <w:rPr>
          <w:rFonts w:ascii="Times New Roman" w:hAnsi="Times New Roman" w:cs="Times New Roman"/>
        </w:rPr>
        <w:t xml:space="preserve"> experimental manipulation of alcohol value</w:t>
      </w:r>
      <w:r w:rsidR="00FE0C5A" w:rsidRPr="00342E7D">
        <w:rPr>
          <w:rFonts w:ascii="Times New Roman" w:hAnsi="Times New Roman" w:cs="Times New Roman"/>
        </w:rPr>
        <w:t>,</w:t>
      </w:r>
      <w:r w:rsidR="000663FD" w:rsidRPr="00342E7D">
        <w:rPr>
          <w:rFonts w:ascii="Times New Roman" w:hAnsi="Times New Roman" w:cs="Times New Roman"/>
        </w:rPr>
        <w:t xml:space="preserve"> such that it </w:t>
      </w:r>
      <w:r w:rsidR="00FE0C5A" w:rsidRPr="00342E7D">
        <w:rPr>
          <w:rFonts w:ascii="Times New Roman" w:hAnsi="Times New Roman" w:cs="Times New Roman"/>
        </w:rPr>
        <w:t>was</w:t>
      </w:r>
      <w:r w:rsidR="000663FD" w:rsidRPr="00342E7D">
        <w:rPr>
          <w:rFonts w:ascii="Times New Roman" w:hAnsi="Times New Roman" w:cs="Times New Roman"/>
        </w:rPr>
        <w:t xml:space="preserve"> devalued</w:t>
      </w:r>
      <w:r w:rsidR="00107EBB" w:rsidRPr="00342E7D">
        <w:rPr>
          <w:rFonts w:ascii="Times New Roman" w:hAnsi="Times New Roman" w:cs="Times New Roman"/>
        </w:rPr>
        <w:t xml:space="preserve"> </w:t>
      </w:r>
      <w:r w:rsidR="00B63481" w:rsidRPr="00342E7D">
        <w:rPr>
          <w:rFonts w:ascii="Times New Roman" w:hAnsi="Times New Roman" w:cs="Times New Roman"/>
        </w:rPr>
        <w:t>(</w:t>
      </w:r>
      <w:r w:rsidR="00107EBB" w:rsidRPr="00342E7D">
        <w:rPr>
          <w:rFonts w:ascii="Times New Roman" w:hAnsi="Times New Roman" w:cs="Times New Roman"/>
        </w:rPr>
        <w:t>relative to valued</w:t>
      </w:r>
      <w:r w:rsidR="00B63481" w:rsidRPr="00342E7D">
        <w:rPr>
          <w:rFonts w:ascii="Times New Roman" w:hAnsi="Times New Roman" w:cs="Times New Roman"/>
        </w:rPr>
        <w:t>)</w:t>
      </w:r>
      <w:r w:rsidR="00FE0C5A" w:rsidRPr="00342E7D">
        <w:rPr>
          <w:rFonts w:ascii="Times New Roman" w:hAnsi="Times New Roman" w:cs="Times New Roman"/>
        </w:rPr>
        <w:t>,</w:t>
      </w:r>
      <w:r w:rsidR="00CA2C7F" w:rsidRPr="00342E7D">
        <w:rPr>
          <w:rFonts w:ascii="Times New Roman" w:hAnsi="Times New Roman" w:cs="Times New Roman"/>
        </w:rPr>
        <w:t xml:space="preserve"> led to </w:t>
      </w:r>
      <w:r w:rsidR="00D1643D" w:rsidRPr="00342E7D">
        <w:rPr>
          <w:rFonts w:ascii="Times New Roman" w:hAnsi="Times New Roman" w:cs="Times New Roman"/>
        </w:rPr>
        <w:t>increases</w:t>
      </w:r>
      <w:r w:rsidR="00CA2C7F" w:rsidRPr="00342E7D">
        <w:rPr>
          <w:rFonts w:ascii="Times New Roman" w:hAnsi="Times New Roman" w:cs="Times New Roman"/>
        </w:rPr>
        <w:t xml:space="preserve"> in </w:t>
      </w:r>
      <w:r w:rsidR="00107EBB" w:rsidRPr="00342E7D">
        <w:rPr>
          <w:rFonts w:ascii="Times New Roman" w:hAnsi="Times New Roman" w:cs="Times New Roman"/>
        </w:rPr>
        <w:t>evidence accumulation (</w:t>
      </w:r>
      <w:r w:rsidR="00CA2C7F" w:rsidRPr="00342E7D">
        <w:rPr>
          <w:rFonts w:ascii="Times New Roman" w:hAnsi="Times New Roman" w:cs="Times New Roman"/>
        </w:rPr>
        <w:t>EA</w:t>
      </w:r>
      <w:r w:rsidR="00107EBB" w:rsidRPr="00342E7D">
        <w:rPr>
          <w:rFonts w:ascii="Times New Roman" w:hAnsi="Times New Roman" w:cs="Times New Roman"/>
        </w:rPr>
        <w:t>)</w:t>
      </w:r>
      <w:r w:rsidR="00CA2C7F" w:rsidRPr="00342E7D">
        <w:rPr>
          <w:rFonts w:ascii="Times New Roman" w:hAnsi="Times New Roman" w:cs="Times New Roman"/>
        </w:rPr>
        <w:t xml:space="preserve"> rates </w:t>
      </w:r>
      <w:r w:rsidR="006A67EF" w:rsidRPr="00342E7D">
        <w:rPr>
          <w:rFonts w:ascii="Times New Roman" w:hAnsi="Times New Roman" w:cs="Times New Roman"/>
        </w:rPr>
        <w:t>for soft drinks</w:t>
      </w:r>
      <w:r w:rsidR="006A67EF" w:rsidRPr="00FD5B24">
        <w:rPr>
          <w:rFonts w:ascii="Times New Roman" w:hAnsi="Times New Roman" w:cs="Times New Roman"/>
        </w:rPr>
        <w:t xml:space="preserve"> </w:t>
      </w:r>
      <w:r w:rsidR="00CA2C7F" w:rsidRPr="00FD5B24">
        <w:rPr>
          <w:rFonts w:ascii="Times New Roman" w:hAnsi="Times New Roman" w:cs="Times New Roman"/>
        </w:rPr>
        <w:t xml:space="preserve">(Chapter 4) and that </w:t>
      </w:r>
      <w:r w:rsidR="006A67EF" w:rsidRPr="00FD5B24">
        <w:rPr>
          <w:rFonts w:ascii="Times New Roman" w:hAnsi="Times New Roman" w:cs="Times New Roman"/>
        </w:rPr>
        <w:t xml:space="preserve">recovery from nicotine addiction </w:t>
      </w:r>
      <w:r w:rsidR="00FE0C5A">
        <w:rPr>
          <w:rFonts w:ascii="Times New Roman" w:hAnsi="Times New Roman" w:cs="Times New Roman"/>
        </w:rPr>
        <w:t>wa</w:t>
      </w:r>
      <w:r w:rsidR="006A67EF" w:rsidRPr="00FD5B24">
        <w:rPr>
          <w:rFonts w:ascii="Times New Roman" w:hAnsi="Times New Roman" w:cs="Times New Roman"/>
        </w:rPr>
        <w:t>s</w:t>
      </w:r>
      <w:r w:rsidR="00CA2C7F" w:rsidRPr="00FD5B24">
        <w:rPr>
          <w:rFonts w:ascii="Times New Roman" w:hAnsi="Times New Roman" w:cs="Times New Roman"/>
        </w:rPr>
        <w:t xml:space="preserve"> characterised by </w:t>
      </w:r>
      <w:r w:rsidR="00FE0C5A">
        <w:rPr>
          <w:rFonts w:ascii="Times New Roman" w:hAnsi="Times New Roman" w:cs="Times New Roman"/>
        </w:rPr>
        <w:t>higher</w:t>
      </w:r>
      <w:r w:rsidR="00CA2C7F" w:rsidRPr="00FD5B24">
        <w:rPr>
          <w:rFonts w:ascii="Times New Roman" w:hAnsi="Times New Roman" w:cs="Times New Roman"/>
        </w:rPr>
        <w:t xml:space="preserve"> </w:t>
      </w:r>
      <w:r w:rsidR="006A67EF" w:rsidRPr="00FD5B24">
        <w:rPr>
          <w:rFonts w:ascii="Times New Roman" w:hAnsi="Times New Roman" w:cs="Times New Roman"/>
        </w:rPr>
        <w:t xml:space="preserve">tobacco-related </w:t>
      </w:r>
      <w:r w:rsidR="00CA2C7F" w:rsidRPr="00FD5B24">
        <w:rPr>
          <w:rFonts w:ascii="Times New Roman" w:hAnsi="Times New Roman" w:cs="Times New Roman"/>
        </w:rPr>
        <w:t xml:space="preserve">response thresholds (Chapter 7). </w:t>
      </w:r>
      <w:r w:rsidR="00CA2C7F" w:rsidRPr="00C61FC0">
        <w:rPr>
          <w:rFonts w:ascii="Times New Roman" w:hAnsi="Times New Roman" w:cs="Times New Roman"/>
        </w:rPr>
        <w:t xml:space="preserve">As discussed in Chapter 8, </w:t>
      </w:r>
      <w:r w:rsidR="00FE0C5A">
        <w:rPr>
          <w:rFonts w:ascii="Times New Roman" w:hAnsi="Times New Roman" w:cs="Times New Roman"/>
        </w:rPr>
        <w:t xml:space="preserve">the </w:t>
      </w:r>
      <w:r w:rsidR="00754CB2">
        <w:rPr>
          <w:rFonts w:ascii="Times New Roman" w:hAnsi="Times New Roman" w:cs="Times New Roman"/>
        </w:rPr>
        <w:t>overall findings</w:t>
      </w:r>
      <w:r w:rsidR="00FE0C5A">
        <w:rPr>
          <w:rFonts w:ascii="Times New Roman" w:hAnsi="Times New Roman" w:cs="Times New Roman"/>
        </w:rPr>
        <w:t xml:space="preserve"> from this thesis</w:t>
      </w:r>
      <w:r w:rsidR="00FD5B24" w:rsidRPr="00C61FC0">
        <w:rPr>
          <w:rFonts w:ascii="Times New Roman" w:hAnsi="Times New Roman" w:cs="Times New Roman"/>
        </w:rPr>
        <w:t xml:space="preserve"> offer partial support for the predictions derived from Field, Heather, et al. (2020)</w:t>
      </w:r>
      <w:r w:rsidR="00C61FC0" w:rsidRPr="00C61FC0">
        <w:rPr>
          <w:rFonts w:ascii="Times New Roman" w:hAnsi="Times New Roman" w:cs="Times New Roman"/>
        </w:rPr>
        <w:t xml:space="preserve"> as </w:t>
      </w:r>
      <w:r w:rsidR="00040652">
        <w:rPr>
          <w:rFonts w:ascii="Times New Roman" w:hAnsi="Times New Roman" w:cs="Times New Roman"/>
        </w:rPr>
        <w:t xml:space="preserve">the </w:t>
      </w:r>
      <w:r w:rsidR="00C61FC0" w:rsidRPr="00C61FC0">
        <w:rPr>
          <w:rFonts w:ascii="Times New Roman" w:hAnsi="Times New Roman" w:cs="Times New Roman"/>
        </w:rPr>
        <w:t xml:space="preserve">hypothesised alterations in </w:t>
      </w:r>
      <w:r w:rsidR="00C61FC0" w:rsidRPr="00C61FC0">
        <w:rPr>
          <w:rFonts w:ascii="Times New Roman" w:hAnsi="Times New Roman" w:cs="Times New Roman"/>
        </w:rPr>
        <w:lastRenderedPageBreak/>
        <w:t xml:space="preserve">VBDM decision parameters were not consistently observed among </w:t>
      </w:r>
      <w:r w:rsidR="00DC590D">
        <w:rPr>
          <w:rFonts w:ascii="Times New Roman" w:hAnsi="Times New Roman" w:cs="Times New Roman"/>
        </w:rPr>
        <w:t>C</w:t>
      </w:r>
      <w:r w:rsidR="00C61FC0" w:rsidRPr="00C61FC0">
        <w:rPr>
          <w:rFonts w:ascii="Times New Roman" w:hAnsi="Times New Roman" w:cs="Times New Roman"/>
        </w:rPr>
        <w:t>hapters (</w:t>
      </w:r>
      <w:r w:rsidR="00040652">
        <w:rPr>
          <w:rFonts w:ascii="Times New Roman" w:hAnsi="Times New Roman" w:cs="Times New Roman"/>
        </w:rPr>
        <w:t>see</w:t>
      </w:r>
      <w:r w:rsidR="00C61FC0" w:rsidRPr="00C61FC0">
        <w:rPr>
          <w:rFonts w:ascii="Times New Roman" w:hAnsi="Times New Roman" w:cs="Times New Roman"/>
        </w:rPr>
        <w:t xml:space="preserve"> Chapter</w:t>
      </w:r>
      <w:r w:rsidR="00040652">
        <w:rPr>
          <w:rFonts w:ascii="Times New Roman" w:hAnsi="Times New Roman" w:cs="Times New Roman"/>
        </w:rPr>
        <w:t>s</w:t>
      </w:r>
      <w:r w:rsidR="00C61FC0" w:rsidRPr="00C61FC0">
        <w:rPr>
          <w:rFonts w:ascii="Times New Roman" w:hAnsi="Times New Roman" w:cs="Times New Roman"/>
        </w:rPr>
        <w:t xml:space="preserve"> 5 </w:t>
      </w:r>
      <w:r w:rsidR="00C61FC0" w:rsidRPr="006C7D79">
        <w:rPr>
          <w:rFonts w:ascii="Times New Roman" w:hAnsi="Times New Roman" w:cs="Times New Roman"/>
        </w:rPr>
        <w:t xml:space="preserve">and 6). </w:t>
      </w:r>
      <w:r w:rsidR="007D1E75" w:rsidRPr="006C7D79">
        <w:rPr>
          <w:rFonts w:ascii="Times New Roman" w:hAnsi="Times New Roman" w:cs="Times New Roman"/>
        </w:rPr>
        <w:t xml:space="preserve">By </w:t>
      </w:r>
      <w:r w:rsidR="00FE0C5A">
        <w:rPr>
          <w:rFonts w:ascii="Times New Roman" w:hAnsi="Times New Roman" w:cs="Times New Roman"/>
        </w:rPr>
        <w:t>capitalising on</w:t>
      </w:r>
      <w:r w:rsidR="007D1E75" w:rsidRPr="006C7D79">
        <w:rPr>
          <w:rFonts w:ascii="Times New Roman" w:hAnsi="Times New Roman" w:cs="Times New Roman"/>
        </w:rPr>
        <w:t xml:space="preserve"> </w:t>
      </w:r>
      <w:r w:rsidR="006C7D79" w:rsidRPr="006C7D79">
        <w:rPr>
          <w:rFonts w:ascii="Times New Roman" w:hAnsi="Times New Roman" w:cs="Times New Roman"/>
        </w:rPr>
        <w:t xml:space="preserve">methodological </w:t>
      </w:r>
      <w:r w:rsidR="007D1E75" w:rsidRPr="006C7D79">
        <w:rPr>
          <w:rFonts w:ascii="Times New Roman" w:hAnsi="Times New Roman" w:cs="Times New Roman"/>
        </w:rPr>
        <w:t xml:space="preserve">advances in the measurement of value-based choice, this research </w:t>
      </w:r>
      <w:r w:rsidR="00D15F18">
        <w:rPr>
          <w:rFonts w:ascii="Times New Roman" w:hAnsi="Times New Roman" w:cs="Times New Roman"/>
        </w:rPr>
        <w:t xml:space="preserve">provides </w:t>
      </w:r>
      <w:r w:rsidR="00FE0C5A">
        <w:rPr>
          <w:rFonts w:ascii="Times New Roman" w:hAnsi="Times New Roman" w:cs="Times New Roman"/>
        </w:rPr>
        <w:t>new</w:t>
      </w:r>
      <w:r w:rsidR="00D15F18">
        <w:rPr>
          <w:rFonts w:ascii="Times New Roman" w:hAnsi="Times New Roman" w:cs="Times New Roman"/>
        </w:rPr>
        <w:t xml:space="preserve"> insight</w:t>
      </w:r>
      <w:r w:rsidR="00FE0C5A">
        <w:rPr>
          <w:rFonts w:ascii="Times New Roman" w:hAnsi="Times New Roman" w:cs="Times New Roman"/>
        </w:rPr>
        <w:t>s</w:t>
      </w:r>
      <w:r w:rsidR="00D15F18">
        <w:rPr>
          <w:rFonts w:ascii="Times New Roman" w:hAnsi="Times New Roman" w:cs="Times New Roman"/>
        </w:rPr>
        <w:t xml:space="preserve"> into </w:t>
      </w:r>
      <w:r w:rsidR="006C7D79" w:rsidRPr="006C7D79">
        <w:rPr>
          <w:rFonts w:ascii="Times New Roman" w:hAnsi="Times New Roman" w:cs="Times New Roman"/>
        </w:rPr>
        <w:t xml:space="preserve">the internal processes that precede </w:t>
      </w:r>
      <w:r w:rsidR="00D15F18">
        <w:rPr>
          <w:rFonts w:ascii="Times New Roman" w:hAnsi="Times New Roman" w:cs="Times New Roman"/>
        </w:rPr>
        <w:t xml:space="preserve">value-based </w:t>
      </w:r>
      <w:r w:rsidR="006C7D79" w:rsidRPr="006C7D79">
        <w:rPr>
          <w:rFonts w:ascii="Times New Roman" w:hAnsi="Times New Roman" w:cs="Times New Roman"/>
        </w:rPr>
        <w:t>decisions made about substances and substance-free alternatives</w:t>
      </w:r>
      <w:r w:rsidR="00D15F18">
        <w:rPr>
          <w:rFonts w:ascii="Times New Roman" w:hAnsi="Times New Roman" w:cs="Times New Roman"/>
        </w:rPr>
        <w:t>, including how these</w:t>
      </w:r>
      <w:r w:rsidR="006C7D79" w:rsidRPr="006C7D79">
        <w:rPr>
          <w:rFonts w:ascii="Times New Roman" w:hAnsi="Times New Roman" w:cs="Times New Roman"/>
        </w:rPr>
        <w:t xml:space="preserve"> may </w:t>
      </w:r>
      <w:r w:rsidR="00C03B36">
        <w:rPr>
          <w:rFonts w:ascii="Times New Roman" w:hAnsi="Times New Roman" w:cs="Times New Roman"/>
        </w:rPr>
        <w:t>alter</w:t>
      </w:r>
      <w:r w:rsidR="006C7D79" w:rsidRPr="006C7D79">
        <w:rPr>
          <w:rFonts w:ascii="Times New Roman" w:hAnsi="Times New Roman" w:cs="Times New Roman"/>
        </w:rPr>
        <w:t xml:space="preserve"> as a person </w:t>
      </w:r>
      <w:r w:rsidR="00DA7AED">
        <w:rPr>
          <w:rFonts w:ascii="Times New Roman" w:hAnsi="Times New Roman" w:cs="Times New Roman"/>
        </w:rPr>
        <w:t>changes their behaviour</w:t>
      </w:r>
      <w:r w:rsidR="00914392">
        <w:rPr>
          <w:rFonts w:ascii="Times New Roman" w:hAnsi="Times New Roman" w:cs="Times New Roman"/>
        </w:rPr>
        <w:t xml:space="preserve"> and recovers from addiction.</w:t>
      </w:r>
    </w:p>
    <w:p w14:paraId="65B1209A" w14:textId="77777777" w:rsidR="00C03B36" w:rsidRDefault="00C03B36" w:rsidP="00C03B36">
      <w:pPr>
        <w:pStyle w:val="NoSpacing"/>
        <w:spacing w:line="480" w:lineRule="auto"/>
        <w:rPr>
          <w:rFonts w:ascii="Times New Roman" w:hAnsi="Times New Roman" w:cs="Times New Roman"/>
        </w:rPr>
      </w:pPr>
    </w:p>
    <w:p w14:paraId="484F37E6" w14:textId="77777777" w:rsidR="00587D74" w:rsidRDefault="00587D74" w:rsidP="00986A39">
      <w:pPr>
        <w:pStyle w:val="NoSpacing"/>
      </w:pPr>
    </w:p>
    <w:p w14:paraId="5BD540FA" w14:textId="1F2AA03F" w:rsidR="00BC25F1" w:rsidRDefault="00BC25F1" w:rsidP="00986A39">
      <w:pPr>
        <w:pStyle w:val="NoSpacing"/>
      </w:pPr>
    </w:p>
    <w:p w14:paraId="4F87B5E2" w14:textId="27E4A92A" w:rsidR="00E42C66" w:rsidRDefault="00E42C66" w:rsidP="00986A39">
      <w:pPr>
        <w:pStyle w:val="NoSpacing"/>
      </w:pPr>
    </w:p>
    <w:p w14:paraId="0A3A6F0D" w14:textId="7EC30170" w:rsidR="00C03B36" w:rsidRDefault="00C03B36" w:rsidP="00986A39">
      <w:pPr>
        <w:pStyle w:val="NoSpacing"/>
      </w:pPr>
    </w:p>
    <w:p w14:paraId="1A1B1CFA" w14:textId="1D335CE4" w:rsidR="00C03B36" w:rsidRDefault="00C03B36" w:rsidP="00986A39">
      <w:pPr>
        <w:pStyle w:val="NoSpacing"/>
      </w:pPr>
    </w:p>
    <w:p w14:paraId="567F67E6" w14:textId="70C1D0EC" w:rsidR="00C03B36" w:rsidRDefault="00C03B36" w:rsidP="00986A39">
      <w:pPr>
        <w:pStyle w:val="NoSpacing"/>
      </w:pPr>
    </w:p>
    <w:p w14:paraId="5678DCED" w14:textId="75C05F37" w:rsidR="00C03B36" w:rsidRDefault="00C03B36" w:rsidP="00986A39">
      <w:pPr>
        <w:pStyle w:val="NoSpacing"/>
      </w:pPr>
    </w:p>
    <w:p w14:paraId="7011A921" w14:textId="70924368" w:rsidR="00C03B36" w:rsidRDefault="00C03B36" w:rsidP="00986A39">
      <w:pPr>
        <w:pStyle w:val="NoSpacing"/>
      </w:pPr>
    </w:p>
    <w:p w14:paraId="3630E6B1" w14:textId="0D0EDC29" w:rsidR="00C03B36" w:rsidRDefault="00C03B36" w:rsidP="00986A39">
      <w:pPr>
        <w:pStyle w:val="NoSpacing"/>
      </w:pPr>
    </w:p>
    <w:p w14:paraId="0E20CBCB" w14:textId="1B36D562" w:rsidR="00C03B36" w:rsidRDefault="00C03B36" w:rsidP="00986A39">
      <w:pPr>
        <w:pStyle w:val="NoSpacing"/>
      </w:pPr>
    </w:p>
    <w:p w14:paraId="21A4D1A4" w14:textId="4B0B4D87" w:rsidR="00C03B36" w:rsidRDefault="00C03B36" w:rsidP="00986A39">
      <w:pPr>
        <w:pStyle w:val="NoSpacing"/>
      </w:pPr>
    </w:p>
    <w:p w14:paraId="0BAA22CA" w14:textId="190564B2" w:rsidR="00C03B36" w:rsidRDefault="00C03B36" w:rsidP="00986A39">
      <w:pPr>
        <w:pStyle w:val="NoSpacing"/>
      </w:pPr>
    </w:p>
    <w:p w14:paraId="7EF4B4D0" w14:textId="0CC97997" w:rsidR="00C03B36" w:rsidRDefault="00C03B36" w:rsidP="00986A39">
      <w:pPr>
        <w:pStyle w:val="NoSpacing"/>
      </w:pPr>
    </w:p>
    <w:p w14:paraId="284A4A3B" w14:textId="450E9200" w:rsidR="00C03B36" w:rsidRDefault="00C03B36" w:rsidP="00986A39">
      <w:pPr>
        <w:pStyle w:val="NoSpacing"/>
      </w:pPr>
    </w:p>
    <w:p w14:paraId="5B03D84C" w14:textId="3D8DD4B2" w:rsidR="00C03B36" w:rsidRDefault="00C03B36" w:rsidP="00986A39">
      <w:pPr>
        <w:pStyle w:val="NoSpacing"/>
      </w:pPr>
    </w:p>
    <w:p w14:paraId="05257886" w14:textId="098D6794" w:rsidR="00C03B36" w:rsidRDefault="00C03B36" w:rsidP="00986A39">
      <w:pPr>
        <w:pStyle w:val="NoSpacing"/>
      </w:pPr>
    </w:p>
    <w:p w14:paraId="10CB4367" w14:textId="60E58774" w:rsidR="00C03B36" w:rsidRDefault="00C03B36" w:rsidP="00986A39">
      <w:pPr>
        <w:pStyle w:val="NoSpacing"/>
      </w:pPr>
    </w:p>
    <w:p w14:paraId="608A6074" w14:textId="37A330E3" w:rsidR="00C03B36" w:rsidRDefault="00C03B36" w:rsidP="00986A39">
      <w:pPr>
        <w:pStyle w:val="NoSpacing"/>
      </w:pPr>
    </w:p>
    <w:p w14:paraId="4EF61B46" w14:textId="52811EED" w:rsidR="00C03B36" w:rsidRDefault="00C03B36" w:rsidP="00986A39">
      <w:pPr>
        <w:pStyle w:val="NoSpacing"/>
      </w:pPr>
    </w:p>
    <w:p w14:paraId="3E8C436A" w14:textId="77777777" w:rsidR="00C03B36" w:rsidRDefault="00C03B36" w:rsidP="00986A39">
      <w:pPr>
        <w:pStyle w:val="NoSpacing"/>
      </w:pPr>
    </w:p>
    <w:p w14:paraId="17E90292" w14:textId="77777777" w:rsidR="00E42C66" w:rsidRDefault="00E42C66" w:rsidP="00986A39">
      <w:pPr>
        <w:pStyle w:val="NoSpacing"/>
      </w:pPr>
    </w:p>
    <w:p w14:paraId="63C7279B" w14:textId="77777777" w:rsidR="00E42C66" w:rsidRDefault="00E42C66" w:rsidP="00986A39">
      <w:pPr>
        <w:pStyle w:val="NoSpacing"/>
      </w:pPr>
    </w:p>
    <w:p w14:paraId="4C3150C0" w14:textId="77777777" w:rsidR="00E42C66" w:rsidRDefault="00E42C66" w:rsidP="00986A39">
      <w:pPr>
        <w:pStyle w:val="NoSpacing"/>
      </w:pPr>
    </w:p>
    <w:p w14:paraId="114DC969" w14:textId="77777777" w:rsidR="00E42C66" w:rsidRDefault="00E42C66" w:rsidP="00986A39">
      <w:pPr>
        <w:pStyle w:val="NoSpacing"/>
      </w:pPr>
    </w:p>
    <w:p w14:paraId="28A13B78" w14:textId="77777777" w:rsidR="00E42C66" w:rsidRDefault="00E42C66" w:rsidP="00986A39">
      <w:pPr>
        <w:pStyle w:val="NoSpacing"/>
      </w:pPr>
    </w:p>
    <w:p w14:paraId="79945058" w14:textId="77777777" w:rsidR="00E42C66" w:rsidRDefault="00E42C66" w:rsidP="00986A39">
      <w:pPr>
        <w:pStyle w:val="NoSpacing"/>
      </w:pPr>
    </w:p>
    <w:p w14:paraId="785F8A94" w14:textId="77777777" w:rsidR="00E42C66" w:rsidRDefault="00E42C66" w:rsidP="00986A39">
      <w:pPr>
        <w:pStyle w:val="NoSpacing"/>
      </w:pPr>
    </w:p>
    <w:p w14:paraId="2E6AB2D9" w14:textId="77777777" w:rsidR="00E42C66" w:rsidRDefault="00E42C66" w:rsidP="00986A39">
      <w:pPr>
        <w:pStyle w:val="NoSpacing"/>
      </w:pPr>
    </w:p>
    <w:p w14:paraId="3B8922DF" w14:textId="77777777" w:rsidR="00E42C66" w:rsidRDefault="00E42C66" w:rsidP="00986A39">
      <w:pPr>
        <w:pStyle w:val="NoSpacing"/>
      </w:pPr>
    </w:p>
    <w:p w14:paraId="354132B4" w14:textId="77777777" w:rsidR="00E42C66" w:rsidRDefault="00E42C66" w:rsidP="00986A39">
      <w:pPr>
        <w:pStyle w:val="NoSpacing"/>
      </w:pPr>
    </w:p>
    <w:p w14:paraId="5F9D24F8" w14:textId="218D0C17" w:rsidR="00CA2C7F" w:rsidRDefault="00CA2C7F" w:rsidP="00986A39">
      <w:pPr>
        <w:pStyle w:val="NoSpacing"/>
      </w:pPr>
    </w:p>
    <w:p w14:paraId="3B158DD2" w14:textId="77777777" w:rsidR="00C03B36" w:rsidRDefault="00C03B36" w:rsidP="00986A39">
      <w:pPr>
        <w:pStyle w:val="NoSpacing"/>
      </w:pPr>
    </w:p>
    <w:p w14:paraId="6DF3AF52" w14:textId="69B4718B" w:rsidR="00CA2C7F" w:rsidRDefault="00CA2C7F" w:rsidP="00986A39">
      <w:pPr>
        <w:pStyle w:val="NoSpacing"/>
      </w:pPr>
    </w:p>
    <w:p w14:paraId="4A74D15D" w14:textId="1E6B792B" w:rsidR="00CA2C7F" w:rsidRDefault="00CA2C7F" w:rsidP="00986A39">
      <w:pPr>
        <w:pStyle w:val="NoSpacing"/>
      </w:pPr>
    </w:p>
    <w:p w14:paraId="1C141F6B" w14:textId="77777777" w:rsidR="00CA2C7F" w:rsidRDefault="00CA2C7F" w:rsidP="00986A39">
      <w:pPr>
        <w:pStyle w:val="NoSpacing"/>
      </w:pPr>
    </w:p>
    <w:p w14:paraId="1CBF63EC" w14:textId="24F178D0" w:rsidR="00861490" w:rsidRDefault="00861490" w:rsidP="00107EBB">
      <w:pPr>
        <w:pStyle w:val="Heading1"/>
      </w:pPr>
      <w:bookmarkStart w:id="24" w:name="_Toc109901451"/>
      <w:bookmarkStart w:id="25" w:name="_Toc109901924"/>
      <w:bookmarkStart w:id="26" w:name="_Toc109911317"/>
      <w:bookmarkStart w:id="27" w:name="_Toc110612720"/>
      <w:bookmarkStart w:id="28" w:name="_Toc110629030"/>
      <w:bookmarkStart w:id="29" w:name="_Toc110870938"/>
      <w:r>
        <w:lastRenderedPageBreak/>
        <w:t>Table of Contents</w:t>
      </w:r>
      <w:bookmarkEnd w:id="24"/>
      <w:bookmarkEnd w:id="25"/>
      <w:bookmarkEnd w:id="26"/>
      <w:bookmarkEnd w:id="27"/>
      <w:bookmarkEnd w:id="28"/>
      <w:bookmarkEnd w:id="29"/>
    </w:p>
    <w:bookmarkStart w:id="30" w:name="_Hlk110619173"/>
    <w:p w14:paraId="4331A734" w14:textId="046E3B45" w:rsidR="00E9238E" w:rsidRDefault="00E9238E">
      <w:pPr>
        <w:pStyle w:val="TOC1"/>
        <w:tabs>
          <w:tab w:val="right" w:leader="dot" w:pos="9010"/>
        </w:tabs>
        <w:rPr>
          <w:rFonts w:asciiTheme="minorHAnsi" w:eastAsiaTheme="minorEastAsia" w:hAnsiTheme="minorHAnsi" w:cstheme="minorBidi"/>
          <w:bCs w:val="0"/>
          <w:noProof/>
          <w:color w:val="auto"/>
          <w:sz w:val="22"/>
          <w:szCs w:val="22"/>
          <w:lang w:eastAsia="zh-CN"/>
        </w:rPr>
      </w:pPr>
      <w:r>
        <w:fldChar w:fldCharType="begin"/>
      </w:r>
      <w:r>
        <w:instrText xml:space="preserve"> TOC \o "1-4" \h \z \u </w:instrText>
      </w:r>
      <w:r>
        <w:fldChar w:fldCharType="separate"/>
      </w:r>
      <w:hyperlink w:anchor="_Toc110870935" w:history="1">
        <w:r w:rsidRPr="00DF77B1">
          <w:rPr>
            <w:rStyle w:val="Hyperlink"/>
            <w:noProof/>
          </w:rPr>
          <w:t>Acknowledgements</w:t>
        </w:r>
        <w:r>
          <w:rPr>
            <w:noProof/>
            <w:webHidden/>
          </w:rPr>
          <w:tab/>
        </w:r>
        <w:r>
          <w:rPr>
            <w:noProof/>
            <w:webHidden/>
          </w:rPr>
          <w:fldChar w:fldCharType="begin"/>
        </w:r>
        <w:r>
          <w:rPr>
            <w:noProof/>
            <w:webHidden/>
          </w:rPr>
          <w:instrText xml:space="preserve"> PAGEREF _Toc110870935 \h </w:instrText>
        </w:r>
        <w:r>
          <w:rPr>
            <w:noProof/>
            <w:webHidden/>
          </w:rPr>
        </w:r>
        <w:r>
          <w:rPr>
            <w:noProof/>
            <w:webHidden/>
          </w:rPr>
          <w:fldChar w:fldCharType="separate"/>
        </w:r>
        <w:r w:rsidR="004E5722">
          <w:rPr>
            <w:noProof/>
            <w:webHidden/>
          </w:rPr>
          <w:t>2</w:t>
        </w:r>
        <w:r>
          <w:rPr>
            <w:noProof/>
            <w:webHidden/>
          </w:rPr>
          <w:fldChar w:fldCharType="end"/>
        </w:r>
      </w:hyperlink>
    </w:p>
    <w:p w14:paraId="62E847DC" w14:textId="15EC8F0F"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36" w:history="1">
        <w:r w:rsidR="00E9238E" w:rsidRPr="00DF77B1">
          <w:rPr>
            <w:rStyle w:val="Hyperlink"/>
            <w:noProof/>
          </w:rPr>
          <w:t>Declaration and Note on Inclusion of Published Work</w:t>
        </w:r>
        <w:r w:rsidR="00E9238E">
          <w:rPr>
            <w:noProof/>
            <w:webHidden/>
          </w:rPr>
          <w:tab/>
        </w:r>
        <w:r w:rsidR="00E9238E">
          <w:rPr>
            <w:noProof/>
            <w:webHidden/>
          </w:rPr>
          <w:fldChar w:fldCharType="begin"/>
        </w:r>
        <w:r w:rsidR="00E9238E">
          <w:rPr>
            <w:noProof/>
            <w:webHidden/>
          </w:rPr>
          <w:instrText xml:space="preserve"> PAGEREF _Toc110870936 \h </w:instrText>
        </w:r>
        <w:r w:rsidR="00E9238E">
          <w:rPr>
            <w:noProof/>
            <w:webHidden/>
          </w:rPr>
        </w:r>
        <w:r w:rsidR="00E9238E">
          <w:rPr>
            <w:noProof/>
            <w:webHidden/>
          </w:rPr>
          <w:fldChar w:fldCharType="separate"/>
        </w:r>
        <w:r w:rsidR="004E5722">
          <w:rPr>
            <w:noProof/>
            <w:webHidden/>
          </w:rPr>
          <w:t>4</w:t>
        </w:r>
        <w:r w:rsidR="00E9238E">
          <w:rPr>
            <w:noProof/>
            <w:webHidden/>
          </w:rPr>
          <w:fldChar w:fldCharType="end"/>
        </w:r>
      </w:hyperlink>
    </w:p>
    <w:p w14:paraId="0419B830" w14:textId="3643B67A"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37" w:history="1">
        <w:r w:rsidR="00E9238E" w:rsidRPr="00DF77B1">
          <w:rPr>
            <w:rStyle w:val="Hyperlink"/>
            <w:noProof/>
          </w:rPr>
          <w:t>Thesis Abstract</w:t>
        </w:r>
        <w:r w:rsidR="00E9238E">
          <w:rPr>
            <w:noProof/>
            <w:webHidden/>
          </w:rPr>
          <w:tab/>
        </w:r>
        <w:r w:rsidR="00E9238E">
          <w:rPr>
            <w:noProof/>
            <w:webHidden/>
          </w:rPr>
          <w:fldChar w:fldCharType="begin"/>
        </w:r>
        <w:r w:rsidR="00E9238E">
          <w:rPr>
            <w:noProof/>
            <w:webHidden/>
          </w:rPr>
          <w:instrText xml:space="preserve"> PAGEREF _Toc110870937 \h </w:instrText>
        </w:r>
        <w:r w:rsidR="00E9238E">
          <w:rPr>
            <w:noProof/>
            <w:webHidden/>
          </w:rPr>
        </w:r>
        <w:r w:rsidR="00E9238E">
          <w:rPr>
            <w:noProof/>
            <w:webHidden/>
          </w:rPr>
          <w:fldChar w:fldCharType="separate"/>
        </w:r>
        <w:r w:rsidR="004E5722">
          <w:rPr>
            <w:noProof/>
            <w:webHidden/>
          </w:rPr>
          <w:t>7</w:t>
        </w:r>
        <w:r w:rsidR="00E9238E">
          <w:rPr>
            <w:noProof/>
            <w:webHidden/>
          </w:rPr>
          <w:fldChar w:fldCharType="end"/>
        </w:r>
      </w:hyperlink>
    </w:p>
    <w:p w14:paraId="69BBC72D" w14:textId="73D15AC6"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38" w:history="1">
        <w:r w:rsidR="00E9238E" w:rsidRPr="00DF77B1">
          <w:rPr>
            <w:rStyle w:val="Hyperlink"/>
            <w:noProof/>
          </w:rPr>
          <w:t>Table of Contents</w:t>
        </w:r>
        <w:r w:rsidR="00E9238E">
          <w:rPr>
            <w:noProof/>
            <w:webHidden/>
          </w:rPr>
          <w:tab/>
        </w:r>
        <w:r w:rsidR="00E9238E">
          <w:rPr>
            <w:noProof/>
            <w:webHidden/>
          </w:rPr>
          <w:fldChar w:fldCharType="begin"/>
        </w:r>
        <w:r w:rsidR="00E9238E">
          <w:rPr>
            <w:noProof/>
            <w:webHidden/>
          </w:rPr>
          <w:instrText xml:space="preserve"> PAGEREF _Toc110870938 \h </w:instrText>
        </w:r>
        <w:r w:rsidR="00E9238E">
          <w:rPr>
            <w:noProof/>
            <w:webHidden/>
          </w:rPr>
        </w:r>
        <w:r w:rsidR="00E9238E">
          <w:rPr>
            <w:noProof/>
            <w:webHidden/>
          </w:rPr>
          <w:fldChar w:fldCharType="separate"/>
        </w:r>
        <w:r w:rsidR="004E5722">
          <w:rPr>
            <w:noProof/>
            <w:webHidden/>
          </w:rPr>
          <w:t>9</w:t>
        </w:r>
        <w:r w:rsidR="00E9238E">
          <w:rPr>
            <w:noProof/>
            <w:webHidden/>
          </w:rPr>
          <w:fldChar w:fldCharType="end"/>
        </w:r>
      </w:hyperlink>
    </w:p>
    <w:p w14:paraId="63D4FCF6" w14:textId="744DCBB3"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39" w:history="1">
        <w:r w:rsidR="00E9238E" w:rsidRPr="00DF77B1">
          <w:rPr>
            <w:rStyle w:val="Hyperlink"/>
            <w:noProof/>
          </w:rPr>
          <w:t>List of Tables</w:t>
        </w:r>
        <w:r w:rsidR="00E9238E">
          <w:rPr>
            <w:noProof/>
            <w:webHidden/>
          </w:rPr>
          <w:tab/>
        </w:r>
        <w:r w:rsidR="00E9238E">
          <w:rPr>
            <w:noProof/>
            <w:webHidden/>
          </w:rPr>
          <w:fldChar w:fldCharType="begin"/>
        </w:r>
        <w:r w:rsidR="00E9238E">
          <w:rPr>
            <w:noProof/>
            <w:webHidden/>
          </w:rPr>
          <w:instrText xml:space="preserve"> PAGEREF _Toc110870939 \h </w:instrText>
        </w:r>
        <w:r w:rsidR="00E9238E">
          <w:rPr>
            <w:noProof/>
            <w:webHidden/>
          </w:rPr>
        </w:r>
        <w:r w:rsidR="00E9238E">
          <w:rPr>
            <w:noProof/>
            <w:webHidden/>
          </w:rPr>
          <w:fldChar w:fldCharType="separate"/>
        </w:r>
        <w:r w:rsidR="004E5722">
          <w:rPr>
            <w:noProof/>
            <w:webHidden/>
          </w:rPr>
          <w:t>13</w:t>
        </w:r>
        <w:r w:rsidR="00E9238E">
          <w:rPr>
            <w:noProof/>
            <w:webHidden/>
          </w:rPr>
          <w:fldChar w:fldCharType="end"/>
        </w:r>
      </w:hyperlink>
    </w:p>
    <w:p w14:paraId="7CF94D9E" w14:textId="140CB30D"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40" w:history="1">
        <w:r w:rsidR="00E9238E" w:rsidRPr="00DF77B1">
          <w:rPr>
            <w:rStyle w:val="Hyperlink"/>
            <w:noProof/>
          </w:rPr>
          <w:t>List of Figures</w:t>
        </w:r>
        <w:r w:rsidR="00E9238E">
          <w:rPr>
            <w:noProof/>
            <w:webHidden/>
          </w:rPr>
          <w:tab/>
        </w:r>
        <w:r w:rsidR="00E9238E">
          <w:rPr>
            <w:noProof/>
            <w:webHidden/>
          </w:rPr>
          <w:fldChar w:fldCharType="begin"/>
        </w:r>
        <w:r w:rsidR="00E9238E">
          <w:rPr>
            <w:noProof/>
            <w:webHidden/>
          </w:rPr>
          <w:instrText xml:space="preserve"> PAGEREF _Toc110870940 \h </w:instrText>
        </w:r>
        <w:r w:rsidR="00E9238E">
          <w:rPr>
            <w:noProof/>
            <w:webHidden/>
          </w:rPr>
        </w:r>
        <w:r w:rsidR="00E9238E">
          <w:rPr>
            <w:noProof/>
            <w:webHidden/>
          </w:rPr>
          <w:fldChar w:fldCharType="separate"/>
        </w:r>
        <w:r w:rsidR="004E5722">
          <w:rPr>
            <w:noProof/>
            <w:webHidden/>
          </w:rPr>
          <w:t>14</w:t>
        </w:r>
        <w:r w:rsidR="00E9238E">
          <w:rPr>
            <w:noProof/>
            <w:webHidden/>
          </w:rPr>
          <w:fldChar w:fldCharType="end"/>
        </w:r>
      </w:hyperlink>
    </w:p>
    <w:p w14:paraId="0323A7F4" w14:textId="4A29CCAB"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41" w:history="1">
        <w:r w:rsidR="00E9238E" w:rsidRPr="00DF77B1">
          <w:rPr>
            <w:rStyle w:val="Hyperlink"/>
            <w:noProof/>
          </w:rPr>
          <w:t>Chapter 1: General introduction</w:t>
        </w:r>
        <w:r w:rsidR="00E9238E">
          <w:rPr>
            <w:noProof/>
            <w:webHidden/>
          </w:rPr>
          <w:tab/>
        </w:r>
        <w:r w:rsidR="00E9238E">
          <w:rPr>
            <w:noProof/>
            <w:webHidden/>
          </w:rPr>
          <w:fldChar w:fldCharType="begin"/>
        </w:r>
        <w:r w:rsidR="00E9238E">
          <w:rPr>
            <w:noProof/>
            <w:webHidden/>
          </w:rPr>
          <w:instrText xml:space="preserve"> PAGEREF _Toc110870941 \h </w:instrText>
        </w:r>
        <w:r w:rsidR="00E9238E">
          <w:rPr>
            <w:noProof/>
            <w:webHidden/>
          </w:rPr>
        </w:r>
        <w:r w:rsidR="00E9238E">
          <w:rPr>
            <w:noProof/>
            <w:webHidden/>
          </w:rPr>
          <w:fldChar w:fldCharType="separate"/>
        </w:r>
        <w:r w:rsidR="004E5722">
          <w:rPr>
            <w:noProof/>
            <w:webHidden/>
          </w:rPr>
          <w:t>17</w:t>
        </w:r>
        <w:r w:rsidR="00E9238E">
          <w:rPr>
            <w:noProof/>
            <w:webHidden/>
          </w:rPr>
          <w:fldChar w:fldCharType="end"/>
        </w:r>
      </w:hyperlink>
    </w:p>
    <w:p w14:paraId="09EEF15E" w14:textId="7A521BBB"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2" w:history="1">
        <w:r w:rsidR="00E9238E" w:rsidRPr="00DF77B1">
          <w:rPr>
            <w:rStyle w:val="Hyperlink"/>
            <w:noProof/>
          </w:rPr>
          <w:t>1.1. Substance use and addiction: Statistics, prevalence, and consequences</w:t>
        </w:r>
        <w:r w:rsidR="00E9238E">
          <w:rPr>
            <w:noProof/>
            <w:webHidden/>
          </w:rPr>
          <w:tab/>
        </w:r>
        <w:r w:rsidR="00E9238E">
          <w:rPr>
            <w:noProof/>
            <w:webHidden/>
          </w:rPr>
          <w:fldChar w:fldCharType="begin"/>
        </w:r>
        <w:r w:rsidR="00E9238E">
          <w:rPr>
            <w:noProof/>
            <w:webHidden/>
          </w:rPr>
          <w:instrText xml:space="preserve"> PAGEREF _Toc110870942 \h </w:instrText>
        </w:r>
        <w:r w:rsidR="00E9238E">
          <w:rPr>
            <w:noProof/>
            <w:webHidden/>
          </w:rPr>
        </w:r>
        <w:r w:rsidR="00E9238E">
          <w:rPr>
            <w:noProof/>
            <w:webHidden/>
          </w:rPr>
          <w:fldChar w:fldCharType="separate"/>
        </w:r>
        <w:r w:rsidR="004E5722">
          <w:rPr>
            <w:noProof/>
            <w:webHidden/>
          </w:rPr>
          <w:t>18</w:t>
        </w:r>
        <w:r w:rsidR="00E9238E">
          <w:rPr>
            <w:noProof/>
            <w:webHidden/>
          </w:rPr>
          <w:fldChar w:fldCharType="end"/>
        </w:r>
      </w:hyperlink>
    </w:p>
    <w:p w14:paraId="2EAE5FB2" w14:textId="5DF88963"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3" w:history="1">
        <w:r w:rsidR="00E9238E" w:rsidRPr="00DF77B1">
          <w:rPr>
            <w:rStyle w:val="Hyperlink"/>
            <w:noProof/>
          </w:rPr>
          <w:t>1.2. Addiction: Definitions and diagnosis</w:t>
        </w:r>
        <w:r w:rsidR="00E9238E">
          <w:rPr>
            <w:noProof/>
            <w:webHidden/>
          </w:rPr>
          <w:tab/>
        </w:r>
        <w:r w:rsidR="00E9238E">
          <w:rPr>
            <w:noProof/>
            <w:webHidden/>
          </w:rPr>
          <w:fldChar w:fldCharType="begin"/>
        </w:r>
        <w:r w:rsidR="00E9238E">
          <w:rPr>
            <w:noProof/>
            <w:webHidden/>
          </w:rPr>
          <w:instrText xml:space="preserve"> PAGEREF _Toc110870943 \h </w:instrText>
        </w:r>
        <w:r w:rsidR="00E9238E">
          <w:rPr>
            <w:noProof/>
            <w:webHidden/>
          </w:rPr>
        </w:r>
        <w:r w:rsidR="00E9238E">
          <w:rPr>
            <w:noProof/>
            <w:webHidden/>
          </w:rPr>
          <w:fldChar w:fldCharType="separate"/>
        </w:r>
        <w:r w:rsidR="004E5722">
          <w:rPr>
            <w:noProof/>
            <w:webHidden/>
          </w:rPr>
          <w:t>20</w:t>
        </w:r>
        <w:r w:rsidR="00E9238E">
          <w:rPr>
            <w:noProof/>
            <w:webHidden/>
          </w:rPr>
          <w:fldChar w:fldCharType="end"/>
        </w:r>
      </w:hyperlink>
    </w:p>
    <w:p w14:paraId="7299F124" w14:textId="0FD84DD8"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4" w:history="1">
        <w:r w:rsidR="00E9238E" w:rsidRPr="00DF77B1">
          <w:rPr>
            <w:rStyle w:val="Hyperlink"/>
            <w:noProof/>
          </w:rPr>
          <w:t>1.3. Behaviour change, recovery, and treatment</w:t>
        </w:r>
        <w:r w:rsidR="00E9238E">
          <w:rPr>
            <w:noProof/>
            <w:webHidden/>
          </w:rPr>
          <w:tab/>
        </w:r>
        <w:r w:rsidR="00E9238E">
          <w:rPr>
            <w:noProof/>
            <w:webHidden/>
          </w:rPr>
          <w:fldChar w:fldCharType="begin"/>
        </w:r>
        <w:r w:rsidR="00E9238E">
          <w:rPr>
            <w:noProof/>
            <w:webHidden/>
          </w:rPr>
          <w:instrText xml:space="preserve"> PAGEREF _Toc110870944 \h </w:instrText>
        </w:r>
        <w:r w:rsidR="00E9238E">
          <w:rPr>
            <w:noProof/>
            <w:webHidden/>
          </w:rPr>
        </w:r>
        <w:r w:rsidR="00E9238E">
          <w:rPr>
            <w:noProof/>
            <w:webHidden/>
          </w:rPr>
          <w:fldChar w:fldCharType="separate"/>
        </w:r>
        <w:r w:rsidR="004E5722">
          <w:rPr>
            <w:noProof/>
            <w:webHidden/>
          </w:rPr>
          <w:t>25</w:t>
        </w:r>
        <w:r w:rsidR="00E9238E">
          <w:rPr>
            <w:noProof/>
            <w:webHidden/>
          </w:rPr>
          <w:fldChar w:fldCharType="end"/>
        </w:r>
      </w:hyperlink>
    </w:p>
    <w:p w14:paraId="16C4D998" w14:textId="3F032040"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5" w:history="1">
        <w:r w:rsidR="00E9238E" w:rsidRPr="00DF77B1">
          <w:rPr>
            <w:rStyle w:val="Hyperlink"/>
            <w:noProof/>
          </w:rPr>
          <w:t>1.4. Substance use is goal-directed, even in people who are ‘addicted’</w:t>
        </w:r>
        <w:r w:rsidR="00E9238E">
          <w:rPr>
            <w:noProof/>
            <w:webHidden/>
          </w:rPr>
          <w:tab/>
        </w:r>
        <w:r w:rsidR="00E9238E">
          <w:rPr>
            <w:noProof/>
            <w:webHidden/>
          </w:rPr>
          <w:fldChar w:fldCharType="begin"/>
        </w:r>
        <w:r w:rsidR="00E9238E">
          <w:rPr>
            <w:noProof/>
            <w:webHidden/>
          </w:rPr>
          <w:instrText xml:space="preserve"> PAGEREF _Toc110870945 \h </w:instrText>
        </w:r>
        <w:r w:rsidR="00E9238E">
          <w:rPr>
            <w:noProof/>
            <w:webHidden/>
          </w:rPr>
        </w:r>
        <w:r w:rsidR="00E9238E">
          <w:rPr>
            <w:noProof/>
            <w:webHidden/>
          </w:rPr>
          <w:fldChar w:fldCharType="separate"/>
        </w:r>
        <w:r w:rsidR="004E5722">
          <w:rPr>
            <w:noProof/>
            <w:webHidden/>
          </w:rPr>
          <w:t>30</w:t>
        </w:r>
        <w:r w:rsidR="00E9238E">
          <w:rPr>
            <w:noProof/>
            <w:webHidden/>
          </w:rPr>
          <w:fldChar w:fldCharType="end"/>
        </w:r>
      </w:hyperlink>
    </w:p>
    <w:p w14:paraId="18DC607B" w14:textId="7025649C"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6" w:history="1">
        <w:r w:rsidR="00E9238E" w:rsidRPr="00DF77B1">
          <w:rPr>
            <w:rStyle w:val="Hyperlink"/>
            <w:noProof/>
          </w:rPr>
          <w:t>1.5. Behavioural economic theories of addiction</w:t>
        </w:r>
        <w:r w:rsidR="00E9238E">
          <w:rPr>
            <w:noProof/>
            <w:webHidden/>
          </w:rPr>
          <w:tab/>
        </w:r>
        <w:r w:rsidR="00E9238E">
          <w:rPr>
            <w:noProof/>
            <w:webHidden/>
          </w:rPr>
          <w:fldChar w:fldCharType="begin"/>
        </w:r>
        <w:r w:rsidR="00E9238E">
          <w:rPr>
            <w:noProof/>
            <w:webHidden/>
          </w:rPr>
          <w:instrText xml:space="preserve"> PAGEREF _Toc110870946 \h </w:instrText>
        </w:r>
        <w:r w:rsidR="00E9238E">
          <w:rPr>
            <w:noProof/>
            <w:webHidden/>
          </w:rPr>
        </w:r>
        <w:r w:rsidR="00E9238E">
          <w:rPr>
            <w:noProof/>
            <w:webHidden/>
          </w:rPr>
          <w:fldChar w:fldCharType="separate"/>
        </w:r>
        <w:r w:rsidR="004E5722">
          <w:rPr>
            <w:noProof/>
            <w:webHidden/>
          </w:rPr>
          <w:t>33</w:t>
        </w:r>
        <w:r w:rsidR="00E9238E">
          <w:rPr>
            <w:noProof/>
            <w:webHidden/>
          </w:rPr>
          <w:fldChar w:fldCharType="end"/>
        </w:r>
      </w:hyperlink>
    </w:p>
    <w:p w14:paraId="596E145E" w14:textId="1FFD5C55"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7" w:history="1">
        <w:r w:rsidR="00E9238E" w:rsidRPr="00DF77B1">
          <w:rPr>
            <w:rStyle w:val="Hyperlink"/>
            <w:noProof/>
          </w:rPr>
          <w:t>1.6. Value-based decision-making (VBDM) as a theoretical framework for behaviour change and recovery from addiction</w:t>
        </w:r>
        <w:r w:rsidR="00E9238E">
          <w:rPr>
            <w:noProof/>
            <w:webHidden/>
          </w:rPr>
          <w:tab/>
        </w:r>
        <w:r w:rsidR="00E9238E">
          <w:rPr>
            <w:noProof/>
            <w:webHidden/>
          </w:rPr>
          <w:fldChar w:fldCharType="begin"/>
        </w:r>
        <w:r w:rsidR="00E9238E">
          <w:rPr>
            <w:noProof/>
            <w:webHidden/>
          </w:rPr>
          <w:instrText xml:space="preserve"> PAGEREF _Toc110870947 \h </w:instrText>
        </w:r>
        <w:r w:rsidR="00E9238E">
          <w:rPr>
            <w:noProof/>
            <w:webHidden/>
          </w:rPr>
        </w:r>
        <w:r w:rsidR="00E9238E">
          <w:rPr>
            <w:noProof/>
            <w:webHidden/>
          </w:rPr>
          <w:fldChar w:fldCharType="separate"/>
        </w:r>
        <w:r w:rsidR="004E5722">
          <w:rPr>
            <w:noProof/>
            <w:webHidden/>
          </w:rPr>
          <w:t>40</w:t>
        </w:r>
        <w:r w:rsidR="00E9238E">
          <w:rPr>
            <w:noProof/>
            <w:webHidden/>
          </w:rPr>
          <w:fldChar w:fldCharType="end"/>
        </w:r>
      </w:hyperlink>
    </w:p>
    <w:p w14:paraId="6F103123" w14:textId="0D57CC9E"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8" w:history="1">
        <w:r w:rsidR="00E9238E" w:rsidRPr="00DF77B1">
          <w:rPr>
            <w:rStyle w:val="Hyperlink"/>
            <w:noProof/>
          </w:rPr>
          <w:t>1.7. Self-control: What role does this play in VBDM?</w:t>
        </w:r>
        <w:r w:rsidR="00E9238E">
          <w:rPr>
            <w:noProof/>
            <w:webHidden/>
          </w:rPr>
          <w:tab/>
        </w:r>
        <w:r w:rsidR="00E9238E">
          <w:rPr>
            <w:noProof/>
            <w:webHidden/>
          </w:rPr>
          <w:fldChar w:fldCharType="begin"/>
        </w:r>
        <w:r w:rsidR="00E9238E">
          <w:rPr>
            <w:noProof/>
            <w:webHidden/>
          </w:rPr>
          <w:instrText xml:space="preserve"> PAGEREF _Toc110870948 \h </w:instrText>
        </w:r>
        <w:r w:rsidR="00E9238E">
          <w:rPr>
            <w:noProof/>
            <w:webHidden/>
          </w:rPr>
        </w:r>
        <w:r w:rsidR="00E9238E">
          <w:rPr>
            <w:noProof/>
            <w:webHidden/>
          </w:rPr>
          <w:fldChar w:fldCharType="separate"/>
        </w:r>
        <w:r w:rsidR="004E5722">
          <w:rPr>
            <w:noProof/>
            <w:webHidden/>
          </w:rPr>
          <w:t>47</w:t>
        </w:r>
        <w:r w:rsidR="00E9238E">
          <w:rPr>
            <w:noProof/>
            <w:webHidden/>
          </w:rPr>
          <w:fldChar w:fldCharType="end"/>
        </w:r>
      </w:hyperlink>
    </w:p>
    <w:p w14:paraId="5B3A077F" w14:textId="5B72E317"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49" w:history="1">
        <w:r w:rsidR="00E9238E" w:rsidRPr="00DF77B1">
          <w:rPr>
            <w:rStyle w:val="Hyperlink"/>
            <w:noProof/>
          </w:rPr>
          <w:t>1.8. Where is the research gap and why is this PhD important?</w:t>
        </w:r>
        <w:r w:rsidR="00E9238E">
          <w:rPr>
            <w:noProof/>
            <w:webHidden/>
          </w:rPr>
          <w:tab/>
        </w:r>
        <w:r w:rsidR="00E9238E">
          <w:rPr>
            <w:noProof/>
            <w:webHidden/>
          </w:rPr>
          <w:fldChar w:fldCharType="begin"/>
        </w:r>
        <w:r w:rsidR="00E9238E">
          <w:rPr>
            <w:noProof/>
            <w:webHidden/>
          </w:rPr>
          <w:instrText xml:space="preserve"> PAGEREF _Toc110870949 \h </w:instrText>
        </w:r>
        <w:r w:rsidR="00E9238E">
          <w:rPr>
            <w:noProof/>
            <w:webHidden/>
          </w:rPr>
        </w:r>
        <w:r w:rsidR="00E9238E">
          <w:rPr>
            <w:noProof/>
            <w:webHidden/>
          </w:rPr>
          <w:fldChar w:fldCharType="separate"/>
        </w:r>
        <w:r w:rsidR="004E5722">
          <w:rPr>
            <w:noProof/>
            <w:webHidden/>
          </w:rPr>
          <w:t>49</w:t>
        </w:r>
        <w:r w:rsidR="00E9238E">
          <w:rPr>
            <w:noProof/>
            <w:webHidden/>
          </w:rPr>
          <w:fldChar w:fldCharType="end"/>
        </w:r>
      </w:hyperlink>
    </w:p>
    <w:p w14:paraId="5C3E6FAC" w14:textId="5AC1FC6A"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50" w:history="1">
        <w:r w:rsidR="00E9238E" w:rsidRPr="00DF77B1">
          <w:rPr>
            <w:rStyle w:val="Hyperlink"/>
            <w:noProof/>
          </w:rPr>
          <w:t>1.8.1. Core PhD aims:</w:t>
        </w:r>
        <w:r w:rsidR="00E9238E">
          <w:rPr>
            <w:noProof/>
            <w:webHidden/>
          </w:rPr>
          <w:tab/>
        </w:r>
        <w:r w:rsidR="00E9238E">
          <w:rPr>
            <w:noProof/>
            <w:webHidden/>
          </w:rPr>
          <w:fldChar w:fldCharType="begin"/>
        </w:r>
        <w:r w:rsidR="00E9238E">
          <w:rPr>
            <w:noProof/>
            <w:webHidden/>
          </w:rPr>
          <w:instrText xml:space="preserve"> PAGEREF _Toc110870950 \h </w:instrText>
        </w:r>
        <w:r w:rsidR="00E9238E">
          <w:rPr>
            <w:noProof/>
            <w:webHidden/>
          </w:rPr>
        </w:r>
        <w:r w:rsidR="00E9238E">
          <w:rPr>
            <w:noProof/>
            <w:webHidden/>
          </w:rPr>
          <w:fldChar w:fldCharType="separate"/>
        </w:r>
        <w:r w:rsidR="004E5722">
          <w:rPr>
            <w:noProof/>
            <w:webHidden/>
          </w:rPr>
          <w:t>50</w:t>
        </w:r>
        <w:r w:rsidR="00E9238E">
          <w:rPr>
            <w:noProof/>
            <w:webHidden/>
          </w:rPr>
          <w:fldChar w:fldCharType="end"/>
        </w:r>
      </w:hyperlink>
    </w:p>
    <w:p w14:paraId="624EFFD6" w14:textId="3A22DE16"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51" w:history="1">
        <w:r w:rsidR="00E9238E" w:rsidRPr="00DF77B1">
          <w:rPr>
            <w:rStyle w:val="Hyperlink"/>
            <w:noProof/>
          </w:rPr>
          <w:t>Chapter 2: Meaning in life: Investigating protective and risk factors for harmful alcohol consumption</w:t>
        </w:r>
        <w:r w:rsidR="00E9238E">
          <w:rPr>
            <w:noProof/>
            <w:webHidden/>
          </w:rPr>
          <w:tab/>
        </w:r>
        <w:r w:rsidR="00E9238E">
          <w:rPr>
            <w:noProof/>
            <w:webHidden/>
          </w:rPr>
          <w:fldChar w:fldCharType="begin"/>
        </w:r>
        <w:r w:rsidR="00E9238E">
          <w:rPr>
            <w:noProof/>
            <w:webHidden/>
          </w:rPr>
          <w:instrText xml:space="preserve"> PAGEREF _Toc110870951 \h </w:instrText>
        </w:r>
        <w:r w:rsidR="00E9238E">
          <w:rPr>
            <w:noProof/>
            <w:webHidden/>
          </w:rPr>
        </w:r>
        <w:r w:rsidR="00E9238E">
          <w:rPr>
            <w:noProof/>
            <w:webHidden/>
          </w:rPr>
          <w:fldChar w:fldCharType="separate"/>
        </w:r>
        <w:r w:rsidR="004E5722">
          <w:rPr>
            <w:noProof/>
            <w:webHidden/>
          </w:rPr>
          <w:t>51</w:t>
        </w:r>
        <w:r w:rsidR="00E9238E">
          <w:rPr>
            <w:noProof/>
            <w:webHidden/>
          </w:rPr>
          <w:fldChar w:fldCharType="end"/>
        </w:r>
      </w:hyperlink>
    </w:p>
    <w:p w14:paraId="0BB9933B" w14:textId="58111B9B"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2"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_Toc110870952 \h </w:instrText>
        </w:r>
        <w:r w:rsidR="00E9238E">
          <w:rPr>
            <w:noProof/>
            <w:webHidden/>
          </w:rPr>
        </w:r>
        <w:r w:rsidR="00E9238E">
          <w:rPr>
            <w:noProof/>
            <w:webHidden/>
          </w:rPr>
          <w:fldChar w:fldCharType="separate"/>
        </w:r>
        <w:r w:rsidR="004E5722">
          <w:rPr>
            <w:noProof/>
            <w:webHidden/>
          </w:rPr>
          <w:t>52</w:t>
        </w:r>
        <w:r w:rsidR="00E9238E">
          <w:rPr>
            <w:noProof/>
            <w:webHidden/>
          </w:rPr>
          <w:fldChar w:fldCharType="end"/>
        </w:r>
      </w:hyperlink>
    </w:p>
    <w:p w14:paraId="6951F3C8" w14:textId="3EA82D49"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3" w:history="1">
        <w:r w:rsidR="00E9238E" w:rsidRPr="00DF77B1">
          <w:rPr>
            <w:rStyle w:val="Hyperlink"/>
            <w:rFonts w:cs="Times New Roman"/>
            <w:noProof/>
          </w:rPr>
          <w:t>2.1. Introduction</w:t>
        </w:r>
        <w:r w:rsidR="00E9238E">
          <w:rPr>
            <w:noProof/>
            <w:webHidden/>
          </w:rPr>
          <w:tab/>
        </w:r>
        <w:r w:rsidR="00E9238E">
          <w:rPr>
            <w:noProof/>
            <w:webHidden/>
          </w:rPr>
          <w:fldChar w:fldCharType="begin"/>
        </w:r>
        <w:r w:rsidR="00E9238E">
          <w:rPr>
            <w:noProof/>
            <w:webHidden/>
          </w:rPr>
          <w:instrText xml:space="preserve"> PAGEREF _Toc110870953 \h </w:instrText>
        </w:r>
        <w:r w:rsidR="00E9238E">
          <w:rPr>
            <w:noProof/>
            <w:webHidden/>
          </w:rPr>
        </w:r>
        <w:r w:rsidR="00E9238E">
          <w:rPr>
            <w:noProof/>
            <w:webHidden/>
          </w:rPr>
          <w:fldChar w:fldCharType="separate"/>
        </w:r>
        <w:r w:rsidR="004E5722">
          <w:rPr>
            <w:noProof/>
            <w:webHidden/>
          </w:rPr>
          <w:t>53</w:t>
        </w:r>
        <w:r w:rsidR="00E9238E">
          <w:rPr>
            <w:noProof/>
            <w:webHidden/>
          </w:rPr>
          <w:fldChar w:fldCharType="end"/>
        </w:r>
      </w:hyperlink>
    </w:p>
    <w:p w14:paraId="08022616" w14:textId="692D5006"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4" w:history="1">
        <w:r w:rsidR="00E9238E" w:rsidRPr="00DF77B1">
          <w:rPr>
            <w:rStyle w:val="Hyperlink"/>
            <w:noProof/>
          </w:rPr>
          <w:t>2.2. Method</w:t>
        </w:r>
        <w:r w:rsidR="00E9238E">
          <w:rPr>
            <w:noProof/>
            <w:webHidden/>
          </w:rPr>
          <w:tab/>
        </w:r>
        <w:r w:rsidR="00E9238E">
          <w:rPr>
            <w:noProof/>
            <w:webHidden/>
          </w:rPr>
          <w:fldChar w:fldCharType="begin"/>
        </w:r>
        <w:r w:rsidR="00E9238E">
          <w:rPr>
            <w:noProof/>
            <w:webHidden/>
          </w:rPr>
          <w:instrText xml:space="preserve"> PAGEREF _Toc110870954 \h </w:instrText>
        </w:r>
        <w:r w:rsidR="00E9238E">
          <w:rPr>
            <w:noProof/>
            <w:webHidden/>
          </w:rPr>
        </w:r>
        <w:r w:rsidR="00E9238E">
          <w:rPr>
            <w:noProof/>
            <w:webHidden/>
          </w:rPr>
          <w:fldChar w:fldCharType="separate"/>
        </w:r>
        <w:r w:rsidR="004E5722">
          <w:rPr>
            <w:noProof/>
            <w:webHidden/>
          </w:rPr>
          <w:t>57</w:t>
        </w:r>
        <w:r w:rsidR="00E9238E">
          <w:rPr>
            <w:noProof/>
            <w:webHidden/>
          </w:rPr>
          <w:fldChar w:fldCharType="end"/>
        </w:r>
      </w:hyperlink>
    </w:p>
    <w:p w14:paraId="557BD915" w14:textId="33BCCFA4"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5" w:history="1">
        <w:r w:rsidR="00E9238E" w:rsidRPr="00DF77B1">
          <w:rPr>
            <w:rStyle w:val="Hyperlink"/>
            <w:noProof/>
          </w:rPr>
          <w:t>2.3. Results</w:t>
        </w:r>
        <w:r w:rsidR="00E9238E">
          <w:rPr>
            <w:noProof/>
            <w:webHidden/>
          </w:rPr>
          <w:tab/>
        </w:r>
        <w:r w:rsidR="00E9238E">
          <w:rPr>
            <w:noProof/>
            <w:webHidden/>
          </w:rPr>
          <w:fldChar w:fldCharType="begin"/>
        </w:r>
        <w:r w:rsidR="00E9238E">
          <w:rPr>
            <w:noProof/>
            <w:webHidden/>
          </w:rPr>
          <w:instrText xml:space="preserve"> PAGEREF _Toc110870955 \h </w:instrText>
        </w:r>
        <w:r w:rsidR="00E9238E">
          <w:rPr>
            <w:noProof/>
            <w:webHidden/>
          </w:rPr>
        </w:r>
        <w:r w:rsidR="00E9238E">
          <w:rPr>
            <w:noProof/>
            <w:webHidden/>
          </w:rPr>
          <w:fldChar w:fldCharType="separate"/>
        </w:r>
        <w:r w:rsidR="004E5722">
          <w:rPr>
            <w:noProof/>
            <w:webHidden/>
          </w:rPr>
          <w:t>62</w:t>
        </w:r>
        <w:r w:rsidR="00E9238E">
          <w:rPr>
            <w:noProof/>
            <w:webHidden/>
          </w:rPr>
          <w:fldChar w:fldCharType="end"/>
        </w:r>
      </w:hyperlink>
    </w:p>
    <w:p w14:paraId="0B43D239" w14:textId="7BE66FAD"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6" w:history="1">
        <w:r w:rsidR="00E9238E" w:rsidRPr="00DF77B1">
          <w:rPr>
            <w:rStyle w:val="Hyperlink"/>
            <w:noProof/>
          </w:rPr>
          <w:t>2.4. Discussion</w:t>
        </w:r>
        <w:r w:rsidR="00E9238E">
          <w:rPr>
            <w:noProof/>
            <w:webHidden/>
          </w:rPr>
          <w:tab/>
        </w:r>
        <w:r w:rsidR="00E9238E">
          <w:rPr>
            <w:noProof/>
            <w:webHidden/>
          </w:rPr>
          <w:fldChar w:fldCharType="begin"/>
        </w:r>
        <w:r w:rsidR="00E9238E">
          <w:rPr>
            <w:noProof/>
            <w:webHidden/>
          </w:rPr>
          <w:instrText xml:space="preserve"> PAGEREF _Toc110870956 \h </w:instrText>
        </w:r>
        <w:r w:rsidR="00E9238E">
          <w:rPr>
            <w:noProof/>
            <w:webHidden/>
          </w:rPr>
        </w:r>
        <w:r w:rsidR="00E9238E">
          <w:rPr>
            <w:noProof/>
            <w:webHidden/>
          </w:rPr>
          <w:fldChar w:fldCharType="separate"/>
        </w:r>
        <w:r w:rsidR="004E5722">
          <w:rPr>
            <w:noProof/>
            <w:webHidden/>
          </w:rPr>
          <w:t>68</w:t>
        </w:r>
        <w:r w:rsidR="00E9238E">
          <w:rPr>
            <w:noProof/>
            <w:webHidden/>
          </w:rPr>
          <w:fldChar w:fldCharType="end"/>
        </w:r>
      </w:hyperlink>
    </w:p>
    <w:p w14:paraId="43E49525" w14:textId="78130689"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57" w:history="1">
        <w:r w:rsidR="00E9238E" w:rsidRPr="00DF77B1">
          <w:rPr>
            <w:rStyle w:val="Hyperlink"/>
            <w:noProof/>
          </w:rPr>
          <w:t>Chapter 3: Methodological issues with value-based decision-making (VBDM) tasks: the effect of trial wording on evidence accumulation (EA) outputs from the EZ drift-diffusion model</w:t>
        </w:r>
        <w:r w:rsidR="00E9238E">
          <w:rPr>
            <w:noProof/>
            <w:webHidden/>
          </w:rPr>
          <w:tab/>
        </w:r>
        <w:r w:rsidR="00E9238E">
          <w:rPr>
            <w:noProof/>
            <w:webHidden/>
          </w:rPr>
          <w:fldChar w:fldCharType="begin"/>
        </w:r>
        <w:r w:rsidR="00E9238E">
          <w:rPr>
            <w:noProof/>
            <w:webHidden/>
          </w:rPr>
          <w:instrText xml:space="preserve"> PAGEREF _Toc110870957 \h </w:instrText>
        </w:r>
        <w:r w:rsidR="00E9238E">
          <w:rPr>
            <w:noProof/>
            <w:webHidden/>
          </w:rPr>
        </w:r>
        <w:r w:rsidR="00E9238E">
          <w:rPr>
            <w:noProof/>
            <w:webHidden/>
          </w:rPr>
          <w:fldChar w:fldCharType="separate"/>
        </w:r>
        <w:r w:rsidR="004E5722">
          <w:rPr>
            <w:noProof/>
            <w:webHidden/>
          </w:rPr>
          <w:t>74</w:t>
        </w:r>
        <w:r w:rsidR="00E9238E">
          <w:rPr>
            <w:noProof/>
            <w:webHidden/>
          </w:rPr>
          <w:fldChar w:fldCharType="end"/>
        </w:r>
      </w:hyperlink>
    </w:p>
    <w:p w14:paraId="333A8E60" w14:textId="3C240AA7"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8"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_Toc110870958 \h </w:instrText>
        </w:r>
        <w:r w:rsidR="00E9238E">
          <w:rPr>
            <w:noProof/>
            <w:webHidden/>
          </w:rPr>
        </w:r>
        <w:r w:rsidR="00E9238E">
          <w:rPr>
            <w:noProof/>
            <w:webHidden/>
          </w:rPr>
          <w:fldChar w:fldCharType="separate"/>
        </w:r>
        <w:r w:rsidR="004E5722">
          <w:rPr>
            <w:noProof/>
            <w:webHidden/>
          </w:rPr>
          <w:t>75</w:t>
        </w:r>
        <w:r w:rsidR="00E9238E">
          <w:rPr>
            <w:noProof/>
            <w:webHidden/>
          </w:rPr>
          <w:fldChar w:fldCharType="end"/>
        </w:r>
      </w:hyperlink>
    </w:p>
    <w:p w14:paraId="6874BBDC" w14:textId="5DCB49B0"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59" w:history="1">
        <w:r w:rsidR="00E9238E" w:rsidRPr="00DF77B1">
          <w:rPr>
            <w:rStyle w:val="Hyperlink"/>
            <w:noProof/>
          </w:rPr>
          <w:t>3.1. Introduction</w:t>
        </w:r>
        <w:r w:rsidR="00E9238E">
          <w:rPr>
            <w:noProof/>
            <w:webHidden/>
          </w:rPr>
          <w:tab/>
        </w:r>
        <w:r w:rsidR="00E9238E">
          <w:rPr>
            <w:noProof/>
            <w:webHidden/>
          </w:rPr>
          <w:fldChar w:fldCharType="begin"/>
        </w:r>
        <w:r w:rsidR="00E9238E">
          <w:rPr>
            <w:noProof/>
            <w:webHidden/>
          </w:rPr>
          <w:instrText xml:space="preserve"> PAGEREF _Toc110870959 \h </w:instrText>
        </w:r>
        <w:r w:rsidR="00E9238E">
          <w:rPr>
            <w:noProof/>
            <w:webHidden/>
          </w:rPr>
        </w:r>
        <w:r w:rsidR="00E9238E">
          <w:rPr>
            <w:noProof/>
            <w:webHidden/>
          </w:rPr>
          <w:fldChar w:fldCharType="separate"/>
        </w:r>
        <w:r w:rsidR="004E5722">
          <w:rPr>
            <w:noProof/>
            <w:webHidden/>
          </w:rPr>
          <w:t>76</w:t>
        </w:r>
        <w:r w:rsidR="00E9238E">
          <w:rPr>
            <w:noProof/>
            <w:webHidden/>
          </w:rPr>
          <w:fldChar w:fldCharType="end"/>
        </w:r>
      </w:hyperlink>
    </w:p>
    <w:p w14:paraId="6157CF98" w14:textId="7AB81197"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0" w:history="1">
        <w:r w:rsidR="00E9238E" w:rsidRPr="00DF77B1">
          <w:rPr>
            <w:rStyle w:val="Hyperlink"/>
            <w:noProof/>
          </w:rPr>
          <w:t>3.2. Methods</w:t>
        </w:r>
        <w:r w:rsidR="00E9238E">
          <w:rPr>
            <w:noProof/>
            <w:webHidden/>
          </w:rPr>
          <w:tab/>
        </w:r>
        <w:r w:rsidR="00E9238E">
          <w:rPr>
            <w:noProof/>
            <w:webHidden/>
          </w:rPr>
          <w:fldChar w:fldCharType="begin"/>
        </w:r>
        <w:r w:rsidR="00E9238E">
          <w:rPr>
            <w:noProof/>
            <w:webHidden/>
          </w:rPr>
          <w:instrText xml:space="preserve"> PAGEREF _Toc110870960 \h </w:instrText>
        </w:r>
        <w:r w:rsidR="00E9238E">
          <w:rPr>
            <w:noProof/>
            <w:webHidden/>
          </w:rPr>
        </w:r>
        <w:r w:rsidR="00E9238E">
          <w:rPr>
            <w:noProof/>
            <w:webHidden/>
          </w:rPr>
          <w:fldChar w:fldCharType="separate"/>
        </w:r>
        <w:r w:rsidR="004E5722">
          <w:rPr>
            <w:noProof/>
            <w:webHidden/>
          </w:rPr>
          <w:t>79</w:t>
        </w:r>
        <w:r w:rsidR="00E9238E">
          <w:rPr>
            <w:noProof/>
            <w:webHidden/>
          </w:rPr>
          <w:fldChar w:fldCharType="end"/>
        </w:r>
      </w:hyperlink>
    </w:p>
    <w:p w14:paraId="00C3F0E9" w14:textId="30D8F1AD"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1" w:history="1">
        <w:r w:rsidR="00E9238E" w:rsidRPr="00DF77B1">
          <w:rPr>
            <w:rStyle w:val="Hyperlink"/>
            <w:noProof/>
          </w:rPr>
          <w:t>3.3. Results</w:t>
        </w:r>
        <w:r w:rsidR="00E9238E">
          <w:rPr>
            <w:noProof/>
            <w:webHidden/>
          </w:rPr>
          <w:tab/>
        </w:r>
        <w:r w:rsidR="00E9238E">
          <w:rPr>
            <w:noProof/>
            <w:webHidden/>
          </w:rPr>
          <w:fldChar w:fldCharType="begin"/>
        </w:r>
        <w:r w:rsidR="00E9238E">
          <w:rPr>
            <w:noProof/>
            <w:webHidden/>
          </w:rPr>
          <w:instrText xml:space="preserve"> PAGEREF _Toc110870961 \h </w:instrText>
        </w:r>
        <w:r w:rsidR="00E9238E">
          <w:rPr>
            <w:noProof/>
            <w:webHidden/>
          </w:rPr>
        </w:r>
        <w:r w:rsidR="00E9238E">
          <w:rPr>
            <w:noProof/>
            <w:webHidden/>
          </w:rPr>
          <w:fldChar w:fldCharType="separate"/>
        </w:r>
        <w:r w:rsidR="004E5722">
          <w:rPr>
            <w:noProof/>
            <w:webHidden/>
          </w:rPr>
          <w:t>84</w:t>
        </w:r>
        <w:r w:rsidR="00E9238E">
          <w:rPr>
            <w:noProof/>
            <w:webHidden/>
          </w:rPr>
          <w:fldChar w:fldCharType="end"/>
        </w:r>
      </w:hyperlink>
    </w:p>
    <w:p w14:paraId="77FDC354" w14:textId="0982368B"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2" w:history="1">
        <w:r w:rsidR="00E9238E" w:rsidRPr="00DF77B1">
          <w:rPr>
            <w:rStyle w:val="Hyperlink"/>
            <w:noProof/>
          </w:rPr>
          <w:t>3.4. Discussion</w:t>
        </w:r>
        <w:r w:rsidR="00E9238E">
          <w:rPr>
            <w:noProof/>
            <w:webHidden/>
          </w:rPr>
          <w:tab/>
        </w:r>
        <w:r w:rsidR="00E9238E">
          <w:rPr>
            <w:noProof/>
            <w:webHidden/>
          </w:rPr>
          <w:fldChar w:fldCharType="begin"/>
        </w:r>
        <w:r w:rsidR="00E9238E">
          <w:rPr>
            <w:noProof/>
            <w:webHidden/>
          </w:rPr>
          <w:instrText xml:space="preserve"> PAGEREF _Toc110870962 \h </w:instrText>
        </w:r>
        <w:r w:rsidR="00E9238E">
          <w:rPr>
            <w:noProof/>
            <w:webHidden/>
          </w:rPr>
        </w:r>
        <w:r w:rsidR="00E9238E">
          <w:rPr>
            <w:noProof/>
            <w:webHidden/>
          </w:rPr>
          <w:fldChar w:fldCharType="separate"/>
        </w:r>
        <w:r w:rsidR="004E5722">
          <w:rPr>
            <w:noProof/>
            <w:webHidden/>
          </w:rPr>
          <w:t>87</w:t>
        </w:r>
        <w:r w:rsidR="00E9238E">
          <w:rPr>
            <w:noProof/>
            <w:webHidden/>
          </w:rPr>
          <w:fldChar w:fldCharType="end"/>
        </w:r>
      </w:hyperlink>
    </w:p>
    <w:p w14:paraId="5D3B5F8E" w14:textId="54030D70"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63" w:history="1">
        <w:r w:rsidR="00E9238E" w:rsidRPr="00DF77B1">
          <w:rPr>
            <w:rStyle w:val="Hyperlink"/>
            <w:noProof/>
          </w:rPr>
          <w:t>Chapter 4: Modelling value-based decision-making (VBDM) in regular alcohol consumers after experimental manipulation of the value of alcohol</w:t>
        </w:r>
        <w:r w:rsidR="00E9238E">
          <w:rPr>
            <w:noProof/>
            <w:webHidden/>
          </w:rPr>
          <w:tab/>
        </w:r>
        <w:r w:rsidR="00E9238E">
          <w:rPr>
            <w:noProof/>
            <w:webHidden/>
          </w:rPr>
          <w:fldChar w:fldCharType="begin"/>
        </w:r>
        <w:r w:rsidR="00E9238E">
          <w:rPr>
            <w:noProof/>
            <w:webHidden/>
          </w:rPr>
          <w:instrText xml:space="preserve"> PAGEREF _Toc110870963 \h </w:instrText>
        </w:r>
        <w:r w:rsidR="00E9238E">
          <w:rPr>
            <w:noProof/>
            <w:webHidden/>
          </w:rPr>
        </w:r>
        <w:r w:rsidR="00E9238E">
          <w:rPr>
            <w:noProof/>
            <w:webHidden/>
          </w:rPr>
          <w:fldChar w:fldCharType="separate"/>
        </w:r>
        <w:r w:rsidR="004E5722">
          <w:rPr>
            <w:noProof/>
            <w:webHidden/>
          </w:rPr>
          <w:t>90</w:t>
        </w:r>
        <w:r w:rsidR="00E9238E">
          <w:rPr>
            <w:noProof/>
            <w:webHidden/>
          </w:rPr>
          <w:fldChar w:fldCharType="end"/>
        </w:r>
      </w:hyperlink>
    </w:p>
    <w:p w14:paraId="49CDC17F" w14:textId="46704A63"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4"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_Toc110870964 \h </w:instrText>
        </w:r>
        <w:r w:rsidR="00E9238E">
          <w:rPr>
            <w:noProof/>
            <w:webHidden/>
          </w:rPr>
        </w:r>
        <w:r w:rsidR="00E9238E">
          <w:rPr>
            <w:noProof/>
            <w:webHidden/>
          </w:rPr>
          <w:fldChar w:fldCharType="separate"/>
        </w:r>
        <w:r w:rsidR="004E5722">
          <w:rPr>
            <w:noProof/>
            <w:webHidden/>
          </w:rPr>
          <w:t>91</w:t>
        </w:r>
        <w:r w:rsidR="00E9238E">
          <w:rPr>
            <w:noProof/>
            <w:webHidden/>
          </w:rPr>
          <w:fldChar w:fldCharType="end"/>
        </w:r>
      </w:hyperlink>
    </w:p>
    <w:p w14:paraId="75850917" w14:textId="78AA7868"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5" w:history="1">
        <w:r w:rsidR="00E9238E" w:rsidRPr="00DF77B1">
          <w:rPr>
            <w:rStyle w:val="Hyperlink"/>
            <w:noProof/>
          </w:rPr>
          <w:t>4.1. Introduction</w:t>
        </w:r>
        <w:r w:rsidR="00E9238E">
          <w:rPr>
            <w:noProof/>
            <w:webHidden/>
          </w:rPr>
          <w:tab/>
        </w:r>
        <w:r w:rsidR="00E9238E">
          <w:rPr>
            <w:noProof/>
            <w:webHidden/>
          </w:rPr>
          <w:fldChar w:fldCharType="begin"/>
        </w:r>
        <w:r w:rsidR="00E9238E">
          <w:rPr>
            <w:noProof/>
            <w:webHidden/>
          </w:rPr>
          <w:instrText xml:space="preserve"> PAGEREF _Toc110870965 \h </w:instrText>
        </w:r>
        <w:r w:rsidR="00E9238E">
          <w:rPr>
            <w:noProof/>
            <w:webHidden/>
          </w:rPr>
        </w:r>
        <w:r w:rsidR="00E9238E">
          <w:rPr>
            <w:noProof/>
            <w:webHidden/>
          </w:rPr>
          <w:fldChar w:fldCharType="separate"/>
        </w:r>
        <w:r w:rsidR="004E5722">
          <w:rPr>
            <w:noProof/>
            <w:webHidden/>
          </w:rPr>
          <w:t>92</w:t>
        </w:r>
        <w:r w:rsidR="00E9238E">
          <w:rPr>
            <w:noProof/>
            <w:webHidden/>
          </w:rPr>
          <w:fldChar w:fldCharType="end"/>
        </w:r>
      </w:hyperlink>
    </w:p>
    <w:p w14:paraId="0BBA9D09" w14:textId="4F4BDA86"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6" w:history="1">
        <w:r w:rsidR="00E9238E" w:rsidRPr="00DF77B1">
          <w:rPr>
            <w:rStyle w:val="Hyperlink"/>
            <w:noProof/>
          </w:rPr>
          <w:t>4.2. Method</w:t>
        </w:r>
        <w:r w:rsidR="00E9238E">
          <w:rPr>
            <w:noProof/>
            <w:webHidden/>
          </w:rPr>
          <w:tab/>
        </w:r>
        <w:r w:rsidR="00E9238E">
          <w:rPr>
            <w:noProof/>
            <w:webHidden/>
          </w:rPr>
          <w:fldChar w:fldCharType="begin"/>
        </w:r>
        <w:r w:rsidR="00E9238E">
          <w:rPr>
            <w:noProof/>
            <w:webHidden/>
          </w:rPr>
          <w:instrText xml:space="preserve"> PAGEREF _Toc110870966 \h </w:instrText>
        </w:r>
        <w:r w:rsidR="00E9238E">
          <w:rPr>
            <w:noProof/>
            <w:webHidden/>
          </w:rPr>
        </w:r>
        <w:r w:rsidR="00E9238E">
          <w:rPr>
            <w:noProof/>
            <w:webHidden/>
          </w:rPr>
          <w:fldChar w:fldCharType="separate"/>
        </w:r>
        <w:r w:rsidR="004E5722">
          <w:rPr>
            <w:noProof/>
            <w:webHidden/>
          </w:rPr>
          <w:t>97</w:t>
        </w:r>
        <w:r w:rsidR="00E9238E">
          <w:rPr>
            <w:noProof/>
            <w:webHidden/>
          </w:rPr>
          <w:fldChar w:fldCharType="end"/>
        </w:r>
      </w:hyperlink>
    </w:p>
    <w:p w14:paraId="1127287B" w14:textId="41644611"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7" w:history="1">
        <w:r w:rsidR="00E9238E" w:rsidRPr="00DF77B1">
          <w:rPr>
            <w:rStyle w:val="Hyperlink"/>
            <w:noProof/>
          </w:rPr>
          <w:t>4.3. Results</w:t>
        </w:r>
        <w:r w:rsidR="00E9238E">
          <w:rPr>
            <w:noProof/>
            <w:webHidden/>
          </w:rPr>
          <w:tab/>
        </w:r>
        <w:r w:rsidR="00E9238E">
          <w:rPr>
            <w:noProof/>
            <w:webHidden/>
          </w:rPr>
          <w:fldChar w:fldCharType="begin"/>
        </w:r>
        <w:r w:rsidR="00E9238E">
          <w:rPr>
            <w:noProof/>
            <w:webHidden/>
          </w:rPr>
          <w:instrText xml:space="preserve"> PAGEREF _Toc110870967 \h </w:instrText>
        </w:r>
        <w:r w:rsidR="00E9238E">
          <w:rPr>
            <w:noProof/>
            <w:webHidden/>
          </w:rPr>
        </w:r>
        <w:r w:rsidR="00E9238E">
          <w:rPr>
            <w:noProof/>
            <w:webHidden/>
          </w:rPr>
          <w:fldChar w:fldCharType="separate"/>
        </w:r>
        <w:r w:rsidR="004E5722">
          <w:rPr>
            <w:noProof/>
            <w:webHidden/>
          </w:rPr>
          <w:t>106</w:t>
        </w:r>
        <w:r w:rsidR="00E9238E">
          <w:rPr>
            <w:noProof/>
            <w:webHidden/>
          </w:rPr>
          <w:fldChar w:fldCharType="end"/>
        </w:r>
      </w:hyperlink>
    </w:p>
    <w:p w14:paraId="2648B1BB" w14:textId="52690CAB"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68" w:history="1">
        <w:r w:rsidR="00E9238E" w:rsidRPr="00DF77B1">
          <w:rPr>
            <w:rStyle w:val="Hyperlink"/>
            <w:noProof/>
          </w:rPr>
          <w:t>4.4. Discussion</w:t>
        </w:r>
        <w:r w:rsidR="00E9238E">
          <w:rPr>
            <w:noProof/>
            <w:webHidden/>
          </w:rPr>
          <w:tab/>
        </w:r>
        <w:r w:rsidR="00E9238E">
          <w:rPr>
            <w:noProof/>
            <w:webHidden/>
          </w:rPr>
          <w:fldChar w:fldCharType="begin"/>
        </w:r>
        <w:r w:rsidR="00E9238E">
          <w:rPr>
            <w:noProof/>
            <w:webHidden/>
          </w:rPr>
          <w:instrText xml:space="preserve"> PAGEREF _Toc110870968 \h </w:instrText>
        </w:r>
        <w:r w:rsidR="00E9238E">
          <w:rPr>
            <w:noProof/>
            <w:webHidden/>
          </w:rPr>
        </w:r>
        <w:r w:rsidR="00E9238E">
          <w:rPr>
            <w:noProof/>
            <w:webHidden/>
          </w:rPr>
          <w:fldChar w:fldCharType="separate"/>
        </w:r>
        <w:r w:rsidR="004E5722">
          <w:rPr>
            <w:noProof/>
            <w:webHidden/>
          </w:rPr>
          <w:t>114</w:t>
        </w:r>
        <w:r w:rsidR="00E9238E">
          <w:rPr>
            <w:noProof/>
            <w:webHidden/>
          </w:rPr>
          <w:fldChar w:fldCharType="end"/>
        </w:r>
      </w:hyperlink>
    </w:p>
    <w:p w14:paraId="4DD70B81" w14:textId="642A7387"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69" w:history="1">
        <w:r w:rsidR="00E9238E" w:rsidRPr="00DF77B1">
          <w:rPr>
            <w:rStyle w:val="Hyperlink"/>
            <w:noProof/>
          </w:rPr>
          <w:t>Chapter 5: Modelling value-based decision-making (VBDM) in daily tobacco smokers after experimental manipulation of mood</w:t>
        </w:r>
        <w:r w:rsidR="00E9238E">
          <w:rPr>
            <w:noProof/>
            <w:webHidden/>
          </w:rPr>
          <w:tab/>
        </w:r>
        <w:r w:rsidR="00E9238E">
          <w:rPr>
            <w:noProof/>
            <w:webHidden/>
          </w:rPr>
          <w:fldChar w:fldCharType="begin"/>
        </w:r>
        <w:r w:rsidR="00E9238E">
          <w:rPr>
            <w:noProof/>
            <w:webHidden/>
          </w:rPr>
          <w:instrText xml:space="preserve"> PAGEREF _Toc110870969 \h </w:instrText>
        </w:r>
        <w:r w:rsidR="00E9238E">
          <w:rPr>
            <w:noProof/>
            <w:webHidden/>
          </w:rPr>
        </w:r>
        <w:r w:rsidR="00E9238E">
          <w:rPr>
            <w:noProof/>
            <w:webHidden/>
          </w:rPr>
          <w:fldChar w:fldCharType="separate"/>
        </w:r>
        <w:r w:rsidR="004E5722">
          <w:rPr>
            <w:noProof/>
            <w:webHidden/>
          </w:rPr>
          <w:t>120</w:t>
        </w:r>
        <w:r w:rsidR="00E9238E">
          <w:rPr>
            <w:noProof/>
            <w:webHidden/>
          </w:rPr>
          <w:fldChar w:fldCharType="end"/>
        </w:r>
      </w:hyperlink>
    </w:p>
    <w:p w14:paraId="4DE13306" w14:textId="2D8223EE"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0"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_Toc110870970 \h </w:instrText>
        </w:r>
        <w:r w:rsidR="00E9238E">
          <w:rPr>
            <w:noProof/>
            <w:webHidden/>
          </w:rPr>
        </w:r>
        <w:r w:rsidR="00E9238E">
          <w:rPr>
            <w:noProof/>
            <w:webHidden/>
          </w:rPr>
          <w:fldChar w:fldCharType="separate"/>
        </w:r>
        <w:r w:rsidR="004E5722">
          <w:rPr>
            <w:noProof/>
            <w:webHidden/>
          </w:rPr>
          <w:t>121</w:t>
        </w:r>
        <w:r w:rsidR="00E9238E">
          <w:rPr>
            <w:noProof/>
            <w:webHidden/>
          </w:rPr>
          <w:fldChar w:fldCharType="end"/>
        </w:r>
      </w:hyperlink>
    </w:p>
    <w:p w14:paraId="536F3AE1" w14:textId="1BF8A347"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1" w:history="1">
        <w:r w:rsidR="00E9238E" w:rsidRPr="00DF77B1">
          <w:rPr>
            <w:rStyle w:val="Hyperlink"/>
            <w:noProof/>
          </w:rPr>
          <w:t>5.1. Introduction</w:t>
        </w:r>
        <w:r w:rsidR="00E9238E">
          <w:rPr>
            <w:noProof/>
            <w:webHidden/>
          </w:rPr>
          <w:tab/>
        </w:r>
        <w:r w:rsidR="00E9238E">
          <w:rPr>
            <w:noProof/>
            <w:webHidden/>
          </w:rPr>
          <w:fldChar w:fldCharType="begin"/>
        </w:r>
        <w:r w:rsidR="00E9238E">
          <w:rPr>
            <w:noProof/>
            <w:webHidden/>
          </w:rPr>
          <w:instrText xml:space="preserve"> PAGEREF _Toc110870971 \h </w:instrText>
        </w:r>
        <w:r w:rsidR="00E9238E">
          <w:rPr>
            <w:noProof/>
            <w:webHidden/>
          </w:rPr>
        </w:r>
        <w:r w:rsidR="00E9238E">
          <w:rPr>
            <w:noProof/>
            <w:webHidden/>
          </w:rPr>
          <w:fldChar w:fldCharType="separate"/>
        </w:r>
        <w:r w:rsidR="004E5722">
          <w:rPr>
            <w:noProof/>
            <w:webHidden/>
          </w:rPr>
          <w:t>122</w:t>
        </w:r>
        <w:r w:rsidR="00E9238E">
          <w:rPr>
            <w:noProof/>
            <w:webHidden/>
          </w:rPr>
          <w:fldChar w:fldCharType="end"/>
        </w:r>
      </w:hyperlink>
    </w:p>
    <w:p w14:paraId="6D32B170" w14:textId="0C474789"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2" w:history="1">
        <w:r w:rsidR="00E9238E" w:rsidRPr="00DF77B1">
          <w:rPr>
            <w:rStyle w:val="Hyperlink"/>
            <w:noProof/>
          </w:rPr>
          <w:t>5.2. Method</w:t>
        </w:r>
        <w:r w:rsidR="00E9238E">
          <w:rPr>
            <w:noProof/>
            <w:webHidden/>
          </w:rPr>
          <w:tab/>
        </w:r>
        <w:r w:rsidR="00E9238E">
          <w:rPr>
            <w:noProof/>
            <w:webHidden/>
          </w:rPr>
          <w:fldChar w:fldCharType="begin"/>
        </w:r>
        <w:r w:rsidR="00E9238E">
          <w:rPr>
            <w:noProof/>
            <w:webHidden/>
          </w:rPr>
          <w:instrText xml:space="preserve"> PAGEREF _Toc110870972 \h </w:instrText>
        </w:r>
        <w:r w:rsidR="00E9238E">
          <w:rPr>
            <w:noProof/>
            <w:webHidden/>
          </w:rPr>
        </w:r>
        <w:r w:rsidR="00E9238E">
          <w:rPr>
            <w:noProof/>
            <w:webHidden/>
          </w:rPr>
          <w:fldChar w:fldCharType="separate"/>
        </w:r>
        <w:r w:rsidR="004E5722">
          <w:rPr>
            <w:noProof/>
            <w:webHidden/>
          </w:rPr>
          <w:t>127</w:t>
        </w:r>
        <w:r w:rsidR="00E9238E">
          <w:rPr>
            <w:noProof/>
            <w:webHidden/>
          </w:rPr>
          <w:fldChar w:fldCharType="end"/>
        </w:r>
      </w:hyperlink>
    </w:p>
    <w:p w14:paraId="4CCDFE83" w14:textId="22FB9D29"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3" w:history="1">
        <w:r w:rsidR="00E9238E" w:rsidRPr="00DF77B1">
          <w:rPr>
            <w:rStyle w:val="Hyperlink"/>
            <w:noProof/>
          </w:rPr>
          <w:t>5.3. Results</w:t>
        </w:r>
        <w:r w:rsidR="00E9238E">
          <w:rPr>
            <w:noProof/>
            <w:webHidden/>
          </w:rPr>
          <w:tab/>
        </w:r>
        <w:r w:rsidR="00E9238E">
          <w:rPr>
            <w:noProof/>
            <w:webHidden/>
          </w:rPr>
          <w:fldChar w:fldCharType="begin"/>
        </w:r>
        <w:r w:rsidR="00E9238E">
          <w:rPr>
            <w:noProof/>
            <w:webHidden/>
          </w:rPr>
          <w:instrText xml:space="preserve"> PAGEREF _Toc110870973 \h </w:instrText>
        </w:r>
        <w:r w:rsidR="00E9238E">
          <w:rPr>
            <w:noProof/>
            <w:webHidden/>
          </w:rPr>
        </w:r>
        <w:r w:rsidR="00E9238E">
          <w:rPr>
            <w:noProof/>
            <w:webHidden/>
          </w:rPr>
          <w:fldChar w:fldCharType="separate"/>
        </w:r>
        <w:r w:rsidR="004E5722">
          <w:rPr>
            <w:noProof/>
            <w:webHidden/>
          </w:rPr>
          <w:t>139</w:t>
        </w:r>
        <w:r w:rsidR="00E9238E">
          <w:rPr>
            <w:noProof/>
            <w:webHidden/>
          </w:rPr>
          <w:fldChar w:fldCharType="end"/>
        </w:r>
      </w:hyperlink>
    </w:p>
    <w:p w14:paraId="15A9C5ED" w14:textId="1F82913F"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4" w:history="1">
        <w:r w:rsidR="00E9238E" w:rsidRPr="00DF77B1">
          <w:rPr>
            <w:rStyle w:val="Hyperlink"/>
            <w:rFonts w:cs="Times New Roman"/>
            <w:noProof/>
          </w:rPr>
          <w:t>5.4. Discussion</w:t>
        </w:r>
        <w:r w:rsidR="00E9238E">
          <w:rPr>
            <w:noProof/>
            <w:webHidden/>
          </w:rPr>
          <w:tab/>
        </w:r>
        <w:r w:rsidR="00E9238E">
          <w:rPr>
            <w:noProof/>
            <w:webHidden/>
          </w:rPr>
          <w:fldChar w:fldCharType="begin"/>
        </w:r>
        <w:r w:rsidR="00E9238E">
          <w:rPr>
            <w:noProof/>
            <w:webHidden/>
          </w:rPr>
          <w:instrText xml:space="preserve"> PAGEREF _Toc110870974 \h </w:instrText>
        </w:r>
        <w:r w:rsidR="00E9238E">
          <w:rPr>
            <w:noProof/>
            <w:webHidden/>
          </w:rPr>
        </w:r>
        <w:r w:rsidR="00E9238E">
          <w:rPr>
            <w:noProof/>
            <w:webHidden/>
          </w:rPr>
          <w:fldChar w:fldCharType="separate"/>
        </w:r>
        <w:r w:rsidR="004E5722">
          <w:rPr>
            <w:noProof/>
            <w:webHidden/>
          </w:rPr>
          <w:t>151</w:t>
        </w:r>
        <w:r w:rsidR="00E9238E">
          <w:rPr>
            <w:noProof/>
            <w:webHidden/>
          </w:rPr>
          <w:fldChar w:fldCharType="end"/>
        </w:r>
      </w:hyperlink>
    </w:p>
    <w:p w14:paraId="2D1AE2E0" w14:textId="1205354C"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75" w:history="1">
        <w:r w:rsidR="00E9238E" w:rsidRPr="00DF77B1">
          <w:rPr>
            <w:rStyle w:val="Hyperlink"/>
            <w:noProof/>
          </w:rPr>
          <w:t>Chapter 6: Modelling value-based decision-making (VBDM) in heavy drinkers and people who have reduced their drinking without treatment</w:t>
        </w:r>
        <w:r w:rsidR="00E9238E">
          <w:rPr>
            <w:noProof/>
            <w:webHidden/>
          </w:rPr>
          <w:tab/>
        </w:r>
        <w:r w:rsidR="00E9238E">
          <w:rPr>
            <w:noProof/>
            <w:webHidden/>
          </w:rPr>
          <w:fldChar w:fldCharType="begin"/>
        </w:r>
        <w:r w:rsidR="00E9238E">
          <w:rPr>
            <w:noProof/>
            <w:webHidden/>
          </w:rPr>
          <w:instrText xml:space="preserve"> PAGEREF _Toc110870975 \h </w:instrText>
        </w:r>
        <w:r w:rsidR="00E9238E">
          <w:rPr>
            <w:noProof/>
            <w:webHidden/>
          </w:rPr>
        </w:r>
        <w:r w:rsidR="00E9238E">
          <w:rPr>
            <w:noProof/>
            <w:webHidden/>
          </w:rPr>
          <w:fldChar w:fldCharType="separate"/>
        </w:r>
        <w:r w:rsidR="004E5722">
          <w:rPr>
            <w:noProof/>
            <w:webHidden/>
          </w:rPr>
          <w:t>156</w:t>
        </w:r>
        <w:r w:rsidR="00E9238E">
          <w:rPr>
            <w:noProof/>
            <w:webHidden/>
          </w:rPr>
          <w:fldChar w:fldCharType="end"/>
        </w:r>
      </w:hyperlink>
    </w:p>
    <w:p w14:paraId="7B7E73AD" w14:textId="125D740B"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6"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_Toc110870976 \h </w:instrText>
        </w:r>
        <w:r w:rsidR="00E9238E">
          <w:rPr>
            <w:noProof/>
            <w:webHidden/>
          </w:rPr>
        </w:r>
        <w:r w:rsidR="00E9238E">
          <w:rPr>
            <w:noProof/>
            <w:webHidden/>
          </w:rPr>
          <w:fldChar w:fldCharType="separate"/>
        </w:r>
        <w:r w:rsidR="004E5722">
          <w:rPr>
            <w:noProof/>
            <w:webHidden/>
          </w:rPr>
          <w:t>157</w:t>
        </w:r>
        <w:r w:rsidR="00E9238E">
          <w:rPr>
            <w:noProof/>
            <w:webHidden/>
          </w:rPr>
          <w:fldChar w:fldCharType="end"/>
        </w:r>
      </w:hyperlink>
    </w:p>
    <w:p w14:paraId="3D28BEEA" w14:textId="06EB587F"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7" w:history="1">
        <w:r w:rsidR="00E9238E" w:rsidRPr="00DF77B1">
          <w:rPr>
            <w:rStyle w:val="Hyperlink"/>
            <w:noProof/>
          </w:rPr>
          <w:t>6.1. Introduction</w:t>
        </w:r>
        <w:r w:rsidR="00E9238E">
          <w:rPr>
            <w:noProof/>
            <w:webHidden/>
          </w:rPr>
          <w:tab/>
        </w:r>
        <w:r w:rsidR="00E9238E">
          <w:rPr>
            <w:noProof/>
            <w:webHidden/>
          </w:rPr>
          <w:fldChar w:fldCharType="begin"/>
        </w:r>
        <w:r w:rsidR="00E9238E">
          <w:rPr>
            <w:noProof/>
            <w:webHidden/>
          </w:rPr>
          <w:instrText xml:space="preserve"> PAGEREF _Toc110870977 \h </w:instrText>
        </w:r>
        <w:r w:rsidR="00E9238E">
          <w:rPr>
            <w:noProof/>
            <w:webHidden/>
          </w:rPr>
        </w:r>
        <w:r w:rsidR="00E9238E">
          <w:rPr>
            <w:noProof/>
            <w:webHidden/>
          </w:rPr>
          <w:fldChar w:fldCharType="separate"/>
        </w:r>
        <w:r w:rsidR="004E5722">
          <w:rPr>
            <w:noProof/>
            <w:webHidden/>
          </w:rPr>
          <w:t>158</w:t>
        </w:r>
        <w:r w:rsidR="00E9238E">
          <w:rPr>
            <w:noProof/>
            <w:webHidden/>
          </w:rPr>
          <w:fldChar w:fldCharType="end"/>
        </w:r>
      </w:hyperlink>
    </w:p>
    <w:p w14:paraId="5F30F5A4" w14:textId="7F983D73"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8" w:history="1">
        <w:r w:rsidR="00E9238E" w:rsidRPr="00DF77B1">
          <w:rPr>
            <w:rStyle w:val="Hyperlink"/>
            <w:noProof/>
          </w:rPr>
          <w:t>6.2. Method</w:t>
        </w:r>
        <w:r w:rsidR="00E9238E">
          <w:rPr>
            <w:noProof/>
            <w:webHidden/>
          </w:rPr>
          <w:tab/>
        </w:r>
        <w:r w:rsidR="00E9238E">
          <w:rPr>
            <w:noProof/>
            <w:webHidden/>
          </w:rPr>
          <w:fldChar w:fldCharType="begin"/>
        </w:r>
        <w:r w:rsidR="00E9238E">
          <w:rPr>
            <w:noProof/>
            <w:webHidden/>
          </w:rPr>
          <w:instrText xml:space="preserve"> PAGEREF _Toc110870978 \h </w:instrText>
        </w:r>
        <w:r w:rsidR="00E9238E">
          <w:rPr>
            <w:noProof/>
            <w:webHidden/>
          </w:rPr>
        </w:r>
        <w:r w:rsidR="00E9238E">
          <w:rPr>
            <w:noProof/>
            <w:webHidden/>
          </w:rPr>
          <w:fldChar w:fldCharType="separate"/>
        </w:r>
        <w:r w:rsidR="004E5722">
          <w:rPr>
            <w:noProof/>
            <w:webHidden/>
          </w:rPr>
          <w:t>164</w:t>
        </w:r>
        <w:r w:rsidR="00E9238E">
          <w:rPr>
            <w:noProof/>
            <w:webHidden/>
          </w:rPr>
          <w:fldChar w:fldCharType="end"/>
        </w:r>
      </w:hyperlink>
    </w:p>
    <w:p w14:paraId="744C7E39" w14:textId="06C0571C"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79" w:history="1">
        <w:r w:rsidR="00E9238E" w:rsidRPr="00DF77B1">
          <w:rPr>
            <w:rStyle w:val="Hyperlink"/>
            <w:noProof/>
          </w:rPr>
          <w:t>6.3. Results</w:t>
        </w:r>
        <w:r w:rsidR="00E9238E">
          <w:rPr>
            <w:noProof/>
            <w:webHidden/>
          </w:rPr>
          <w:tab/>
        </w:r>
        <w:r w:rsidR="00E9238E">
          <w:rPr>
            <w:noProof/>
            <w:webHidden/>
          </w:rPr>
          <w:fldChar w:fldCharType="begin"/>
        </w:r>
        <w:r w:rsidR="00E9238E">
          <w:rPr>
            <w:noProof/>
            <w:webHidden/>
          </w:rPr>
          <w:instrText xml:space="preserve"> PAGEREF _Toc110870979 \h </w:instrText>
        </w:r>
        <w:r w:rsidR="00E9238E">
          <w:rPr>
            <w:noProof/>
            <w:webHidden/>
          </w:rPr>
        </w:r>
        <w:r w:rsidR="00E9238E">
          <w:rPr>
            <w:noProof/>
            <w:webHidden/>
          </w:rPr>
          <w:fldChar w:fldCharType="separate"/>
        </w:r>
        <w:r w:rsidR="004E5722">
          <w:rPr>
            <w:noProof/>
            <w:webHidden/>
          </w:rPr>
          <w:t>172</w:t>
        </w:r>
        <w:r w:rsidR="00E9238E">
          <w:rPr>
            <w:noProof/>
            <w:webHidden/>
          </w:rPr>
          <w:fldChar w:fldCharType="end"/>
        </w:r>
      </w:hyperlink>
    </w:p>
    <w:p w14:paraId="35935542" w14:textId="281BD6C3"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0" w:history="1">
        <w:r w:rsidR="00E9238E" w:rsidRPr="00DF77B1">
          <w:rPr>
            <w:rStyle w:val="Hyperlink"/>
            <w:noProof/>
          </w:rPr>
          <w:t>6.4. Discussion</w:t>
        </w:r>
        <w:r w:rsidR="00E9238E">
          <w:rPr>
            <w:noProof/>
            <w:webHidden/>
          </w:rPr>
          <w:tab/>
        </w:r>
        <w:r w:rsidR="00E9238E">
          <w:rPr>
            <w:noProof/>
            <w:webHidden/>
          </w:rPr>
          <w:fldChar w:fldCharType="begin"/>
        </w:r>
        <w:r w:rsidR="00E9238E">
          <w:rPr>
            <w:noProof/>
            <w:webHidden/>
          </w:rPr>
          <w:instrText xml:space="preserve"> PAGEREF _Toc110870980 \h </w:instrText>
        </w:r>
        <w:r w:rsidR="00E9238E">
          <w:rPr>
            <w:noProof/>
            <w:webHidden/>
          </w:rPr>
        </w:r>
        <w:r w:rsidR="00E9238E">
          <w:rPr>
            <w:noProof/>
            <w:webHidden/>
          </w:rPr>
          <w:fldChar w:fldCharType="separate"/>
        </w:r>
        <w:r w:rsidR="004E5722">
          <w:rPr>
            <w:noProof/>
            <w:webHidden/>
          </w:rPr>
          <w:t>180</w:t>
        </w:r>
        <w:r w:rsidR="00E9238E">
          <w:rPr>
            <w:noProof/>
            <w:webHidden/>
          </w:rPr>
          <w:fldChar w:fldCharType="end"/>
        </w:r>
      </w:hyperlink>
    </w:p>
    <w:p w14:paraId="703A84E3" w14:textId="6CBDD756"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81" w:history="1">
        <w:r w:rsidR="00E9238E" w:rsidRPr="00DF77B1">
          <w:rPr>
            <w:rStyle w:val="Hyperlink"/>
            <w:noProof/>
          </w:rPr>
          <w:t>Chapter 7: Modelling value-based decision-making (VBDM) in current smokers and ex-smokers</w:t>
        </w:r>
        <w:r w:rsidR="00E9238E">
          <w:rPr>
            <w:noProof/>
            <w:webHidden/>
          </w:rPr>
          <w:tab/>
        </w:r>
        <w:r w:rsidR="00E9238E">
          <w:rPr>
            <w:noProof/>
            <w:webHidden/>
          </w:rPr>
          <w:fldChar w:fldCharType="begin"/>
        </w:r>
        <w:r w:rsidR="00E9238E">
          <w:rPr>
            <w:noProof/>
            <w:webHidden/>
          </w:rPr>
          <w:instrText xml:space="preserve"> PAGEREF _Toc110870981 \h </w:instrText>
        </w:r>
        <w:r w:rsidR="00E9238E">
          <w:rPr>
            <w:noProof/>
            <w:webHidden/>
          </w:rPr>
        </w:r>
        <w:r w:rsidR="00E9238E">
          <w:rPr>
            <w:noProof/>
            <w:webHidden/>
          </w:rPr>
          <w:fldChar w:fldCharType="separate"/>
        </w:r>
        <w:r w:rsidR="004E5722">
          <w:rPr>
            <w:noProof/>
            <w:webHidden/>
          </w:rPr>
          <w:t>188</w:t>
        </w:r>
        <w:r w:rsidR="00E9238E">
          <w:rPr>
            <w:noProof/>
            <w:webHidden/>
          </w:rPr>
          <w:fldChar w:fldCharType="end"/>
        </w:r>
      </w:hyperlink>
    </w:p>
    <w:p w14:paraId="1008F659" w14:textId="3D2B4B4C"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2" w:history="1">
        <w:r w:rsidR="00E9238E" w:rsidRPr="00DF77B1">
          <w:rPr>
            <w:rStyle w:val="Hyperlink"/>
            <w:noProof/>
          </w:rPr>
          <w:t>Abstract</w:t>
        </w:r>
        <w:r w:rsidR="00E9238E">
          <w:rPr>
            <w:noProof/>
            <w:webHidden/>
          </w:rPr>
          <w:tab/>
        </w:r>
        <w:r w:rsidR="00E9238E">
          <w:rPr>
            <w:noProof/>
            <w:webHidden/>
          </w:rPr>
          <w:fldChar w:fldCharType="begin"/>
        </w:r>
        <w:r w:rsidR="00E9238E">
          <w:rPr>
            <w:noProof/>
            <w:webHidden/>
          </w:rPr>
          <w:instrText xml:space="preserve"> PAGEREF _Toc110870982 \h </w:instrText>
        </w:r>
        <w:r w:rsidR="00E9238E">
          <w:rPr>
            <w:noProof/>
            <w:webHidden/>
          </w:rPr>
        </w:r>
        <w:r w:rsidR="00E9238E">
          <w:rPr>
            <w:noProof/>
            <w:webHidden/>
          </w:rPr>
          <w:fldChar w:fldCharType="separate"/>
        </w:r>
        <w:r w:rsidR="004E5722">
          <w:rPr>
            <w:noProof/>
            <w:webHidden/>
          </w:rPr>
          <w:t>189</w:t>
        </w:r>
        <w:r w:rsidR="00E9238E">
          <w:rPr>
            <w:noProof/>
            <w:webHidden/>
          </w:rPr>
          <w:fldChar w:fldCharType="end"/>
        </w:r>
      </w:hyperlink>
    </w:p>
    <w:p w14:paraId="42DF6DCD" w14:textId="7CD8CAA5"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3" w:history="1">
        <w:r w:rsidR="00E9238E" w:rsidRPr="00DF77B1">
          <w:rPr>
            <w:rStyle w:val="Hyperlink"/>
            <w:noProof/>
          </w:rPr>
          <w:t>7.1. Introduction</w:t>
        </w:r>
        <w:r w:rsidR="00E9238E">
          <w:rPr>
            <w:noProof/>
            <w:webHidden/>
          </w:rPr>
          <w:tab/>
        </w:r>
        <w:r w:rsidR="00E9238E">
          <w:rPr>
            <w:noProof/>
            <w:webHidden/>
          </w:rPr>
          <w:fldChar w:fldCharType="begin"/>
        </w:r>
        <w:r w:rsidR="00E9238E">
          <w:rPr>
            <w:noProof/>
            <w:webHidden/>
          </w:rPr>
          <w:instrText xml:space="preserve"> PAGEREF _Toc110870983 \h </w:instrText>
        </w:r>
        <w:r w:rsidR="00E9238E">
          <w:rPr>
            <w:noProof/>
            <w:webHidden/>
          </w:rPr>
        </w:r>
        <w:r w:rsidR="00E9238E">
          <w:rPr>
            <w:noProof/>
            <w:webHidden/>
          </w:rPr>
          <w:fldChar w:fldCharType="separate"/>
        </w:r>
        <w:r w:rsidR="004E5722">
          <w:rPr>
            <w:noProof/>
            <w:webHidden/>
          </w:rPr>
          <w:t>191</w:t>
        </w:r>
        <w:r w:rsidR="00E9238E">
          <w:rPr>
            <w:noProof/>
            <w:webHidden/>
          </w:rPr>
          <w:fldChar w:fldCharType="end"/>
        </w:r>
      </w:hyperlink>
    </w:p>
    <w:p w14:paraId="10843787" w14:textId="5C50D6E0"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4" w:history="1">
        <w:r w:rsidR="00E9238E" w:rsidRPr="00DF77B1">
          <w:rPr>
            <w:rStyle w:val="Hyperlink"/>
            <w:noProof/>
          </w:rPr>
          <w:t>7.2. Method</w:t>
        </w:r>
        <w:r w:rsidR="00E9238E">
          <w:rPr>
            <w:noProof/>
            <w:webHidden/>
          </w:rPr>
          <w:tab/>
        </w:r>
        <w:r w:rsidR="00E9238E">
          <w:rPr>
            <w:noProof/>
            <w:webHidden/>
          </w:rPr>
          <w:fldChar w:fldCharType="begin"/>
        </w:r>
        <w:r w:rsidR="00E9238E">
          <w:rPr>
            <w:noProof/>
            <w:webHidden/>
          </w:rPr>
          <w:instrText xml:space="preserve"> PAGEREF _Toc110870984 \h </w:instrText>
        </w:r>
        <w:r w:rsidR="00E9238E">
          <w:rPr>
            <w:noProof/>
            <w:webHidden/>
          </w:rPr>
        </w:r>
        <w:r w:rsidR="00E9238E">
          <w:rPr>
            <w:noProof/>
            <w:webHidden/>
          </w:rPr>
          <w:fldChar w:fldCharType="separate"/>
        </w:r>
        <w:r w:rsidR="004E5722">
          <w:rPr>
            <w:noProof/>
            <w:webHidden/>
          </w:rPr>
          <w:t>197</w:t>
        </w:r>
        <w:r w:rsidR="00E9238E">
          <w:rPr>
            <w:noProof/>
            <w:webHidden/>
          </w:rPr>
          <w:fldChar w:fldCharType="end"/>
        </w:r>
      </w:hyperlink>
    </w:p>
    <w:p w14:paraId="3B52F8A8" w14:textId="3720DCEA"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5" w:history="1">
        <w:r w:rsidR="00E9238E" w:rsidRPr="00DF77B1">
          <w:rPr>
            <w:rStyle w:val="Hyperlink"/>
            <w:noProof/>
          </w:rPr>
          <w:t>7.3. Results</w:t>
        </w:r>
        <w:r w:rsidR="00E9238E">
          <w:rPr>
            <w:noProof/>
            <w:webHidden/>
          </w:rPr>
          <w:tab/>
        </w:r>
        <w:r w:rsidR="00E9238E">
          <w:rPr>
            <w:noProof/>
            <w:webHidden/>
          </w:rPr>
          <w:fldChar w:fldCharType="begin"/>
        </w:r>
        <w:r w:rsidR="00E9238E">
          <w:rPr>
            <w:noProof/>
            <w:webHidden/>
          </w:rPr>
          <w:instrText xml:space="preserve"> PAGEREF _Toc110870985 \h </w:instrText>
        </w:r>
        <w:r w:rsidR="00E9238E">
          <w:rPr>
            <w:noProof/>
            <w:webHidden/>
          </w:rPr>
        </w:r>
        <w:r w:rsidR="00E9238E">
          <w:rPr>
            <w:noProof/>
            <w:webHidden/>
          </w:rPr>
          <w:fldChar w:fldCharType="separate"/>
        </w:r>
        <w:r w:rsidR="004E5722">
          <w:rPr>
            <w:noProof/>
            <w:webHidden/>
          </w:rPr>
          <w:t>204</w:t>
        </w:r>
        <w:r w:rsidR="00E9238E">
          <w:rPr>
            <w:noProof/>
            <w:webHidden/>
          </w:rPr>
          <w:fldChar w:fldCharType="end"/>
        </w:r>
      </w:hyperlink>
    </w:p>
    <w:p w14:paraId="791A0ADC" w14:textId="45C10911" w:rsidR="00E9238E" w:rsidRDefault="00000000">
      <w:pPr>
        <w:pStyle w:val="TOC4"/>
        <w:tabs>
          <w:tab w:val="right" w:leader="dot" w:pos="9010"/>
        </w:tabs>
        <w:rPr>
          <w:rFonts w:asciiTheme="minorHAnsi" w:eastAsiaTheme="minorEastAsia" w:hAnsiTheme="minorHAnsi" w:cstheme="minorBidi"/>
          <w:noProof/>
          <w:color w:val="auto"/>
          <w:sz w:val="22"/>
          <w:szCs w:val="22"/>
          <w:lang w:eastAsia="zh-CN"/>
        </w:rPr>
      </w:pPr>
      <w:hyperlink w:anchor="_Toc110870986" w:history="1">
        <w:r w:rsidR="00E9238E" w:rsidRPr="00DF77B1">
          <w:rPr>
            <w:rStyle w:val="Hyperlink"/>
            <w:noProof/>
          </w:rPr>
          <w:t>7.4. Discussion</w:t>
        </w:r>
        <w:r w:rsidR="00E9238E">
          <w:rPr>
            <w:noProof/>
            <w:webHidden/>
          </w:rPr>
          <w:tab/>
        </w:r>
        <w:r w:rsidR="00E9238E">
          <w:rPr>
            <w:noProof/>
            <w:webHidden/>
          </w:rPr>
          <w:fldChar w:fldCharType="begin"/>
        </w:r>
        <w:r w:rsidR="00E9238E">
          <w:rPr>
            <w:noProof/>
            <w:webHidden/>
          </w:rPr>
          <w:instrText xml:space="preserve"> PAGEREF _Toc110870986 \h </w:instrText>
        </w:r>
        <w:r w:rsidR="00E9238E">
          <w:rPr>
            <w:noProof/>
            <w:webHidden/>
          </w:rPr>
        </w:r>
        <w:r w:rsidR="00E9238E">
          <w:rPr>
            <w:noProof/>
            <w:webHidden/>
          </w:rPr>
          <w:fldChar w:fldCharType="separate"/>
        </w:r>
        <w:r w:rsidR="004E5722">
          <w:rPr>
            <w:noProof/>
            <w:webHidden/>
          </w:rPr>
          <w:t>214</w:t>
        </w:r>
        <w:r w:rsidR="00E9238E">
          <w:rPr>
            <w:noProof/>
            <w:webHidden/>
          </w:rPr>
          <w:fldChar w:fldCharType="end"/>
        </w:r>
      </w:hyperlink>
    </w:p>
    <w:p w14:paraId="771FA536" w14:textId="38633C9A"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0987" w:history="1">
        <w:r w:rsidR="00E9238E" w:rsidRPr="00DF77B1">
          <w:rPr>
            <w:rStyle w:val="Hyperlink"/>
            <w:noProof/>
          </w:rPr>
          <w:t>Chapter 8: General discussion</w:t>
        </w:r>
        <w:r w:rsidR="00E9238E">
          <w:rPr>
            <w:noProof/>
            <w:webHidden/>
          </w:rPr>
          <w:tab/>
        </w:r>
        <w:r w:rsidR="00E9238E">
          <w:rPr>
            <w:noProof/>
            <w:webHidden/>
          </w:rPr>
          <w:fldChar w:fldCharType="begin"/>
        </w:r>
        <w:r w:rsidR="00E9238E">
          <w:rPr>
            <w:noProof/>
            <w:webHidden/>
          </w:rPr>
          <w:instrText xml:space="preserve"> PAGEREF _Toc110870987 \h </w:instrText>
        </w:r>
        <w:r w:rsidR="00E9238E">
          <w:rPr>
            <w:noProof/>
            <w:webHidden/>
          </w:rPr>
        </w:r>
        <w:r w:rsidR="00E9238E">
          <w:rPr>
            <w:noProof/>
            <w:webHidden/>
          </w:rPr>
          <w:fldChar w:fldCharType="separate"/>
        </w:r>
        <w:r w:rsidR="004E5722">
          <w:rPr>
            <w:noProof/>
            <w:webHidden/>
          </w:rPr>
          <w:t>220</w:t>
        </w:r>
        <w:r w:rsidR="00E9238E">
          <w:rPr>
            <w:noProof/>
            <w:webHidden/>
          </w:rPr>
          <w:fldChar w:fldCharType="end"/>
        </w:r>
      </w:hyperlink>
    </w:p>
    <w:p w14:paraId="1411FC3C" w14:textId="1990A636"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88" w:history="1">
        <w:r w:rsidR="00E9238E" w:rsidRPr="00DF77B1">
          <w:rPr>
            <w:rStyle w:val="Hyperlink"/>
            <w:noProof/>
          </w:rPr>
          <w:t>8.1. Summary of main findings</w:t>
        </w:r>
        <w:r w:rsidR="00E9238E">
          <w:rPr>
            <w:noProof/>
            <w:webHidden/>
          </w:rPr>
          <w:tab/>
        </w:r>
        <w:r w:rsidR="00E9238E">
          <w:rPr>
            <w:noProof/>
            <w:webHidden/>
          </w:rPr>
          <w:fldChar w:fldCharType="begin"/>
        </w:r>
        <w:r w:rsidR="00E9238E">
          <w:rPr>
            <w:noProof/>
            <w:webHidden/>
          </w:rPr>
          <w:instrText xml:space="preserve"> PAGEREF _Toc110870988 \h </w:instrText>
        </w:r>
        <w:r w:rsidR="00E9238E">
          <w:rPr>
            <w:noProof/>
            <w:webHidden/>
          </w:rPr>
        </w:r>
        <w:r w:rsidR="00E9238E">
          <w:rPr>
            <w:noProof/>
            <w:webHidden/>
          </w:rPr>
          <w:fldChar w:fldCharType="separate"/>
        </w:r>
        <w:r w:rsidR="004E5722">
          <w:rPr>
            <w:noProof/>
            <w:webHidden/>
          </w:rPr>
          <w:t>221</w:t>
        </w:r>
        <w:r w:rsidR="00E9238E">
          <w:rPr>
            <w:noProof/>
            <w:webHidden/>
          </w:rPr>
          <w:fldChar w:fldCharType="end"/>
        </w:r>
      </w:hyperlink>
    </w:p>
    <w:p w14:paraId="110647C4" w14:textId="4147A3B7"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89" w:history="1">
        <w:r w:rsidR="00E9238E" w:rsidRPr="00DF77B1">
          <w:rPr>
            <w:rStyle w:val="Hyperlink"/>
            <w:noProof/>
          </w:rPr>
          <w:t>8.2. Theoretical implications</w:t>
        </w:r>
        <w:r w:rsidR="00E9238E">
          <w:rPr>
            <w:noProof/>
            <w:webHidden/>
          </w:rPr>
          <w:tab/>
        </w:r>
        <w:r w:rsidR="00E9238E">
          <w:rPr>
            <w:noProof/>
            <w:webHidden/>
          </w:rPr>
          <w:fldChar w:fldCharType="begin"/>
        </w:r>
        <w:r w:rsidR="00E9238E">
          <w:rPr>
            <w:noProof/>
            <w:webHidden/>
          </w:rPr>
          <w:instrText xml:space="preserve"> PAGEREF _Toc110870989 \h </w:instrText>
        </w:r>
        <w:r w:rsidR="00E9238E">
          <w:rPr>
            <w:noProof/>
            <w:webHidden/>
          </w:rPr>
        </w:r>
        <w:r w:rsidR="00E9238E">
          <w:rPr>
            <w:noProof/>
            <w:webHidden/>
          </w:rPr>
          <w:fldChar w:fldCharType="separate"/>
        </w:r>
        <w:r w:rsidR="004E5722">
          <w:rPr>
            <w:noProof/>
            <w:webHidden/>
          </w:rPr>
          <w:t>225</w:t>
        </w:r>
        <w:r w:rsidR="00E9238E">
          <w:rPr>
            <w:noProof/>
            <w:webHidden/>
          </w:rPr>
          <w:fldChar w:fldCharType="end"/>
        </w:r>
      </w:hyperlink>
    </w:p>
    <w:p w14:paraId="38FBE5FF" w14:textId="34B48476"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90" w:history="1">
        <w:r w:rsidR="00E9238E" w:rsidRPr="00DF77B1">
          <w:rPr>
            <w:rStyle w:val="Hyperlink"/>
            <w:noProof/>
          </w:rPr>
          <w:t>8.2.1. Goal-directed accounts</w:t>
        </w:r>
        <w:r w:rsidR="00E9238E">
          <w:rPr>
            <w:noProof/>
            <w:webHidden/>
          </w:rPr>
          <w:tab/>
        </w:r>
        <w:r w:rsidR="00E9238E">
          <w:rPr>
            <w:noProof/>
            <w:webHidden/>
          </w:rPr>
          <w:fldChar w:fldCharType="begin"/>
        </w:r>
        <w:r w:rsidR="00E9238E">
          <w:rPr>
            <w:noProof/>
            <w:webHidden/>
          </w:rPr>
          <w:instrText xml:space="preserve"> PAGEREF _Toc110870990 \h </w:instrText>
        </w:r>
        <w:r w:rsidR="00E9238E">
          <w:rPr>
            <w:noProof/>
            <w:webHidden/>
          </w:rPr>
        </w:r>
        <w:r w:rsidR="00E9238E">
          <w:rPr>
            <w:noProof/>
            <w:webHidden/>
          </w:rPr>
          <w:fldChar w:fldCharType="separate"/>
        </w:r>
        <w:r w:rsidR="004E5722">
          <w:rPr>
            <w:noProof/>
            <w:webHidden/>
          </w:rPr>
          <w:t>226</w:t>
        </w:r>
        <w:r w:rsidR="00E9238E">
          <w:rPr>
            <w:noProof/>
            <w:webHidden/>
          </w:rPr>
          <w:fldChar w:fldCharType="end"/>
        </w:r>
      </w:hyperlink>
    </w:p>
    <w:p w14:paraId="32B33F87" w14:textId="20937DF2"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91" w:history="1">
        <w:r w:rsidR="00E9238E" w:rsidRPr="00DF77B1">
          <w:rPr>
            <w:rStyle w:val="Hyperlink"/>
            <w:noProof/>
          </w:rPr>
          <w:t>8.2.2. Molar behavioural economic accounts</w:t>
        </w:r>
        <w:r w:rsidR="00E9238E">
          <w:rPr>
            <w:noProof/>
            <w:webHidden/>
          </w:rPr>
          <w:tab/>
        </w:r>
        <w:r w:rsidR="00E9238E">
          <w:rPr>
            <w:noProof/>
            <w:webHidden/>
          </w:rPr>
          <w:fldChar w:fldCharType="begin"/>
        </w:r>
        <w:r w:rsidR="00E9238E">
          <w:rPr>
            <w:noProof/>
            <w:webHidden/>
          </w:rPr>
          <w:instrText xml:space="preserve"> PAGEREF _Toc110870991 \h </w:instrText>
        </w:r>
        <w:r w:rsidR="00E9238E">
          <w:rPr>
            <w:noProof/>
            <w:webHidden/>
          </w:rPr>
        </w:r>
        <w:r w:rsidR="00E9238E">
          <w:rPr>
            <w:noProof/>
            <w:webHidden/>
          </w:rPr>
          <w:fldChar w:fldCharType="separate"/>
        </w:r>
        <w:r w:rsidR="004E5722">
          <w:rPr>
            <w:noProof/>
            <w:webHidden/>
          </w:rPr>
          <w:t>227</w:t>
        </w:r>
        <w:r w:rsidR="00E9238E">
          <w:rPr>
            <w:noProof/>
            <w:webHidden/>
          </w:rPr>
          <w:fldChar w:fldCharType="end"/>
        </w:r>
      </w:hyperlink>
    </w:p>
    <w:p w14:paraId="2198FA5B" w14:textId="7D0CD252"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92" w:history="1">
        <w:r w:rsidR="00E9238E" w:rsidRPr="00DF77B1">
          <w:rPr>
            <w:rStyle w:val="Hyperlink"/>
            <w:noProof/>
          </w:rPr>
          <w:t>8.2.3. The role of self-control</w:t>
        </w:r>
        <w:r w:rsidR="00E9238E">
          <w:rPr>
            <w:noProof/>
            <w:webHidden/>
          </w:rPr>
          <w:tab/>
        </w:r>
        <w:r w:rsidR="00E9238E">
          <w:rPr>
            <w:noProof/>
            <w:webHidden/>
          </w:rPr>
          <w:fldChar w:fldCharType="begin"/>
        </w:r>
        <w:r w:rsidR="00E9238E">
          <w:rPr>
            <w:noProof/>
            <w:webHidden/>
          </w:rPr>
          <w:instrText xml:space="preserve"> PAGEREF _Toc110870992 \h </w:instrText>
        </w:r>
        <w:r w:rsidR="00E9238E">
          <w:rPr>
            <w:noProof/>
            <w:webHidden/>
          </w:rPr>
        </w:r>
        <w:r w:rsidR="00E9238E">
          <w:rPr>
            <w:noProof/>
            <w:webHidden/>
          </w:rPr>
          <w:fldChar w:fldCharType="separate"/>
        </w:r>
        <w:r w:rsidR="004E5722">
          <w:rPr>
            <w:noProof/>
            <w:webHidden/>
          </w:rPr>
          <w:t>229</w:t>
        </w:r>
        <w:r w:rsidR="00E9238E">
          <w:rPr>
            <w:noProof/>
            <w:webHidden/>
          </w:rPr>
          <w:fldChar w:fldCharType="end"/>
        </w:r>
      </w:hyperlink>
    </w:p>
    <w:p w14:paraId="04C94682" w14:textId="08534906"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93" w:history="1">
        <w:r w:rsidR="00E9238E" w:rsidRPr="00DF77B1">
          <w:rPr>
            <w:rStyle w:val="Hyperlink"/>
            <w:rFonts w:cs="Times New Roman"/>
            <w:noProof/>
          </w:rPr>
          <w:t>8.2.4. Mood induction procedures</w:t>
        </w:r>
        <w:r w:rsidR="00E9238E">
          <w:rPr>
            <w:noProof/>
            <w:webHidden/>
          </w:rPr>
          <w:tab/>
        </w:r>
        <w:r w:rsidR="00E9238E">
          <w:rPr>
            <w:noProof/>
            <w:webHidden/>
          </w:rPr>
          <w:fldChar w:fldCharType="begin"/>
        </w:r>
        <w:r w:rsidR="00E9238E">
          <w:rPr>
            <w:noProof/>
            <w:webHidden/>
          </w:rPr>
          <w:instrText xml:space="preserve"> PAGEREF _Toc110870993 \h </w:instrText>
        </w:r>
        <w:r w:rsidR="00E9238E">
          <w:rPr>
            <w:noProof/>
            <w:webHidden/>
          </w:rPr>
        </w:r>
        <w:r w:rsidR="00E9238E">
          <w:rPr>
            <w:noProof/>
            <w:webHidden/>
          </w:rPr>
          <w:fldChar w:fldCharType="separate"/>
        </w:r>
        <w:r w:rsidR="004E5722">
          <w:rPr>
            <w:noProof/>
            <w:webHidden/>
          </w:rPr>
          <w:t>230</w:t>
        </w:r>
        <w:r w:rsidR="00E9238E">
          <w:rPr>
            <w:noProof/>
            <w:webHidden/>
          </w:rPr>
          <w:fldChar w:fldCharType="end"/>
        </w:r>
      </w:hyperlink>
    </w:p>
    <w:p w14:paraId="38A2ADB6" w14:textId="7212D952" w:rsidR="00E9238E" w:rsidRDefault="00000000">
      <w:pPr>
        <w:pStyle w:val="TOC3"/>
        <w:tabs>
          <w:tab w:val="right" w:leader="dot" w:pos="9010"/>
        </w:tabs>
        <w:rPr>
          <w:rFonts w:asciiTheme="minorHAnsi" w:eastAsiaTheme="minorEastAsia" w:hAnsiTheme="minorHAnsi" w:cstheme="minorBidi"/>
          <w:iCs w:val="0"/>
          <w:noProof/>
          <w:color w:val="auto"/>
          <w:sz w:val="22"/>
          <w:szCs w:val="22"/>
          <w:lang w:eastAsia="zh-CN"/>
        </w:rPr>
      </w:pPr>
      <w:hyperlink w:anchor="_Toc110870994" w:history="1">
        <w:r w:rsidR="00E9238E" w:rsidRPr="00DF77B1">
          <w:rPr>
            <w:rStyle w:val="Hyperlink"/>
            <w:rFonts w:cs="Times New Roman"/>
            <w:noProof/>
          </w:rPr>
          <w:t>8.2.5. Meaning in life</w:t>
        </w:r>
        <w:r w:rsidR="00E9238E">
          <w:rPr>
            <w:noProof/>
            <w:webHidden/>
          </w:rPr>
          <w:tab/>
        </w:r>
        <w:r w:rsidR="00E9238E">
          <w:rPr>
            <w:noProof/>
            <w:webHidden/>
          </w:rPr>
          <w:fldChar w:fldCharType="begin"/>
        </w:r>
        <w:r w:rsidR="00E9238E">
          <w:rPr>
            <w:noProof/>
            <w:webHidden/>
          </w:rPr>
          <w:instrText xml:space="preserve"> PAGEREF _Toc110870994 \h </w:instrText>
        </w:r>
        <w:r w:rsidR="00E9238E">
          <w:rPr>
            <w:noProof/>
            <w:webHidden/>
          </w:rPr>
        </w:r>
        <w:r w:rsidR="00E9238E">
          <w:rPr>
            <w:noProof/>
            <w:webHidden/>
          </w:rPr>
          <w:fldChar w:fldCharType="separate"/>
        </w:r>
        <w:r w:rsidR="004E5722">
          <w:rPr>
            <w:noProof/>
            <w:webHidden/>
          </w:rPr>
          <w:t>232</w:t>
        </w:r>
        <w:r w:rsidR="00E9238E">
          <w:rPr>
            <w:noProof/>
            <w:webHidden/>
          </w:rPr>
          <w:fldChar w:fldCharType="end"/>
        </w:r>
      </w:hyperlink>
    </w:p>
    <w:p w14:paraId="53EEF9B4" w14:textId="1393668B"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95" w:history="1">
        <w:r w:rsidR="00E9238E" w:rsidRPr="00DF77B1">
          <w:rPr>
            <w:rStyle w:val="Hyperlink"/>
            <w:rFonts w:cs="Times New Roman"/>
            <w:noProof/>
          </w:rPr>
          <w:t>8.3. Methodological implications</w:t>
        </w:r>
        <w:r w:rsidR="00E9238E">
          <w:rPr>
            <w:noProof/>
            <w:webHidden/>
          </w:rPr>
          <w:tab/>
        </w:r>
        <w:r w:rsidR="00E9238E">
          <w:rPr>
            <w:noProof/>
            <w:webHidden/>
          </w:rPr>
          <w:fldChar w:fldCharType="begin"/>
        </w:r>
        <w:r w:rsidR="00E9238E">
          <w:rPr>
            <w:noProof/>
            <w:webHidden/>
          </w:rPr>
          <w:instrText xml:space="preserve"> PAGEREF _Toc110870995 \h </w:instrText>
        </w:r>
        <w:r w:rsidR="00E9238E">
          <w:rPr>
            <w:noProof/>
            <w:webHidden/>
          </w:rPr>
        </w:r>
        <w:r w:rsidR="00E9238E">
          <w:rPr>
            <w:noProof/>
            <w:webHidden/>
          </w:rPr>
          <w:fldChar w:fldCharType="separate"/>
        </w:r>
        <w:r w:rsidR="004E5722">
          <w:rPr>
            <w:noProof/>
            <w:webHidden/>
          </w:rPr>
          <w:t>233</w:t>
        </w:r>
        <w:r w:rsidR="00E9238E">
          <w:rPr>
            <w:noProof/>
            <w:webHidden/>
          </w:rPr>
          <w:fldChar w:fldCharType="end"/>
        </w:r>
      </w:hyperlink>
    </w:p>
    <w:p w14:paraId="11EE5F63" w14:textId="3E72C099"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96" w:history="1">
        <w:r w:rsidR="00E9238E" w:rsidRPr="00DF77B1">
          <w:rPr>
            <w:rStyle w:val="Hyperlink"/>
            <w:noProof/>
          </w:rPr>
          <w:t>8.4. Clinical implications</w:t>
        </w:r>
        <w:r w:rsidR="00E9238E">
          <w:rPr>
            <w:noProof/>
            <w:webHidden/>
          </w:rPr>
          <w:tab/>
        </w:r>
        <w:r w:rsidR="00E9238E">
          <w:rPr>
            <w:noProof/>
            <w:webHidden/>
          </w:rPr>
          <w:fldChar w:fldCharType="begin"/>
        </w:r>
        <w:r w:rsidR="00E9238E">
          <w:rPr>
            <w:noProof/>
            <w:webHidden/>
          </w:rPr>
          <w:instrText xml:space="preserve"> PAGEREF _Toc110870996 \h </w:instrText>
        </w:r>
        <w:r w:rsidR="00E9238E">
          <w:rPr>
            <w:noProof/>
            <w:webHidden/>
          </w:rPr>
        </w:r>
        <w:r w:rsidR="00E9238E">
          <w:rPr>
            <w:noProof/>
            <w:webHidden/>
          </w:rPr>
          <w:fldChar w:fldCharType="separate"/>
        </w:r>
        <w:r w:rsidR="004E5722">
          <w:rPr>
            <w:noProof/>
            <w:webHidden/>
          </w:rPr>
          <w:t>239</w:t>
        </w:r>
        <w:r w:rsidR="00E9238E">
          <w:rPr>
            <w:noProof/>
            <w:webHidden/>
          </w:rPr>
          <w:fldChar w:fldCharType="end"/>
        </w:r>
      </w:hyperlink>
    </w:p>
    <w:p w14:paraId="00CE0926" w14:textId="4842579A"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97" w:history="1">
        <w:r w:rsidR="00E9238E" w:rsidRPr="00DF77B1">
          <w:rPr>
            <w:rStyle w:val="Hyperlink"/>
            <w:noProof/>
          </w:rPr>
          <w:t>8.5. Strengths and limitations</w:t>
        </w:r>
        <w:r w:rsidR="00E9238E">
          <w:rPr>
            <w:noProof/>
            <w:webHidden/>
          </w:rPr>
          <w:tab/>
        </w:r>
        <w:r w:rsidR="00E9238E">
          <w:rPr>
            <w:noProof/>
            <w:webHidden/>
          </w:rPr>
          <w:fldChar w:fldCharType="begin"/>
        </w:r>
        <w:r w:rsidR="00E9238E">
          <w:rPr>
            <w:noProof/>
            <w:webHidden/>
          </w:rPr>
          <w:instrText xml:space="preserve"> PAGEREF _Toc110870997 \h </w:instrText>
        </w:r>
        <w:r w:rsidR="00E9238E">
          <w:rPr>
            <w:noProof/>
            <w:webHidden/>
          </w:rPr>
        </w:r>
        <w:r w:rsidR="00E9238E">
          <w:rPr>
            <w:noProof/>
            <w:webHidden/>
          </w:rPr>
          <w:fldChar w:fldCharType="separate"/>
        </w:r>
        <w:r w:rsidR="004E5722">
          <w:rPr>
            <w:noProof/>
            <w:webHidden/>
          </w:rPr>
          <w:t>242</w:t>
        </w:r>
        <w:r w:rsidR="00E9238E">
          <w:rPr>
            <w:noProof/>
            <w:webHidden/>
          </w:rPr>
          <w:fldChar w:fldCharType="end"/>
        </w:r>
      </w:hyperlink>
    </w:p>
    <w:p w14:paraId="7B41A269" w14:textId="6C6C708B"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98" w:history="1">
        <w:r w:rsidR="00E9238E" w:rsidRPr="00DF77B1">
          <w:rPr>
            <w:rStyle w:val="Hyperlink"/>
            <w:noProof/>
          </w:rPr>
          <w:t>8.6. Future research</w:t>
        </w:r>
        <w:r w:rsidR="00E9238E">
          <w:rPr>
            <w:noProof/>
            <w:webHidden/>
          </w:rPr>
          <w:tab/>
        </w:r>
        <w:r w:rsidR="00E9238E">
          <w:rPr>
            <w:noProof/>
            <w:webHidden/>
          </w:rPr>
          <w:fldChar w:fldCharType="begin"/>
        </w:r>
        <w:r w:rsidR="00E9238E">
          <w:rPr>
            <w:noProof/>
            <w:webHidden/>
          </w:rPr>
          <w:instrText xml:space="preserve"> PAGEREF _Toc110870998 \h </w:instrText>
        </w:r>
        <w:r w:rsidR="00E9238E">
          <w:rPr>
            <w:noProof/>
            <w:webHidden/>
          </w:rPr>
        </w:r>
        <w:r w:rsidR="00E9238E">
          <w:rPr>
            <w:noProof/>
            <w:webHidden/>
          </w:rPr>
          <w:fldChar w:fldCharType="separate"/>
        </w:r>
        <w:r w:rsidR="004E5722">
          <w:rPr>
            <w:noProof/>
            <w:webHidden/>
          </w:rPr>
          <w:t>249</w:t>
        </w:r>
        <w:r w:rsidR="00E9238E">
          <w:rPr>
            <w:noProof/>
            <w:webHidden/>
          </w:rPr>
          <w:fldChar w:fldCharType="end"/>
        </w:r>
      </w:hyperlink>
    </w:p>
    <w:p w14:paraId="20008B69" w14:textId="3742AC4D" w:rsidR="00E9238E" w:rsidRDefault="00000000">
      <w:pPr>
        <w:pStyle w:val="TOC2"/>
        <w:tabs>
          <w:tab w:val="right" w:leader="dot" w:pos="9010"/>
        </w:tabs>
        <w:rPr>
          <w:rFonts w:asciiTheme="minorHAnsi" w:eastAsiaTheme="minorEastAsia" w:hAnsiTheme="minorHAnsi" w:cstheme="minorBidi"/>
          <w:noProof/>
          <w:sz w:val="22"/>
          <w:szCs w:val="22"/>
          <w:lang w:eastAsia="zh-CN"/>
        </w:rPr>
      </w:pPr>
      <w:hyperlink w:anchor="_Toc110870999" w:history="1">
        <w:r w:rsidR="00E9238E" w:rsidRPr="00DF77B1">
          <w:rPr>
            <w:rStyle w:val="Hyperlink"/>
            <w:noProof/>
          </w:rPr>
          <w:t>8.7. Conclusion</w:t>
        </w:r>
        <w:r w:rsidR="00E9238E">
          <w:rPr>
            <w:noProof/>
            <w:webHidden/>
          </w:rPr>
          <w:tab/>
        </w:r>
        <w:r w:rsidR="00E9238E">
          <w:rPr>
            <w:noProof/>
            <w:webHidden/>
          </w:rPr>
          <w:fldChar w:fldCharType="begin"/>
        </w:r>
        <w:r w:rsidR="00E9238E">
          <w:rPr>
            <w:noProof/>
            <w:webHidden/>
          </w:rPr>
          <w:instrText xml:space="preserve"> PAGEREF _Toc110870999 \h </w:instrText>
        </w:r>
        <w:r w:rsidR="00E9238E">
          <w:rPr>
            <w:noProof/>
            <w:webHidden/>
          </w:rPr>
        </w:r>
        <w:r w:rsidR="00E9238E">
          <w:rPr>
            <w:noProof/>
            <w:webHidden/>
          </w:rPr>
          <w:fldChar w:fldCharType="separate"/>
        </w:r>
        <w:r w:rsidR="004E5722">
          <w:rPr>
            <w:noProof/>
            <w:webHidden/>
          </w:rPr>
          <w:t>254</w:t>
        </w:r>
        <w:r w:rsidR="00E9238E">
          <w:rPr>
            <w:noProof/>
            <w:webHidden/>
          </w:rPr>
          <w:fldChar w:fldCharType="end"/>
        </w:r>
      </w:hyperlink>
    </w:p>
    <w:p w14:paraId="4FF10480" w14:textId="0131AA32"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0" w:history="1">
        <w:r w:rsidR="00E9238E" w:rsidRPr="00DF77B1">
          <w:rPr>
            <w:rStyle w:val="Hyperlink"/>
            <w:rFonts w:cs="Times New Roman"/>
            <w:noProof/>
          </w:rPr>
          <w:t>References</w:t>
        </w:r>
        <w:r w:rsidR="00E9238E">
          <w:rPr>
            <w:noProof/>
            <w:webHidden/>
          </w:rPr>
          <w:tab/>
        </w:r>
        <w:r w:rsidR="00E9238E">
          <w:rPr>
            <w:noProof/>
            <w:webHidden/>
          </w:rPr>
          <w:fldChar w:fldCharType="begin"/>
        </w:r>
        <w:r w:rsidR="00E9238E">
          <w:rPr>
            <w:noProof/>
            <w:webHidden/>
          </w:rPr>
          <w:instrText xml:space="preserve"> PAGEREF _Toc110871000 \h </w:instrText>
        </w:r>
        <w:r w:rsidR="00E9238E">
          <w:rPr>
            <w:noProof/>
            <w:webHidden/>
          </w:rPr>
        </w:r>
        <w:r w:rsidR="00E9238E">
          <w:rPr>
            <w:noProof/>
            <w:webHidden/>
          </w:rPr>
          <w:fldChar w:fldCharType="separate"/>
        </w:r>
        <w:r w:rsidR="004E5722">
          <w:rPr>
            <w:noProof/>
            <w:webHidden/>
          </w:rPr>
          <w:t>256</w:t>
        </w:r>
        <w:r w:rsidR="00E9238E">
          <w:rPr>
            <w:noProof/>
            <w:webHidden/>
          </w:rPr>
          <w:fldChar w:fldCharType="end"/>
        </w:r>
      </w:hyperlink>
    </w:p>
    <w:p w14:paraId="6C4675AB" w14:textId="62BFFB0D"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1" w:history="1">
        <w:r w:rsidR="00E9238E" w:rsidRPr="00DF77B1">
          <w:rPr>
            <w:rStyle w:val="Hyperlink"/>
            <w:noProof/>
          </w:rPr>
          <w:t>Appendix A</w:t>
        </w:r>
        <w:r w:rsidR="00E9238E">
          <w:rPr>
            <w:noProof/>
            <w:webHidden/>
          </w:rPr>
          <w:tab/>
        </w:r>
        <w:r w:rsidR="00E9238E">
          <w:rPr>
            <w:noProof/>
            <w:webHidden/>
          </w:rPr>
          <w:fldChar w:fldCharType="begin"/>
        </w:r>
        <w:r w:rsidR="00E9238E">
          <w:rPr>
            <w:noProof/>
            <w:webHidden/>
          </w:rPr>
          <w:instrText xml:space="preserve"> PAGEREF _Toc110871001 \h </w:instrText>
        </w:r>
        <w:r w:rsidR="00E9238E">
          <w:rPr>
            <w:noProof/>
            <w:webHidden/>
          </w:rPr>
        </w:r>
        <w:r w:rsidR="00E9238E">
          <w:rPr>
            <w:noProof/>
            <w:webHidden/>
          </w:rPr>
          <w:fldChar w:fldCharType="separate"/>
        </w:r>
        <w:r w:rsidR="004E5722">
          <w:rPr>
            <w:noProof/>
            <w:webHidden/>
          </w:rPr>
          <w:t>323</w:t>
        </w:r>
        <w:r w:rsidR="00E9238E">
          <w:rPr>
            <w:noProof/>
            <w:webHidden/>
          </w:rPr>
          <w:fldChar w:fldCharType="end"/>
        </w:r>
      </w:hyperlink>
    </w:p>
    <w:p w14:paraId="661D12C9" w14:textId="2BD594FC"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2" w:history="1">
        <w:r w:rsidR="00E9238E" w:rsidRPr="00DF77B1">
          <w:rPr>
            <w:rStyle w:val="Hyperlink"/>
            <w:noProof/>
          </w:rPr>
          <w:t>Appendix B</w:t>
        </w:r>
        <w:r w:rsidR="00E9238E">
          <w:rPr>
            <w:noProof/>
            <w:webHidden/>
          </w:rPr>
          <w:tab/>
        </w:r>
        <w:r w:rsidR="00E9238E">
          <w:rPr>
            <w:noProof/>
            <w:webHidden/>
          </w:rPr>
          <w:fldChar w:fldCharType="begin"/>
        </w:r>
        <w:r w:rsidR="00E9238E">
          <w:rPr>
            <w:noProof/>
            <w:webHidden/>
          </w:rPr>
          <w:instrText xml:space="preserve"> PAGEREF _Toc110871002 \h </w:instrText>
        </w:r>
        <w:r w:rsidR="00E9238E">
          <w:rPr>
            <w:noProof/>
            <w:webHidden/>
          </w:rPr>
        </w:r>
        <w:r w:rsidR="00E9238E">
          <w:rPr>
            <w:noProof/>
            <w:webHidden/>
          </w:rPr>
          <w:fldChar w:fldCharType="separate"/>
        </w:r>
        <w:r w:rsidR="004E5722">
          <w:rPr>
            <w:noProof/>
            <w:webHidden/>
          </w:rPr>
          <w:t>346</w:t>
        </w:r>
        <w:r w:rsidR="00E9238E">
          <w:rPr>
            <w:noProof/>
            <w:webHidden/>
          </w:rPr>
          <w:fldChar w:fldCharType="end"/>
        </w:r>
      </w:hyperlink>
    </w:p>
    <w:p w14:paraId="046697FE" w14:textId="04B66528"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3" w:history="1">
        <w:r w:rsidR="00E9238E" w:rsidRPr="00DF77B1">
          <w:rPr>
            <w:rStyle w:val="Hyperlink"/>
            <w:noProof/>
          </w:rPr>
          <w:t>Appendix C</w:t>
        </w:r>
        <w:r w:rsidR="00E9238E">
          <w:rPr>
            <w:noProof/>
            <w:webHidden/>
          </w:rPr>
          <w:tab/>
        </w:r>
        <w:r w:rsidR="00E9238E">
          <w:rPr>
            <w:noProof/>
            <w:webHidden/>
          </w:rPr>
          <w:fldChar w:fldCharType="begin"/>
        </w:r>
        <w:r w:rsidR="00E9238E">
          <w:rPr>
            <w:noProof/>
            <w:webHidden/>
          </w:rPr>
          <w:instrText xml:space="preserve"> PAGEREF _Toc110871003 \h </w:instrText>
        </w:r>
        <w:r w:rsidR="00E9238E">
          <w:rPr>
            <w:noProof/>
            <w:webHidden/>
          </w:rPr>
        </w:r>
        <w:r w:rsidR="00E9238E">
          <w:rPr>
            <w:noProof/>
            <w:webHidden/>
          </w:rPr>
          <w:fldChar w:fldCharType="separate"/>
        </w:r>
        <w:r w:rsidR="004E5722">
          <w:rPr>
            <w:noProof/>
            <w:webHidden/>
          </w:rPr>
          <w:t>377</w:t>
        </w:r>
        <w:r w:rsidR="00E9238E">
          <w:rPr>
            <w:noProof/>
            <w:webHidden/>
          </w:rPr>
          <w:fldChar w:fldCharType="end"/>
        </w:r>
      </w:hyperlink>
    </w:p>
    <w:p w14:paraId="6EE19F1F" w14:textId="707139B8"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4" w:history="1">
        <w:r w:rsidR="00E9238E" w:rsidRPr="00DF77B1">
          <w:rPr>
            <w:rStyle w:val="Hyperlink"/>
            <w:noProof/>
          </w:rPr>
          <w:t>Appendix D</w:t>
        </w:r>
        <w:r w:rsidR="00E9238E">
          <w:rPr>
            <w:noProof/>
            <w:webHidden/>
          </w:rPr>
          <w:tab/>
        </w:r>
        <w:r w:rsidR="00E9238E">
          <w:rPr>
            <w:noProof/>
            <w:webHidden/>
          </w:rPr>
          <w:fldChar w:fldCharType="begin"/>
        </w:r>
        <w:r w:rsidR="00E9238E">
          <w:rPr>
            <w:noProof/>
            <w:webHidden/>
          </w:rPr>
          <w:instrText xml:space="preserve"> PAGEREF _Toc110871004 \h </w:instrText>
        </w:r>
        <w:r w:rsidR="00E9238E">
          <w:rPr>
            <w:noProof/>
            <w:webHidden/>
          </w:rPr>
        </w:r>
        <w:r w:rsidR="00E9238E">
          <w:rPr>
            <w:noProof/>
            <w:webHidden/>
          </w:rPr>
          <w:fldChar w:fldCharType="separate"/>
        </w:r>
        <w:r w:rsidR="004E5722">
          <w:rPr>
            <w:noProof/>
            <w:webHidden/>
          </w:rPr>
          <w:t>394</w:t>
        </w:r>
        <w:r w:rsidR="00E9238E">
          <w:rPr>
            <w:noProof/>
            <w:webHidden/>
          </w:rPr>
          <w:fldChar w:fldCharType="end"/>
        </w:r>
      </w:hyperlink>
    </w:p>
    <w:p w14:paraId="60A25CC6" w14:textId="6598C61B"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5" w:history="1">
        <w:r w:rsidR="00E9238E" w:rsidRPr="00DF77B1">
          <w:rPr>
            <w:rStyle w:val="Hyperlink"/>
            <w:rFonts w:cs="Times New Roman"/>
            <w:noProof/>
          </w:rPr>
          <w:t>Appendix E</w:t>
        </w:r>
        <w:r w:rsidR="00E9238E">
          <w:rPr>
            <w:noProof/>
            <w:webHidden/>
          </w:rPr>
          <w:tab/>
        </w:r>
        <w:r w:rsidR="00E9238E">
          <w:rPr>
            <w:noProof/>
            <w:webHidden/>
          </w:rPr>
          <w:fldChar w:fldCharType="begin"/>
        </w:r>
        <w:r w:rsidR="00E9238E">
          <w:rPr>
            <w:noProof/>
            <w:webHidden/>
          </w:rPr>
          <w:instrText xml:space="preserve"> PAGEREF _Toc110871005 \h </w:instrText>
        </w:r>
        <w:r w:rsidR="00E9238E">
          <w:rPr>
            <w:noProof/>
            <w:webHidden/>
          </w:rPr>
        </w:r>
        <w:r w:rsidR="00E9238E">
          <w:rPr>
            <w:noProof/>
            <w:webHidden/>
          </w:rPr>
          <w:fldChar w:fldCharType="separate"/>
        </w:r>
        <w:r w:rsidR="004E5722">
          <w:rPr>
            <w:noProof/>
            <w:webHidden/>
          </w:rPr>
          <w:t>412</w:t>
        </w:r>
        <w:r w:rsidR="00E9238E">
          <w:rPr>
            <w:noProof/>
            <w:webHidden/>
          </w:rPr>
          <w:fldChar w:fldCharType="end"/>
        </w:r>
      </w:hyperlink>
    </w:p>
    <w:p w14:paraId="4FCE0327" w14:textId="3C626DBA" w:rsidR="00E9238E" w:rsidRDefault="00000000">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871006" w:history="1">
        <w:r w:rsidR="00E9238E" w:rsidRPr="00DF77B1">
          <w:rPr>
            <w:rStyle w:val="Hyperlink"/>
            <w:rFonts w:cs="Times New Roman"/>
            <w:noProof/>
          </w:rPr>
          <w:t>Appendix F</w:t>
        </w:r>
        <w:r w:rsidR="00E9238E">
          <w:rPr>
            <w:noProof/>
            <w:webHidden/>
          </w:rPr>
          <w:tab/>
        </w:r>
        <w:r w:rsidR="00E9238E">
          <w:rPr>
            <w:noProof/>
            <w:webHidden/>
          </w:rPr>
          <w:fldChar w:fldCharType="begin"/>
        </w:r>
        <w:r w:rsidR="00E9238E">
          <w:rPr>
            <w:noProof/>
            <w:webHidden/>
          </w:rPr>
          <w:instrText xml:space="preserve"> PAGEREF _Toc110871006 \h </w:instrText>
        </w:r>
        <w:r w:rsidR="00E9238E">
          <w:rPr>
            <w:noProof/>
            <w:webHidden/>
          </w:rPr>
        </w:r>
        <w:r w:rsidR="00E9238E">
          <w:rPr>
            <w:noProof/>
            <w:webHidden/>
          </w:rPr>
          <w:fldChar w:fldCharType="separate"/>
        </w:r>
        <w:r w:rsidR="004E5722">
          <w:rPr>
            <w:noProof/>
            <w:webHidden/>
          </w:rPr>
          <w:t>438</w:t>
        </w:r>
        <w:r w:rsidR="00E9238E">
          <w:rPr>
            <w:noProof/>
            <w:webHidden/>
          </w:rPr>
          <w:fldChar w:fldCharType="end"/>
        </w:r>
      </w:hyperlink>
    </w:p>
    <w:p w14:paraId="5C2FF179" w14:textId="2D5BC63C" w:rsidR="00861490" w:rsidRDefault="00E9238E" w:rsidP="00986A39">
      <w:pPr>
        <w:pStyle w:val="NoSpacing"/>
      </w:pPr>
      <w:r>
        <w:fldChar w:fldCharType="end"/>
      </w:r>
    </w:p>
    <w:bookmarkEnd w:id="30"/>
    <w:p w14:paraId="6DFB59FC" w14:textId="5EB80E55" w:rsidR="00861490" w:rsidRDefault="00861490" w:rsidP="00986A39">
      <w:pPr>
        <w:pStyle w:val="NoSpacing"/>
      </w:pPr>
    </w:p>
    <w:p w14:paraId="560AC166" w14:textId="2A7AD92F" w:rsidR="00861490" w:rsidRDefault="00861490" w:rsidP="00986A39">
      <w:pPr>
        <w:pStyle w:val="NoSpacing"/>
      </w:pPr>
    </w:p>
    <w:p w14:paraId="1EEC2B2B" w14:textId="6540D33B" w:rsidR="00861490" w:rsidRDefault="00861490" w:rsidP="00986A39">
      <w:pPr>
        <w:pStyle w:val="NoSpacing"/>
      </w:pPr>
    </w:p>
    <w:p w14:paraId="02F46AA2" w14:textId="75AB876A" w:rsidR="00861490" w:rsidRDefault="00861490" w:rsidP="00986A39">
      <w:pPr>
        <w:pStyle w:val="NoSpacing"/>
      </w:pPr>
    </w:p>
    <w:p w14:paraId="5076E10D" w14:textId="7BA47DB8" w:rsidR="00861490" w:rsidRDefault="00861490" w:rsidP="00986A39">
      <w:pPr>
        <w:pStyle w:val="NoSpacing"/>
      </w:pPr>
    </w:p>
    <w:p w14:paraId="7077FF6A" w14:textId="468E8436" w:rsidR="00861490" w:rsidRDefault="00861490" w:rsidP="00986A39">
      <w:pPr>
        <w:pStyle w:val="NoSpacing"/>
      </w:pPr>
    </w:p>
    <w:p w14:paraId="6472EB73" w14:textId="27BF80D5" w:rsidR="00861490" w:rsidRDefault="00861490" w:rsidP="00986A39">
      <w:pPr>
        <w:pStyle w:val="NoSpacing"/>
      </w:pPr>
    </w:p>
    <w:p w14:paraId="78BE2DFD" w14:textId="32F72F1C" w:rsidR="00861490" w:rsidRDefault="00861490" w:rsidP="00986A39">
      <w:pPr>
        <w:pStyle w:val="NoSpacing"/>
      </w:pPr>
    </w:p>
    <w:p w14:paraId="4FD703BD" w14:textId="06B736D7" w:rsidR="00861490" w:rsidRDefault="00861490" w:rsidP="00986A39">
      <w:pPr>
        <w:pStyle w:val="NoSpacing"/>
      </w:pPr>
    </w:p>
    <w:p w14:paraId="3DBF8D07" w14:textId="789224D9" w:rsidR="00861490" w:rsidRDefault="00861490" w:rsidP="00986A39">
      <w:pPr>
        <w:pStyle w:val="NoSpacing"/>
      </w:pPr>
    </w:p>
    <w:p w14:paraId="199C9AD6" w14:textId="27ECBCEA" w:rsidR="00861490" w:rsidRDefault="00861490" w:rsidP="00986A39">
      <w:pPr>
        <w:pStyle w:val="NoSpacing"/>
      </w:pPr>
    </w:p>
    <w:p w14:paraId="40182730" w14:textId="79A42F88" w:rsidR="00861490" w:rsidRDefault="00861490" w:rsidP="00986A39">
      <w:pPr>
        <w:pStyle w:val="NoSpacing"/>
      </w:pPr>
    </w:p>
    <w:p w14:paraId="2AC05F1B" w14:textId="310D5B76" w:rsidR="00861490" w:rsidRDefault="00861490" w:rsidP="00986A39">
      <w:pPr>
        <w:pStyle w:val="NoSpacing"/>
      </w:pPr>
    </w:p>
    <w:p w14:paraId="687A90BC" w14:textId="410F7874" w:rsidR="00861490" w:rsidRDefault="00861490" w:rsidP="00986A39">
      <w:pPr>
        <w:pStyle w:val="NoSpacing"/>
      </w:pPr>
    </w:p>
    <w:p w14:paraId="098CD329" w14:textId="7A8D7746" w:rsidR="00861490" w:rsidRDefault="00861490" w:rsidP="00986A39">
      <w:pPr>
        <w:pStyle w:val="NoSpacing"/>
      </w:pPr>
    </w:p>
    <w:p w14:paraId="2025BF27" w14:textId="6323056C" w:rsidR="00861490" w:rsidRDefault="00861490" w:rsidP="00986A39">
      <w:pPr>
        <w:pStyle w:val="NoSpacing"/>
      </w:pPr>
    </w:p>
    <w:p w14:paraId="5193DA4C" w14:textId="302A7C30" w:rsidR="00861490" w:rsidRDefault="00861490" w:rsidP="00986A39">
      <w:pPr>
        <w:pStyle w:val="NoSpacing"/>
      </w:pPr>
    </w:p>
    <w:p w14:paraId="68EB0A76" w14:textId="1BFD4695" w:rsidR="00861490" w:rsidRDefault="00861490" w:rsidP="00986A39">
      <w:pPr>
        <w:pStyle w:val="NoSpacing"/>
      </w:pPr>
    </w:p>
    <w:p w14:paraId="5E898351" w14:textId="5C7F9550" w:rsidR="00861490" w:rsidRDefault="00861490" w:rsidP="00986A39">
      <w:pPr>
        <w:pStyle w:val="NoSpacing"/>
      </w:pPr>
    </w:p>
    <w:p w14:paraId="25900491" w14:textId="210BF4BC" w:rsidR="00861490" w:rsidRDefault="00861490" w:rsidP="00986A39">
      <w:pPr>
        <w:pStyle w:val="NoSpacing"/>
      </w:pPr>
    </w:p>
    <w:p w14:paraId="62B8A3C4" w14:textId="606F7D61" w:rsidR="00861490" w:rsidRDefault="00861490" w:rsidP="00986A39">
      <w:pPr>
        <w:pStyle w:val="NoSpacing"/>
      </w:pPr>
    </w:p>
    <w:p w14:paraId="3029D0A6" w14:textId="4F36450C" w:rsidR="00861490" w:rsidRDefault="00861490" w:rsidP="00986A39">
      <w:pPr>
        <w:pStyle w:val="NoSpacing"/>
      </w:pPr>
    </w:p>
    <w:p w14:paraId="7003C7E8" w14:textId="5C18F45C" w:rsidR="00861490" w:rsidRDefault="00861490" w:rsidP="00986A39">
      <w:pPr>
        <w:pStyle w:val="NoSpacing"/>
      </w:pPr>
    </w:p>
    <w:p w14:paraId="4463489C" w14:textId="2FE564AF" w:rsidR="00861490" w:rsidRDefault="00861490" w:rsidP="00986A39">
      <w:pPr>
        <w:pStyle w:val="NoSpacing"/>
      </w:pPr>
    </w:p>
    <w:p w14:paraId="0E546984" w14:textId="57609B8F" w:rsidR="00861490" w:rsidRDefault="00861490" w:rsidP="00986A39">
      <w:pPr>
        <w:pStyle w:val="NoSpacing"/>
      </w:pPr>
    </w:p>
    <w:p w14:paraId="303C960A" w14:textId="1F54D65A" w:rsidR="00861490" w:rsidRDefault="00861490" w:rsidP="00986A39">
      <w:pPr>
        <w:pStyle w:val="NoSpacing"/>
      </w:pPr>
    </w:p>
    <w:p w14:paraId="14AFF092" w14:textId="68089E18" w:rsidR="00861490" w:rsidRDefault="00861490" w:rsidP="00986A39">
      <w:pPr>
        <w:pStyle w:val="NoSpacing"/>
      </w:pPr>
    </w:p>
    <w:p w14:paraId="2DA5EEAA" w14:textId="51C1B178" w:rsidR="00245C11" w:rsidRDefault="00245C11" w:rsidP="00986A39">
      <w:pPr>
        <w:pStyle w:val="NoSpacing"/>
      </w:pPr>
    </w:p>
    <w:p w14:paraId="0EC22DE6" w14:textId="4A679A35" w:rsidR="00245C11" w:rsidRDefault="00245C11" w:rsidP="00986A39">
      <w:pPr>
        <w:pStyle w:val="NoSpacing"/>
      </w:pPr>
    </w:p>
    <w:p w14:paraId="0393D24D" w14:textId="77777777" w:rsidR="00245C11" w:rsidRDefault="00245C11" w:rsidP="00986A39">
      <w:pPr>
        <w:pStyle w:val="NoSpacing"/>
      </w:pPr>
    </w:p>
    <w:p w14:paraId="4E6E45EC" w14:textId="777D48F2" w:rsidR="00861490" w:rsidRDefault="00861490" w:rsidP="00986A39">
      <w:pPr>
        <w:pStyle w:val="NoSpacing"/>
      </w:pPr>
    </w:p>
    <w:p w14:paraId="1C64606E" w14:textId="51D420D2" w:rsidR="00861490" w:rsidRDefault="00861490" w:rsidP="00986A39">
      <w:pPr>
        <w:pStyle w:val="NoSpacing"/>
      </w:pPr>
    </w:p>
    <w:p w14:paraId="51FBEF5B" w14:textId="55ED70FD" w:rsidR="00861490" w:rsidRDefault="00861490" w:rsidP="00986A39">
      <w:pPr>
        <w:pStyle w:val="NoSpacing"/>
      </w:pPr>
    </w:p>
    <w:p w14:paraId="11147913" w14:textId="51FD9FAF" w:rsidR="00861490" w:rsidRDefault="00861490" w:rsidP="00986A39">
      <w:pPr>
        <w:pStyle w:val="NoSpacing"/>
      </w:pPr>
    </w:p>
    <w:p w14:paraId="09E3E09C" w14:textId="062C6C0F" w:rsidR="00F00134" w:rsidRDefault="00F00134" w:rsidP="00986A39">
      <w:pPr>
        <w:pStyle w:val="NoSpacing"/>
      </w:pPr>
    </w:p>
    <w:p w14:paraId="713A3571" w14:textId="61212084" w:rsidR="00F00134" w:rsidRDefault="00F00134" w:rsidP="00986A39">
      <w:pPr>
        <w:pStyle w:val="NoSpacing"/>
      </w:pPr>
    </w:p>
    <w:p w14:paraId="4EE95A85" w14:textId="77777777" w:rsidR="00F00134" w:rsidRDefault="00F00134" w:rsidP="00986A39">
      <w:pPr>
        <w:pStyle w:val="NoSpacing"/>
      </w:pPr>
    </w:p>
    <w:p w14:paraId="0A1F8CDD" w14:textId="61254CAE" w:rsidR="00861490" w:rsidRDefault="00861490" w:rsidP="00986A39">
      <w:pPr>
        <w:pStyle w:val="NoSpacing"/>
      </w:pPr>
    </w:p>
    <w:p w14:paraId="11D9B7D5" w14:textId="77777777" w:rsidR="00861490" w:rsidRDefault="00861490" w:rsidP="00986A39">
      <w:pPr>
        <w:pStyle w:val="NoSpacing"/>
      </w:pPr>
    </w:p>
    <w:p w14:paraId="0C90DACE" w14:textId="77777777" w:rsidR="00E42C66" w:rsidRDefault="00E42C66" w:rsidP="00986A39">
      <w:pPr>
        <w:pStyle w:val="NoSpacing"/>
      </w:pPr>
    </w:p>
    <w:p w14:paraId="51306817" w14:textId="040BE10F" w:rsidR="00CA2C7F" w:rsidRPr="00CA2C7F" w:rsidRDefault="00E42C66" w:rsidP="00107EBB">
      <w:pPr>
        <w:pStyle w:val="Heading1"/>
      </w:pPr>
      <w:bookmarkStart w:id="31" w:name="_Toc109901452"/>
      <w:bookmarkStart w:id="32" w:name="_Toc109901925"/>
      <w:bookmarkStart w:id="33" w:name="_Toc109911318"/>
      <w:bookmarkStart w:id="34" w:name="_Toc110612721"/>
      <w:bookmarkStart w:id="35" w:name="_Toc110629031"/>
      <w:bookmarkStart w:id="36" w:name="_Toc110870939"/>
      <w:r w:rsidRPr="00E42C66">
        <w:lastRenderedPageBreak/>
        <w:t>List of Tables</w:t>
      </w:r>
      <w:bookmarkEnd w:id="31"/>
      <w:bookmarkEnd w:id="32"/>
      <w:bookmarkEnd w:id="33"/>
      <w:bookmarkEnd w:id="34"/>
      <w:bookmarkEnd w:id="35"/>
      <w:bookmarkEnd w:id="36"/>
    </w:p>
    <w:bookmarkStart w:id="37" w:name="_Hlk110713129"/>
    <w:p w14:paraId="3A445B77" w14:textId="77777777" w:rsidR="002E0EDA" w:rsidRDefault="002E0EDA" w:rsidP="002E0EDA">
      <w:pPr>
        <w:pStyle w:val="TOC1"/>
        <w:tabs>
          <w:tab w:val="right" w:leader="dot" w:pos="9010"/>
        </w:tabs>
        <w:rPr>
          <w:rFonts w:asciiTheme="minorHAnsi" w:eastAsiaTheme="minorEastAsia" w:hAnsiTheme="minorHAnsi" w:cstheme="minorBidi"/>
          <w:bCs w:val="0"/>
          <w:noProof/>
          <w:color w:val="auto"/>
          <w:sz w:val="22"/>
          <w:szCs w:val="22"/>
          <w:lang w:eastAsia="zh-CN"/>
        </w:rPr>
      </w:pPr>
      <w:r>
        <w:rPr>
          <w:b/>
          <w:bCs w:val="0"/>
        </w:rPr>
        <w:fldChar w:fldCharType="begin"/>
      </w:r>
      <w:r w:rsidRPr="0023777A">
        <w:rPr>
          <w:b/>
          <w:bCs w:val="0"/>
        </w:rPr>
        <w:instrText xml:space="preserve"> TOC \o "1-4" \h \z \u </w:instrText>
      </w:r>
      <w:r>
        <w:rPr>
          <w:b/>
          <w:bCs w:val="0"/>
        </w:rPr>
        <w:fldChar w:fldCharType="separate"/>
      </w:r>
      <w:hyperlink w:anchor="_Toc110620585" w:history="1">
        <w:r>
          <w:rPr>
            <w:rStyle w:val="Hyperlink"/>
            <w:b/>
            <w:bCs w:val="0"/>
            <w:noProof/>
          </w:rPr>
          <w:t>T</w:t>
        </w:r>
        <w:r w:rsidRPr="0023777A">
          <w:rPr>
            <w:rStyle w:val="Hyperlink"/>
            <w:b/>
            <w:bCs w:val="0"/>
            <w:noProof/>
          </w:rPr>
          <w:t>able 2.1.</w:t>
        </w:r>
        <w:r w:rsidRPr="006A3281">
          <w:rPr>
            <w:rStyle w:val="Hyperlink"/>
            <w:noProof/>
          </w:rPr>
          <w:t xml:space="preserve"> Descriptive statistics (mean, standard deviations (SD) and range) of the total sample (n = 546). Two-thirds of the sample (</w:t>
        </w:r>
        <w:r w:rsidRPr="006A3281">
          <w:rPr>
            <w:rStyle w:val="Hyperlink"/>
            <w:i/>
            <w:iCs/>
            <w:noProof/>
          </w:rPr>
          <w:t>n</w:t>
        </w:r>
        <w:r w:rsidRPr="006A3281">
          <w:rPr>
            <w:rStyle w:val="Hyperlink"/>
            <w:noProof/>
          </w:rPr>
          <w:t xml:space="preserve"> = 364; 66.67%) were likely hazardous or harmful drinkers (AUDIT &gt; 7)</w:t>
        </w:r>
        <w:r>
          <w:rPr>
            <w:noProof/>
            <w:webHidden/>
          </w:rPr>
          <w:tab/>
          <w:t>62</w:t>
        </w:r>
      </w:hyperlink>
    </w:p>
    <w:p w14:paraId="6B75B6B9"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86" w:history="1">
        <w:r w:rsidR="002E0EDA">
          <w:rPr>
            <w:rStyle w:val="Hyperlink"/>
            <w:b/>
            <w:bCs w:val="0"/>
            <w:noProof/>
          </w:rPr>
          <w:t>T</w:t>
        </w:r>
        <w:r w:rsidR="002E0EDA" w:rsidRPr="0023777A">
          <w:rPr>
            <w:rStyle w:val="Hyperlink"/>
            <w:b/>
            <w:bCs w:val="0"/>
            <w:noProof/>
          </w:rPr>
          <w:t>able 2.2.</w:t>
        </w:r>
        <w:r w:rsidR="002E0EDA" w:rsidRPr="006A3281">
          <w:rPr>
            <w:rStyle w:val="Hyperlink"/>
            <w:noProof/>
          </w:rPr>
          <w:t xml:space="preserve"> Hierarchical regression predicting AUDIT scores, predictor variables are presence of meaning, search for meaning, and average alcohol-free reinforcement after controlling for age and gender</w:t>
        </w:r>
        <w:r w:rsidR="002E0EDA">
          <w:rPr>
            <w:noProof/>
            <w:webHidden/>
          </w:rPr>
          <w:tab/>
          <w:t>63</w:t>
        </w:r>
      </w:hyperlink>
    </w:p>
    <w:p w14:paraId="1DEFD6E3"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87" w:history="1">
        <w:r w:rsidR="002E0EDA">
          <w:rPr>
            <w:rStyle w:val="Hyperlink"/>
            <w:b/>
            <w:bCs w:val="0"/>
            <w:noProof/>
          </w:rPr>
          <w:t>T</w:t>
        </w:r>
        <w:r w:rsidR="002E0EDA" w:rsidRPr="0023777A">
          <w:rPr>
            <w:rStyle w:val="Hyperlink"/>
            <w:b/>
            <w:bCs w:val="0"/>
            <w:noProof/>
          </w:rPr>
          <w:t>able 2.3.</w:t>
        </w:r>
        <w:r w:rsidR="002E0EDA" w:rsidRPr="006A3281">
          <w:rPr>
            <w:rStyle w:val="Hyperlink"/>
            <w:noProof/>
          </w:rPr>
          <w:t xml:space="preserve"> Indirect associations between variables from the structural equation model</w:t>
        </w:r>
        <w:r w:rsidR="002E0EDA">
          <w:rPr>
            <w:noProof/>
            <w:webHidden/>
          </w:rPr>
          <w:tab/>
          <w:t>66</w:t>
        </w:r>
      </w:hyperlink>
    </w:p>
    <w:p w14:paraId="151389B9"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88" w:history="1">
        <w:r w:rsidR="002E0EDA">
          <w:rPr>
            <w:rStyle w:val="Hyperlink"/>
            <w:b/>
            <w:bCs w:val="0"/>
            <w:noProof/>
          </w:rPr>
          <w:t>T</w:t>
        </w:r>
        <w:r w:rsidR="002E0EDA" w:rsidRPr="0023777A">
          <w:rPr>
            <w:rStyle w:val="Hyperlink"/>
            <w:b/>
            <w:bCs w:val="0"/>
            <w:noProof/>
          </w:rPr>
          <w:t>able 4.1.</w:t>
        </w:r>
        <w:r w:rsidR="002E0EDA" w:rsidRPr="006A3281">
          <w:rPr>
            <w:rStyle w:val="Hyperlink"/>
            <w:noProof/>
          </w:rPr>
          <w:t xml:space="preserve"> Descriptive statistics of the sample (values represent the mean, standard deviation, and range). All but two people (94.44% of the sample) were hazardous or harmful drinkers (AUDIT &gt; 7)</w:t>
        </w:r>
        <w:r w:rsidR="002E0EDA">
          <w:rPr>
            <w:noProof/>
            <w:webHidden/>
          </w:rPr>
          <w:tab/>
          <w:t>106</w:t>
        </w:r>
      </w:hyperlink>
    </w:p>
    <w:p w14:paraId="29974E15"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89" w:history="1">
        <w:r w:rsidR="002E0EDA">
          <w:rPr>
            <w:rStyle w:val="Hyperlink"/>
            <w:b/>
            <w:bCs w:val="0"/>
            <w:noProof/>
          </w:rPr>
          <w:t>T</w:t>
        </w:r>
        <w:r w:rsidR="002E0EDA" w:rsidRPr="0023777A">
          <w:rPr>
            <w:rStyle w:val="Hyperlink"/>
            <w:b/>
            <w:bCs w:val="0"/>
            <w:noProof/>
          </w:rPr>
          <w:t xml:space="preserve">able 5.1. </w:t>
        </w:r>
        <w:r w:rsidR="002E0EDA" w:rsidRPr="006A3281">
          <w:rPr>
            <w:rStyle w:val="Hyperlink"/>
            <w:noProof/>
          </w:rPr>
          <w:t>Descriptive statistics of the sample (values represent the mean, standard deviation, and range)</w:t>
        </w:r>
        <w:r w:rsidR="002E0EDA">
          <w:rPr>
            <w:noProof/>
            <w:webHidden/>
          </w:rPr>
          <w:tab/>
          <w:t>139</w:t>
        </w:r>
      </w:hyperlink>
    </w:p>
    <w:p w14:paraId="2C9B473C"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90" w:history="1">
        <w:r w:rsidR="002E0EDA">
          <w:rPr>
            <w:rStyle w:val="Hyperlink"/>
            <w:b/>
            <w:bCs w:val="0"/>
            <w:noProof/>
          </w:rPr>
          <w:t>T</w:t>
        </w:r>
        <w:r w:rsidR="002E0EDA" w:rsidRPr="0023777A">
          <w:rPr>
            <w:rStyle w:val="Hyperlink"/>
            <w:b/>
            <w:bCs w:val="0"/>
            <w:noProof/>
          </w:rPr>
          <w:t>able 5.2.</w:t>
        </w:r>
        <w:r w:rsidR="002E0EDA" w:rsidRPr="006A3281">
          <w:rPr>
            <w:rStyle w:val="Hyperlink"/>
            <w:noProof/>
          </w:rPr>
          <w:t xml:space="preserve"> Descriptive statistics for the demand indices captured by the </w:t>
        </w:r>
        <w:r w:rsidR="002E0EDA">
          <w:rPr>
            <w:rStyle w:val="Hyperlink"/>
            <w:noProof/>
          </w:rPr>
          <w:t>CPT</w:t>
        </w:r>
        <w:r w:rsidR="002E0EDA" w:rsidRPr="006A3281">
          <w:rPr>
            <w:rStyle w:val="Hyperlink"/>
            <w:noProof/>
          </w:rPr>
          <w:t xml:space="preserve"> (values are means and standard deviations)</w:t>
        </w:r>
        <w:r w:rsidR="002E0EDA">
          <w:rPr>
            <w:noProof/>
            <w:webHidden/>
          </w:rPr>
          <w:tab/>
          <w:t>150</w:t>
        </w:r>
      </w:hyperlink>
    </w:p>
    <w:p w14:paraId="5C0886D6" w14:textId="2974168D"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91" w:history="1">
        <w:r w:rsidR="002E0EDA">
          <w:rPr>
            <w:rStyle w:val="Hyperlink"/>
            <w:b/>
            <w:bCs w:val="0"/>
            <w:noProof/>
          </w:rPr>
          <w:t>T</w:t>
        </w:r>
        <w:r w:rsidR="002E0EDA" w:rsidRPr="0023777A">
          <w:rPr>
            <w:rStyle w:val="Hyperlink"/>
            <w:b/>
            <w:bCs w:val="0"/>
            <w:noProof/>
          </w:rPr>
          <w:t>able 6.1.</w:t>
        </w:r>
        <w:r w:rsidR="002E0EDA" w:rsidRPr="006A3281">
          <w:rPr>
            <w:rStyle w:val="Hyperlink"/>
            <w:noProof/>
          </w:rPr>
          <w:t xml:space="preserve"> Descriptive statistics split by drinker status (values are means and standard deviations)</w:t>
        </w:r>
        <w:r w:rsidR="002E0EDA">
          <w:rPr>
            <w:noProof/>
            <w:webHidden/>
          </w:rPr>
          <w:tab/>
          <w:t>17</w:t>
        </w:r>
        <w:r w:rsidR="0017110F">
          <w:rPr>
            <w:noProof/>
            <w:webHidden/>
          </w:rPr>
          <w:t>3</w:t>
        </w:r>
      </w:hyperlink>
    </w:p>
    <w:p w14:paraId="4E29A8DE" w14:textId="77777777"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92" w:history="1">
        <w:r w:rsidR="002E0EDA">
          <w:rPr>
            <w:rStyle w:val="Hyperlink"/>
            <w:b/>
            <w:bCs w:val="0"/>
            <w:noProof/>
          </w:rPr>
          <w:t>T</w:t>
        </w:r>
        <w:r w:rsidR="002E0EDA" w:rsidRPr="0023777A">
          <w:rPr>
            <w:rStyle w:val="Hyperlink"/>
            <w:b/>
            <w:bCs w:val="0"/>
            <w:noProof/>
          </w:rPr>
          <w:t xml:space="preserve">able 6.2. </w:t>
        </w:r>
        <w:r w:rsidR="002E0EDA" w:rsidRPr="006A3281">
          <w:rPr>
            <w:rStyle w:val="Hyperlink"/>
            <w:noProof/>
          </w:rPr>
          <w:t>Descriptive statistics for the APT split by drinker status (values are means and standard deviations, however for elasticity values represent the median and interquartile range)</w:t>
        </w:r>
        <w:r w:rsidR="002E0EDA">
          <w:rPr>
            <w:noProof/>
            <w:webHidden/>
          </w:rPr>
          <w:tab/>
          <w:t>177</w:t>
        </w:r>
      </w:hyperlink>
    </w:p>
    <w:p w14:paraId="2F40206B" w14:textId="28FECFAA"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93" w:history="1">
        <w:r w:rsidR="002E0EDA">
          <w:rPr>
            <w:rStyle w:val="Hyperlink"/>
            <w:b/>
            <w:bCs w:val="0"/>
            <w:noProof/>
          </w:rPr>
          <w:t>T</w:t>
        </w:r>
        <w:r w:rsidR="002E0EDA" w:rsidRPr="0023777A">
          <w:rPr>
            <w:rStyle w:val="Hyperlink"/>
            <w:b/>
            <w:bCs w:val="0"/>
            <w:noProof/>
          </w:rPr>
          <w:t>able 7.1.</w:t>
        </w:r>
        <w:r w:rsidR="002E0EDA" w:rsidRPr="006A3281">
          <w:rPr>
            <w:rStyle w:val="Hyperlink"/>
            <w:noProof/>
          </w:rPr>
          <w:t xml:space="preserve"> Descriptive statistics split by smoking status (values represent the mean and standard deviation)</w:t>
        </w:r>
        <w:r w:rsidR="002E0EDA">
          <w:rPr>
            <w:noProof/>
            <w:webHidden/>
          </w:rPr>
          <w:tab/>
          <w:t>20</w:t>
        </w:r>
        <w:r w:rsidR="0017110F">
          <w:rPr>
            <w:noProof/>
            <w:webHidden/>
          </w:rPr>
          <w:t>6</w:t>
        </w:r>
      </w:hyperlink>
    </w:p>
    <w:p w14:paraId="4A28858F" w14:textId="63B661C2" w:rsidR="002E0EDA" w:rsidRDefault="00000000" w:rsidP="002E0EDA">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20594" w:history="1">
        <w:r w:rsidR="002E0EDA">
          <w:rPr>
            <w:rStyle w:val="Hyperlink"/>
            <w:b/>
            <w:bCs w:val="0"/>
            <w:noProof/>
          </w:rPr>
          <w:t>T</w:t>
        </w:r>
        <w:r w:rsidR="002E0EDA" w:rsidRPr="0023777A">
          <w:rPr>
            <w:rStyle w:val="Hyperlink"/>
            <w:b/>
            <w:bCs w:val="0"/>
            <w:noProof/>
          </w:rPr>
          <w:t xml:space="preserve">able 8.1. </w:t>
        </w:r>
        <w:r w:rsidR="002E0EDA" w:rsidRPr="006A3281">
          <w:rPr>
            <w:rStyle w:val="Hyperlink"/>
            <w:noProof/>
          </w:rPr>
          <w:t>A brief overview of methodological details from the four empirical chapters that directly tested theoretical predictions derived from Copeland et al. (2021) and Field, Heather, et al. (2020)</w:t>
        </w:r>
        <w:r w:rsidR="002E0EDA">
          <w:rPr>
            <w:noProof/>
            <w:webHidden/>
          </w:rPr>
          <w:tab/>
          <w:t>22</w:t>
        </w:r>
        <w:r w:rsidR="0017110F">
          <w:rPr>
            <w:noProof/>
            <w:webHidden/>
          </w:rPr>
          <w:t>6</w:t>
        </w:r>
      </w:hyperlink>
    </w:p>
    <w:p w14:paraId="0F988CE1" w14:textId="77777777" w:rsidR="002E0EDA" w:rsidRDefault="002E0EDA" w:rsidP="002E0EDA">
      <w:pPr>
        <w:pStyle w:val="NoSpacing"/>
      </w:pPr>
      <w:r>
        <w:fldChar w:fldCharType="end"/>
      </w:r>
    </w:p>
    <w:p w14:paraId="678AE2AE" w14:textId="15C30006" w:rsidR="0023777A" w:rsidRDefault="0023777A" w:rsidP="002E0EDA">
      <w:pPr>
        <w:pStyle w:val="TOC1"/>
        <w:tabs>
          <w:tab w:val="right" w:leader="dot" w:pos="9010"/>
        </w:tabs>
      </w:pPr>
      <w:r>
        <w:rPr>
          <w:b/>
          <w:bCs w:val="0"/>
        </w:rPr>
        <w:fldChar w:fldCharType="begin"/>
      </w:r>
      <w:r w:rsidRPr="0023777A">
        <w:rPr>
          <w:b/>
          <w:bCs w:val="0"/>
        </w:rPr>
        <w:instrText xml:space="preserve"> TOC \o "1-4" \h \z \u </w:instrText>
      </w:r>
      <w:r w:rsidR="00000000">
        <w:rPr>
          <w:b/>
          <w:bCs w:val="0"/>
        </w:rPr>
        <w:fldChar w:fldCharType="separate"/>
      </w:r>
      <w:r>
        <w:fldChar w:fldCharType="end"/>
      </w:r>
    </w:p>
    <w:p w14:paraId="74E4A57E" w14:textId="02ADBF46" w:rsidR="002E0EDA" w:rsidRDefault="002E0EDA" w:rsidP="002E0EDA">
      <w:pPr>
        <w:pStyle w:val="NoSpacing"/>
      </w:pPr>
    </w:p>
    <w:p w14:paraId="5E8F9481" w14:textId="4095590D" w:rsidR="002E0EDA" w:rsidRDefault="002E0EDA" w:rsidP="002E0EDA">
      <w:pPr>
        <w:pStyle w:val="NoSpacing"/>
      </w:pPr>
    </w:p>
    <w:p w14:paraId="6B94357F" w14:textId="77777777" w:rsidR="002E0EDA" w:rsidRPr="002E0EDA" w:rsidRDefault="002E0EDA" w:rsidP="002E0EDA">
      <w:pPr>
        <w:pStyle w:val="NoSpacing"/>
      </w:pPr>
    </w:p>
    <w:bookmarkEnd w:id="37"/>
    <w:p w14:paraId="353B87B1" w14:textId="77777777" w:rsidR="0023777A" w:rsidRDefault="0023777A" w:rsidP="00A530E3">
      <w:pPr>
        <w:pStyle w:val="NoSpacing"/>
        <w:spacing w:line="480" w:lineRule="auto"/>
        <w:rPr>
          <w:rFonts w:ascii="Times New Roman" w:hAnsi="Times New Roman" w:cs="Times New Roman"/>
          <w:b/>
          <w:bCs/>
        </w:rPr>
      </w:pPr>
    </w:p>
    <w:p w14:paraId="6C7E39E6" w14:textId="263A5418" w:rsidR="00CF787D" w:rsidRDefault="00E42C66" w:rsidP="00107EBB">
      <w:pPr>
        <w:pStyle w:val="Heading1"/>
      </w:pPr>
      <w:bookmarkStart w:id="38" w:name="_Toc109901453"/>
      <w:bookmarkStart w:id="39" w:name="_Toc109901926"/>
      <w:bookmarkStart w:id="40" w:name="_Toc109911319"/>
      <w:bookmarkStart w:id="41" w:name="_Toc110612722"/>
      <w:bookmarkStart w:id="42" w:name="_Toc110629032"/>
      <w:bookmarkStart w:id="43" w:name="_Toc110870940"/>
      <w:bookmarkStart w:id="44" w:name="_Hlk118966547"/>
      <w:r w:rsidRPr="00E42C66">
        <w:lastRenderedPageBreak/>
        <w:t>List of Figures</w:t>
      </w:r>
      <w:bookmarkEnd w:id="38"/>
      <w:bookmarkEnd w:id="39"/>
      <w:bookmarkEnd w:id="40"/>
      <w:bookmarkEnd w:id="41"/>
      <w:bookmarkEnd w:id="42"/>
      <w:bookmarkEnd w:id="43"/>
    </w:p>
    <w:p w14:paraId="10636958" w14:textId="77777777" w:rsidR="00CD7CD7" w:rsidRDefault="00CD7CD7" w:rsidP="00CD7CD7">
      <w:pPr>
        <w:pStyle w:val="TOC1"/>
        <w:tabs>
          <w:tab w:val="right" w:leader="dot" w:pos="9010"/>
        </w:tabs>
        <w:rPr>
          <w:rFonts w:asciiTheme="minorHAnsi" w:eastAsiaTheme="minorEastAsia" w:hAnsiTheme="minorHAnsi" w:cstheme="minorBidi"/>
          <w:bCs w:val="0"/>
          <w:noProof/>
          <w:color w:val="auto"/>
          <w:sz w:val="22"/>
          <w:szCs w:val="22"/>
          <w:lang w:eastAsia="zh-CN"/>
        </w:rPr>
      </w:pPr>
      <w:r>
        <w:fldChar w:fldCharType="begin"/>
      </w:r>
      <w:r>
        <w:instrText xml:space="preserve"> TOC \o "1-4" \h \z \u </w:instrText>
      </w:r>
      <w:r>
        <w:fldChar w:fldCharType="separate"/>
      </w:r>
      <w:hyperlink w:anchor="_Toc110619870" w:history="1">
        <w:r w:rsidRPr="005F1A66">
          <w:rPr>
            <w:rStyle w:val="Hyperlink"/>
            <w:b/>
            <w:bCs w:val="0"/>
            <w:noProof/>
          </w:rPr>
          <w:t>Figure 1.1.</w:t>
        </w:r>
        <w:r w:rsidRPr="00694CB1">
          <w:rPr>
            <w:rStyle w:val="Hyperlink"/>
            <w:noProof/>
          </w:rPr>
          <w:t xml:space="preserve"> A schematic depiction of a simple drift-diffusion model for two hypothetical decisions (Action A and Action B)</w:t>
        </w:r>
        <w:r>
          <w:rPr>
            <w:noProof/>
            <w:webHidden/>
          </w:rPr>
          <w:tab/>
          <w:t>41</w:t>
        </w:r>
      </w:hyperlink>
    </w:p>
    <w:p w14:paraId="50CD1B53"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1" w:history="1">
        <w:r w:rsidR="00CD7CD7">
          <w:rPr>
            <w:rStyle w:val="Hyperlink"/>
            <w:b/>
            <w:bCs w:val="0"/>
            <w:noProof/>
          </w:rPr>
          <w:t>F</w:t>
        </w:r>
        <w:r w:rsidR="00CD7CD7" w:rsidRPr="00CF787D">
          <w:rPr>
            <w:rStyle w:val="Hyperlink"/>
            <w:b/>
            <w:bCs w:val="0"/>
            <w:noProof/>
          </w:rPr>
          <w:t>igure 1.2.</w:t>
        </w:r>
        <w:r w:rsidR="00CD7CD7" w:rsidRPr="00694CB1">
          <w:rPr>
            <w:rStyle w:val="Hyperlink"/>
            <w:noProof/>
          </w:rPr>
          <w:t xml:space="preserve"> A schematic depiction of alterations in VBDM parameters (evidence accumulation (EA) rates and response thresholds) that are hypothesised to underlie addiction and recovery from it</w:t>
        </w:r>
        <w:r w:rsidR="00CD7CD7">
          <w:rPr>
            <w:noProof/>
            <w:webHidden/>
          </w:rPr>
          <w:tab/>
          <w:t>44</w:t>
        </w:r>
      </w:hyperlink>
    </w:p>
    <w:p w14:paraId="679E2E7E"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2" w:history="1">
        <w:r w:rsidR="00CD7CD7">
          <w:rPr>
            <w:rStyle w:val="Hyperlink"/>
            <w:b/>
            <w:bCs w:val="0"/>
            <w:noProof/>
          </w:rPr>
          <w:t>F</w:t>
        </w:r>
        <w:r w:rsidR="00CD7CD7" w:rsidRPr="00CF787D">
          <w:rPr>
            <w:rStyle w:val="Hyperlink"/>
            <w:b/>
            <w:bCs w:val="0"/>
            <w:noProof/>
          </w:rPr>
          <w:t>igure 2.1.</w:t>
        </w:r>
        <w:r w:rsidR="00CD7CD7" w:rsidRPr="00694CB1">
          <w:rPr>
            <w:rStyle w:val="Hyperlink"/>
            <w:noProof/>
          </w:rPr>
          <w:t xml:space="preserve"> Direct and indirect relationships between meaning in life, alcohol consumption, alcohol-free reinforcement, alcohol value, depressive symptoms, and drinking to cope</w:t>
        </w:r>
        <w:r w:rsidR="00CD7CD7">
          <w:rPr>
            <w:noProof/>
            <w:webHidden/>
          </w:rPr>
          <w:tab/>
          <w:t>64</w:t>
        </w:r>
      </w:hyperlink>
    </w:p>
    <w:p w14:paraId="3A6A94D4"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3" w:history="1">
        <w:r w:rsidR="00CD7CD7">
          <w:rPr>
            <w:rStyle w:val="Hyperlink"/>
            <w:b/>
            <w:bCs w:val="0"/>
            <w:noProof/>
          </w:rPr>
          <w:t>F</w:t>
        </w:r>
        <w:r w:rsidR="00CD7CD7" w:rsidRPr="00CF787D">
          <w:rPr>
            <w:rStyle w:val="Hyperlink"/>
            <w:b/>
            <w:bCs w:val="0"/>
            <w:noProof/>
          </w:rPr>
          <w:t>igure 3.1.</w:t>
        </w:r>
        <w:r w:rsidR="00CD7CD7" w:rsidRPr="00694CB1">
          <w:rPr>
            <w:rStyle w:val="Hyperlink"/>
            <w:noProof/>
          </w:rPr>
          <w:t xml:space="preserve"> Example trials in the VBDM task</w:t>
        </w:r>
        <w:r w:rsidR="00CD7CD7">
          <w:rPr>
            <w:noProof/>
            <w:webHidden/>
          </w:rPr>
          <w:tab/>
          <w:t>82</w:t>
        </w:r>
      </w:hyperlink>
    </w:p>
    <w:p w14:paraId="25DC68ED" w14:textId="1C9CA036"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4" w:history="1">
        <w:r w:rsidR="00CD7CD7">
          <w:rPr>
            <w:rStyle w:val="Hyperlink"/>
            <w:b/>
            <w:bCs w:val="0"/>
            <w:noProof/>
          </w:rPr>
          <w:t>F</w:t>
        </w:r>
        <w:r w:rsidR="00CD7CD7" w:rsidRPr="00CF787D">
          <w:rPr>
            <w:rStyle w:val="Hyperlink"/>
            <w:b/>
            <w:bCs w:val="0"/>
            <w:noProof/>
          </w:rPr>
          <w:t>igure 3.2.</w:t>
        </w:r>
        <w:r w:rsidR="00CD7CD7" w:rsidRPr="00694CB1">
          <w:rPr>
            <w:rStyle w:val="Hyperlink"/>
            <w:noProof/>
          </w:rPr>
          <w:t xml:space="preserve"> Mean evidence accumulation (EA) rates split by trial difficulty and trial wording</w:t>
        </w:r>
        <w:r w:rsidR="00CD7CD7">
          <w:rPr>
            <w:noProof/>
            <w:webHidden/>
          </w:rPr>
          <w:tab/>
        </w:r>
      </w:hyperlink>
      <w:r w:rsidR="00CC0C5F">
        <w:rPr>
          <w:noProof/>
        </w:rPr>
        <w:t>8</w:t>
      </w:r>
      <w:r w:rsidR="00CD7CD7">
        <w:rPr>
          <w:noProof/>
        </w:rPr>
        <w:t>5</w:t>
      </w:r>
    </w:p>
    <w:p w14:paraId="13B212C2"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5" w:history="1">
        <w:r w:rsidR="00CD7CD7">
          <w:rPr>
            <w:rStyle w:val="Hyperlink"/>
            <w:b/>
            <w:bCs w:val="0"/>
            <w:noProof/>
          </w:rPr>
          <w:t>F</w:t>
        </w:r>
        <w:r w:rsidR="00CD7CD7" w:rsidRPr="00CF787D">
          <w:rPr>
            <w:rStyle w:val="Hyperlink"/>
            <w:b/>
            <w:bCs w:val="0"/>
            <w:noProof/>
          </w:rPr>
          <w:t>igure 3.3.</w:t>
        </w:r>
        <w:r w:rsidR="00CD7CD7" w:rsidRPr="00694CB1">
          <w:rPr>
            <w:rStyle w:val="Hyperlink"/>
            <w:noProof/>
          </w:rPr>
          <w:t xml:space="preserve"> Scatterplots to show correlations between EA rates during the three blocks of trials</w:t>
        </w:r>
        <w:r w:rsidR="00CD7CD7">
          <w:rPr>
            <w:noProof/>
            <w:webHidden/>
          </w:rPr>
          <w:tab/>
          <w:t>86</w:t>
        </w:r>
      </w:hyperlink>
    </w:p>
    <w:p w14:paraId="31865AF8"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6" w:history="1">
        <w:r w:rsidR="00CD7CD7">
          <w:rPr>
            <w:rStyle w:val="Hyperlink"/>
            <w:b/>
            <w:bCs w:val="0"/>
            <w:noProof/>
          </w:rPr>
          <w:t>F</w:t>
        </w:r>
        <w:r w:rsidR="00CD7CD7" w:rsidRPr="00CF787D">
          <w:rPr>
            <w:rStyle w:val="Hyperlink"/>
            <w:b/>
            <w:bCs w:val="0"/>
            <w:noProof/>
          </w:rPr>
          <w:t xml:space="preserve">igure 4.1. </w:t>
        </w:r>
        <w:r w:rsidR="00CD7CD7" w:rsidRPr="00694CB1">
          <w:rPr>
            <w:rStyle w:val="Hyperlink"/>
            <w:noProof/>
          </w:rPr>
          <w:t>Schematic overview of the study procedure</w:t>
        </w:r>
        <w:r w:rsidR="00CD7CD7">
          <w:rPr>
            <w:noProof/>
            <w:webHidden/>
          </w:rPr>
          <w:tab/>
          <w:t>104</w:t>
        </w:r>
      </w:hyperlink>
    </w:p>
    <w:p w14:paraId="0A5CA24E"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7" w:history="1">
        <w:r w:rsidR="00CD7CD7">
          <w:rPr>
            <w:rStyle w:val="Hyperlink"/>
            <w:b/>
            <w:bCs w:val="0"/>
            <w:noProof/>
          </w:rPr>
          <w:t>F</w:t>
        </w:r>
        <w:r w:rsidR="00CD7CD7" w:rsidRPr="00CF787D">
          <w:rPr>
            <w:rStyle w:val="Hyperlink"/>
            <w:b/>
            <w:bCs w:val="0"/>
            <w:noProof/>
          </w:rPr>
          <w:t>igure 4.2.</w:t>
        </w:r>
        <w:r w:rsidR="00CD7CD7" w:rsidRPr="00694CB1">
          <w:rPr>
            <w:rStyle w:val="Hyperlink"/>
            <w:noProof/>
          </w:rPr>
          <w:t xml:space="preserve"> Example of typical trials (in the soft drink block)</w:t>
        </w:r>
        <w:r w:rsidR="00CD7CD7">
          <w:rPr>
            <w:noProof/>
            <w:webHidden/>
          </w:rPr>
          <w:tab/>
          <w:t>104</w:t>
        </w:r>
      </w:hyperlink>
    </w:p>
    <w:p w14:paraId="1ECB4562"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8" w:history="1">
        <w:r w:rsidR="00CD7CD7">
          <w:rPr>
            <w:rStyle w:val="Hyperlink"/>
            <w:b/>
            <w:bCs w:val="0"/>
            <w:noProof/>
          </w:rPr>
          <w:t>F</w:t>
        </w:r>
        <w:r w:rsidR="00CD7CD7" w:rsidRPr="00CF787D">
          <w:rPr>
            <w:rStyle w:val="Hyperlink"/>
            <w:b/>
            <w:bCs w:val="0"/>
            <w:noProof/>
          </w:rPr>
          <w:t>igure 4.3.</w:t>
        </w:r>
        <w:r w:rsidR="00CD7CD7" w:rsidRPr="00694CB1">
          <w:rPr>
            <w:rStyle w:val="Hyperlink"/>
            <w:noProof/>
          </w:rPr>
          <w:t xml:space="preserve"> Mean AAAQ scores before (pre) and after (post) watching the negative video intended to decrease alcohol value</w:t>
        </w:r>
        <w:r w:rsidR="00CD7CD7">
          <w:rPr>
            <w:noProof/>
            <w:webHidden/>
          </w:rPr>
          <w:tab/>
          <w:t>108</w:t>
        </w:r>
      </w:hyperlink>
    </w:p>
    <w:p w14:paraId="7731792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79" w:history="1">
        <w:r w:rsidR="00CD7CD7">
          <w:rPr>
            <w:rStyle w:val="Hyperlink"/>
            <w:b/>
            <w:bCs w:val="0"/>
            <w:noProof/>
          </w:rPr>
          <w:t>F</w:t>
        </w:r>
        <w:r w:rsidR="00CD7CD7" w:rsidRPr="00CF787D">
          <w:rPr>
            <w:rStyle w:val="Hyperlink"/>
            <w:b/>
            <w:bCs w:val="0"/>
            <w:noProof/>
          </w:rPr>
          <w:t>igure 4.4.</w:t>
        </w:r>
        <w:r w:rsidR="00CD7CD7" w:rsidRPr="00694CB1">
          <w:rPr>
            <w:rStyle w:val="Hyperlink"/>
            <w:noProof/>
          </w:rPr>
          <w:t xml:space="preserve"> Mean AAAQ scores before (pre) and after (post) watching the positive video intended to increase alcohol value</w:t>
        </w:r>
        <w:r w:rsidR="00CD7CD7">
          <w:rPr>
            <w:noProof/>
            <w:webHidden/>
          </w:rPr>
          <w:tab/>
          <w:t>108</w:t>
        </w:r>
      </w:hyperlink>
    </w:p>
    <w:p w14:paraId="40026C25"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0" w:history="1">
        <w:r w:rsidR="00CD7CD7">
          <w:rPr>
            <w:rStyle w:val="Hyperlink"/>
            <w:b/>
            <w:bCs w:val="0"/>
            <w:noProof/>
          </w:rPr>
          <w:t>F</w:t>
        </w:r>
        <w:r w:rsidR="00CD7CD7" w:rsidRPr="00CF787D">
          <w:rPr>
            <w:rStyle w:val="Hyperlink"/>
            <w:b/>
            <w:bCs w:val="0"/>
            <w:noProof/>
          </w:rPr>
          <w:t>igure 4.5.</w:t>
        </w:r>
        <w:r w:rsidR="00CD7CD7" w:rsidRPr="00694CB1">
          <w:rPr>
            <w:rStyle w:val="Hyperlink"/>
            <w:noProof/>
          </w:rPr>
          <w:t xml:space="preserve"> Mean overall EA rates for alcohol and soft drink choices split by alcohol devaluation (solid black line; circle) and alcohol valuation (dashed black line; triangle) experimental conditions</w:t>
        </w:r>
        <w:r w:rsidR="00CD7CD7">
          <w:rPr>
            <w:noProof/>
            <w:webHidden/>
          </w:rPr>
          <w:tab/>
          <w:t>111</w:t>
        </w:r>
      </w:hyperlink>
    </w:p>
    <w:p w14:paraId="37FB954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1" w:history="1">
        <w:r w:rsidR="00CD7CD7">
          <w:rPr>
            <w:rStyle w:val="Hyperlink"/>
            <w:b/>
            <w:bCs w:val="0"/>
            <w:noProof/>
          </w:rPr>
          <w:t>F</w:t>
        </w:r>
        <w:r w:rsidR="00CD7CD7" w:rsidRPr="00CF787D">
          <w:rPr>
            <w:rStyle w:val="Hyperlink"/>
            <w:b/>
            <w:bCs w:val="0"/>
            <w:noProof/>
          </w:rPr>
          <w:t xml:space="preserve">igure 4.6. </w:t>
        </w:r>
        <w:r w:rsidR="00CD7CD7" w:rsidRPr="00694CB1">
          <w:rPr>
            <w:rStyle w:val="Hyperlink"/>
            <w:noProof/>
          </w:rPr>
          <w:t>Mean overall response thresholds for alcohol and soft drink choices split by alcohol devaluation (solid black line; circle) and alcohol valuation (dashed black line; triangle) experimental conditions</w:t>
        </w:r>
        <w:r w:rsidR="00CD7CD7">
          <w:rPr>
            <w:noProof/>
            <w:webHidden/>
          </w:rPr>
          <w:tab/>
          <w:t>111</w:t>
        </w:r>
      </w:hyperlink>
    </w:p>
    <w:p w14:paraId="499B2D85"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2" w:history="1">
        <w:r w:rsidR="00CD7CD7">
          <w:rPr>
            <w:rStyle w:val="Hyperlink"/>
            <w:b/>
            <w:bCs w:val="0"/>
            <w:noProof/>
          </w:rPr>
          <w:t>F</w:t>
        </w:r>
        <w:r w:rsidR="00CD7CD7" w:rsidRPr="00CF787D">
          <w:rPr>
            <w:rStyle w:val="Hyperlink"/>
            <w:b/>
            <w:bCs w:val="0"/>
            <w:noProof/>
          </w:rPr>
          <w:t xml:space="preserve">igure 4.7. </w:t>
        </w:r>
        <w:r w:rsidR="00CD7CD7" w:rsidRPr="00694CB1">
          <w:rPr>
            <w:rStyle w:val="Hyperlink"/>
            <w:noProof/>
          </w:rPr>
          <w:t>Mean evidence accumulation (EA) rates for alcohol and soft drink decisions (averaged across experimental conditions) split by trial difficulty level</w:t>
        </w:r>
        <w:r w:rsidR="00CD7CD7">
          <w:rPr>
            <w:noProof/>
            <w:webHidden/>
          </w:rPr>
          <w:tab/>
          <w:t>114</w:t>
        </w:r>
      </w:hyperlink>
    </w:p>
    <w:p w14:paraId="612E27E6"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3" w:history="1">
        <w:r w:rsidR="00CD7CD7">
          <w:rPr>
            <w:rStyle w:val="Hyperlink"/>
            <w:b/>
            <w:bCs w:val="0"/>
            <w:noProof/>
          </w:rPr>
          <w:t>F</w:t>
        </w:r>
        <w:r w:rsidR="00CD7CD7" w:rsidRPr="00CF787D">
          <w:rPr>
            <w:rStyle w:val="Hyperlink"/>
            <w:b/>
            <w:bCs w:val="0"/>
            <w:noProof/>
          </w:rPr>
          <w:t>igure 5.1.</w:t>
        </w:r>
        <w:r w:rsidR="00CD7CD7" w:rsidRPr="00694CB1">
          <w:rPr>
            <w:rStyle w:val="Hyperlink"/>
            <w:noProof/>
          </w:rPr>
          <w:t xml:space="preserve"> Schematic overview of the study procedure</w:t>
        </w:r>
        <w:r w:rsidR="00CD7CD7">
          <w:rPr>
            <w:noProof/>
            <w:webHidden/>
          </w:rPr>
          <w:tab/>
          <w:t>136</w:t>
        </w:r>
      </w:hyperlink>
    </w:p>
    <w:p w14:paraId="42BD8190"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4" w:history="1">
        <w:r w:rsidR="00CD7CD7">
          <w:rPr>
            <w:rStyle w:val="Hyperlink"/>
            <w:b/>
            <w:bCs w:val="0"/>
            <w:noProof/>
          </w:rPr>
          <w:t>F</w:t>
        </w:r>
        <w:r w:rsidR="00CD7CD7" w:rsidRPr="00CF787D">
          <w:rPr>
            <w:rStyle w:val="Hyperlink"/>
            <w:b/>
            <w:bCs w:val="0"/>
            <w:noProof/>
          </w:rPr>
          <w:t xml:space="preserve">igure 5.2. </w:t>
        </w:r>
        <w:r w:rsidR="00CD7CD7" w:rsidRPr="00694CB1">
          <w:rPr>
            <w:rStyle w:val="Hyperlink"/>
            <w:noProof/>
          </w:rPr>
          <w:t>Schematic depiction of typical tobacco block (left) and typical animal block (right) trials</w:t>
        </w:r>
        <w:r w:rsidR="00CD7CD7">
          <w:rPr>
            <w:noProof/>
            <w:webHidden/>
          </w:rPr>
          <w:tab/>
          <w:t>137</w:t>
        </w:r>
      </w:hyperlink>
    </w:p>
    <w:p w14:paraId="7B205770"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5" w:history="1">
        <w:r w:rsidR="00CD7CD7">
          <w:rPr>
            <w:rStyle w:val="Hyperlink"/>
            <w:b/>
            <w:bCs w:val="0"/>
            <w:noProof/>
          </w:rPr>
          <w:t>F</w:t>
        </w:r>
        <w:r w:rsidR="00CD7CD7" w:rsidRPr="00CF787D">
          <w:rPr>
            <w:rStyle w:val="Hyperlink"/>
            <w:b/>
            <w:bCs w:val="0"/>
            <w:noProof/>
          </w:rPr>
          <w:t>igure 5.3.</w:t>
        </w:r>
        <w:r w:rsidR="00CD7CD7" w:rsidRPr="00694CB1">
          <w:rPr>
            <w:rStyle w:val="Hyperlink"/>
            <w:noProof/>
          </w:rPr>
          <w:t xml:space="preserve"> Average PANAS-X scores (happiness and sadness subscales) pre (before) and post (after) watching the negative videos in the negative mood experimental condition</w:t>
        </w:r>
        <w:r w:rsidR="00CD7CD7">
          <w:rPr>
            <w:noProof/>
            <w:webHidden/>
          </w:rPr>
          <w:tab/>
          <w:t>140</w:t>
        </w:r>
      </w:hyperlink>
    </w:p>
    <w:p w14:paraId="22C753A2"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6" w:history="1">
        <w:r w:rsidR="00CD7CD7" w:rsidRPr="00694CB1">
          <w:rPr>
            <w:rStyle w:val="Hyperlink"/>
            <w:noProof/>
          </w:rPr>
          <w:t>F</w:t>
        </w:r>
        <w:r w:rsidR="00CD7CD7" w:rsidRPr="00CF787D">
          <w:rPr>
            <w:rStyle w:val="Hyperlink"/>
            <w:b/>
            <w:bCs w:val="0"/>
            <w:noProof/>
          </w:rPr>
          <w:t xml:space="preserve">igure 5.4. </w:t>
        </w:r>
        <w:r w:rsidR="00CD7CD7" w:rsidRPr="00694CB1">
          <w:rPr>
            <w:rStyle w:val="Hyperlink"/>
            <w:noProof/>
          </w:rPr>
          <w:t>Average PANAS-X scores (happiness and sadness subscales) pre (before) and post (after) watching the positive videos in the positive mood experimental condition</w:t>
        </w:r>
        <w:r w:rsidR="00CD7CD7">
          <w:rPr>
            <w:noProof/>
            <w:webHidden/>
          </w:rPr>
          <w:tab/>
          <w:t>141</w:t>
        </w:r>
      </w:hyperlink>
    </w:p>
    <w:p w14:paraId="53E02FB6"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7" w:history="1">
        <w:r w:rsidR="00CD7CD7">
          <w:rPr>
            <w:rStyle w:val="Hyperlink"/>
            <w:b/>
            <w:bCs w:val="0"/>
            <w:noProof/>
          </w:rPr>
          <w:t>F</w:t>
        </w:r>
        <w:r w:rsidR="00CD7CD7" w:rsidRPr="00CF787D">
          <w:rPr>
            <w:rStyle w:val="Hyperlink"/>
            <w:b/>
            <w:bCs w:val="0"/>
            <w:noProof/>
          </w:rPr>
          <w:t>igure 5.5.</w:t>
        </w:r>
        <w:r w:rsidR="00CD7CD7" w:rsidRPr="00694CB1">
          <w:rPr>
            <w:rStyle w:val="Hyperlink"/>
            <w:noProof/>
          </w:rPr>
          <w:t xml:space="preserve"> Mean craving to smoke scores pre (before) and post (after) in each of the experimental conditions</w:t>
        </w:r>
        <w:r w:rsidR="00CD7CD7">
          <w:rPr>
            <w:noProof/>
            <w:webHidden/>
          </w:rPr>
          <w:tab/>
          <w:t>143</w:t>
        </w:r>
      </w:hyperlink>
    </w:p>
    <w:p w14:paraId="5A934C5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8" w:history="1">
        <w:r w:rsidR="00CD7CD7">
          <w:rPr>
            <w:rStyle w:val="Hyperlink"/>
            <w:b/>
            <w:bCs w:val="0"/>
            <w:noProof/>
          </w:rPr>
          <w:t>F</w:t>
        </w:r>
        <w:r w:rsidR="00CD7CD7" w:rsidRPr="00CF787D">
          <w:rPr>
            <w:rStyle w:val="Hyperlink"/>
            <w:b/>
            <w:bCs w:val="0"/>
            <w:noProof/>
          </w:rPr>
          <w:t>igure 5.6.</w:t>
        </w:r>
        <w:r w:rsidR="00CD7CD7" w:rsidRPr="00694CB1">
          <w:rPr>
            <w:rStyle w:val="Hyperlink"/>
            <w:noProof/>
          </w:rPr>
          <w:t xml:space="preserve"> Mean overall EA rates for tobacco and animal choices split by negative (solid black line; circle) and positive (dashed black line; triangle) experimental conditions</w:t>
        </w:r>
        <w:r w:rsidR="00CD7CD7">
          <w:rPr>
            <w:noProof/>
            <w:webHidden/>
          </w:rPr>
          <w:tab/>
          <w:t>145</w:t>
        </w:r>
      </w:hyperlink>
    </w:p>
    <w:p w14:paraId="5FE526D5"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89" w:history="1">
        <w:r w:rsidR="00CD7CD7">
          <w:rPr>
            <w:rStyle w:val="Hyperlink"/>
            <w:b/>
            <w:bCs w:val="0"/>
            <w:noProof/>
          </w:rPr>
          <w:t>F</w:t>
        </w:r>
        <w:r w:rsidR="00CD7CD7" w:rsidRPr="00CF787D">
          <w:rPr>
            <w:rStyle w:val="Hyperlink"/>
            <w:b/>
            <w:bCs w:val="0"/>
            <w:noProof/>
          </w:rPr>
          <w:t>igure 5.7.</w:t>
        </w:r>
        <w:r w:rsidR="00CD7CD7" w:rsidRPr="00694CB1">
          <w:rPr>
            <w:rStyle w:val="Hyperlink"/>
            <w:noProof/>
          </w:rPr>
          <w:t xml:space="preserve"> Mean overall response thresholds for tobacco and animal choices split by negative mood (solid black line; circle) and positive (dashed black line; triangle) experimental conditions</w:t>
        </w:r>
        <w:r w:rsidR="00CD7CD7">
          <w:rPr>
            <w:noProof/>
            <w:webHidden/>
          </w:rPr>
          <w:tab/>
          <w:t>146</w:t>
        </w:r>
      </w:hyperlink>
    </w:p>
    <w:p w14:paraId="750FA92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0" w:history="1">
        <w:r w:rsidR="00CD7CD7">
          <w:rPr>
            <w:rStyle w:val="Hyperlink"/>
            <w:b/>
            <w:bCs w:val="0"/>
            <w:noProof/>
          </w:rPr>
          <w:t>F</w:t>
        </w:r>
        <w:r w:rsidR="00CD7CD7" w:rsidRPr="00CF787D">
          <w:rPr>
            <w:rStyle w:val="Hyperlink"/>
            <w:b/>
            <w:bCs w:val="0"/>
            <w:noProof/>
          </w:rPr>
          <w:t xml:space="preserve">igure 5.8. </w:t>
        </w:r>
        <w:r w:rsidR="00CD7CD7" w:rsidRPr="00694CB1">
          <w:rPr>
            <w:rStyle w:val="Hyperlink"/>
            <w:noProof/>
          </w:rPr>
          <w:t>Mean evidence accumulation (EA) rates for tobacco and tobacco-unrelated (animal) decisions (averaged across experimental condition) split by trial difficulty level</w:t>
        </w:r>
        <w:r w:rsidR="00CD7CD7">
          <w:rPr>
            <w:noProof/>
            <w:webHidden/>
          </w:rPr>
          <w:tab/>
          <w:t>148</w:t>
        </w:r>
      </w:hyperlink>
    </w:p>
    <w:p w14:paraId="74D9D71F"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1" w:history="1">
        <w:r w:rsidR="00CD7CD7">
          <w:rPr>
            <w:rStyle w:val="Hyperlink"/>
            <w:b/>
            <w:bCs w:val="0"/>
            <w:noProof/>
          </w:rPr>
          <w:t>F</w:t>
        </w:r>
        <w:r w:rsidR="00CD7CD7" w:rsidRPr="00CF787D">
          <w:rPr>
            <w:rStyle w:val="Hyperlink"/>
            <w:b/>
            <w:bCs w:val="0"/>
            <w:noProof/>
          </w:rPr>
          <w:t xml:space="preserve">igure 5.9. </w:t>
        </w:r>
        <w:r w:rsidR="00CD7CD7" w:rsidRPr="00694CB1">
          <w:rPr>
            <w:rStyle w:val="Hyperlink"/>
            <w:noProof/>
          </w:rPr>
          <w:t>Cigarette demand curves for current smokers. Each data point represents average hypothetical consumption on a particular price of the CPT</w:t>
        </w:r>
        <w:r w:rsidR="00CD7CD7">
          <w:rPr>
            <w:noProof/>
            <w:webHidden/>
          </w:rPr>
          <w:tab/>
          <w:t>150</w:t>
        </w:r>
      </w:hyperlink>
    </w:p>
    <w:p w14:paraId="641EADE1"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2" w:history="1">
        <w:r w:rsidR="00CD7CD7">
          <w:rPr>
            <w:rStyle w:val="Hyperlink"/>
            <w:b/>
            <w:bCs w:val="0"/>
            <w:noProof/>
          </w:rPr>
          <w:t>F</w:t>
        </w:r>
        <w:r w:rsidR="00CD7CD7" w:rsidRPr="00CF787D">
          <w:rPr>
            <w:rStyle w:val="Hyperlink"/>
            <w:b/>
            <w:bCs w:val="0"/>
            <w:noProof/>
          </w:rPr>
          <w:t>igure 6.1.</w:t>
        </w:r>
        <w:r w:rsidR="00CD7CD7" w:rsidRPr="00694CB1">
          <w:rPr>
            <w:rStyle w:val="Hyperlink"/>
            <w:noProof/>
          </w:rPr>
          <w:t xml:space="preserve"> Example of typical trials (in the soft drink block)</w:t>
        </w:r>
        <w:r w:rsidR="00CD7CD7">
          <w:rPr>
            <w:noProof/>
            <w:webHidden/>
          </w:rPr>
          <w:tab/>
          <w:t>170</w:t>
        </w:r>
      </w:hyperlink>
    </w:p>
    <w:p w14:paraId="0801870E" w14:textId="0DB227CE"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3" w:history="1">
        <w:r w:rsidR="00CD7CD7">
          <w:rPr>
            <w:rStyle w:val="Hyperlink"/>
            <w:b/>
            <w:bCs w:val="0"/>
            <w:noProof/>
            <w:lang w:val="en-US"/>
          </w:rPr>
          <w:t>F</w:t>
        </w:r>
        <w:r w:rsidR="00CD7CD7" w:rsidRPr="00CF787D">
          <w:rPr>
            <w:rStyle w:val="Hyperlink"/>
            <w:b/>
            <w:bCs w:val="0"/>
            <w:noProof/>
            <w:lang w:val="en-US"/>
          </w:rPr>
          <w:t>igure 6.2.</w:t>
        </w:r>
        <w:r w:rsidR="00CD7CD7" w:rsidRPr="00694CB1">
          <w:rPr>
            <w:rStyle w:val="Hyperlink"/>
            <w:noProof/>
            <w:lang w:val="en-US"/>
          </w:rPr>
          <w:t xml:space="preserve"> Mean evidence accumulation (EA) rates for alcohol and soft drink choices split by heavy drinkers (solid black line; circle) and moderated drinkers (dashed black line; triangle)</w:t>
        </w:r>
        <w:r w:rsidR="00CD7CD7">
          <w:rPr>
            <w:noProof/>
            <w:webHidden/>
          </w:rPr>
          <w:tab/>
          <w:t>17</w:t>
        </w:r>
        <w:r w:rsidR="007E7FE6">
          <w:rPr>
            <w:noProof/>
            <w:webHidden/>
          </w:rPr>
          <w:t>5</w:t>
        </w:r>
      </w:hyperlink>
    </w:p>
    <w:p w14:paraId="3DA6D04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4" w:history="1">
        <w:r w:rsidR="00CD7CD7">
          <w:rPr>
            <w:rStyle w:val="Hyperlink"/>
            <w:b/>
            <w:bCs w:val="0"/>
            <w:noProof/>
            <w:lang w:val="en-US"/>
          </w:rPr>
          <w:t>F</w:t>
        </w:r>
        <w:r w:rsidR="00CD7CD7" w:rsidRPr="00CF787D">
          <w:rPr>
            <w:rStyle w:val="Hyperlink"/>
            <w:b/>
            <w:bCs w:val="0"/>
            <w:noProof/>
            <w:lang w:val="en-US"/>
          </w:rPr>
          <w:t>igure 6.3.</w:t>
        </w:r>
        <w:r w:rsidR="00CD7CD7" w:rsidRPr="00694CB1">
          <w:rPr>
            <w:rStyle w:val="Hyperlink"/>
            <w:noProof/>
            <w:lang w:val="en-US"/>
          </w:rPr>
          <w:t xml:space="preserve"> Mean response thresholds for alcohol and soft drink choices split by heavy drinkers (solid black line; circle) and moderated drinkers (dashed black line; triangle)</w:t>
        </w:r>
        <w:r w:rsidR="00CD7CD7">
          <w:rPr>
            <w:noProof/>
            <w:webHidden/>
          </w:rPr>
          <w:tab/>
          <w:t>175</w:t>
        </w:r>
      </w:hyperlink>
    </w:p>
    <w:p w14:paraId="4391AD87" w14:textId="54863DBD"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5" w:history="1">
        <w:r w:rsidR="00CD7CD7">
          <w:rPr>
            <w:rStyle w:val="Hyperlink"/>
            <w:b/>
            <w:bCs w:val="0"/>
            <w:noProof/>
          </w:rPr>
          <w:t>F</w:t>
        </w:r>
        <w:r w:rsidR="00CD7CD7" w:rsidRPr="00CF787D">
          <w:rPr>
            <w:rStyle w:val="Hyperlink"/>
            <w:b/>
            <w:bCs w:val="0"/>
            <w:noProof/>
          </w:rPr>
          <w:t xml:space="preserve">igure 6.4. </w:t>
        </w:r>
        <w:r w:rsidR="00CD7CD7" w:rsidRPr="00694CB1">
          <w:rPr>
            <w:rStyle w:val="Hyperlink"/>
            <w:noProof/>
          </w:rPr>
          <w:t>Alcohol demand curves (Panel A) and expenditure (Panel B) split by heavy drinkers and moderated drinkers</w:t>
        </w:r>
        <w:r w:rsidR="00CD7CD7">
          <w:rPr>
            <w:noProof/>
            <w:webHidden/>
          </w:rPr>
          <w:tab/>
          <w:t>17</w:t>
        </w:r>
        <w:r w:rsidR="007E7FE6">
          <w:rPr>
            <w:noProof/>
            <w:webHidden/>
          </w:rPr>
          <w:t>8</w:t>
        </w:r>
      </w:hyperlink>
    </w:p>
    <w:p w14:paraId="46BAFD8B" w14:textId="7777777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6" w:history="1">
        <w:r w:rsidR="00CD7CD7">
          <w:rPr>
            <w:rStyle w:val="Hyperlink"/>
            <w:b/>
            <w:bCs w:val="0"/>
            <w:noProof/>
          </w:rPr>
          <w:t>F</w:t>
        </w:r>
        <w:r w:rsidR="00CD7CD7" w:rsidRPr="00CF787D">
          <w:rPr>
            <w:rStyle w:val="Hyperlink"/>
            <w:b/>
            <w:bCs w:val="0"/>
            <w:noProof/>
          </w:rPr>
          <w:t xml:space="preserve">igure 6.5. </w:t>
        </w:r>
        <w:r w:rsidR="00CD7CD7" w:rsidRPr="00694CB1">
          <w:rPr>
            <w:rStyle w:val="Hyperlink"/>
            <w:noProof/>
          </w:rPr>
          <w:t>Mean evidence accumulation rates (including all participants) for alcohol and soft drink choices split by trial difficulty level</w:t>
        </w:r>
        <w:r w:rsidR="00CD7CD7">
          <w:rPr>
            <w:noProof/>
            <w:webHidden/>
          </w:rPr>
          <w:tab/>
          <w:t>179</w:t>
        </w:r>
      </w:hyperlink>
    </w:p>
    <w:p w14:paraId="0E9D8DBF" w14:textId="135366EC"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7" w:history="1">
        <w:r w:rsidR="00CD7CD7">
          <w:rPr>
            <w:rStyle w:val="Hyperlink"/>
            <w:b/>
            <w:bCs w:val="0"/>
            <w:noProof/>
          </w:rPr>
          <w:t>F</w:t>
        </w:r>
        <w:r w:rsidR="00CD7CD7" w:rsidRPr="00CF787D">
          <w:rPr>
            <w:rStyle w:val="Hyperlink"/>
            <w:b/>
            <w:bCs w:val="0"/>
            <w:noProof/>
          </w:rPr>
          <w:t xml:space="preserve">igure 7.1. </w:t>
        </w:r>
        <w:r w:rsidR="00CD7CD7" w:rsidRPr="00694CB1">
          <w:rPr>
            <w:rStyle w:val="Hyperlink"/>
            <w:noProof/>
          </w:rPr>
          <w:t>Schematic depiction of typical tobacco block (left) and typical animal block (right) trials</w:t>
        </w:r>
        <w:r w:rsidR="00CD7CD7">
          <w:rPr>
            <w:noProof/>
            <w:webHidden/>
          </w:rPr>
          <w:tab/>
          <w:t>20</w:t>
        </w:r>
        <w:r w:rsidR="007E7FE6">
          <w:rPr>
            <w:noProof/>
            <w:webHidden/>
          </w:rPr>
          <w:t>2</w:t>
        </w:r>
      </w:hyperlink>
    </w:p>
    <w:p w14:paraId="4D53A078" w14:textId="44B49B4A"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8" w:history="1">
        <w:r w:rsidR="00CD7CD7">
          <w:rPr>
            <w:rStyle w:val="Hyperlink"/>
            <w:b/>
            <w:bCs w:val="0"/>
            <w:noProof/>
          </w:rPr>
          <w:t>F</w:t>
        </w:r>
        <w:r w:rsidR="00CD7CD7" w:rsidRPr="00CF787D">
          <w:rPr>
            <w:rStyle w:val="Hyperlink"/>
            <w:b/>
            <w:bCs w:val="0"/>
            <w:noProof/>
          </w:rPr>
          <w:t>igure 7.2.</w:t>
        </w:r>
        <w:r w:rsidR="00CD7CD7" w:rsidRPr="00694CB1">
          <w:rPr>
            <w:rStyle w:val="Hyperlink"/>
            <w:noProof/>
          </w:rPr>
          <w:t xml:space="preserve"> Schematic depiction of a typical MouseTracker trial</w:t>
        </w:r>
        <w:r w:rsidR="00CD7CD7">
          <w:rPr>
            <w:noProof/>
            <w:webHidden/>
          </w:rPr>
          <w:tab/>
          <w:t>20</w:t>
        </w:r>
        <w:r w:rsidR="008405BA">
          <w:rPr>
            <w:noProof/>
            <w:webHidden/>
          </w:rPr>
          <w:t>4</w:t>
        </w:r>
      </w:hyperlink>
    </w:p>
    <w:p w14:paraId="1C3FEB65" w14:textId="703E30C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899" w:history="1">
        <w:r w:rsidR="00CD7CD7">
          <w:rPr>
            <w:rStyle w:val="Hyperlink"/>
            <w:b/>
            <w:bCs w:val="0"/>
            <w:noProof/>
          </w:rPr>
          <w:t>F</w:t>
        </w:r>
        <w:r w:rsidR="00CD7CD7" w:rsidRPr="00CF787D">
          <w:rPr>
            <w:rStyle w:val="Hyperlink"/>
            <w:b/>
            <w:bCs w:val="0"/>
            <w:noProof/>
          </w:rPr>
          <w:t>igure 7.3.</w:t>
        </w:r>
        <w:r w:rsidR="00CD7CD7" w:rsidRPr="00694CB1">
          <w:rPr>
            <w:rStyle w:val="Hyperlink"/>
            <w:noProof/>
          </w:rPr>
          <w:t xml:space="preserve"> Mean overall EA rates for tobacco-unrelated (animal) and tobacco choices split by smokers (solid black line; circle) and ex-smokers (dashed black line; triangle)</w:t>
        </w:r>
        <w:r w:rsidR="00CD7CD7">
          <w:rPr>
            <w:noProof/>
            <w:webHidden/>
          </w:rPr>
          <w:tab/>
          <w:t>20</w:t>
        </w:r>
        <w:r w:rsidR="008405BA">
          <w:rPr>
            <w:noProof/>
            <w:webHidden/>
          </w:rPr>
          <w:t>7</w:t>
        </w:r>
      </w:hyperlink>
    </w:p>
    <w:p w14:paraId="5B364653" w14:textId="2E127FFD"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900" w:history="1">
        <w:r w:rsidR="00CD7CD7">
          <w:rPr>
            <w:rStyle w:val="Hyperlink"/>
            <w:b/>
            <w:bCs w:val="0"/>
            <w:noProof/>
          </w:rPr>
          <w:t>F</w:t>
        </w:r>
        <w:r w:rsidR="00CD7CD7" w:rsidRPr="00CF787D">
          <w:rPr>
            <w:rStyle w:val="Hyperlink"/>
            <w:b/>
            <w:bCs w:val="0"/>
            <w:noProof/>
          </w:rPr>
          <w:t>igure 7.4.</w:t>
        </w:r>
        <w:r w:rsidR="00CD7CD7" w:rsidRPr="00694CB1">
          <w:rPr>
            <w:rStyle w:val="Hyperlink"/>
            <w:noProof/>
          </w:rPr>
          <w:t xml:space="preserve"> Mean overall response thresholds for tobacco-unrelated (animal) and tobacco choices split by smokers (solid black line; circle) and ex-smokers (dashed black line; triangle)</w:t>
        </w:r>
        <w:r w:rsidR="00CD7CD7">
          <w:rPr>
            <w:noProof/>
            <w:webHidden/>
          </w:rPr>
          <w:tab/>
          <w:t>20</w:t>
        </w:r>
        <w:r w:rsidR="008405BA">
          <w:rPr>
            <w:noProof/>
            <w:webHidden/>
          </w:rPr>
          <w:t>8</w:t>
        </w:r>
      </w:hyperlink>
    </w:p>
    <w:p w14:paraId="4C34C6AD" w14:textId="75162904"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901" w:history="1">
        <w:r w:rsidR="00CD7CD7">
          <w:rPr>
            <w:rStyle w:val="Hyperlink"/>
            <w:b/>
            <w:bCs w:val="0"/>
            <w:noProof/>
          </w:rPr>
          <w:t>F</w:t>
        </w:r>
        <w:r w:rsidR="00CD7CD7" w:rsidRPr="00CF787D">
          <w:rPr>
            <w:rStyle w:val="Hyperlink"/>
            <w:b/>
            <w:bCs w:val="0"/>
            <w:noProof/>
          </w:rPr>
          <w:t>igure 7.5.</w:t>
        </w:r>
        <w:r w:rsidR="00CD7CD7" w:rsidRPr="00694CB1">
          <w:rPr>
            <w:rStyle w:val="Hyperlink"/>
            <w:noProof/>
          </w:rPr>
          <w:t xml:space="preserve"> Mean level of conflict represented by area under the curve (AUC scores) when correctly choosing the tobacco-unrelated and tobacco image split by current smoker (grey) and ex-smoker (striped)</w:t>
        </w:r>
        <w:r w:rsidR="00CD7CD7">
          <w:rPr>
            <w:noProof/>
            <w:webHidden/>
          </w:rPr>
          <w:tab/>
          <w:t>2</w:t>
        </w:r>
        <w:r w:rsidR="008405BA">
          <w:rPr>
            <w:noProof/>
            <w:webHidden/>
          </w:rPr>
          <w:t>10</w:t>
        </w:r>
      </w:hyperlink>
    </w:p>
    <w:p w14:paraId="1FB6C39A" w14:textId="52FC816F"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902" w:history="1">
        <w:r w:rsidR="00CD7CD7">
          <w:rPr>
            <w:rStyle w:val="Hyperlink"/>
            <w:b/>
            <w:bCs w:val="0"/>
            <w:noProof/>
          </w:rPr>
          <w:t>F</w:t>
        </w:r>
        <w:r w:rsidR="00CD7CD7" w:rsidRPr="00CF787D">
          <w:rPr>
            <w:rStyle w:val="Hyperlink"/>
            <w:b/>
            <w:bCs w:val="0"/>
            <w:noProof/>
          </w:rPr>
          <w:t>igure 7.6.</w:t>
        </w:r>
        <w:r w:rsidR="00CD7CD7" w:rsidRPr="00694CB1">
          <w:rPr>
            <w:rStyle w:val="Hyperlink"/>
            <w:noProof/>
          </w:rPr>
          <w:t xml:space="preserve"> Mean maximum deviation (MD) for tobacco and tobacco-unrelated trials split by current smoker (grey) and ex-smoker (striped)</w:t>
        </w:r>
        <w:r w:rsidR="00CD7CD7">
          <w:rPr>
            <w:noProof/>
            <w:webHidden/>
          </w:rPr>
          <w:tab/>
          <w:t>21</w:t>
        </w:r>
        <w:r w:rsidR="008405BA">
          <w:rPr>
            <w:noProof/>
            <w:webHidden/>
          </w:rPr>
          <w:t>1</w:t>
        </w:r>
      </w:hyperlink>
    </w:p>
    <w:p w14:paraId="417A9BE0" w14:textId="28396BB9"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903" w:history="1">
        <w:r w:rsidR="00CD7CD7">
          <w:rPr>
            <w:rStyle w:val="Hyperlink"/>
            <w:b/>
            <w:bCs w:val="0"/>
            <w:noProof/>
          </w:rPr>
          <w:t>F</w:t>
        </w:r>
        <w:r w:rsidR="00CD7CD7" w:rsidRPr="00CF787D">
          <w:rPr>
            <w:rStyle w:val="Hyperlink"/>
            <w:b/>
            <w:bCs w:val="0"/>
            <w:noProof/>
          </w:rPr>
          <w:t xml:space="preserve">igure 7.7. </w:t>
        </w:r>
        <w:r w:rsidR="00CD7CD7" w:rsidRPr="00694CB1">
          <w:rPr>
            <w:rStyle w:val="Hyperlink"/>
            <w:noProof/>
          </w:rPr>
          <w:t>Mean evidence accumulation rates (including all participants) for tobacco-unrelated (animal) and tobacco choices split by trial difficulty level</w:t>
        </w:r>
        <w:r w:rsidR="00CD7CD7">
          <w:rPr>
            <w:noProof/>
            <w:webHidden/>
          </w:rPr>
          <w:tab/>
          <w:t>21</w:t>
        </w:r>
        <w:r w:rsidR="008405BA">
          <w:rPr>
            <w:noProof/>
            <w:webHidden/>
          </w:rPr>
          <w:t>3</w:t>
        </w:r>
      </w:hyperlink>
    </w:p>
    <w:p w14:paraId="17BAAB4E" w14:textId="4BBAD327" w:rsidR="00CD7CD7" w:rsidRDefault="00000000" w:rsidP="00CD7CD7">
      <w:pPr>
        <w:pStyle w:val="TOC1"/>
        <w:tabs>
          <w:tab w:val="right" w:leader="dot" w:pos="9010"/>
        </w:tabs>
        <w:rPr>
          <w:rFonts w:asciiTheme="minorHAnsi" w:eastAsiaTheme="minorEastAsia" w:hAnsiTheme="minorHAnsi" w:cstheme="minorBidi"/>
          <w:bCs w:val="0"/>
          <w:noProof/>
          <w:color w:val="auto"/>
          <w:sz w:val="22"/>
          <w:szCs w:val="22"/>
          <w:lang w:eastAsia="zh-CN"/>
        </w:rPr>
      </w:pPr>
      <w:hyperlink w:anchor="_Toc110619904" w:history="1">
        <w:r w:rsidR="00CD7CD7">
          <w:rPr>
            <w:rStyle w:val="Hyperlink"/>
            <w:b/>
            <w:bCs w:val="0"/>
            <w:noProof/>
          </w:rPr>
          <w:t>F</w:t>
        </w:r>
        <w:r w:rsidR="00CD7CD7" w:rsidRPr="00CF787D">
          <w:rPr>
            <w:rStyle w:val="Hyperlink"/>
            <w:b/>
            <w:bCs w:val="0"/>
            <w:noProof/>
          </w:rPr>
          <w:t>igure 7.8.</w:t>
        </w:r>
        <w:r w:rsidR="00CD7CD7" w:rsidRPr="00694CB1">
          <w:rPr>
            <w:rStyle w:val="Hyperlink"/>
            <w:noProof/>
          </w:rPr>
          <w:t xml:space="preserve"> Mean level of conflict (AUC scores; including all participants) for tobacco-unrelated (animal) and tobacco choices split by trial difficulty level</w:t>
        </w:r>
        <w:r w:rsidR="00CD7CD7">
          <w:rPr>
            <w:noProof/>
            <w:webHidden/>
          </w:rPr>
          <w:tab/>
          <w:t>21</w:t>
        </w:r>
        <w:r w:rsidR="008405BA">
          <w:rPr>
            <w:noProof/>
            <w:webHidden/>
          </w:rPr>
          <w:t>4</w:t>
        </w:r>
      </w:hyperlink>
    </w:p>
    <w:p w14:paraId="6F4A9B63" w14:textId="77777777" w:rsidR="00CD7CD7" w:rsidRDefault="00CD7CD7" w:rsidP="00CD7CD7">
      <w:r>
        <w:fldChar w:fldCharType="end"/>
      </w:r>
    </w:p>
    <w:p w14:paraId="41800BDD" w14:textId="77777777" w:rsidR="00CF787D" w:rsidRPr="00156E12" w:rsidRDefault="00CF787D" w:rsidP="00CF787D">
      <w:pPr>
        <w:pStyle w:val="NoSpacing"/>
      </w:pPr>
    </w:p>
    <w:bookmarkEnd w:id="44"/>
    <w:p w14:paraId="6853F8EC" w14:textId="77777777" w:rsidR="00CF787D" w:rsidRDefault="00CF787D" w:rsidP="00CF787D">
      <w:pPr>
        <w:pStyle w:val="NoSpacing"/>
      </w:pPr>
    </w:p>
    <w:p w14:paraId="0BD8B1A3" w14:textId="77777777" w:rsidR="00CF787D" w:rsidRDefault="00CF787D" w:rsidP="00A530E3">
      <w:pPr>
        <w:pStyle w:val="NoSpacing"/>
        <w:spacing w:line="480" w:lineRule="auto"/>
        <w:rPr>
          <w:rFonts w:ascii="Times New Roman" w:hAnsi="Times New Roman" w:cs="Times New Roman"/>
          <w:b/>
          <w:bCs/>
        </w:rPr>
      </w:pPr>
    </w:p>
    <w:p w14:paraId="5395558E" w14:textId="77777777" w:rsidR="00CF787D" w:rsidRDefault="00CF787D" w:rsidP="00A530E3">
      <w:pPr>
        <w:pStyle w:val="NoSpacing"/>
        <w:spacing w:line="480" w:lineRule="auto"/>
        <w:rPr>
          <w:rFonts w:ascii="Times New Roman" w:hAnsi="Times New Roman" w:cs="Times New Roman"/>
          <w:b/>
          <w:bCs/>
        </w:rPr>
      </w:pPr>
    </w:p>
    <w:p w14:paraId="53A6130B" w14:textId="77777777" w:rsidR="00CF787D" w:rsidRDefault="00CF787D" w:rsidP="00A530E3">
      <w:pPr>
        <w:pStyle w:val="NoSpacing"/>
        <w:spacing w:line="480" w:lineRule="auto"/>
        <w:rPr>
          <w:rFonts w:ascii="Times New Roman" w:hAnsi="Times New Roman" w:cs="Times New Roman"/>
          <w:b/>
          <w:bCs/>
        </w:rPr>
      </w:pPr>
    </w:p>
    <w:p w14:paraId="0DB3E609" w14:textId="77777777" w:rsidR="00CF787D" w:rsidRDefault="00CF787D" w:rsidP="00A530E3">
      <w:pPr>
        <w:pStyle w:val="NoSpacing"/>
        <w:spacing w:line="480" w:lineRule="auto"/>
        <w:rPr>
          <w:rFonts w:ascii="Times New Roman" w:hAnsi="Times New Roman" w:cs="Times New Roman"/>
          <w:b/>
          <w:bCs/>
        </w:rPr>
      </w:pPr>
    </w:p>
    <w:p w14:paraId="352CFFA0" w14:textId="77777777" w:rsidR="00CF787D" w:rsidRDefault="00CF787D" w:rsidP="00A530E3">
      <w:pPr>
        <w:pStyle w:val="NoSpacing"/>
        <w:spacing w:line="480" w:lineRule="auto"/>
        <w:rPr>
          <w:rFonts w:ascii="Times New Roman" w:hAnsi="Times New Roman" w:cs="Times New Roman"/>
          <w:b/>
          <w:bCs/>
        </w:rPr>
      </w:pPr>
    </w:p>
    <w:p w14:paraId="25EC50E4" w14:textId="77777777" w:rsidR="00CF787D" w:rsidRDefault="00CF787D" w:rsidP="00A530E3">
      <w:pPr>
        <w:pStyle w:val="NoSpacing"/>
        <w:spacing w:line="480" w:lineRule="auto"/>
        <w:rPr>
          <w:rFonts w:ascii="Times New Roman" w:hAnsi="Times New Roman" w:cs="Times New Roman"/>
          <w:b/>
          <w:bCs/>
        </w:rPr>
      </w:pPr>
    </w:p>
    <w:p w14:paraId="0BCD0DCE" w14:textId="7D873DFB" w:rsidR="00CF787D" w:rsidRDefault="00CF787D" w:rsidP="00A3110A">
      <w:pPr>
        <w:pStyle w:val="NoSpacing"/>
        <w:spacing w:line="480" w:lineRule="auto"/>
        <w:rPr>
          <w:rFonts w:ascii="Times New Roman" w:hAnsi="Times New Roman" w:cs="Times New Roman"/>
          <w:b/>
          <w:bCs/>
        </w:rPr>
      </w:pPr>
    </w:p>
    <w:p w14:paraId="3AD5B8E2" w14:textId="40570203" w:rsidR="00A530E3" w:rsidRDefault="00A530E3" w:rsidP="00A3110A">
      <w:pPr>
        <w:pStyle w:val="NoSpacing"/>
        <w:spacing w:line="480" w:lineRule="auto"/>
      </w:pPr>
    </w:p>
    <w:p w14:paraId="64F50128" w14:textId="77777777" w:rsidR="00CD7CD7" w:rsidRDefault="00CD7CD7" w:rsidP="00A3110A">
      <w:pPr>
        <w:pStyle w:val="NoSpacing"/>
        <w:spacing w:line="480" w:lineRule="auto"/>
      </w:pPr>
    </w:p>
    <w:p w14:paraId="0587BF47" w14:textId="0220DC12" w:rsidR="00986A39" w:rsidRPr="00F23463" w:rsidRDefault="00986A39" w:rsidP="00107EBB">
      <w:pPr>
        <w:pStyle w:val="Heading1"/>
      </w:pPr>
      <w:bookmarkStart w:id="45" w:name="_Toc109901454"/>
      <w:bookmarkStart w:id="46" w:name="_Toc109901927"/>
      <w:bookmarkStart w:id="47" w:name="_Toc109911320"/>
      <w:bookmarkStart w:id="48" w:name="_Toc110612723"/>
      <w:bookmarkStart w:id="49" w:name="_Toc110629033"/>
      <w:bookmarkStart w:id="50" w:name="_Toc110870941"/>
      <w:r w:rsidRPr="00F23463">
        <w:lastRenderedPageBreak/>
        <w:t xml:space="preserve">Chapter 1: General </w:t>
      </w:r>
      <w:r w:rsidR="00B1635A">
        <w:t>i</w:t>
      </w:r>
      <w:r w:rsidRPr="00F23463">
        <w:t>ntroduction</w:t>
      </w:r>
      <w:bookmarkEnd w:id="45"/>
      <w:bookmarkEnd w:id="46"/>
      <w:bookmarkEnd w:id="47"/>
      <w:bookmarkEnd w:id="48"/>
      <w:bookmarkEnd w:id="49"/>
      <w:bookmarkEnd w:id="50"/>
    </w:p>
    <w:p w14:paraId="43C1C19D" w14:textId="77777777" w:rsidR="00986A39" w:rsidRPr="00F23463" w:rsidRDefault="00986A39" w:rsidP="00A3110A">
      <w:pPr>
        <w:pStyle w:val="NoSpacing"/>
        <w:spacing w:line="480" w:lineRule="auto"/>
        <w:rPr>
          <w:rFonts w:ascii="Times New Roman" w:hAnsi="Times New Roman" w:cs="Times New Roman"/>
        </w:rPr>
      </w:pPr>
    </w:p>
    <w:p w14:paraId="7B2D6E10" w14:textId="77777777" w:rsidR="00986A39" w:rsidRPr="00F23463" w:rsidRDefault="00986A39" w:rsidP="00A3110A">
      <w:pPr>
        <w:pStyle w:val="NoSpacing"/>
        <w:spacing w:line="480" w:lineRule="auto"/>
        <w:rPr>
          <w:rFonts w:ascii="Times New Roman" w:hAnsi="Times New Roman" w:cs="Times New Roman"/>
        </w:rPr>
      </w:pPr>
      <w:r w:rsidRPr="00B1102F">
        <w:rPr>
          <w:rFonts w:ascii="Times New Roman" w:hAnsi="Times New Roman" w:cs="Times New Roman"/>
          <w:b/>
          <w:bCs/>
        </w:rPr>
        <w:t>Contributions:</w:t>
      </w:r>
      <w:r w:rsidRPr="00F23463">
        <w:rPr>
          <w:rFonts w:ascii="Times New Roman" w:hAnsi="Times New Roman" w:cs="Times New Roman"/>
        </w:rPr>
        <w:t xml:space="preserve"> I wrote the Chapter. Matt Field and Tom Stafford (primary supervisors) provided feedback on the draft. </w:t>
      </w:r>
    </w:p>
    <w:p w14:paraId="18E44756" w14:textId="77777777" w:rsidR="00986A39" w:rsidRPr="00F23463" w:rsidRDefault="00986A39" w:rsidP="00A3110A">
      <w:pPr>
        <w:pStyle w:val="NoSpacing"/>
        <w:spacing w:line="480" w:lineRule="auto"/>
        <w:rPr>
          <w:rFonts w:ascii="Times New Roman" w:hAnsi="Times New Roman" w:cs="Times New Roman"/>
        </w:rPr>
      </w:pPr>
    </w:p>
    <w:p w14:paraId="08917AE6" w14:textId="46BB5FAE" w:rsidR="00986A39" w:rsidRPr="00F23463" w:rsidRDefault="00986A39" w:rsidP="00A3110A">
      <w:pPr>
        <w:pStyle w:val="NoSpacing"/>
        <w:spacing w:line="480" w:lineRule="auto"/>
        <w:rPr>
          <w:rFonts w:ascii="Times New Roman" w:hAnsi="Times New Roman" w:cs="Times New Roman"/>
        </w:rPr>
      </w:pPr>
      <w:r w:rsidRPr="00F23463">
        <w:rPr>
          <w:rFonts w:ascii="Times New Roman" w:hAnsi="Times New Roman" w:cs="Times New Roman"/>
        </w:rPr>
        <w:t>As mentioned previously</w:t>
      </w:r>
      <w:r w:rsidR="00390F52">
        <w:rPr>
          <w:rFonts w:ascii="Times New Roman" w:hAnsi="Times New Roman" w:cs="Times New Roman"/>
        </w:rPr>
        <w:t xml:space="preserve"> </w:t>
      </w:r>
      <w:r w:rsidR="00390F52" w:rsidRPr="00942CD0">
        <w:rPr>
          <w:rFonts w:ascii="Times New Roman" w:hAnsi="Times New Roman" w:cs="Times New Roman"/>
        </w:rPr>
        <w:t>(p.4)</w:t>
      </w:r>
      <w:r w:rsidRPr="00942CD0">
        <w:rPr>
          <w:rFonts w:ascii="Times New Roman" w:hAnsi="Times New Roman" w:cs="Times New Roman"/>
        </w:rPr>
        <w:t>,</w:t>
      </w:r>
      <w:r w:rsidRPr="00F23463">
        <w:rPr>
          <w:rFonts w:ascii="Times New Roman" w:hAnsi="Times New Roman" w:cs="Times New Roman"/>
        </w:rPr>
        <w:t xml:space="preserve"> a variant of this </w:t>
      </w:r>
      <w:r w:rsidR="00093D81">
        <w:rPr>
          <w:rFonts w:ascii="Times New Roman" w:hAnsi="Times New Roman" w:cs="Times New Roman"/>
        </w:rPr>
        <w:t>thesis Chapter</w:t>
      </w:r>
      <w:r w:rsidRPr="00F23463">
        <w:rPr>
          <w:rFonts w:ascii="Times New Roman" w:hAnsi="Times New Roman" w:cs="Times New Roman"/>
        </w:rPr>
        <w:t xml:space="preserve"> is published as a book Chapter in an edited book: </w:t>
      </w:r>
    </w:p>
    <w:p w14:paraId="6F7707A9" w14:textId="7C149236" w:rsidR="00931962" w:rsidRDefault="00986A39" w:rsidP="00A3110A">
      <w:pPr>
        <w:pStyle w:val="NoSpacing"/>
        <w:spacing w:line="480" w:lineRule="auto"/>
        <w:ind w:left="720" w:hanging="720"/>
        <w:rPr>
          <w:rFonts w:ascii="Times New Roman" w:hAnsi="Times New Roman" w:cs="Times New Roman"/>
        </w:rPr>
      </w:pPr>
      <w:r w:rsidRPr="00F23463">
        <w:rPr>
          <w:rFonts w:ascii="Times New Roman" w:hAnsi="Times New Roman" w:cs="Times New Roman"/>
        </w:rPr>
        <w:t xml:space="preserve">Copeland, A., Stafford, T., &amp; Field, M. (2021). Recovery from addiction: A synthesis of perspectives from </w:t>
      </w:r>
      <w:proofErr w:type="spellStart"/>
      <w:r w:rsidRPr="00F23463">
        <w:rPr>
          <w:rFonts w:ascii="Times New Roman" w:hAnsi="Times New Roman" w:cs="Times New Roman"/>
        </w:rPr>
        <w:t>behavioral</w:t>
      </w:r>
      <w:proofErr w:type="spellEnd"/>
      <w:r w:rsidRPr="00F23463">
        <w:rPr>
          <w:rFonts w:ascii="Times New Roman" w:hAnsi="Times New Roman" w:cs="Times New Roman"/>
        </w:rPr>
        <w:t xml:space="preserve"> economics, psychology, and decision </w:t>
      </w:r>
      <w:proofErr w:type="spellStart"/>
      <w:r w:rsidRPr="00F23463">
        <w:rPr>
          <w:rFonts w:ascii="Times New Roman" w:hAnsi="Times New Roman" w:cs="Times New Roman"/>
        </w:rPr>
        <w:t>modeling</w:t>
      </w:r>
      <w:proofErr w:type="spellEnd"/>
      <w:r w:rsidRPr="00F23463">
        <w:rPr>
          <w:rFonts w:ascii="Times New Roman" w:hAnsi="Times New Roman" w:cs="Times New Roman"/>
        </w:rPr>
        <w:t xml:space="preserve">. In D. Frings &amp; I. P. </w:t>
      </w:r>
      <w:proofErr w:type="spellStart"/>
      <w:r w:rsidRPr="00F23463">
        <w:rPr>
          <w:rFonts w:ascii="Times New Roman" w:hAnsi="Times New Roman" w:cs="Times New Roman"/>
        </w:rPr>
        <w:t>Albery</w:t>
      </w:r>
      <w:proofErr w:type="spellEnd"/>
      <w:r w:rsidRPr="00F23463">
        <w:rPr>
          <w:rFonts w:ascii="Times New Roman" w:hAnsi="Times New Roman" w:cs="Times New Roman"/>
        </w:rPr>
        <w:t xml:space="preserve"> (Eds.), </w:t>
      </w:r>
      <w:r w:rsidRPr="00A26F02">
        <w:rPr>
          <w:rFonts w:ascii="Times New Roman" w:hAnsi="Times New Roman" w:cs="Times New Roman"/>
          <w:i/>
          <w:iCs/>
        </w:rPr>
        <w:t>The handbook of alcohol use</w:t>
      </w:r>
      <w:r w:rsidRPr="00F23463">
        <w:rPr>
          <w:rFonts w:ascii="Times New Roman" w:hAnsi="Times New Roman" w:cs="Times New Roman"/>
        </w:rPr>
        <w:t xml:space="preserve"> (pp. 563-579). Academic Press. </w:t>
      </w:r>
      <w:hyperlink r:id="rId17" w:history="1">
        <w:r w:rsidR="00F23463" w:rsidRPr="0057190E">
          <w:rPr>
            <w:rStyle w:val="Hyperlink"/>
            <w:rFonts w:ascii="Times New Roman" w:hAnsi="Times New Roman" w:cs="Times New Roman"/>
          </w:rPr>
          <w:t>https://doi.org/10.1016/B978-0-12-816720-5.00002-5</w:t>
        </w:r>
      </w:hyperlink>
    </w:p>
    <w:p w14:paraId="3CC9E3E8" w14:textId="77777777" w:rsidR="00F23463" w:rsidRPr="00F23463" w:rsidRDefault="00F23463" w:rsidP="00A3110A">
      <w:pPr>
        <w:pStyle w:val="NoSpacing"/>
        <w:spacing w:line="480" w:lineRule="auto"/>
        <w:rPr>
          <w:rFonts w:ascii="Times New Roman" w:hAnsi="Times New Roman" w:cs="Times New Roman"/>
        </w:rPr>
      </w:pPr>
    </w:p>
    <w:p w14:paraId="29CBB635" w14:textId="0719DFCE" w:rsidR="003A7189" w:rsidRDefault="003A7189" w:rsidP="00A3110A">
      <w:pPr>
        <w:pStyle w:val="NoSpacing"/>
        <w:spacing w:line="480" w:lineRule="auto"/>
      </w:pPr>
    </w:p>
    <w:p w14:paraId="06AB9F6E" w14:textId="7D40092A" w:rsidR="003A7189" w:rsidRDefault="003A7189" w:rsidP="00A3110A">
      <w:pPr>
        <w:pStyle w:val="NoSpacing"/>
        <w:spacing w:line="480" w:lineRule="auto"/>
      </w:pPr>
    </w:p>
    <w:p w14:paraId="1CAC9316" w14:textId="23936C2A" w:rsidR="008A4FF5" w:rsidRDefault="008A4FF5" w:rsidP="00A3110A">
      <w:pPr>
        <w:pStyle w:val="NoSpacing"/>
        <w:spacing w:line="480" w:lineRule="auto"/>
      </w:pPr>
    </w:p>
    <w:p w14:paraId="69A9516F" w14:textId="1FA608C9" w:rsidR="008A4FF5" w:rsidRDefault="008A4FF5" w:rsidP="00A3110A">
      <w:pPr>
        <w:pStyle w:val="NoSpacing"/>
        <w:spacing w:line="480" w:lineRule="auto"/>
      </w:pPr>
    </w:p>
    <w:p w14:paraId="3FABCB5B" w14:textId="3CA52EB6" w:rsidR="008A4FF5" w:rsidRDefault="008A4FF5" w:rsidP="00A3110A">
      <w:pPr>
        <w:pStyle w:val="NoSpacing"/>
        <w:spacing w:line="480" w:lineRule="auto"/>
      </w:pPr>
    </w:p>
    <w:p w14:paraId="27FDCEFD" w14:textId="4EFA95B4" w:rsidR="008A4FF5" w:rsidRDefault="008A4FF5" w:rsidP="00A3110A">
      <w:pPr>
        <w:pStyle w:val="NoSpacing"/>
        <w:spacing w:line="480" w:lineRule="auto"/>
      </w:pPr>
    </w:p>
    <w:p w14:paraId="7E4DF367" w14:textId="0F7FAE88" w:rsidR="008A4FF5" w:rsidRDefault="008A4FF5" w:rsidP="00A3110A">
      <w:pPr>
        <w:pStyle w:val="NoSpacing"/>
        <w:spacing w:line="480" w:lineRule="auto"/>
      </w:pPr>
    </w:p>
    <w:p w14:paraId="3057517A" w14:textId="20DD8665" w:rsidR="008A4FF5" w:rsidRDefault="008A4FF5" w:rsidP="00A3110A">
      <w:pPr>
        <w:pStyle w:val="NoSpacing"/>
        <w:spacing w:line="480" w:lineRule="auto"/>
      </w:pPr>
    </w:p>
    <w:p w14:paraId="6D7998B2" w14:textId="6CE3D3DB" w:rsidR="008A4FF5" w:rsidRDefault="008A4FF5" w:rsidP="00A3110A">
      <w:pPr>
        <w:pStyle w:val="NoSpacing"/>
        <w:spacing w:line="480" w:lineRule="auto"/>
      </w:pPr>
    </w:p>
    <w:p w14:paraId="7E8C4DA6" w14:textId="678BE7D1" w:rsidR="008A4FF5" w:rsidRDefault="008A4FF5" w:rsidP="00A3110A">
      <w:pPr>
        <w:pStyle w:val="NoSpacing"/>
        <w:spacing w:line="480" w:lineRule="auto"/>
      </w:pPr>
    </w:p>
    <w:p w14:paraId="36215F45" w14:textId="3C6371E0" w:rsidR="008A4FF5" w:rsidRDefault="008A4FF5" w:rsidP="00A3110A">
      <w:pPr>
        <w:pStyle w:val="NoSpacing"/>
        <w:spacing w:line="480" w:lineRule="auto"/>
      </w:pPr>
    </w:p>
    <w:p w14:paraId="4E1477B0" w14:textId="02408890" w:rsidR="00A26F02" w:rsidRDefault="00A26F02" w:rsidP="00A3110A">
      <w:pPr>
        <w:pStyle w:val="NoSpacing"/>
        <w:spacing w:line="480" w:lineRule="auto"/>
      </w:pPr>
    </w:p>
    <w:p w14:paraId="00C3A5D4" w14:textId="77777777" w:rsidR="00A26F02" w:rsidRDefault="00A26F02" w:rsidP="00AC0B06">
      <w:pPr>
        <w:pStyle w:val="NoSpacing"/>
        <w:spacing w:line="480" w:lineRule="auto"/>
      </w:pPr>
    </w:p>
    <w:p w14:paraId="074B6FD8" w14:textId="5CD72DF4" w:rsidR="008A4FF5" w:rsidRPr="00F23463" w:rsidRDefault="008A4FF5" w:rsidP="00573078">
      <w:pPr>
        <w:pStyle w:val="Heading2"/>
      </w:pPr>
      <w:bookmarkStart w:id="51" w:name="_Toc109901455"/>
      <w:bookmarkStart w:id="52" w:name="_Toc109901928"/>
      <w:bookmarkStart w:id="53" w:name="_Toc109911321"/>
      <w:bookmarkStart w:id="54" w:name="_Toc110612724"/>
      <w:bookmarkStart w:id="55" w:name="_Toc110629034"/>
      <w:bookmarkStart w:id="56" w:name="_Toc110870942"/>
      <w:r w:rsidRPr="00F23463">
        <w:lastRenderedPageBreak/>
        <w:t>1.1</w:t>
      </w:r>
      <w:r w:rsidR="00174DF4" w:rsidRPr="00F23463">
        <w:t>.</w:t>
      </w:r>
      <w:r w:rsidRPr="00F23463">
        <w:t xml:space="preserve"> Substance use and addiction: Statistics, prevalence, and consequences</w:t>
      </w:r>
      <w:bookmarkEnd w:id="51"/>
      <w:bookmarkEnd w:id="52"/>
      <w:bookmarkEnd w:id="53"/>
      <w:bookmarkEnd w:id="54"/>
      <w:bookmarkEnd w:id="55"/>
      <w:bookmarkEnd w:id="56"/>
    </w:p>
    <w:p w14:paraId="740E6A7D" w14:textId="75DB105D" w:rsidR="008A4FF5" w:rsidRPr="00F23463" w:rsidRDefault="008A4FF5" w:rsidP="00AC0B06">
      <w:pPr>
        <w:pStyle w:val="NoSpacing"/>
        <w:spacing w:line="480" w:lineRule="auto"/>
        <w:rPr>
          <w:rFonts w:ascii="Times New Roman" w:hAnsi="Times New Roman" w:cs="Times New Roman"/>
        </w:rPr>
      </w:pPr>
      <w:r w:rsidRPr="00F23463">
        <w:rPr>
          <w:rFonts w:ascii="Times New Roman" w:hAnsi="Times New Roman" w:cs="Times New Roman"/>
        </w:rPr>
        <w:t xml:space="preserve">Globally, addiction (substance use disorder; SUD) is a significant public health concern </w:t>
      </w:r>
      <w:r w:rsidR="00403A5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{"citationID":"Sxs51BXB","properties":{"formattedCitation":"(Rehm &amp; Imtiaz, 2016)","plainCitation":"(Rehm &amp; Imtiaz, 2016)","noteIndex":0},"citationItems":[{"id":988,"uris":["http://zotero.org/users/7873587/items/GZMQKME4"],"itemData":{"id":988,"type":"article-journal","abstract":"Since the original Comparative Risk Assessment (CRA) for alcohol consumption as part of the Global Burden of Disease Study for 1990, there had been regular updates of CRAs for alcohol from the World Health Organization and/or the Institute for Health Metrics and Evaluation. These studies have become more and more refined with respect to establishing causality between dimensions of alcohol consumption and different disease and mortality (cause of death) outcomes, refining risk relations, and improving the methodology for estimating exposure and alcohol-attributable burden. The present review will give an overview on the main results of the CRAs with respect to alcohol consumption as a risk factor, sketch out new trends and developments, and draw implications for future research and policy.","container-title":"Substance Abuse Treatment, Prevention, and Policy","DOI":"10.1186/s13011-016-0081-2","ISSN":"1747-597X","issue":"1","journalAbbreviation":"Subst Abuse Treat Prev Policy","language":"eng","note":"PMID: 27793173\nPMCID: PMC5084343","page":"37","source":"PubMed","title":"A narrative review of alcohol consumption as a risk factor for global burden of disease","volume":"11","author":[{"family":"Rehm","given":"Jürgen"},{"family":"Imtiaz","given":"Sameer"}],"issued":{"date-parts":[["2016",10,28]]}}}],"schema":"https://github.com/citation-style-language/schema/raw/master/csl-citation.json"} </w:instrText>
      </w:r>
      <w:r w:rsidR="00403A51">
        <w:rPr>
          <w:rFonts w:ascii="Times New Roman" w:hAnsi="Times New Roman" w:cs="Times New Roman"/>
        </w:rPr>
        <w:fldChar w:fldCharType="separate"/>
      </w:r>
      <w:r w:rsidR="00403A51">
        <w:rPr>
          <w:rFonts w:ascii="Times New Roman" w:hAnsi="Times New Roman" w:cs="Times New Roman"/>
          <w:noProof/>
        </w:rPr>
        <w:t>(Rehm &amp; Imtiaz, 2016)</w:t>
      </w:r>
      <w:r w:rsidR="00403A51">
        <w:rPr>
          <w:rFonts w:ascii="Times New Roman" w:hAnsi="Times New Roman" w:cs="Times New Roman"/>
        </w:rPr>
        <w:fldChar w:fldCharType="end"/>
      </w:r>
      <w:r w:rsidRPr="00F23463">
        <w:rPr>
          <w:rFonts w:ascii="Times New Roman" w:hAnsi="Times New Roman" w:cs="Times New Roman"/>
        </w:rPr>
        <w:t xml:space="preserve">. Both across the world and in the United Kingdom (UK), high levels of alcohol consumption and tobacco smoking are leading causes of preventable disease and death </w:t>
      </w:r>
      <w:r w:rsidR="00403A5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{"citationID":"oPO4tvgm","properties":{"formattedCitation":"(Degenhardt et al., 2018; Forouzanfar et al., 2016)","plainCitation":"(Degenhardt et al., 2018; Forouzanfar et al., 2016)","noteIndex":0},"citationItems":[{"id":986,"uris":["http://zotero.org/users/7873587/items/MEH7Y2NG"],"itemData":{"id":986,"type":"article-journal","container-title":"The Lancet Psychiatry","DOI":"10.1016/S2215-0366(18)30337-7","ISSN":"2215-0366, 2215-0374","issue":"12","journalAbbreviation":"The Lancet Psychiatry","language":"English","note":"publisher: Elsevier\nPMID: 30392731","page":"987-1012","source":"www.thelancet.com","title":"The global burden of disease attributable to alcohol and drug use in 195 countries and territories, 1990–2016: a systematic analysis for the Global Burden of Disease Study 2016","title-short":"The global burden of disease attributable to alcohol and drug use in 195 countries and territories, 1990–2016","volume":"5","author":[{"family":"Degenhardt","given":"Louisa"},{"family":"Charlson","given":"Fiona"},{"family":"Ferrari","given":"Alize"},{"family":"Santomauro","given":"Damian"},{"family":"Erskine","given":"Holly"},{"family":"Mantilla-Herrara","given":"Ana"},{"family":"Whiteford","given":"Harvey"},{"family":"Leung","given":"Janni"},{"family":"Naghavi","given":"Mohsen"},{"family":"Griswold","given":"Max"},{"family":"Rehm","given":"Jürgen"},{"family":"Hall","given":"Wayne"},{"family":"Sartorius","given":"Benn"},{"family":"Scott","given":"James"},{"family":"Vollset","given":"Stein Emil"},{"family":"Knudsen","given":"Ann Kristin"},{"family":"Haro","given":"Josep Maria"},{"family":"Patton","given":"George"},{"family":"Kopec","given":"Jacek"},{"family":"Malta","given":"Deborah Carvalho"},{"family":"Topor-Madry","given":"Roman"},{"family":"McGrath","given":"John"},{"family":"Haagsma","given":"Juanita"},{"family":"Allebeck","given":"Peter"},{"family":"Phillips","given":"Michael"},{"family":"Salomon","given":"Joshua"},{"family":"Hay","given":"Simon"},{"family":"Foreman","given":"Kyle"},{"family":"Lim","given":"Stephen"},{"family":"Mokdad","given":"Ali"},{"family":"Smith","given":"Mari"},{"family":"Gakidou","given":"Emmanuela"},{"family":"Murray","given":"Christopher"},{"family":"Vos","given":"Theo"}],"issued":{"date-parts":[["2018",12,1]]}},"label":"page"},{"id":990,"uris":["http://zotero.org/users/7873587/items/YABV4QL4"],"itemData":{"id":990,"type":"article-journal","abstract":"Background\nThe Global Burden of Diseases, Injuries, and Risk Factors Study 2015 provides an up-to-date synthesis of the evidence for risk factor exposure and the attributable burden of disease. By providing national and subnational assessments spanning the past 25 years, this study can inform debates on the importance of addressing risks in context.\nMethods\nWe used the comparative risk assessment framework developed for previous iterations of the Global Burden of Disease Study to estimate attributable deaths, disability-adjusted life-years (DALYs), and trends in exposure by age group, sex, year, and geography for 79 behavioural, environmental and occupational, and metabolic risks or clusters of risks from 1990 to 2015. This study included 388 risk-outcome pairs that met World Cancer Research Fund-defined criteria for convincing or probable evidence. We extracted relative risk and exposure estimates from randomised controlled trials, cohorts, pooled cohorts, household surveys, census data, satellite data, and other sources. We used statistical models to pool data, adjust for bias, and incorporate covariates. We developed a metric that allows comparisons of exposure across risk factors—the summary exposure value. Using the counterfactual scenario of theoretical minimum risk level, we estimated the portion of deaths and DALYs that could be attributed to a given risk. We decomposed trends in attributable burden into contributions from population growth, population age structure, risk exposure, and risk-deleted cause-specific DALY rates. We characterised risk exposure in relation to a Socio-demographic Index (SDI).\nFindings\nBetween 1990 and 2015, global exposure to unsafe sanitation, household air pollution, childhood underweight, childhood stunting, and smoking each decreased by more than 25%. Global exposure for several occupational risks, high body-mass index (BMI), and drug use increased by more than 25% over the same period. All risks jointly evaluated in 2015 accounted for 57·8% (95% CI 56·6–58·8) of global deaths and 41·2% (39·8–42·8) of DALYs. In 2015, the ten largest contributors to global DALYs among Level 3 risks were high systolic blood pressure (211·8 million [192·7 million to 231·1 million] global DALYs), smoking (148·6 million [134·2 million to 163·1 million]), high fasting plasma glucose (143·1 million [125·1 million to 163·5 million]), high BMI (120·1 million [83·8 million to 158·4 million]), childhood undernutrition (113·3 million [103·9 million to 123·4 million]), ambient particulate matter (103·1 million [90·8 million to 115·1 million]), high total cholesterol (88·7 million [74·6 million to 105·7 million]), household air pollution (85·6 million [66·7 million to 106·1 million]), alcohol use (85·0 million [77·2 million to 93·0 million]), and diets high in sodium (83·0 million [49·3 million to 127·5 million]). From 1990 to 2015, attributable DALYs declined for micronutrient deficiencies, childhood undernutrition, unsafe sanitation and water, and household air pollution; reductions in risk-deleted DALY rates rather than reductions in exposure drove these declines. Rising exposure contributed to notable increases in attributable DALYs from high BMI, high fasting plasma glucose, occupational carcinogens, and drug use. Environmental risks and childhood undernutrition declined steadily with SDI; low physical activity, high BMI, and high fasting plasma glucose increased with SDI. In 119 countries, metabolic risks, such as high BMI and fasting plasma glucose, contributed the most attributable DALYs in 2015. Regionally, smoking still ranked among the leading five risk factors for attributable DALYs in 109 countries; childhood underweight and unsafe sex remained primary drivers of early death and disability in much of sub-Saharan Africa.\nInterpretation\nDeclines in some key environmental risks have contributed to declines in critical infectious diseases. Some risks appear to be invariant to SDI. Increasing risks, including high BMI, high fasting plasma glucose, drug use, and some occupational exposures, contribute to rising burden from some conditions, but also provide opportunities for intervention. Some highly preventable risks, such as smoking, remain major causes of attributable DALYs, even as exposure is declining. Public policy makers need to pay attention to the risks that are increasingly major contributors to global burden.\nFunding\nBill &amp; Melinda Gates Foundation.","container-title":"The Lancet","DOI":"10.1016/S0140-6736(16)31679-8","ISSN":"0140-6736","issue":"10053","journalAbbreviation":"The Lancet","language":"en","page":"1659-1724","source":"ScienceDirect","title":"Global, regional, and national comparative risk assessment of 79 behavioural, environmental and occupational, and metabolic risks or clusters of risks, 1990–2015: a systematic analysis for the Global Burden of Disease Study 2015","title-short":"Global, regional, and national comparative risk assessment of 79 behavioural, environmental and occupational, and metabolic risks or clusters of risks, 1990–2015","volume":"388","author":[{"family":"Forouzanfar","given":"Mohammad H"},{"family":"Afshin","given":"Ashkan"},{"family":"Alexander","given":"Lily T"},{"family":"Anderson","given":"H Ross"},{"family":"Bhutta","given":"Zulfiqar A"},{"family":"Biryukov","given":"Stan"},{"family":"Brauer","given":"Michael"},{"family":"Burnett","given":"Richard"},{"family":"Cercy","given":"Kelly"},{"family":"Charlson","given":"Fiona J"},{"family":"Cohen","given":"Aaron J"},{"family":"Dandona","given":"Lalit"},{"family":"Estep","given":"Kara"},{"family":"Ferrari","given":"Alize J"},{"family":"Frostad","given":"Joseph J"},{"family":"Fullman","given":"Nancy"},{"family":"Gething","given":"Peter W"},{"family":"Godwin","given":"William W"},{"family":"Griswold","given":"Max"},{"family":"Hay","given":"Simon I"},{"family":"Kinfu","given":"Yohannes"},{"family":"Kyu","given":"Hmwe H"},{"family":"Larson","given":"Heidi J"},{"family":"Liang","given":"Xiaofeng"},{"family":"Lim","given":"Stephen S"},{"family":"Liu","given":"Patrick Y"},{"family":"Lopez","given":"Alan D"},{"family":"Lozano","given":"Rafael"},{"family":"Marczak","given":"Laurie"},{"family":"Mensah","given":"George A"},{"family":"Mokdad","given":"Ali H"},{"family":"Moradi-Lakeh","given":"Maziar"},{"family":"Naghavi","given":"Mohsen"},{"family":"Neal","given":"Bruce"},{"family":"Reitsma","given":"Marissa B"},{"family":"Roth","given":"Gregory A"},{"family":"Salomon","given":"Joshua A"},{"family":"Sur","given":"Patrick J"},{"family":"Vos","given":"Theo"},{"family":"Wagner","given":"Joseph A"},{"family":"Wang","given":"Haidong"},{"family":"Zhao","given":"Yi"},{"family":"Zhou","given":"Maigeng"},{"family":"Aasvang","given":"Gunn Marit"},{"family":"Abajobir","given":"Amanuel Alemu"},{"family":"Abate","given":"Kalkidan Hassen"},{"family":"Abbafati","given":"Cristiana"},{"family":"Abbas","given":"Kaja M"},{"family":"Abd-Allah","given":"Foad"},{"family":"Abdulle","given":"Abdishakur M"},{"family":"Abera","given":"Semaw Ferede"},{"family":"Abraham","given":"Biju"},{"family":"Abu-Raddad","given":"Laith J"},{"family":"Abyu","given":"Gebre Yitayih"},{"family":"Adebiyi","given":"Akindele Olupelumi"},{"family":"Adedeji","given":"Isaac Akinkunmi"},{"family":"Ademi","given":"Zanfina"},{"family":"Adou","given":"Arsène Kouablan"},{"family":"Adsuar","given":"José C"},{"family":"Agardh","given":"Emilie Elisabet"},{"family":"Agarwal","given":"Arnav"},{"family":"Agrawal","given":"Anurag"},{"family":"Kiadaliri","given":"Aliasghar Ahmad"},{"family":"Ajala","given":"Oluremi N"},{"family":"Akinyemiju","given":"Tomi F"},{"family":"Al-Aly","given":"Ziyad"},{"family":"Alam","given":"Khurshid"},{"family":"Alam","given":"Noore K M"},{"family":"Aldhahri","given":"Saleh Fahed"},{"family":"Aldridge","given":"Robert William"},{"family":"Alemu","given":"Zewdie Aderaw"},{"family":"Ali","given":"Raghib"},{"family":"Alkerwi","given":"Ala'a"},{"family":"Alla","given":"François"},{"family":"Allebeck","given":"Peter"},{"family":"Alsharif","given":"Ubai"},{"family":"Altirkawi","given":"Khalid A"},{"family":"Martin","given":"Elena Alvarez"},{"family":"Alvis-Guzman","given":"Nelson"},{"family":"Amare","given":"Azmeraw T"},{"family":"Amberbir","given":"Alemayehu"},{"family":"Amegah","given":"Adeladza Kofi"},{"family":"Amini","given":"Heresh"},{"family":"Ammar","given":"Walid"},{"family":"Amrock","given":"Stephen Marc"},{"family":"Andersen","given":"Hjalte H"},{"family":"Anderson","given":"Benjamin O"},{"family":"Antonio","given":"Carl Abelardo T"},{"family":"Anwari","given":"Palwasha"},{"family":"Ärnlöv","given":"Johan"},{"family":"Artaman","given":"Al"},{"family":"Asayesh","given":"Hamid"},{"family":"Asghar","given":"Rana Jawad"},{"family":"Assadi","given":"Reza"},{"family":"Atique","given":"Suleman"},{"family":"Avokpaho","given":"Euripide Frinel G Arthur"},{"family":"Awasthi","given":"Ashish"},{"family":"Quintanilla","given":"Beatriz Paulina Ayala"},{"family":"Azzopardi","given":"Peter"},{"family":"Bacha","given":"Umar"},{"family":"Badawi","given":"Alaa"},{"family":"Bahit","given":"Maria C"},{"family":"Balakrishnan","given":"Kalpana"},{"family":"Barac","given":"Aleksandra"},{"family":"Barber","given":"Ryan M"},{"family":"Barker-Collo","given":"Suzanne L"},{"family":"Bärnighausen","given":"Till"},{"family":"Barquera","given":"Simon"},{"family":"Barregard","given":"Lars"},{"family":"Barrero","given":"Lope H"},{"family":"Basu","given":"Sanjay"},{"family":"Batis","given":"Carolina"},{"family":"Bazargan-Hejazi","given":"Shahrzad"},{"family":"Beardsley","given":"Justin"},{"family":"Bedi","given":"Neeraj"},{"family":"Beghi","given":"Ettore"},{"family":"Bell","given":"Brent"},{"family":"Bell","given":"Michelle L"},{"family":"Bello","given":"Aminu K"},{"family":"Bennett","given":"Derrick A"},{"family":"Bensenor","given":"Isabela M"},{"family":"Berhane","given":"Adugnaw"},{"family":"Bernabé","given":"Eduardo"},{"family":"Betsu","given":"Balem Demtsu"},{"family":"Beyene","given":"Addisu Shunu"},{"family":"Bhala","given":"Neeraj"},{"family":"Bhansali","given":"Anil"},{"family":"Bhatt","given":"Samir"},{"family":"Biadgilign","given":"Sibhatu"},{"family":"Bikbov","given":"Boris"},{"family":"Bisanzio","given":"Donal"},{"family":"Bjertness","given":"Espen"},{"family":"Blore","given":"Jed D"},{"family":"Borschmann","given":"Rohan"},{"family":"Boufous","given":"Soufiane"},{"family":"Bourne","given":"Rupert R A"},{"family":"Brainin","given":"Michael"},{"family":"Brazinova","given":"Alexandra"},{"family":"Breitborde","given":"Nicholas J K"},{"family":"Brenner","given":"Hermann"},{"family":"Broday","given":"David M"},{"family":"Brugha","given":"Traolach S"},{"family":"Brunekreef","given":"Bert"},{"family":"Butt","given":"Zahid A"},{"family":"Cahill","given":"Leah E"},{"family":"Calabria","given":"Bianca"},{"family":"Campos-Nonato","given":"Ismael Ricardo"},{"family":"Cárdenas","given":"Rosario"},{"family":"Carpenter","given":"David O"},{"family":"Carrero","given":"Juan Jesus"},{"family":"Casey","given":"Daniel C"},{"family":"Castañeda-Orjuela","given":"Carlos A"},{"family":"Rivas","given":"Jacqueline Castillo"},{"family":"Castro","given":"Ruben Estanislao"},{"family":"Catalá-López","given":"Ferrán"},{"family":"Chang","given":"Jung-Chen"},{"family":"Chiang","given":"Peggy Pei-Chia"},{"family":"Chibalabala","given":"Mirriam"},{"family":"Chimed-Ochir","given":"Odgerel"},{"family":"Chisumpa","given":"Vesper Hichilombwe"},{"family":"Chitheer","given":"Abdulaal A"},{"family":"Choi","given":"Jee-Young Jasmine"},{"family":"Christensen","given":"Hanne"},{"family":"Christopher","given":"Devasahayam Jesudas"},{"family":"Ciobanu","given":"Liliana G"},{"family":"Coates","given":"Matthew M"},{"family":"Colquhoun","given":"Samantha M"},{"family":"Manzano","given":"Alejandra G Contreras"},{"family":"Cooper","given":"Leslie Trumbull"},{"family":"Cooperrider","given":"Kimberly"},{"family":"Cornaby","given":"Leslie"},{"family":"Cortinovis","given":"Monica"},{"family":"Crump","given":"John A"},{"family":"Cuevas-Nasu","given":"Lucia"},{"family":"Damasceno","given":"Albertino"},{"family":"Dandona","given":"Rakhi"},{"family":"Darby","given":"Sarah C"},{"family":"Dargan","given":"Paul I"},{"family":"Neves","given":"José","non-dropping-particle":"das"},{"family":"Davis","given":"Adrian C"},{"family":"Davletov","given":"Kairat"},{"family":"Castro","given":"E Filipa","non-dropping-particle":"de"},{"family":"De la Cruz-Góngora","given":"Vanessa"},{"family":"De Leo","given":"Diego"},{"family":"Degenhardt","given":"Louisa"},{"family":"Del Gobbo","given":"Liana C"},{"family":"Pozo-Cruz","given":"Borja","non-dropping-particle":"del"},{"family":"Dellavalle","given":"Robert P"},{"family":"Deribew","given":"Amare"},{"family":"Jarlais","given":"Don C Des"},{"family":"Dharmaratne","given":"Samath D"},{"family":"Dhillon","given":"Preet K"},{"family":"Diaz-Torné","given":"Cesar"},{"family":"Dicker","given":"Daniel"},{"family":"Ding","given":"Eric L"},{"family":"Dorsey","given":"E Ray"},{"family":"Doyle","given":"Kerrie E"},{"family":"Driscoll","given":"Tim R"},{"family":"Duan","given":"Leilei"},{"family":"Dubey","given":"Manisha"},{"family":"Duncan","given":"Bruce Bartholow"},{"family":"Elyazar","given":"Iqbal"},{"family":"Endries","given":"Aman Yesuf"},{"family":"Ermakov","given":"Sergey Petrovich"},{"family":"Erskine","given":"Holly E"},{"family":"Eshrati","given":"Babak"},{"family":"Esteghamati","given":"Alireza"},{"family":"Fahimi","given":"Saman"},{"family":"Faraon","given":"Emerito Jose Aquino"},{"family":"Farid","given":"Talha A"},{"family":"Farinha","given":"Carla Sofia e Sa"},{"family":"Faro","given":"André"},{"family":"Farvid","given":"Maryam S"},{"family":"Farzadfar","given":"Farshad"},{"family":"Feigin","given":"Valery L"},{"family":"Fereshtehnejad","given":"Seyed-Mohammad"},{"family":"Fernandes","given":"Jefferson G"},{"family":"Fischer","given":"Florian"},{"family":"Fitchett","given":"Joseph R A"},{"family":"Fleming","given":"Tom"},{"family":"Foigt","given":"Nataliya"},{"family":"Foreman","given":"Kyle"},{"family":"Fowkes","given":"F Gerry R"},{"family":"Franklin","given":"Richard C"},{"family":"Fürst","given":"Thomas"},{"family":"Futran","given":"Neal D"},{"family":"Gakidou","given":"Emmanuela"},{"family":"Garcia-Basteiro","given":"Alberto L"},{"family":"Gebrehiwot","given":"Tsegaye Tewelde"},{"family":"Gebremedhin","given":"Amanuel Tesfay"},{"family":"Geleijnse","given":"Johanna M"},{"family":"Gessner","given":"Bradford D"},{"family":"Giref","given":"Ababi Zergaw"},{"family":"Giroud","given":"Maurice"},{"family":"Gishu","given":"Melkamu Dedefo"},{"family":"Giussani","given":"Giorgia"},{"family":"Goenka","given":"Shifalika"},{"family":"Gomez-Cabrera","given":"Mari Carmen"},{"family":"Gomez-Dantes","given":"Hector"},{"family":"Gona","given":"Philimon"},{"family":"Goodridge","given":"Amador"},{"family":"Gopalani","given":"Sameer Vali"},{"family":"Gotay","given":"Carolyn C"},{"family":"Goto","given":"Atsushi"},{"family":"Gouda","given":"Hebe N"},{"family":"Gugnani","given":"Harish Chander"},{"family":"Guillemin","given":"Francis"},{"family":"Guo","given":"Yuming"},{"family":"Gupta","given":"Rahul"},{"family":"Gupta","given":"Rajeev"},{"family":"Gutiérrez","given":"Reyna A"},{"family":"Haagsma","given":"Juanita A"},{"family":"Hafezi-Nejad","given":"Nima"},{"family":"Haile","given":"Demewoz"},{"family":"Hailu","given":"Gessessew Bugssa"},{"family":"Halasa","given":"Yara A"},{"family":"Hamadeh","given":"Randah Ribhi"},{"family":"Hamidi","given":"Samer"},{"family":"Handal","given":"Alexis J"},{"family":"Hankey","given":"Graeme J"},{"family":"Hao","given":"Yuantao"},{"family":"Harb","given":"Hilda L"},{"family":"Harikrishnan","given":"Sivadasanpillai"},{"family":"Haro","given":"Josep Maria"},{"family":"Hassanvand","given":"Mohammad Sadegh"},{"family":"Hassen","given":"Tahir Ahmed"},{"family":"Havmoeller","given":"Rasmus"},{"family":"Heredia-Pi","given":"Ileana Beatriz"},{"family":"Hernández-Llanes","given":"Norberto Francisco"},{"family":"Heydarpour","given":"Pouria"},{"family":"Hoek","given":"Hans W"},{"family":"Hoffman","given":"Howard J"},{"family":"Horino","given":"Masako"},{"family":"Horita","given":"Nobuyuki"},{"family":"Hosgood","given":"H Dean"},{"family":"Hoy","given":"Damian G"},{"family":"Hsairi","given":"Mohamed"},{"family":"Htet","given":"Aung Soe"},{"family":"Hu","given":"Guoqing"},{"family":"Huang","given":"John J"},{"family":"Husseini","given":"Abdullatif"},{"family":"Hutchings","given":"Sally J"},{"family":"Huybrechts","given":"Inge"},{"family":"Iburg","given":"Kim Moesgaard"},{"family":"Idrisov","given":"Bulat T"},{"family":"Ileanu","given":"Bogdan Vasile"},{"family":"Inoue","given":"Manami"},{"family":"Jacobs","given":"Troy A"},{"family":"Jacobsen","given":"Kathryn H"},{"family":"Jahanmehr","given":"Nader"},{"family":"Jakovljevic","given":"Mihajlo B"},{"family":"Jansen","given":"Henrica A F M"},{"family":"Jassal","given":"Simerjot K"},{"family":"Javanbakht","given":"Mehdi"},{"family":"Jayaraman","given":"Sudha P"},{"family":"Jayatilleke","given":"Achala Upendra"},{"family":"Jee","given":"Sun Ha"},{"family":"Jeemon","given":"Panniyammakal"},{"family":"Jha","given":"Vivekanand"},{"family":"Jiang","given":"Ying"},{"family":"Jibat","given":"Tariku"},{"family":"Jin","given":"Ye"},{"family":"Johnson","given":"Catherine O"},{"family":"Jonas","given":"Jost B"},{"family":"Kabir","given":"Zubair"},{"family":"Kalkonde","given":"Yogeshwar"},{"family":"Kamal","given":"Ritul"},{"family":"Kan","given":"Haidong"},{"family":"Karch","given":"André"},{"family":"Karema","given":"Corine Kakizi"},{"family":"Karimkhani","given":"Chante"},{"family":"Kasaeian","given":"Amir"},{"family":"Kaul","given":"Anil"},{"family":"Kawakami","given":"Norito"},{"family":"Kazi","given":"Dhruv S"},{"family":"Keiyoro","given":"Peter Njenga"},{"family":"Kemmer","given":"Laura"},{"family":"Kemp","given":"Andrew Haddon"},{"family":"Kengne","given":"Andre Pascal"},{"family":"Keren","given":"Andre"},{"family":"Kesavachandran","given":"Chandrasekharan Nair"},{"family":"Khader","given":"Yousef Saleh"},{"family":"Khan","given":"Abdur Rahman"},{"family":"Khan","given":"Ejaz Ahmad"},{"family":"Khan","given":"Gulfaraz"},{"family":"Khang","given":"Young-Ho"},{"family":"Khatibzadeh","given":"Shahab"},{"family":"Khera","given":"Sahil"},{"family":"Khoja","given":"Tawfik Ahmed Muthafer"},{"family":"Khubchandani","given":"Jagdish"},{"family":"Kieling","given":"Christian"},{"family":"Kim","given":"Cho-il"},{"family":"Kim","given":"Daniel"},{"family":"Kimokoti","given":"Ruth W"},{"family":"Kissoon","given":"Niranjan"},{"family":"Kivipelto","given":"Miia"},{"family":"Knibbs","given":"Luke D"},{"family":"Kokubo","given":"Yoshihiro"},{"family":"Kopec","given":"Jacek A"},{"family":"Koul","given":"Parvaiz A"},{"family":"Koyanagi","given":"Ai"},{"family":"Kravchenko","given":"Michael"},{"family":"Kromhout","given":"Hans"},{"family":"Krueger","given":"Hans"},{"family":"Ku","given":"Tiffany"},{"family":"Defo","given":"Barthelemy Kuate"},{"family":"Kuchenbecker","given":"Ricardo S"},{"family":"Bicer","given":"Burcu Kucuk"},{"family":"Kuipers","given":"Ernst J"},{"family":"Kumar","given":"G Anil"},{"family":"Kwan","given":"Gene F"},{"family":"Lal","given":"Dharmesh Kumar"},{"family":"Lalloo","given":"Ratilal"},{"family":"Lallukka","given":"Tea"},{"family":"Lan","given":"Qing"},{"family":"Larsson","given":"Anders"},{"family":"Latif","given":"Asma Abdul"},{"family":"Lawrynowicz","given":"Alicia Elena Beatriz"},{"family":"Leasher","given":"Janet L"},{"family":"Leigh","given":"James"},{"family":"Leung","given":"Janni"},{"family":"Levi","given":"Miriam"},{"family":"Li","given":"Xiaohong"},{"family":"Li","given":"Yichong"},{"family":"Liang","given":"Juan"},{"family":"Liu","given":"Shiwei"},{"family":"Lloyd","given":"Belinda K"},{"family":"Logroscino","given":"Giancarlo"},{"family":"Lotufo","given":"Paulo A"},{"family":"Lunevicius","given":"Raimundas"},{"family":"MacIntyre","given":"Michael"},{"family":"Mahdavi","given":"Mahdi"},{"family":"Majdan","given":"Marek"},{"family":"Majeed","given":"Azeem"},{"family":"Malekzadeh","given":"Reza"},{"family":"Malta","given":"Deborah Carvalho"},{"family":"Manamo","given":"Wondimu Ayele Ayele"},{"family":"Mapoma","given":"Chabila C"},{"family":"Marcenes","given":"Wagner"},{"family":"Martin","given":"Randall V"},{"family":"Martinez-Raga","given":"Jose"},{"family":"Masiye","given":"Felix"},{"family":"Matsushita","given":"Kunihiro"},{"family":"Matzopoulos","given":"Richard"},{"family":"Mayosi","given":"Bongani M"},{"family":"McGrath","given":"John J"},{"family":"McKee","given":"Martin"},{"family":"Meaney","given":"Peter A"},{"family":"Medina","given":"Catalina"},{"family":"Mehari","given":"Alem"},{"family":"Mejia-Rodriguez","given":"Fabiola"},{"family":"Mekonnen","given":"Alemayehu B"},{"family":"Melaku","given":"Yohannes Adama"},{"family":"Memish","given":"Ziad A"},{"family":"Mendoza","given":"Walter"},{"family":"Mensink","given":"Gert B M"},{"family":"Meretoja","given":"Atte"},{"family":"Meretoja","given":"Tuomo J"},{"family":"Mesfin","given":"Yonatan Moges"},{"family":"Mhimbira","given":"Francis Apolinary"},{"family":"Millear","given":"Anoushka"},{"family":"Miller","given":"Ted R"},{"family":"Mills","given":"Edward J"},{"family":"Mirarefin","given":"Mojde"},{"family":"Misganaw","given":"Awoke"},{"family":"Mock","given":"Charles N"},{"family":"Mohammadi","given":"Alireza"},{"family":"Mohammed","given":"Shafiu"},{"family":"Mola","given":"Glen Liddell D"},{"family":"Monasta","given":"Lorenzo"},{"family":"Hernandez","given":"Julio Cesar Montañez"},{"family":"Montico","given":"Marcella"},{"family":"Morawska","given":"Lidia"},{"family":"Mori","given":"Rintaro"},{"family":"Mozaffarian","given":"Dariush"},{"family":"Mueller","given":"Ulrich O"},{"family":"Mullany","given":"Erin"},{"family":"Mumford","given":"John Everett"},{"family":"Murthy","given":"Gudlavalleti Venkata Satyanarayana"},{"family":"Nachega","given":"Jean B"},{"family":"Naheed","given":"Aliya"},{"family":"Nangia","given":"Vinay"},{"family":"Nassiri","given":"Nariman"},{"family":"Newton","given":"John N"},{"family":"Ng","given":"Marie"},{"family":"Nguyen","given":"Quyen Le"},{"family":"Nisar","given":"Muhammad Imran"},{"family":"Pete","given":"Patrick Martial Nkamedjie"},{"family":"Norheim","given":"Ole F"},{"family":"Norman","given":"Rosana E"},{"family":"Norrving","given":"Bo"},{"family":"Nyakarahuka","given":"Luke"},{"family":"Obermeyer","given":"Carla Makhlouf"},{"family":"Ogbo","given":"Felix Akpojene"},{"family":"Oh","given":"In-Hwan"},{"family":"Oladimeji","given":"Olanrewaju"},{"family":"Olivares","given":"Pedro R"},{"family":"Olsen","given":"Helen"},{"family":"Olusanya","given":"Bolajoko Olubukunola"},{"family":"Olusanya","given":"Jacob Olusegun"},{"family":"Opio","given":"John Nelson"},{"family":"Oren","given":"Eyal"},{"family":"Orozco","given":"Ricardo"},{"family":"Ortiz","given":"Alberto"},{"family":"Ota","given":"Erika"},{"family":"Pa","given":"Mahesh"},{"family":"Pana","given":"Adrian"},{"family":"Park","given":"Eun-Kee"},{"family":"Parry","given":"Charles D"},{"family":"Parsaeian","given":"Mahboubeh"},{"family":"Patel","given":"Tejas"},{"family":"Caicedo","given":"Angel J Paternina"},{"family":"Patil","given":"Snehal T"},{"family":"Patten","given":"Scott B"},{"family":"Patton","given":"George C"},{"family":"Pearce","given":"Neil"},{"family":"Pereira","given":"David M"},{"family":"Perico","given":"Norberto"},{"family":"Pesudovs","given":"Konrad"},{"family":"Petzold","given":"Max"},{"family":"Phillips","given":"Michael Robert"},{"family":"Piel","given":"Frédéric B"},{"family":"Pillay","given":"Julian David"},{"family":"Plass","given":"Dietrich"},{"family":"Polinder","given":"Suzanne"},{"family":"Pond","given":"Constance D"},{"family":"Pope","given":"C Arden"},{"family":"Pope","given":"Daniel"},{"family":"Popova","given":"Svetlana"},{"family":"Poulton","given":"Richie G"},{"family":"Pourmalek","given":"Farshad"},{"family":"Prasad","given":"Noela M"},{"family":"Qorbani","given":"Mostafa"},{"family":"Rabiee","given":"Rynaz H S"},{"family":"Radfar","given":"Amir"},{"family":"Rafay","given":"Anwar"},{"family":"Rahimi-Movaghar","given":"Vafa"},{"family":"Rahman","given":"Mahfuzar"},{"family":"Rahman","given":"Mohammad Hifz Ur"},{"family":"Rahman","given":"Sajjad Ur"},{"family":"Rai","given":"Rajesh Kumar"},{"family":"Rajsic","given":"Sasa"},{"family":"Raju","given":"Murugesan"},{"family":"Ram","given":"Usha"},{"family":"Rana","given":"Saleem M"},{"family":"Ranganathan","given":"Kavitha"},{"family":"Rao","given":"Puja"},{"family":"García","given":"Christian Aspacia Razo"},{"family":"Refaat","given":"Amany H"},{"family":"Rehm","given":"Colin D"},{"family":"Rehm","given":"Jürgen"},{"family":"Reinig","given":"Nikolas"},{"family":"Remuzzi","given":"Giuseppe"},{"family":"Resnikoff","given":"Serge"},{"family":"Ribeiro","given":"Antonio L"},{"family":"Rivera","given":"Juan A"},{"family":"Roba","given":"Hirbo Shore"},{"family":"Rodriguez","given":"Alina"},{"family":"Rodriguez-Ramirez","given":"Sonia"},{"family":"Rojas-Rueda","given":"David"},{"family":"Roman","given":"Yesenia"},{"family":"Ronfani","given":"Luca"},{"family":"Roshandel","given":"Gholamreza"},{"family":"Rothenbacher","given":"Dietrich"},{"family":"Roy","given":"Ambuj"},{"family":"Saleh","given":"Muhammad Muhammad"},{"family":"Sanabria","given":"Juan R"},{"family":"Sanchez-Riera","given":"Lidia"},{"family":"Sanchez-Niño","given":"Maria Dolores"},{"family":"Sánchez-Pimienta","given":"Tania G"},{"family":"Sandar","given":"Logan"},{"family":"Santomauro","given":"Damian F"},{"family":"Santos","given":"Itamar S"},{"family":"Sarmiento-Suarez","given":"Rodrigo"},{"family":"Sartorius","given":"Benn"},{"family":"Satpathy","given":"Maheswar"},{"family":"Savic","given":"Miloje"},{"family":"Sawhney","given":"Monika"},{"family":"Schmidhuber","given":"Josef"},{"family":"Schmidt","given":"Maria Inês"},{"family":"Schneider","given":"Ione J C"},{"family":"Schöttker","given":"Ben"},{"family":"Schutte","given":"Aletta E"},{"family":"Schwebel","given":"David C"},{"family":"Scott","given":"James G"},{"family":"Seedat","given":"Soraya"},{"family":"Sepanlou","given":"Sadaf G"},{"family":"Servan-Mori","given":"Edson E"},{"family":"Shaddick","given":"Gavin"},{"family":"Shaheen","given":"Amira"},{"family":"Shahraz","given":"Saeid"},{"family":"Shaikh","given":"Masood Ali"},{"family":"Levy","given":"Teresa Shamah"},{"family":"Sharma","given":"Rajesh"},{"family":"She","given":"Jun"},{"family":"Sheikhbahaei","given":"Sara"},{"family":"Shen","given":"Jiabin"},{"family":"Sheth","given":"Kevin N"},{"family":"Shi","given":"Peilin"},{"family":"Shibuya","given":"Kenji"},{"family":"Shigematsu","given":"Mika"},{"family":"Shin","given":"Min-Jeong"},{"family":"Shiri","given":"Rahman"},{"family":"Shishani","given":"Kawkab"},{"family":"Shiue","given":"Ivy"},{"family":"Shrime","given":"Mark G"},{"family":"Sigfusdottir","given":"Inga Dora"},{"family":"Silva","given":"Diego Augusto Santos"},{"family":"Silveira","given":"Dayane Gabriele Alves"},{"family":"Silverberg","given":"Jonathan I"},{"family":"Simard","given":"Edgar P"},{"family":"Sindi","given":"Shireen"},{"family":"Singh","given":"Abhishek"},{"family":"Singh","given":"Jasvinder A"},{"family":"Singh","given":"Prashant Kumar"},{"family":"Slepak","given":"Erica Leigh"},{"family":"Soljak","given":"Michael"},{"family":"Soneji","given":"Samir"},{"family":"Sorensen","given":"Reed J D"},{"family":"Sposato","given":"Luciano A"},{"family":"Sreeramareddy","given":"Chandrashekhar T"},{"family":"Stathopoulou","given":"Vasiliki"},{"family":"Steckling","given":"Nadine"},{"family":"Steel","given":"Nicholas"},{"family":"Stein","given":"Dan J"},{"family":"Stein","given":"Murray B"},{"family":"Stöckl","given":"Heidi"},{"family":"Stranges","given":"Saverio"},{"family":"Stroumpoulis","given":"Konstantinos"},{"family":"Sunguya","given":"Bruno F"},{"family":"Swaminathan","given":"Soumya"},{"family":"Sykes","given":"Bryan L"},{"family":"Szoeke","given":"Cassandra E I"},{"family":"Tabarés-Seisdedos","given":"Rafael"},{"family":"Takahashi","given":"Ken"},{"family":"Talongwa","given":"Roberto Tchio"},{"family":"Tandon","given":"Nikhil"},{"family":"Tanne","given":"David"},{"family":"Tavakkoli","given":"Mohammad"},{"family":"Taye","given":"Belaynew Wasie"},{"family":"Taylor","given":"Hugh R"},{"family":"Tedla","given":"Bemnet Amare"},{"family":"Tefera","given":"Worku Mekonnen"},{"family":"Tegegne","given":"Teketo Kassaw"},{"family":"Tekle","given":"Dejen Yemane"},{"family":"Terkawi","given":"Abdullah Sulieman"},{"family":"Thakur","given":"J S"},{"family":"Thomas","given":"Bernadette A"},{"family":"Thomas","given":"Matthew Lloyd"},{"family":"Thomson","given":"Alan J"},{"family":"Thorne-Lyman","given":"Andrew L"},{"family":"Thrift","given":"Amanda G"},{"family":"Thurston","given":"George D"},{"family":"Tillmann","given":"Taavi"},{"family":"Tobe-Gai","given":"Ruoyan"},{"family":"Tobollik","given":"Myriam"},{"family":"Topor-Madry","given":"Roman"},{"family":"Topouzis","given":"Fotis"},{"family":"Towbin","given":"Jeffrey Allen"},{"family":"Tran","given":"Bach Xuan"},{"family":"Dimbuene","given":"Zacharie Tsala"},{"family":"Tsilimparis","given":"Nikolaos"},{"family":"Tura","given":"Abera Kenay"},{"family":"Tuzcu","given":"Emin Murat"},{"family":"Tyrovolas","given":"Stefanos"},{"family":"Ukwaja","given":"Kingsley N"},{"family":"Undurraga","given":"Eduardo A"},{"family":"Uneke","given":"Chigozie Jesse"},{"family":"Uthman","given":"Olalekan A"},{"family":"Donkelaar","given":"Aaron","non-dropping-particle":"van"},{"family":"Os","given":"Jim","non-dropping-particle":"van"},{"family":"Varakin","given":"Yuri Y"},{"family":"Vasankari","given":"Tommi"},{"family":"Veerman","given":"J Lennert"},{"family":"Venketasubramanian","given":"Narayanaswamy"},{"family":"Violante","given":"Francesco S"},{"family":"Vollset","given":"Stein Emil"},{"family":"Wagner","given":"Gregory R"},{"family":"Waller","given":"Stephen G"},{"family":"Wang","given":"Jian Li"},{"family":"Wang","given":"Linhong"},{"family":"Wang","given":"Yanping"},{"family":"Weichenthal","given":"Scott"},{"family":"Weiderpass","given":"Elisabete"},{"family":"Weintraub","given":"Robert G"},{"family":"Werdecker","given":"Andrea"},{"family":"Westerman","given":"Ronny"},{"family":"Whiteford","given":"Harvey A"},{"family":"Wijeratne","given":"Tissa"},{"family":"Wiysonge","given":"Charles Shey"},{"family":"Wolfe","given":"Charles D A"},{"family":"Won","given":"Sungho"},{"family":"Woolf","given":"Anthony D"},{"family":"Wubshet","given":"Mamo"},{"family":"Xavier","given":"Denis"},{"family":"Xu","given":"Gelin"},{"family":"Yadav","given":"Ajit Kumar"},{"family":"Yakob","given":"Bereket"},{"family":"Yalew","given":"Ayalnesh Zemene"},{"family":"Yano","given":"Yuichiro"},{"family":"Yaseri","given":"Mehdi"},{"family":"Ye","given":"Pengpeng"},{"family":"Yip","given":"Paul"},{"family":"Yonemoto","given":"Naohiro"},{"family":"Yoon","given":"Seok-Jun"},{"family":"Younis","given":"Mustafa Z"},{"family":"Yu","given":"Chuanhua"},{"family":"Zaidi","given":"Zoubida"},{"family":"Zaki","given":"Maysaa El Sayed"},{"family":"Zhu","given":"Jun"},{"family":"Zipkin","given":"Ben"},{"family":"Zodpey","given":"Sanjay"},{"family":"Zuhlke","given":"Liesl Joanna"},{"family":"Murray","given":"Christopher J L"}],"issued":{"date-parts":[["2016",10,8]]}},"label":"page"}],"schema":"https://github.com/citation-style-language/schema/raw/master/csl-citation.json"} </w:instrText>
      </w:r>
      <w:r w:rsidR="00403A51">
        <w:rPr>
          <w:rFonts w:ascii="Times New Roman" w:hAnsi="Times New Roman" w:cs="Times New Roman"/>
        </w:rPr>
        <w:fldChar w:fldCharType="separate"/>
      </w:r>
      <w:r w:rsidR="002010B7">
        <w:rPr>
          <w:rFonts w:ascii="Times New Roman" w:hAnsi="Times New Roman" w:cs="Times New Roman"/>
          <w:noProof/>
        </w:rPr>
        <w:t>(Degenhardt et al., 2018; Forouzanfar et al., 2016)</w:t>
      </w:r>
      <w:r w:rsidR="00403A51">
        <w:rPr>
          <w:rFonts w:ascii="Times New Roman" w:hAnsi="Times New Roman" w:cs="Times New Roman"/>
        </w:rPr>
        <w:fldChar w:fldCharType="end"/>
      </w:r>
      <w:r w:rsidRPr="00F23463">
        <w:rPr>
          <w:rFonts w:ascii="Times New Roman" w:hAnsi="Times New Roman" w:cs="Times New Roman"/>
        </w:rPr>
        <w:t xml:space="preserve">. Statistics from the World Health Organization (WHO) demonstrate that per year, </w:t>
      </w:r>
      <w:r w:rsidR="00D46E31">
        <w:rPr>
          <w:rFonts w:ascii="Times New Roman" w:hAnsi="Times New Roman" w:cs="Times New Roman"/>
        </w:rPr>
        <w:t xml:space="preserve">at least </w:t>
      </w:r>
      <w:r w:rsidRPr="00F23463">
        <w:rPr>
          <w:rFonts w:ascii="Times New Roman" w:hAnsi="Times New Roman" w:cs="Times New Roman"/>
        </w:rPr>
        <w:t xml:space="preserve">3 million deaths are attributable to harmful alcohol use </w:t>
      </w:r>
      <w:r w:rsidR="00D46E3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{"citationID":"Gw4nfE59","properties":{"formattedCitation":"(WHO, 2022a)","plainCitation":"(WHO, 2022a)","noteIndex":0},"citationItems":[{"id":985,"uris":["http://zotero.org/users/7873587/items/RQ9MKRLJ"],"itemData":{"id":985,"type":"webpage","abstract":"Fact sheet on alcohol providing key facts, who is at risk, ways to reduce the burden, WHO response","language":"en","title":"Alcohol","URL":"https://www.who.int/news-room/fact-sheets/detail/alcohol","author":[{"literal":"WHO"}],"accessed":{"date-parts":[["2022",7,29]]},"issued":{"date-parts":[["2022"]]}}}],"schema":"https://github.com/citation-style-language/schema/raw/master/csl-citation.json"} </w:instrText>
      </w:r>
      <w:r w:rsidR="00D46E31">
        <w:rPr>
          <w:rFonts w:ascii="Times New Roman" w:hAnsi="Times New Roman" w:cs="Times New Roman"/>
        </w:rPr>
        <w:fldChar w:fldCharType="separate"/>
      </w:r>
      <w:r w:rsidR="00D46E31">
        <w:rPr>
          <w:rFonts w:ascii="Times New Roman" w:hAnsi="Times New Roman" w:cs="Times New Roman"/>
          <w:noProof/>
        </w:rPr>
        <w:t>(WHO, 2022a)</w:t>
      </w:r>
      <w:r w:rsidR="00D46E31">
        <w:rPr>
          <w:rFonts w:ascii="Times New Roman" w:hAnsi="Times New Roman" w:cs="Times New Roman"/>
        </w:rPr>
        <w:fldChar w:fldCharType="end"/>
      </w:r>
      <w:r w:rsidRPr="00F23463">
        <w:rPr>
          <w:rFonts w:ascii="Times New Roman" w:hAnsi="Times New Roman" w:cs="Times New Roman"/>
        </w:rPr>
        <w:t xml:space="preserve"> whilst </w:t>
      </w:r>
      <w:r w:rsidR="00D46E31">
        <w:rPr>
          <w:rFonts w:ascii="Times New Roman" w:hAnsi="Times New Roman" w:cs="Times New Roman"/>
        </w:rPr>
        <w:t xml:space="preserve">at least </w:t>
      </w:r>
      <w:r w:rsidRPr="00F23463">
        <w:rPr>
          <w:rFonts w:ascii="Times New Roman" w:hAnsi="Times New Roman" w:cs="Times New Roman"/>
        </w:rPr>
        <w:t xml:space="preserve">8 million deaths are attributable to tobacco smoking </w:t>
      </w:r>
      <w:r w:rsidR="00D46E3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{"citationID":"xRnCYYC5","properties":{"formattedCitation":"(WHO, 2022b)","plainCitation":"(WHO, 2022b)","noteIndex":0},"citationItems":[{"id":984,"uris":["http://zotero.org/users/7873587/items/G8RVY7HS"],"itemData":{"id":984,"type":"webpage","abstract":"Tobacco fact sheet from WHO providing key facts and information on surveillance, second-hand smoke, quitting, picture warnings, ad bans, taxes, WHO response.","language":"en","title":"Tobacco","URL":"https://www.who.int/news-room/fact-sheets/detail/tobacco","author":[{"literal":"WHO"}],"accessed":{"date-parts":[["2022",7,29]]},"issued":{"date-parts":[["2022"]]}}}],"schema":"https://github.com/citation-style-language/schema/raw/master/csl-citation.json"} </w:instrText>
      </w:r>
      <w:r w:rsidR="00D46E31">
        <w:rPr>
          <w:rFonts w:ascii="Times New Roman" w:hAnsi="Times New Roman" w:cs="Times New Roman"/>
        </w:rPr>
        <w:fldChar w:fldCharType="separate"/>
      </w:r>
      <w:r w:rsidR="00D46E31">
        <w:rPr>
          <w:rFonts w:ascii="Times New Roman" w:hAnsi="Times New Roman" w:cs="Times New Roman"/>
          <w:noProof/>
        </w:rPr>
        <w:t>(WHO, 2022b)</w:t>
      </w:r>
      <w:r w:rsidR="00D46E31">
        <w:rPr>
          <w:rFonts w:ascii="Times New Roman" w:hAnsi="Times New Roman" w:cs="Times New Roman"/>
        </w:rPr>
        <w:fldChar w:fldCharType="end"/>
      </w:r>
      <w:r w:rsidRPr="00F23463">
        <w:rPr>
          <w:rFonts w:ascii="Times New Roman" w:hAnsi="Times New Roman" w:cs="Times New Roman"/>
        </w:rPr>
        <w:t xml:space="preserve">. Illicit </w:t>
      </w:r>
      <w:r w:rsidR="00B02736">
        <w:rPr>
          <w:rFonts w:ascii="Times New Roman" w:hAnsi="Times New Roman" w:cs="Times New Roman"/>
        </w:rPr>
        <w:t>substance</w:t>
      </w:r>
      <w:r w:rsidRPr="00F23463">
        <w:rPr>
          <w:rFonts w:ascii="Times New Roman" w:hAnsi="Times New Roman" w:cs="Times New Roman"/>
        </w:rPr>
        <w:t xml:space="preserve"> use (e.g., amphetamines, cocaine, and opioids) is also a core public health concern </w:t>
      </w:r>
      <w:r w:rsidR="00D46E31">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{"citationID":"W4UkR75K","properties":{"formattedCitation":"(Peacock et al., 2018)","plainCitation":"(Peacock et al., 2018)","noteIndex":0},"citationItems":[{"id":983,"uris":["http://zotero.org/users/7873587/items/XRSB6L2V"],"itemData":{"id":983,"type":"article-journal","abstract":"AIMS: This review provides an up-to-date curated source of information on alcohol, tobacco and illicit drug use and their associated mortality and burden of disease. Limitations in the data are also discussed, including how these can be addressed in the future.\nMETHODS: Online data sources were identified through expert review. Data were obtained mainly from the World Health Organization, United Nations Office on Drugs and Crime and Institute for Health Metrics and Evaluation.\nRESULTS: In 2015, the estimated prevalence among the adult population was 18.4% for heavy episodic alcohol use (in the past 30 days); 15.2% for daily tobacco smoking; and 3.8, 0.77, 0.37 and 0.35% for past-year cannabis, amphetamine, opioid and cocaine use, respectively. European regions had the highest prevalence of heavy episodic alcohol use and daily tobacco use. The age-standardized prevalence of alcohol dependence was 843.2 per 100 000 people; for cannabis, opioids, amphetamines and cocaine dependence it was 259.3, 220.4, 86.0 and 52.5 per 100 000 people, respectively. High-income North America region had among the highest rates of cannabis, opioid and cocaine dependence. Attributable disability-adjusted life-years (DALYs) were highest for tobacco smoking (170.9 million DALYs), followed by alcohol (85.0 million) and illicit drugs (27.8 million). Substance-attributable mortality rates were highest for tobacco smoking (110.7 deaths per 100 000 people), followed by alcohol and illicit drugs (33.0 and 6.9 deaths per 100 000 people, respectively). Attributable age-standardized mortality rates and DALYs for alcohol and illicit drugs were highest in eastern Europe; attributable age-standardized tobacco mortality rates and DALYs were highest in Oceania.\nCONCLUSIONS: In 2015 alcohol use and tobacco smoking use between them cost the human population more than a quarter of a billion disability-adjusted life years, with illicit drugs costing further tens of millions. Europeans suffered proportionately more, but in absolute terms the mortality rate was greatest in low- and middle-income countries with large populations and where the quality of data was more limited. Better standardized and rigorous methods for data collection, collation and reporting are needed to assess more accurately the geographical and temporal trends in substance use and its disease burden.","container-title":"Addiction","DOI":"10.1111/add.14234","ISSN":"1360-0443","issue":"10","journalAbbreviation":"Addiction","language":"eng","note":"PMID: 29749059","page":"1905-1926","source":"PubMed","title":"Global statistics on alcohol, tobacco and illicit drug use: 2017 status report","title-short":"Global statistics on alcohol, tobacco and illicit drug use","volume":"113","author":[{"family":"Peacock","given":"Amy"},{"family":"Leung","given":"Janni"},{"family":"Larney","given":"Sarah"},{"family":"Colledge","given":"Samantha"},{"family":"Hickman","given":"Matthew"},{"family":"Rehm","given":"Jürgen"},{"family":"Giovino","given":"Gary A."},{"family":"West","given":"Robert"},{"family":"Hall","given":"Wayne"},{"family":"Griffiths","given":"Paul"},{"family":"Ali","given":"Robert"},{"family":"Gowing","given":"Linda"},{"family":"Marsden","given":"John"},{"family":"Ferrari","given":"Alize J."},{"family":"Grebely","given":"Jason"},{"family":"Farrell","given":"Michael"},{"family":"Degenhardt","given":"Louisa"}],"issued":{"date-parts":[["2018",10]]}}}],"schema":"https://github.com/citation-style-language/schema/raw/master/csl-citation.json"} </w:instrText>
      </w:r>
      <w:r w:rsidR="00D46E31">
        <w:rPr>
          <w:rFonts w:ascii="Times New Roman" w:hAnsi="Times New Roman" w:cs="Times New Roman"/>
        </w:rPr>
        <w:fldChar w:fldCharType="separate"/>
      </w:r>
      <w:r w:rsidR="00D46E31">
        <w:rPr>
          <w:rFonts w:ascii="Times New Roman" w:hAnsi="Times New Roman" w:cs="Times New Roman"/>
          <w:noProof/>
        </w:rPr>
        <w:t>(Peacock et al., 2018)</w:t>
      </w:r>
      <w:r w:rsidR="00D46E31">
        <w:rPr>
          <w:rFonts w:ascii="Times New Roman" w:hAnsi="Times New Roman" w:cs="Times New Roman"/>
        </w:rPr>
        <w:fldChar w:fldCharType="end"/>
      </w:r>
      <w:r w:rsidRPr="00F23463">
        <w:rPr>
          <w:rFonts w:ascii="Times New Roman" w:hAnsi="Times New Roman" w:cs="Times New Roman"/>
        </w:rPr>
        <w:t>. For example, in the United States of America (USA) there is an increasing prevalence in opioid-related deaths</w:t>
      </w:r>
      <w:r w:rsidR="001E0908">
        <w:rPr>
          <w:rFonts w:ascii="Times New Roman" w:hAnsi="Times New Roman" w:cs="Times New Roman"/>
        </w:rPr>
        <w:t xml:space="preserve"> </w:t>
      </w:r>
      <w:r w:rsidR="001E09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{"citationID":"oatn8ak2","properties":{"formattedCitation":"(Centers for Disease Control and Prevention, 2021)","plainCitation":"(Centers for Disease Control and Prevention, 2021)","noteIndex":0},"citationItems":[{"id":982,"uris":["http://zotero.org/users/7873587/items/GK53A6FL"],"itemData":{"id":982,"type":"webpage","abstract":"National Center for Health Statistics","language":"en-us","title":"Drug Overdose Deaths in the U.S. Top 100,000 Annually","URL":"https://www.cdc.gov/nchs/pressroom/nchs_press_releases/2021/20211117.htm","author":[{"literal":"Centers for Disease Control and Prevention"}],"accessed":{"date-parts":[["2022",7,29]]},"issued":{"date-parts":[["2021"]]}}}],"schema":"https://github.com/citation-style-language/schema/raw/master/csl-citation.json"} </w:instrText>
      </w:r>
      <w:r w:rsidR="001E0908">
        <w:rPr>
          <w:rFonts w:ascii="Times New Roman" w:hAnsi="Times New Roman" w:cs="Times New Roman"/>
        </w:rPr>
        <w:fldChar w:fldCharType="separate"/>
      </w:r>
      <w:r w:rsidR="001E0908">
        <w:rPr>
          <w:rFonts w:ascii="Times New Roman" w:hAnsi="Times New Roman" w:cs="Times New Roman"/>
          <w:noProof/>
        </w:rPr>
        <w:t>(Centers for Disease Control and Prevention, 2021)</w:t>
      </w:r>
      <w:r w:rsidR="001E0908">
        <w:rPr>
          <w:rFonts w:ascii="Times New Roman" w:hAnsi="Times New Roman" w:cs="Times New Roman"/>
        </w:rPr>
        <w:fldChar w:fldCharType="end"/>
      </w:r>
      <w:r w:rsidR="001E0908">
        <w:rPr>
          <w:rFonts w:ascii="Times New Roman" w:hAnsi="Times New Roman" w:cs="Times New Roman"/>
        </w:rPr>
        <w:t xml:space="preserve"> </w:t>
      </w:r>
      <w:r w:rsidRPr="00F23463">
        <w:rPr>
          <w:rFonts w:ascii="Times New Roman" w:hAnsi="Times New Roman" w:cs="Times New Roman"/>
        </w:rPr>
        <w:t>often referred to as the “opioid crisis”</w:t>
      </w:r>
      <w:r w:rsidR="001E0908">
        <w:rPr>
          <w:rFonts w:ascii="Times New Roman" w:hAnsi="Times New Roman" w:cs="Times New Roman"/>
        </w:rPr>
        <w:t xml:space="preserve"> </w:t>
      </w:r>
      <w:r w:rsidR="001E09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{"citationID":"UDZYP2Qo","properties":{"formattedCitation":"(Corrigan &amp; Nieweglowski, 2018; Lim et al., 2022)","plainCitation":"(Corrigan &amp; Nieweglowski, 2018; Lim et al., 2022)","noteIndex":0},"citationItems":[{"id":980,"uris":["http://zotero.org/users/7873587/items/U7FEF97T"],"itemData":{"id":980,"type":"article-journal","abstract":"The current opioid crisis in the U.S. is unprecedented and calling for a nationwide reorganization of the public health prevention program. Stigma is a persistent barrier to this agenda, unfortunately with a limited body of research on substance use disorder (SUD) available to inform it. We review the broader research literature on the stigma of behavioral health (i.e., mental illness and SUD) to identify strategies to address the opioid crisis and harmful stigma. A major difference between mental illness and SUD stigma is that the latter is legally and socially sanctioned. In making sense of the behavioral strategies for stigma change, we consider three agendas for stigma prevention (prevention, rights, and self-worth). We suggest that incorporating the rights and the self-worth agendas with an in vivo focused contact model, might be most effective for an integrative strategy aimed at targeting opioid stigma. Involving people in recovery as key drivers of this agenda and evaluating the detrimental impact of using stigma as a health tool (social sanction), will bring new horizons to solving this deadly epidemic.","container-title":"The International Journal on Drug Policy","DOI":"10.1016/j.drugpo.2018.06.015","ISSN":"1873-4758","journalAbbreviation":"Int J Drug Policy","language":"eng","note":"PMID: 29986271","page":"44-49","source":"PubMed","title":"Stigma and the public health agenda for the opioid crisis in America","volume":"59","author":[{"family":"Corrigan","given":"Patrick W."},{"family":"Nieweglowski","given":"Katherine"}],"issued":{"date-parts":[["2018",9]]}}},{"id":981,"uris":["http://zotero.org/users/7873587/items/6V6N95EP"],"itemData":{"id":981,"type":"article-journal","container-title":"Proceedings of the National Academy of Sciences","DOI":"10.1073/pnas.2115714119","issue":"23","note":"publisher: Proceedings of the National Academy of Sciences","page":"e2115714119","source":"pnas.org (Atypon)","title":"Modeling the evolution of the US opioid crisis for national policy development","volume":"119","author":[{"family":"Lim","given":"Tse Yang"},{"family":"Stringfellow","given":"Erin J."},{"family":"Stafford","given":"Celia A."},{"family":"DiGennaro","given":"Catherine"},{"family":"Homer","given":"Jack B."},{"family":"Wakeland","given":"Wayne"},{"family":"Eggers","given":"Sara L."},{"family":"Kazemi","given":"Reza"},{"family":"Glos","given":"Lukas"},{"family":"Ewing","given":"Emily G."},{"family":"Bannister","given":"Calvin B."},{"family":"Humphreys","given":"Keith"},{"family":"Throckmorton","given":"Douglas C."},{"family":"Jalali","given":"Mohammad S."}],"issued":{"date-parts":[["2022",6,7]]}}}],"schema":"https://github.com/citation-style-language/schema/raw/master/csl-citation.json"} </w:instrText>
      </w:r>
      <w:r w:rsidR="001E0908">
        <w:rPr>
          <w:rFonts w:ascii="Times New Roman" w:hAnsi="Times New Roman" w:cs="Times New Roman"/>
        </w:rPr>
        <w:fldChar w:fldCharType="separate"/>
      </w:r>
      <w:r w:rsidR="001E0908">
        <w:rPr>
          <w:rFonts w:ascii="Times New Roman" w:hAnsi="Times New Roman" w:cs="Times New Roman"/>
          <w:noProof/>
        </w:rPr>
        <w:t>(Corrigan &amp; Nieweglowski, 2018; Lim et al., 2022)</w:t>
      </w:r>
      <w:r w:rsidR="001E0908">
        <w:rPr>
          <w:rFonts w:ascii="Times New Roman" w:hAnsi="Times New Roman" w:cs="Times New Roman"/>
        </w:rPr>
        <w:fldChar w:fldCharType="end"/>
      </w:r>
      <w:r w:rsidR="001E0908">
        <w:rPr>
          <w:rFonts w:ascii="Times New Roman" w:hAnsi="Times New Roman" w:cs="Times New Roman"/>
        </w:rPr>
        <w:t xml:space="preserve">. </w:t>
      </w:r>
      <w:r w:rsidRPr="00F23463">
        <w:rPr>
          <w:rFonts w:ascii="Times New Roman" w:hAnsi="Times New Roman" w:cs="Times New Roman"/>
        </w:rPr>
        <w:t xml:space="preserve">Furthermore, in the UK, behaviours such as gambling are increasingly prevalent </w:t>
      </w:r>
      <w:r w:rsidR="003C3E74">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{"citationID":"VvVr3lOu","properties":{"formattedCitation":"(Cowlishaw &amp; Kessler, 2016)","plainCitation":"(Cowlishaw &amp; Kessler, 2016)","noteIndex":0},"citationItems":[{"id":979,"uris":["http://zotero.org/users/7873587/items/AX9I3IXR"],"itemData":{"id":979,"type":"article-journal","abstract":"&lt;b&gt;&lt;i&gt;Background/Aims:&lt;/i&gt;&lt;/b&gt; Research indicates that rates of gambling problems are increasing in the UK, but has provided limited consideration of possible implications for individuals, families and communities. This study examines the associations involving problem gambling and indicators of mental and physical health, as well as psychosocial adjustment and health care usage, in a representative sample from England. &lt;b&gt;&lt;i&gt;Methods:&lt;/i&gt;&lt;/b&gt; Data were derived from the 2007 Adult Psychiatric Morbidity Survey, which is a representative study of adults (n = 7,403). Regression models evaluated the correlates of problem gambling. &lt;b&gt;&lt;i&gt;Results:&lt;/i&gt;&lt;/b&gt; There were associations with problem gambling and mental health (anxiety, neurotic symptoms and substance use problems) and psychosocial maladjustment (suicidality, financial difficulties and social support). There were limited influences on physical health that were beyond socioeconomic factors and substance use problems. Notwithstanding, the results demonstrated over-representation of gambling problems in certain health-care settings. &lt;b&gt;&lt;i&gt;Conclusions:&lt;/i&gt;&lt;/b&gt; Findings support recognition of problem gambling as a public health concern in the UK, and initiatives for intervening in health-care services where conditions are over-represented.","container-title":"European Addiction Research","DOI":"10.1159/000437260","ISSN":"1022-6877, 1421-9891","issue":"2","journalAbbreviation":"EAR","language":"english","note":"publisher: Karger Publishers\nPMID: 26343859","page":"90-98","source":"www.karger.com","title":"Problem gambling in the UK: Implications for health, psychosocial adjustment and health care utilization","title-short":"Problem Gambling in the UK","volume":"22","author":[{"family":"Cowlishaw","given":"Sean"},{"family":"Kessler","given":"David"}],"issued":{"date-parts":[["2016"]]}}}],"schema":"https://github.com/citation-style-language/schema/raw/master/csl-citation.json"} </w:instrText>
      </w:r>
      <w:r w:rsidR="003C3E74">
        <w:rPr>
          <w:rFonts w:ascii="Times New Roman" w:hAnsi="Times New Roman" w:cs="Times New Roman"/>
        </w:rPr>
        <w:fldChar w:fldCharType="separate"/>
      </w:r>
      <w:r w:rsidR="003C3E74">
        <w:rPr>
          <w:rFonts w:ascii="Times New Roman" w:hAnsi="Times New Roman" w:cs="Times New Roman"/>
          <w:noProof/>
        </w:rPr>
        <w:t>(Cowlishaw &amp; Kessler, 2016)</w:t>
      </w:r>
      <w:r w:rsidR="003C3E74">
        <w:rPr>
          <w:rFonts w:ascii="Times New Roman" w:hAnsi="Times New Roman" w:cs="Times New Roman"/>
        </w:rPr>
        <w:fldChar w:fldCharType="end"/>
      </w:r>
      <w:r w:rsidRPr="00F23463">
        <w:rPr>
          <w:rFonts w:ascii="Times New Roman" w:hAnsi="Times New Roman" w:cs="Times New Roman"/>
        </w:rPr>
        <w:t xml:space="preserve"> with figures demonstrating that a significant proportion of people are at risk of developing gambling problems </w:t>
      </w:r>
      <w:r w:rsidR="000E10C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{"citationID":"6idm3L7c","properties":{"formattedCitation":"(Gambling Commission, 2022)","plainCitation":"(Gambling Commission, 2022)","noteIndex":0},"citationItems":[{"id":978,"uris":["http://zotero.org/users/7873587/items/9NE98IIS"],"itemData":{"id":978,"type":"webpage","abstract":"Findings from the quarterly telephone survey in regards to problem and at-risk gambling","container-title":"Gambling Commission","language":"en-GB","title":"Problem and at-risk gambling","URL":"https://www.gamblingcommission.gov.uk/about-us/guide/page/problem-and-at-risk-gambling","author":[{"literal":"Gambling Commission"}],"accessed":{"date-parts":[["2022",7,29]]},"issued":{"date-parts":[["2022"]]}}}],"schema":"https://github.com/citation-style-language/schema/raw/master/csl-citation.json"} </w:instrText>
      </w:r>
      <w:r w:rsidR="000E10C7">
        <w:rPr>
          <w:rFonts w:ascii="Times New Roman" w:hAnsi="Times New Roman" w:cs="Times New Roman"/>
        </w:rPr>
        <w:fldChar w:fldCharType="separate"/>
      </w:r>
      <w:r w:rsidR="000E10C7">
        <w:rPr>
          <w:rFonts w:ascii="Times New Roman" w:hAnsi="Times New Roman" w:cs="Times New Roman"/>
          <w:noProof/>
        </w:rPr>
        <w:t>(Gambling Commission, 2022)</w:t>
      </w:r>
      <w:r w:rsidR="000E10C7">
        <w:rPr>
          <w:rFonts w:ascii="Times New Roman" w:hAnsi="Times New Roman" w:cs="Times New Roman"/>
        </w:rPr>
        <w:fldChar w:fldCharType="end"/>
      </w:r>
      <w:r w:rsidR="000E10C7">
        <w:rPr>
          <w:rFonts w:ascii="Times New Roman" w:hAnsi="Times New Roman" w:cs="Times New Roman"/>
        </w:rPr>
        <w:t>.</w:t>
      </w:r>
      <w:r w:rsidRPr="00F23463">
        <w:rPr>
          <w:rFonts w:ascii="Times New Roman" w:hAnsi="Times New Roman" w:cs="Times New Roman"/>
        </w:rPr>
        <w:t xml:space="preserve"> </w:t>
      </w:r>
    </w:p>
    <w:p w14:paraId="68182003" w14:textId="77777777" w:rsidR="008A4FF5" w:rsidRPr="00F23463" w:rsidRDefault="008A4FF5" w:rsidP="00AC0B06">
      <w:pPr>
        <w:pStyle w:val="NoSpacing"/>
        <w:spacing w:line="480" w:lineRule="auto"/>
        <w:rPr>
          <w:rFonts w:ascii="Times New Roman" w:hAnsi="Times New Roman" w:cs="Times New Roman"/>
        </w:rPr>
      </w:pPr>
    </w:p>
    <w:p w14:paraId="210704EE" w14:textId="094C10B7" w:rsidR="00B03BD7" w:rsidRDefault="008A4FF5" w:rsidP="00F47941">
      <w:pPr>
        <w:pStyle w:val="NoSpacing"/>
        <w:spacing w:line="480" w:lineRule="auto"/>
        <w:rPr>
          <w:rFonts w:ascii="Times New Roman" w:hAnsi="Times New Roman" w:cs="Times New Roman"/>
        </w:rPr>
      </w:pPr>
      <w:r w:rsidRPr="00F23463">
        <w:rPr>
          <w:rFonts w:ascii="Times New Roman" w:hAnsi="Times New Roman" w:cs="Times New Roman"/>
        </w:rPr>
        <w:t xml:space="preserve">In England, it is estimated that over 10 million people currently consume alcohol at harmful levels—that is, at levels above the UK Chief Medical Officers ‘low risk’ drinking guidelines of 14 units of alcohol per week (1 UK unit = 8g of pure alcohol; </w:t>
      </w:r>
      <w:r w:rsidR="004474D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{"citationID":"zVTT2OuN","properties":{"formattedCitation":"(Office for Health Improvement and Disparities, 2022)","plainCitation":"(Office for Health Improvement and Disparities, 2022)","dontUpdate":true,"noteIndex":0},"citationItems":[{"id":977,"uris":["http://zotero.org/users/7873587/items/UXTGNTSJ"],"itemData":{"id":977,"type":"webpage","container-title":"GOV.UK","language":"en","title":"Alcohol: applying All Our Health","title-short":"Alcohol","URL":"https://www.gov.uk/government/publications/alcohol-applying-all-our-health/alcohol-applying-all-our-health","author":[{"literal":"Office for Health Improvement &amp; Disparities"}],"accessed":{"date-parts":[["2022",7,31]]},"issued":{"date-parts":[["2022"]]}}}],"schema":"https://github.com/citation-style-language/schema/raw/master/csl-citation.json"} </w:instrText>
      </w:r>
      <w:r w:rsidR="004474D3">
        <w:rPr>
          <w:rFonts w:ascii="Times New Roman" w:hAnsi="Times New Roman" w:cs="Times New Roman"/>
        </w:rPr>
        <w:fldChar w:fldCharType="separate"/>
      </w:r>
      <w:r w:rsidR="004474D3">
        <w:rPr>
          <w:rFonts w:ascii="Times New Roman" w:hAnsi="Times New Roman" w:cs="Times New Roman"/>
          <w:noProof/>
        </w:rPr>
        <w:t>Office for Health Improvement and Disparities, 2022)</w:t>
      </w:r>
      <w:r w:rsidR="004474D3">
        <w:rPr>
          <w:rFonts w:ascii="Times New Roman" w:hAnsi="Times New Roman" w:cs="Times New Roman"/>
        </w:rPr>
        <w:fldChar w:fldCharType="end"/>
      </w:r>
      <w:r w:rsidR="004474D3">
        <w:rPr>
          <w:rFonts w:ascii="Times New Roman" w:hAnsi="Times New Roman" w:cs="Times New Roman"/>
        </w:rPr>
        <w:t xml:space="preserve">. </w:t>
      </w:r>
      <w:r w:rsidRPr="00F23463">
        <w:rPr>
          <w:rFonts w:ascii="Times New Roman" w:hAnsi="Times New Roman" w:cs="Times New Roman"/>
        </w:rPr>
        <w:t xml:space="preserve">Furthermore, over 600,000 people are estimated to be dependent on alcohol </w:t>
      </w:r>
      <w:r w:rsidR="002431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{"citationID":"4IhE4zVx","properties":{"formattedCitation":"(Public Health England, 2021a)","plainCitation":"(Public Health England, 2021a)","noteIndex":0},"citationItems":[{"id":974,"uris":["http://zotero.org/users/7873587/items/PL8QMTND"],"itemData":{"id":974,"type":"webpage","abstract":"Estimates of the number of alcohol dependent adults in each local authority in England.","container-title":"GOV.UK","language":"en","title":"Alcohol dependence prevalence in England","URL":"https://www.gov.uk/government/publications/alcohol-dependence-prevalence-in-england","author":[{"literal":"Public Health England"}],"accessed":{"date-parts":[["2022",7,31]]},"issued":{"date-parts":[["2021"]]}}}],"schema":"https://github.com/citation-style-language/schema/raw/master/csl-citation.json"} </w:instrText>
      </w:r>
      <w:r w:rsidR="0024316D">
        <w:rPr>
          <w:rFonts w:ascii="Times New Roman" w:hAnsi="Times New Roman" w:cs="Times New Roman"/>
        </w:rPr>
        <w:fldChar w:fldCharType="separate"/>
      </w:r>
      <w:r w:rsidR="006F665B" w:rsidRPr="006F665B">
        <w:rPr>
          <w:rFonts w:ascii="Times New Roman" w:hAnsi="Times New Roman" w:cs="Times New Roman"/>
        </w:rPr>
        <w:t>(Public Health England, 2021a)</w:t>
      </w:r>
      <w:r w:rsidR="0024316D">
        <w:rPr>
          <w:rFonts w:ascii="Times New Roman" w:hAnsi="Times New Roman" w:cs="Times New Roman"/>
        </w:rPr>
        <w:fldChar w:fldCharType="end"/>
      </w:r>
      <w:r w:rsidR="0024316D">
        <w:rPr>
          <w:rFonts w:ascii="Times New Roman" w:hAnsi="Times New Roman" w:cs="Times New Roman"/>
        </w:rPr>
        <w:t xml:space="preserve">. </w:t>
      </w:r>
      <w:r w:rsidRPr="00F23463">
        <w:rPr>
          <w:rFonts w:ascii="Times New Roman" w:hAnsi="Times New Roman" w:cs="Times New Roman"/>
        </w:rPr>
        <w:t xml:space="preserve">These figures are concerning given the numerous health related outcomes of addiction both in the short-term and in the long-term. For example, in the short-term acute alcohol consumption causes impairments in working memory and response inhibition </w:t>
      </w:r>
      <w:r w:rsidR="002431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{"citationID":"UL5t7GKr","properties":{"formattedCitation":"(Zoethout et al., 2011)","plainCitation":"(Zoethout et al., 2011)","noteIndex":0},"citationItems":[{"id":973,"uris":["http://zotero.org/users/7873587/items/6K739MKN"],"itemData":{"id":973,"type":"article-journal","abstract":"The central nervous system (CNS) effects of acute alcohol administration have been frequently assessed. Such studies often use a wide range of methods to study each of these effects. Unfortunately, the sensitivity of these tests has not completely been ascertained. A literature search was performed to recognize the most useful tests (or biomarkers) for identifying the acute CNS effects of alcohol in healthy volunteers. All tests were grouped in clusters and functional domains. Afterwards, the effect of alcohol administration on these tests was scored as improvement, impairment or as no effect. Furthermore, dose–response relationships were established. A total number of 218 studies, describing 342 different tests (or test variants) were evaluated. Alcohol affected a wide range of CNS domains. Divided attention, focused attention, visuo-motor control and scales of feeling high and of subjective drug effects were identified as the most sensitive functional biomarkers for the acute CNS effects of alcohol. The large number of CNS tests that are used to determine the effects of alcohol interferes with the identification of the most sensitive ones and of drug–response relationships. Our results may be helpful in selecting rational biomarkers for studies investigating the acute CNS effects of alcohol or for future alcohol- interaction studies.","container-title":"British Journal of Clinical Pharmacology","DOI":"10.1111/j.1365-2125.2010.03846.x","ISSN":"0306-5251","issue":"3","journalAbbreviation":"Br J Clin Pharmacol","note":"PMID: 21284693\nPMCID: PMC3045543","page":"331-350","source":"PubMed Central","title":"Functional biomarkers for the acute effects of alcohol on the central nervous system in healthy volunteers","volume":"71","author":[{"family":"Zoethout","given":"Remco W M"},{"family":"Delgado","given":"Wilson L"},{"family":"Ippel","given":"Annelies E"},{"family":"Dahan","given":"Albert"},{"family":"Gerven","given":"Joop M A","non-dropping-particle":"van"}],"issued":{"date-parts":[["2011",3]]}}}],"schema":"https://github.com/citation-style-language/schema/raw/master/csl-citation.json"} </w:instrText>
      </w:r>
      <w:r w:rsidR="0024316D">
        <w:rPr>
          <w:rFonts w:ascii="Times New Roman" w:hAnsi="Times New Roman" w:cs="Times New Roman"/>
        </w:rPr>
        <w:fldChar w:fldCharType="separate"/>
      </w:r>
      <w:r w:rsidR="0024316D">
        <w:rPr>
          <w:rFonts w:ascii="Times New Roman" w:hAnsi="Times New Roman" w:cs="Times New Roman"/>
          <w:noProof/>
        </w:rPr>
        <w:t>(Zoethout et al., 2011)</w:t>
      </w:r>
      <w:r w:rsidR="0024316D">
        <w:rPr>
          <w:rFonts w:ascii="Times New Roman" w:hAnsi="Times New Roman" w:cs="Times New Roman"/>
        </w:rPr>
        <w:fldChar w:fldCharType="end"/>
      </w:r>
      <w:r w:rsidRPr="00F23463">
        <w:rPr>
          <w:rFonts w:ascii="Times New Roman" w:hAnsi="Times New Roman" w:cs="Times New Roman"/>
        </w:rPr>
        <w:t xml:space="preserve">. In the long-term alcohol use increases the risk of liver diseases, such as fatty liver, hepatitis, and cirrhosis </w:t>
      </w:r>
      <w:r w:rsidR="00B8382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{"citationID":"VHFnVZsG","properties":{"formattedCitation":"(Rehm et al., 2010; Roerecke et al., 2019; Sheron &amp; Gilmore, 2016; Simpson et al., 2019)","plainCitation":"(Rehm et al., 2010; Roerecke et al., 2019; Sheron &amp; Gilmore, 2016; Simpson et al., 2019)","noteIndex":0},"citationItems":[{"id":972,"uris":["http://zotero.org/users/7873587/items/R934UMDZ"],"itemData":{"id":972,"type":"article-journal","abstract":"INTRODUCTION AND AIMS: Alcohol is an established risk factor for liver cirrhosis. It remains unclear, however, whether this relationship follows a continuous dose-response pattern or has a threshold. Also, the influences of sex and end-point (i.e. mortality vs. morbidity) on the association are not known. To address these questions and to provide a quantitative assessment of the association between alcohol intake and risk of liver cirrhosis, we conducted a systematic review and meta-analysis of cohort and case-control studies.\nDESIGN AND METHODS: Studies were identified by a literature search of Ovid MEDLINE, EMBASE, Web of Science, CINAHL, PsychINFO, ETOH and Google Scholar from January 1980 to January 2008 and by searching the references of retrieved articles. Studies were included if quantifiable information on risk and related confidence intervals with respect to at least three different levels of average alcohol intake were reported. Both categorical and continuous meta-analytic techniques were used to model the dose-response relationship.\nRESULTS: Seventeen studies met the inclusion criteria. We found some indications for threshold effects. Alcohol consumption had a significantly larger impact on mortality of liver cirrhosis compared with morbidity. Also, the same amount of average consumption was related to a higher risk of liver cirrhosis in women than in men.\nDISCUSSION AND CONCLUSIONS: Overall, end-point was an important source of heterogeneity among study results. This result has important implications not only for studies in which the burden of disease attributable to alcohol consumption is estimated, but also for prevention.","container-title":"Drug and Alcohol Review","DOI":"10.1111/j.1465-3362.2009.00153.x","ISSN":"1465-3362","issue":"4","journalAbbreviation":"Drug Alcohol Rev","language":"eng","note":"PMID: 20636661","page":"437-445","source":"PubMed","title":"Alcohol as a risk factor for liver cirrhosis: a systematic review and meta-analysis","title-short":"Alcohol as a risk factor for liver cirrhosis","volume":"29","author":[{"family":"Rehm","given":"Jürgen"},{"family":"Taylor","given":"Benjamin"},{"family":"Mohapatra","given":"Satya"},{"family":"Irving","given":"Hyacinth"},{"family":"Baliunas","given":"Dolly"},{"family":"Patra","given":"Jayadeep"},{"family":"Roerecke","given":"Michael"}],"issued":{"date-parts":[["2010",7]]}},"label":"page"},{"id":971,"uris":["http://zotero.org/users/7873587/items/IML7KKFF"],"itemData":{"id":971,"type":"article-journal","abstract":"OBJECTIVES: To systematically summarize the risk relationship between different levels of alcohol consumption and incidence of liver cirrhosis.\nMETHODS: MEDLINE and Embase were searched up to March 6, 2019, to identify case-control and cohort studies with sex-specific results and more than 2 categories of drinking in relation to the incidence of liver cirrhosis. Study characteristics were extracted and random-effects meta-analyses and meta-regressions were conducted.\nRESULTS: A total of 7 cohort studies and 2 case-control studies met the inclusion criteria, providing data from 2,629,272 participants with 5,505 cases of liver cirrhosis. There was no increased risk for occasional drinkers. Consumption of one drink per day in comparison to long-term abstainers showed an increased risk for liver cirrhosis in women, but not in men. The risk for women was consistently higher compared to men. Drinking ≥5 drinks per day was associated with a substantially increased risk in both women (relative risk [RR] = 12.44, 95% confidence interval [CI]: 6.65-23.27 for 5-6 drinks, and RR = 24.58, 95% CI: 14.77-40.90 for ≥7 drinks) and men (RR = 3.80, 95% CI: 0.85-17.02, and RR = 6.93, 95% CI: 1.07-44.99, respectively). Heterogeneity across studies indicated an additional impact of other risk factors.\nDISCUSSION: Alcohol is a major risk factor for liver cirrhosis with risk increasing exponentially. Women may be at higher risk compared to men even with little alcohol consumption. More high-quality research is necessary to elucidate the role of other risk factors, such as genetic vulnerability, body weight, metabolic risk factors, and drinking patterns over the life course. High alcohol consumption should be avoided, and people drinking at high levels should receive interventions to reduce their intake.","container-title":"The American Journal of Gastroenterology","DOI":"10.14309/ajg.0000000000000340","ISSN":"1572-0241","issue":"10","journalAbbreviation":"Am J Gastroenterol","language":"eng","note":"PMID: 31464740\nPMCID: PMC6776700","page":"1574-1586","source":"PubMed","title":"Alcohol consumption and risk of liver cirrhosis: A systematic review and meta-analysis","title-short":"Alcohol Consumption and Risk of Liver Cirrhosis","volume":"114","author":[{"family":"Roerecke","given":"Michael"},{"family":"Vafaei","given":"Afshin"},{"family":"Hasan","given":"Omer S. M."},{"family":"Chrystoja","given":"Bethany R."},{"family":"Cruz","given":"Marcus"},{"family":"Lee","given":"Roy"},{"family":"Neuman","given":"Manuela G."},{"family":"Rehm","given":"Jürgen"}],"issued":{"date-parts":[["2019",10]]}},"label":"page"},{"id":969,"uris":["http://zotero.org/users/7873587/items/VJQZIN4S"],"itemData":{"id":969,"type":"article-journal","container-title":"BMJ","DOI":"10.1136/bmj.i1860","ISSN":"1756-1833","journalAbbreviation":"BMJ","language":"eng","note":"PMID: 27052417","page":"i1860","source":"PubMed","title":"Effect of policy, economics, and the changing alcohol marketplace on alcohol related deaths in England and Wales","volume":"353","author":[{"family":"Sheron","given":"Nick"},{"family":"Gilmore","given":"Ian"}],"issued":{"date-parts":[["2016",4,6]]}},"label":"page"},{"id":970,"uris":["http://zotero.org/users/7873587/items/9S3WQWYR"],"itemData":{"id":970,"type":"article-journal","container-title":"The Lancet Public Health","DOI":"10.1016/S2468-2667(18)30230-5","ISSN":"2468-2667","issue":"1","journalAbbreviation":"The Lancet Public Health","language":"English","note":"publisher: Elsevier\nPMID: 30472032","page":"e41-e48","source":"www.thelancet.com","title":"Alcohol drinking patterns and liver cirrhosis risk: analysis of the prospective UK Million Women Study","title-short":"Alcohol drinking patterns and liver cirrhosis risk","volume":"4","author":[{"family":"Simpson","given":"Rachel F."},{"family":"Hermon","given":"Carol"},{"family":"Liu","given":"Bette"},{"family":"Green","given":"Jane"},{"family":"Reeves","given":"Gillian K."},{"family":"Beral","given":"Valerie"},{"family":"Floud","given":"Sarah"}],"issued":{"date-parts":[["2019",1,1]]}},"label":"page"}],"schema":"https://github.com/citation-style-language/schema/raw/master/csl-citation.json"} </w:instrText>
      </w:r>
      <w:r w:rsidR="00B8382F">
        <w:rPr>
          <w:rFonts w:ascii="Times New Roman" w:hAnsi="Times New Roman" w:cs="Times New Roman"/>
        </w:rPr>
        <w:fldChar w:fldCharType="separate"/>
      </w:r>
      <w:r w:rsidR="00B8382F">
        <w:rPr>
          <w:rFonts w:ascii="Times New Roman" w:hAnsi="Times New Roman" w:cs="Times New Roman"/>
          <w:noProof/>
        </w:rPr>
        <w:t xml:space="preserve">(Rehm et al., </w:t>
      </w:r>
      <w:r w:rsidR="00B8382F">
        <w:rPr>
          <w:rFonts w:ascii="Times New Roman" w:hAnsi="Times New Roman" w:cs="Times New Roman"/>
          <w:noProof/>
        </w:rPr>
        <w:lastRenderedPageBreak/>
        <w:t>2010; Roerecke et al., 2019; Sheron &amp; Gilmore, 2016; Simpson et al., 2019)</w:t>
      </w:r>
      <w:r w:rsidR="00B8382F">
        <w:rPr>
          <w:rFonts w:ascii="Times New Roman" w:hAnsi="Times New Roman" w:cs="Times New Roman"/>
        </w:rPr>
        <w:fldChar w:fldCharType="end"/>
      </w:r>
      <w:r w:rsidRPr="00F23463">
        <w:rPr>
          <w:rFonts w:ascii="Times New Roman" w:hAnsi="Times New Roman" w:cs="Times New Roman"/>
        </w:rPr>
        <w:t xml:space="preserve">, respiratory problems </w:t>
      </w:r>
      <w:r w:rsidR="00696C61">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{"citationID":"02PrQ86w","properties":{"formattedCitation":"(Simou et al., 2018)","plainCitation":"(Simou et al., 2018)","noteIndex":0},"citationItems":[{"id":968,"uris":["http://zotero.org/users/7873587/items/RB67XZYL"],"itemData":{"id":968,"type":"article-journal","abstract":"BACKGROUND: To conduct a systematic review and meta-analysis evaluating the association between alcohol consumption and the risk of ARDS in adults.\nMETHODS: Medline, EMBASE and Web of Science were searched to identify observational studies evaluating the association between prior alcohol intake and the occurrence of ARDS among adults, published between 1985 and 2015 and with no language restriction. Reference lists were also screened. Demographic baseline data were extracted independently by two reviewers and random-effects meta-analyses were used to estimate pooled effect sizes with 95% confidence intervals. Subgroup analyses were used to explore heterogeneity.\nRESULTS: Seventeen observational studies (177,674 people) met the inclusion criteria. Meta-analysis of 13 studies showed that any measure of high relative to low alcohol consumption was associated with a significantly increased risk of ARDS (OR, 1.89; 95% CI, 1.45-2.48; I2 = 48%; 13 studies); no evidence of publication bias was seen (P = .150). Sensitivity analyses indicated that this association was attributable primarily to an effect of a history of alcohol abuse (OR, 1.90; 95% CI, 1.40-2.60; 10 studies). Also, subgroup analyses identified that heterogeneity was explained by predisposing condition (trauma, sepsis/septic shock, pneumonia; P = .003).\nCONCLUSIONS: Chronic high alcohol consumption significantly increases the risk of ARDS. This finding suggests that patients admitted to hospital should be screened for chronic alcohol use.","container-title":"Chest","DOI":"10.1016/j.chest.2017.11.041","ISSN":"1931-3543","issue":"1","journalAbbreviation":"Chest","language":"eng","note":"PMID: 29288645\nPMCID: PMC6045784","page":"58-68","source":"PubMed","title":"The effect of alcohol consumption on the risk of ARDS: A systematic review and meta-analysis","title-short":"The Effect of Alcohol Consumption on the Risk of ARDS","volume":"154","author":[{"family":"Simou","given":"Evangelia"},{"family":"Leonardi-Bee","given":"Jo"},{"family":"Britton","given":"John"}],"issued":{"date-parts":[["2018",7]]}}}],"schema":"https://github.com/citation-style-language/schema/raw/master/csl-citation.json"} </w:instrText>
      </w:r>
      <w:r w:rsidR="00696C61">
        <w:rPr>
          <w:rFonts w:ascii="Times New Roman" w:hAnsi="Times New Roman" w:cs="Times New Roman"/>
        </w:rPr>
        <w:fldChar w:fldCharType="separate"/>
      </w:r>
      <w:r w:rsidR="00696C61">
        <w:rPr>
          <w:rFonts w:ascii="Times New Roman" w:hAnsi="Times New Roman" w:cs="Times New Roman"/>
          <w:noProof/>
        </w:rPr>
        <w:t>(Simou et al., 2018)</w:t>
      </w:r>
      <w:r w:rsidR="00696C61">
        <w:rPr>
          <w:rFonts w:ascii="Times New Roman" w:hAnsi="Times New Roman" w:cs="Times New Roman"/>
        </w:rPr>
        <w:fldChar w:fldCharType="end"/>
      </w:r>
      <w:r w:rsidRPr="00F23463">
        <w:rPr>
          <w:rFonts w:ascii="Times New Roman" w:hAnsi="Times New Roman" w:cs="Times New Roman"/>
        </w:rPr>
        <w:t>, and various forms of cancer</w:t>
      </w:r>
      <w:r w:rsidR="001F5F10">
        <w:rPr>
          <w:rFonts w:ascii="Times New Roman" w:hAnsi="Times New Roman" w:cs="Times New Roman"/>
        </w:rPr>
        <w:t xml:space="preserve"> </w:t>
      </w:r>
      <w:r w:rsidR="001F5F10">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{"citationID":"GatzgbgC","properties":{"formattedCitation":"(Bagnardi et al., 2015; Rumgay et al., 2021)","plainCitation":"(Bagnardi et al., 2015; Rumgay et al., 2021)","noteIndex":0},"citationItems":[{"id":967,"uris":["http://zotero.org/users/7873587/items/ESZEI86S"],"itemData":{"id":967,"type":"article-journal","abstract":"Background:\nAlcohol is a risk factor for cancer of the oral cavity, pharynx, oesophagus, colorectum, liver, larynx and female breast, whereas its impact on other cancers remains controversial.\n\nMethods:\nWe investigated the effect of alcohol on 23 cancer types through a meta-analytic approach. We used dose–response meta-regression models and investigated potential sources of heterogeneity.\n\nResults:\nA total of 572 studies, including 486 538 cancer cases, were identified. Relative risks (RRs) for heavy drinkers compared with nondrinkers and occasional drinkers were 5.13 for oral and pharyngeal cancer, 4.95 for oesophageal squamous cell carcinoma, 1.44 for colorectal, 2.65 for laryngeal and 1.61 for breast cancer; for those neoplasms there was a clear dose–risk relationship. Heavy drinkers also had a significantly higher risk of cancer of the stomach (RR 1.21), liver (2.07), gallbladder (2.64), pancreas (1.19) and lung (1.15). There was indication of a positive association between alcohol consumption and risk of melanoma and prostate cancer. Alcohol consumption and risk of Hodgkin's and Non-Hodgkin's lymphomas were inversely associated.\n\nConclusions:\nAlcohol increases risk of cancer of oral cavity and pharynx, oesophagus, colorectum, liver, larynx and female breast. There is accumulating evidence that alcohol drinking is associated with some other cancers such as pancreas and prostate cancer and melanoma.","container-title":"British Journal of Cancer","DOI":"10.1038/bjc.2014.579","ISSN":"0007-0920","issue":"3","journalAbbreviation":"Br J Cancer","note":"PMID: 25422909\nPMCID: PMC4453639","page":"580-593","source":"PubMed Central","title":"Alcohol consumption and site-specific cancer risk: a comprehensive dose–response meta-analysis","title-short":"Alcohol consumption and site-specific cancer risk","volume":"112","author":[{"family":"Bagnardi","given":"V"},{"family":"Rota","given":"M"},{"family":"Botteri","given":"E"},{"family":"Tramacere","given":"I"},{"family":"Islami","given":"F"},{"family":"Fedirko","given":"V"},{"family":"Scotti","given":"L"},{"family":"Jenab","given":"M"},{"family":"Turati","given":"F"},{"family":"Pasquali","given":"E"},{"family":"Pelucchi","given":"C"},{"family":"Galeone","given":"C"},{"family":"Bellocco","given":"R"},{"family":"Negri","given":"E"},{"family":"Corrao","given":"G"},{"family":"Boffetta","given":"P"},{"family":"La Vecchia","given":"C"}],"issued":{"date-parts":[["2015",2,3]]}},"label":"page"},{"id":966,"uris":["http://zotero.org/users/7873587/items/JXZWSNQN"],"itemData":{"id":966,"type":"article-journal","container-title":"The Lancet Oncology","DOI":"10.1016/S1470-2045(21)00279-5","ISSN":"1470-2045, 1474-5488","issue":"8","journalAbbreviation":"The Lancet Oncology","language":"English","note":"publisher: Elsevier\nPMID: 34270924","page":"1071-1080","source":"www.thelancet.com","title":"Global burden of cancer in 2020 attributable to alcohol consumption: a population-based study","title-short":"Global burden of cancer in 2020 attributable to alcohol consumption","volume":"22","author":[{"family":"Rumgay","given":"Harriet"},{"family":"Shield","given":"Kevin"},{"family":"Charvat","given":"Hadrien"},{"family":"Ferrari","given":"Pietro"},{"family":"Sornpaisarn","given":"Bundit"},{"family":"Obot","given":"Isidore"},{"family":"Islami","given":"Farhad"},{"family":"Lemmens","given":"Valery E. P. P."},{"family":"Rehm","given":"Jürgen"},{"family":"Soerjomataram","given":"Isabelle"}],"issued":{"date-parts":[["2021",8,1]]}},"label":"page"}],"schema":"https://github.com/citation-style-language/schema/raw/master/csl-citation.json"} </w:instrText>
      </w:r>
      <w:r w:rsidR="001F5F10">
        <w:rPr>
          <w:rFonts w:ascii="Times New Roman" w:hAnsi="Times New Roman" w:cs="Times New Roman"/>
        </w:rPr>
        <w:fldChar w:fldCharType="separate"/>
      </w:r>
      <w:r w:rsidR="001F5F10">
        <w:rPr>
          <w:rFonts w:ascii="Times New Roman" w:hAnsi="Times New Roman" w:cs="Times New Roman"/>
          <w:noProof/>
        </w:rPr>
        <w:t>(Bagnardi et al., 2015; Rumgay et al., 2021)</w:t>
      </w:r>
      <w:r w:rsidR="001F5F10">
        <w:rPr>
          <w:rFonts w:ascii="Times New Roman" w:hAnsi="Times New Roman" w:cs="Times New Roman"/>
        </w:rPr>
        <w:fldChar w:fldCharType="end"/>
      </w:r>
      <w:r w:rsidRPr="00F23463">
        <w:rPr>
          <w:rFonts w:ascii="Times New Roman" w:hAnsi="Times New Roman" w:cs="Times New Roman"/>
        </w:rPr>
        <w:t xml:space="preserve">. These risks are dose-related: increased levels of alcohol consumption </w:t>
      </w:r>
      <w:r w:rsidR="0024316D">
        <w:rPr>
          <w:rFonts w:ascii="Times New Roman" w:hAnsi="Times New Roman" w:cs="Times New Roman"/>
        </w:rPr>
        <w:t xml:space="preserve">result in </w:t>
      </w:r>
      <w:r w:rsidRPr="00F23463">
        <w:rPr>
          <w:rFonts w:ascii="Times New Roman" w:hAnsi="Times New Roman" w:cs="Times New Roman"/>
        </w:rPr>
        <w:t xml:space="preserve">increased risk of ill health </w:t>
      </w:r>
      <w:r w:rsidR="001F5F10">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{"citationID":"vYPtJXOR","properties":{"formattedCitation":"(Hagstr\\uc0\\u246{}m et al., 2018; Sheron &amp; Gilmore, 2016; Simpson et al., 2019)","plainCitation":"(Hagström et al., 2018; Sheron &amp; Gilmore, 2016; Simpson et al., 2019)","noteIndex":0},"citationItems":[{"id":965,"uris":["http://zotero.org/users/7873587/items/QLDMEY5A"],"itemData":{"id":965,"type":"article-journal","abstract":"BACKGROUND &amp; AIMS: High alcohol consumption is associated with an increased risk of severe liver disease. Current recommendations suggest it is safe for men to consume 30 grams of alcohol per day. We investigated the association between alcohol consumption early in life and later development of severe liver disease.\nMETHODS: We used data on alcohol consumption at conscription to military service from 43,296 men (18-20 years) in Sweden between 1969 and 1970. Outcomes were defined as incident diagnoses of severe liver disease from systematic national registration of clinical events until the end of 2009. A Cox regression model adjusted for body mass index, smoking, use of narcotics, cognitive ability and cardiovascular capacity was applied.\nRESULTS: During a mean follow-up of 37.8 years, 383 men developed severe liver disease. Alcohol consumption was associated with an increased risk of development of severe liver disease in a dose-response pattern (adjusted hazard ratio for every one gram/day increase 1.02; 95% CI 1.01-1.02). No evidence of a threshold effect was found. Importantly, a clear trend pointed towards an increased risk of severe liver disease in men who consumed less than 30 grams of alcohol per day.\nCONCLUSION: Alcohol consumption in young men is associated with an increased risk of severe liver disease, up to 39 years later in life. The risk was dose-dependent, with no sign of a threshold effect. Current guidelines for safe alcohol intake in men might have to be revised.\nLAY SUMMARY: We investigated more than 43,000 Swedish men in their late teens enlisted for conscription in 1969-1970. After almost 40 years of follow-up, we found that alcohol consumption was a significant risk factor for developing severe liver disease, independent of confounders. This risk was dose-dependent, and was most pronounced in men consuming two drinks per day or more.","container-title":"Journal of Hepatology","DOI":"10.1016/j.jhep.2017.11.019","ISSN":"1600-0641","issue":"3","journalAbbreviation":"J Hepatol","language":"eng","note":"PMID: 29395457","page":"505-510","source":"PubMed","title":"Alcohol consumption in late adolescence is associated with an increased risk of severe liver disease later in life","volume":"68","author":[{"family":"Hagström","given":"Hannes"},{"family":"Hemmingsson","given":"Tomas"},{"family":"Discacciati","given":"Andrea"},{"family":"Andreasson","given":"Anna"}],"issued":{"date-parts":[["2018",3]]}},"label":"page"},{"id":969,"uris":["http://zotero.org/users/7873587/items/VJQZIN4S"],"itemData":{"id":969,"type":"article-journal","container-title":"BMJ","DOI":"10.1136/bmj.i1860","ISSN":"1756-1833","journalAbbreviation":"BMJ","language":"eng","note":"PMID: 27052417","page":"i1860","source":"PubMed","title":"Effect of policy, economics, and the changing alcohol marketplace on alcohol related deaths in England and Wales","volume":"353","author":[{"family":"Sheron","given":"Nick"},{"family":"Gilmore","given":"Ian"}],"issued":{"date-parts":[["2016",4,6]]}},"label":"page"},{"id":970,"uris":["http://zotero.org/users/7873587/items/9S3WQWYR"],"itemData":{"id":970,"type":"article-journal","container-title":"The Lancet Public Health","DOI":"10.1016/S2468-2667(18)30230-5","ISSN":"2468-2667","issue":"1","journalAbbreviation":"The Lancet Public Health","language":"English","note":"publisher: Elsevier\nPMID: 30472032","page":"e41-e48","source":"www.thelancet.com","title":"Alcohol drinking patterns and liver cirrhosis risk: analysis of the prospective UK Million Women Study","title-short":"Alcohol drinking patterns and liver cirrhosis risk","volume":"4","author":[{"family":"Simpson","given":"Rachel F."},{"family":"Hermon","given":"Carol"},{"family":"Liu","given":"Bette"},{"family":"Green","given":"Jane"},{"family":"Reeves","given":"Gillian K."},{"family":"Beral","given":"Valerie"},{"family":"Floud","given":"Sarah"}],"issued":{"date-parts":[["2019",1,1]]}},"label":"page"}],"schema":"https://github.com/citation-style-language/schema/raw/master/csl-citation.json"} </w:instrText>
      </w:r>
      <w:r w:rsidR="001F5F10">
        <w:rPr>
          <w:rFonts w:ascii="Times New Roman" w:hAnsi="Times New Roman" w:cs="Times New Roman"/>
        </w:rPr>
        <w:fldChar w:fldCharType="separate"/>
      </w:r>
      <w:r w:rsidR="001F5F10" w:rsidRPr="001F5F10">
        <w:rPr>
          <w:rFonts w:ascii="Times New Roman" w:hAnsi="Times New Roman" w:cs="Times New Roman"/>
        </w:rPr>
        <w:t>(Hagström et al., 2018; Sheron &amp; Gilmore, 2016; Simpson et al., 2019)</w:t>
      </w:r>
      <w:r w:rsidR="001F5F10">
        <w:rPr>
          <w:rFonts w:ascii="Times New Roman" w:hAnsi="Times New Roman" w:cs="Times New Roman"/>
        </w:rPr>
        <w:fldChar w:fldCharType="end"/>
      </w:r>
      <w:r w:rsidR="001F5F10">
        <w:rPr>
          <w:rFonts w:ascii="Times New Roman" w:hAnsi="Times New Roman" w:cs="Times New Roman"/>
        </w:rPr>
        <w:t xml:space="preserve">. </w:t>
      </w:r>
      <w:r w:rsidRPr="000A768D">
        <w:rPr>
          <w:rFonts w:ascii="Times New Roman" w:hAnsi="Times New Roman" w:cs="Times New Roman"/>
        </w:rPr>
        <w:t>During the year 201</w:t>
      </w:r>
      <w:r w:rsidR="000A768D" w:rsidRPr="000A768D">
        <w:rPr>
          <w:rFonts w:ascii="Times New Roman" w:hAnsi="Times New Roman" w:cs="Times New Roman"/>
        </w:rPr>
        <w:t>9</w:t>
      </w:r>
      <w:r w:rsidRPr="000A768D">
        <w:rPr>
          <w:rFonts w:ascii="Times New Roman" w:hAnsi="Times New Roman" w:cs="Times New Roman"/>
        </w:rPr>
        <w:t>-20</w:t>
      </w:r>
      <w:r w:rsidR="000A768D" w:rsidRPr="000A768D">
        <w:rPr>
          <w:rFonts w:ascii="Times New Roman" w:hAnsi="Times New Roman" w:cs="Times New Roman"/>
        </w:rPr>
        <w:t>20</w:t>
      </w:r>
      <w:r w:rsidRPr="00F23463">
        <w:rPr>
          <w:rFonts w:ascii="Times New Roman" w:hAnsi="Times New Roman" w:cs="Times New Roman"/>
        </w:rPr>
        <w:t xml:space="preserve">, there were </w:t>
      </w:r>
      <w:r w:rsidR="000A768D">
        <w:rPr>
          <w:rFonts w:ascii="Times New Roman" w:hAnsi="Times New Roman" w:cs="Times New Roman"/>
        </w:rPr>
        <w:t>280</w:t>
      </w:r>
      <w:r w:rsidRPr="00F23463">
        <w:rPr>
          <w:rFonts w:ascii="Times New Roman" w:hAnsi="Times New Roman" w:cs="Times New Roman"/>
        </w:rPr>
        <w:t xml:space="preserve">,000 hospital admissions, and </w:t>
      </w:r>
      <w:r w:rsidR="000A768D" w:rsidRPr="000A768D">
        <w:rPr>
          <w:rFonts w:ascii="Times New Roman" w:hAnsi="Times New Roman" w:cs="Times New Roman"/>
        </w:rPr>
        <w:t xml:space="preserve">6,985 </w:t>
      </w:r>
      <w:r w:rsidRPr="00F23463">
        <w:rPr>
          <w:rFonts w:ascii="Times New Roman" w:hAnsi="Times New Roman" w:cs="Times New Roman"/>
        </w:rPr>
        <w:t>deaths that were primarily due to alcohol consumption</w:t>
      </w:r>
      <w:r w:rsidR="008B4530">
        <w:rPr>
          <w:rFonts w:ascii="Times New Roman" w:hAnsi="Times New Roman" w:cs="Times New Roman"/>
        </w:rPr>
        <w:t xml:space="preserve"> </w:t>
      </w:r>
      <w:r w:rsidR="008B4530">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{"citationID":"LqZL5F8z","properties":{"formattedCitation":"(NHS Digital, 2022; Office for Health Improvement &amp; Disparities, 2021b)","plainCitation":"(NHS Digital, 2022; Office for Health Improvement &amp; Disparities, 2021b)","noteIndex":0},"citationItems":[{"id":1048,"uris":["http://zotero.org/users/7873587/items/5PYAIJSR"],"itemData":{"id":1048,"type":"webpage","abstract":"Prescriptions for drugs used to treat alcohol dependence; affordability of and expenditure on alcohol; alcohol-related hospital admissions; alcohol-specific deaths; drinking behaviours among adults and children; road casualties involving illegal alcohol levels.","container-title":"NHS Digital","language":"en","title":"Part 1: Alcohol-related hospital admissions","title-short":"Part 1","URL":"https://digital.nhs.uk/data-and-information/publications/statistical/statistics-on-alcohol/2021/part-1","author":[{"literal":"NHS Digital"}],"accessed":{"date-parts":[["2022",8,1]]},"issued":{"date-parts":[["2022"]]}},"label":"page"},{"id":1046,"uris":["http://zotero.org/users/7873587/items/W2NEAPB7"],"itemData":{"id":1046,"type":"webpage","container-title":"GOV.UK","language":"en","title":"Local Alcohol Profiles for England (LAPE): December 2021 update","title-short":"Local Alcohol Profiles for England","URL":"https://www.gov.uk/government/statistics/local-alcohol-profiles-for-england-lape-december-2021-update/local-alcohol-profiles-for-england-short-statistical-commentary-december-2021","author":[{"family":"Office for Health Improvement &amp; Disparities","given":""}],"accessed":{"date-parts":[["2022",8,1]]},"issued":{"date-parts":[["2021"]]}},"label":"page"}],"schema":"https://github.com/citation-style-language/schema/raw/master/csl-citation.json"} </w:instrText>
      </w:r>
      <w:r w:rsidR="008B4530">
        <w:rPr>
          <w:rFonts w:ascii="Times New Roman" w:hAnsi="Times New Roman" w:cs="Times New Roman"/>
        </w:rPr>
        <w:fldChar w:fldCharType="separate"/>
      </w:r>
      <w:r w:rsidR="00F47941" w:rsidRPr="00F47941">
        <w:rPr>
          <w:rFonts w:ascii="Times New Roman" w:hAnsi="Times New Roman" w:cs="Times New Roman"/>
        </w:rPr>
        <w:t>(NHS Digital, 2022; Office for Health Improvement &amp; Disparities, 2021b)</w:t>
      </w:r>
      <w:r w:rsidR="008B4530">
        <w:rPr>
          <w:rFonts w:ascii="Times New Roman" w:hAnsi="Times New Roman" w:cs="Times New Roman"/>
        </w:rPr>
        <w:fldChar w:fldCharType="end"/>
      </w:r>
      <w:r w:rsidR="008B4530">
        <w:rPr>
          <w:rFonts w:ascii="Times New Roman" w:hAnsi="Times New Roman" w:cs="Times New Roman"/>
        </w:rPr>
        <w:t>.</w:t>
      </w:r>
    </w:p>
    <w:p w14:paraId="011BD28C" w14:textId="77777777" w:rsidR="00B03BD7" w:rsidRPr="00F23463" w:rsidRDefault="00B03BD7" w:rsidP="00B03BD7">
      <w:pPr>
        <w:pStyle w:val="NoSpacing"/>
        <w:spacing w:line="480" w:lineRule="auto"/>
        <w:rPr>
          <w:rFonts w:ascii="Times New Roman" w:hAnsi="Times New Roman" w:cs="Times New Roman"/>
        </w:rPr>
      </w:pPr>
    </w:p>
    <w:p w14:paraId="22BD1500" w14:textId="4F47EE45" w:rsidR="000670EF" w:rsidRDefault="008A4FF5" w:rsidP="00493C57">
      <w:pPr>
        <w:pStyle w:val="NoSpacing"/>
        <w:spacing w:line="480" w:lineRule="auto"/>
        <w:rPr>
          <w:rFonts w:ascii="Times New Roman" w:hAnsi="Times New Roman" w:cs="Times New Roman"/>
        </w:rPr>
      </w:pPr>
      <w:r w:rsidRPr="00F23463">
        <w:rPr>
          <w:rFonts w:ascii="Times New Roman" w:hAnsi="Times New Roman" w:cs="Times New Roman"/>
        </w:rPr>
        <w:t xml:space="preserve">In England, it is estimated that 13.9% of adults (≥18 years old) are dependent tobacco smokers which equates to approximately 5 million people </w:t>
      </w:r>
      <w:r w:rsidR="00D74A0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{"citationID":"MvPJWmV8","properties":{"formattedCitation":"(Office for National Statistics, 2020)","plainCitation":"(Office for National Statistics, 2020)","noteIndex":0},"citationItems":[{"id":714,"uris":["http://zotero.org/users/7873587/items/E8HZBY3N"],"itemData":{"id":714,"type":"webpage","title":"Adult smoking habits in the UK: 2019","URL":"https://www.ons.gov.uk/peoplepopulationandcommunity/healthandsocialcare/healthandlifeexpectancies/bulletins/adultsmokinghabitsingreatbritain/2019","author":[{"literal":"Office for National Statistics"}],"issued":{"date-parts":[["2020"]]}}}],"schema":"https://github.com/citation-style-language/schema/raw/master/csl-citation.json"} </w:instrText>
      </w:r>
      <w:r w:rsidR="00D74A0A">
        <w:rPr>
          <w:rFonts w:ascii="Times New Roman" w:hAnsi="Times New Roman" w:cs="Times New Roman"/>
        </w:rPr>
        <w:fldChar w:fldCharType="separate"/>
      </w:r>
      <w:r w:rsidR="00D74A0A">
        <w:rPr>
          <w:rFonts w:ascii="Times New Roman" w:hAnsi="Times New Roman" w:cs="Times New Roman"/>
          <w:noProof/>
        </w:rPr>
        <w:t>(Office for National Statistics, 2020)</w:t>
      </w:r>
      <w:r w:rsidR="00D74A0A">
        <w:rPr>
          <w:rFonts w:ascii="Times New Roman" w:hAnsi="Times New Roman" w:cs="Times New Roman"/>
        </w:rPr>
        <w:fldChar w:fldCharType="end"/>
      </w:r>
      <w:r w:rsidR="00D74A0A">
        <w:rPr>
          <w:rFonts w:ascii="Times New Roman" w:hAnsi="Times New Roman" w:cs="Times New Roman"/>
        </w:rPr>
        <w:t>.</w:t>
      </w:r>
      <w:r w:rsidRPr="00F23463">
        <w:rPr>
          <w:rFonts w:ascii="Times New Roman" w:hAnsi="Times New Roman" w:cs="Times New Roman"/>
        </w:rPr>
        <w:t xml:space="preserve"> Tobacco smoking is one of the leading risk factors for many chronic illnesses including cardiovascular diseases </w:t>
      </w:r>
      <w:r w:rsidR="00580B04">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{"citationID":"KWwAr7l0","properties":{"formattedCitation":"(Banks et al., 2019; Benowitz &amp; Liakoni, 2022; Khan et al., 2021)","plainCitation":"(Banks et al., 2019; Benowitz &amp; Liakoni, 2022; Khan et al., 2021)","noteIndex":0},"citationItems":[{"id":963,"uris":["http://zotero.org/users/7873587/items/BP8N8AJN"],"itemData":{"id":963,"type":"article-journal","abstract":"Tobacco smoking is a leading cause of cardiovascular disease (CVD) morbidity and mortality. Evidence on the relation of smoking to different subtypes of CVD, across fatal and non-fatal outcomes, is limited.","container-title":"BMC Medicine","DOI":"10.1186/s12916-019-1351-4","ISSN":"1741-7015","issue":"1","journalAbbreviation":"BMC Medicine","page":"128","source":"BioMed Central","title":"Tobacco smoking and risk of 36 cardiovascular disease subtypes: fatal and non-fatal outcomes in a large prospective Australian study","title-short":"Tobacco smoking and risk of 36 cardiovascular disease subtypes","volume":"17","author":[{"family":"Banks","given":"Emily"},{"family":"Joshy","given":"Grace"},{"family":"Korda","given":"Rosemary J."},{"family":"Stavreski","given":"Bill"},{"family":"Soga","given":"Kay"},{"family":"Egger","given":"Sam"},{"family":"Day","given":"Cathy"},{"family":"Clarke","given":"Naomi E."},{"family":"Lewington","given":"Sarah"},{"family":"Lopez","given":"Alan D."}],"issued":{"date-parts":[["2019",7,3]]}},"label":"page"},{"id":1033,"uris":["http://zotero.org/users/7873587/items/973ATG7P"],"itemData":{"id":1033,"type":"article-journal","abstract":"This narrative review examines the impact of cigarette smoking and the use of other tobacco and nicotine products on cardiovascular disease. Smoking increases the incidence of both acute and chronic cardiovascular diseases, and the harmful effects are substantially and relatively quickly reversible after quitting. Recommended cessation treatment includes offering pharmacotherapy, counseling which should emphasize the rapid risk reduction that occurs after quitting and adequate follow-up contacts. Although most research on cardiovascular disease in relation to tobacco use has focused upon cigarette smoking, we also review available data related to other combustible tobacco products, smokeless tobacco, electronic nicotine delivery systems and second-hand smoke. We discuss the implications of smoking on clinical management of patients with heart disease and newer developments with potential relevance to treatment of such patients.","container-title":"Addiction","DOI":"10.1111/add.15703","ISSN":"1360-0443","issue":"4","language":"en","note":"_eprint: https://onlinelibrary.wiley.com/doi/pdf/10.1111/add.15703","page":"1128-1138","source":"Wiley Online Library","title":"Tobacco use disorder and cardiovascular health","volume":"117","author":[{"family":"Benowitz","given":"Neal L."},{"family":"Liakoni","given":"Evangelia"}],"issued":{"date-parts":[["2022"]]}},"label":"page"},{"id":1031,"uris":["http://zotero.org/users/7873587/items/72UFUAIG"],"itemData":{"id":1031,"type":"article-journal","abstract":"Background\n\nCigarette smoking is significantly associated with premature death related and not related to cardiovascular disease (CVD). Whether risk associated with smoking is similar across CVD subtypes and how this translates into years of life lost is not known.\n\nMethods and Results\n\nWe pooled and harmonized individual‐level data from 9 population‐based cohorts in the United States. All participants were free of clinical CVD at baseline with available data on current smoking status, covariates, and CVD outcomes. We examined the association between smoking status and total CVD and CVD subtypes, including fatal and nonfatal coronary heart disease, stroke, congestive heart failure, and other CVD deaths. We performed (1) modified Kaplan–Meier analysis to estimate long‐term risks, (2) adjusted competing Cox models to estimate joint cumulative risks for CVD or noncardiovascular death, and (3) Irwin’s restricted mean to estimate years lived free from and with CVD. Of 106 165 adults, 50.4% were women. Overall long‐term risks for CVD events were 46.0% (95% CI, 44.7–47.3) and 34.7% (95% CI, 33.3–36.0) in middle‐aged men and women, respectively. In middle‐aged men who reported smoking compared with those who did not smoke, competing hazard ratios (HRs) were higher for the first presentation being a fatal CVD event (HR, 1.79 [95% CI, 1.68–1.92]), with a similar pattern among women (HR,1.82 [95% CI, 1.68–1.98]). Smoking was associated with earlier CVD onset by 5.1 and 3.8 years in men and women. Similar patterns were observed in younger and older adults.\n\nConclusions\n\nCurrent smoking was associated with a fatal event as the first manifestation of clinical CVD.","container-title":"Journal of the American Heart Association","DOI":"10.1161/JAHA.121.021751","issue":"23","note":"publisher: American Heart Association","page":"e021751","source":"ahajournals.org (Atypon)","title":"Cigarette smoking and competing risks for fatal and nonfatal cardiovascular disease subtypes across the life course","volume":"10","author":[{"family":"Khan","given":"Sadiya S."},{"family":"Ning","given":"Hongyan"},{"family":"Sinha","given":"Arjun"},{"family":"Wilkins","given":"John"},{"family":"Allen","given":"Norrina B."},{"family":"Vu","given":"Thanh Huyen T."},{"family":"Berry","given":"Jarett D."},{"family":"Lloyd‐Jones","given":"Donald M."},{"family":"Sweis","given":"Ranya"}],"issued":{"date-parts":[["2021",12,7]]}},"label":"page"}],"schema":"https://github.com/citation-style-language/schema/raw/master/csl-citation.json"} </w:instrText>
      </w:r>
      <w:r w:rsidR="00580B04">
        <w:rPr>
          <w:rFonts w:ascii="Times New Roman" w:hAnsi="Times New Roman" w:cs="Times New Roman"/>
        </w:rPr>
        <w:fldChar w:fldCharType="separate"/>
      </w:r>
      <w:r w:rsidR="00580B04" w:rsidRPr="00580B04">
        <w:rPr>
          <w:rFonts w:ascii="Times New Roman" w:hAnsi="Times New Roman" w:cs="Times New Roman"/>
        </w:rPr>
        <w:t>(Banks et al., 2019; Benowitz &amp; Liakoni, 2022; Khan et al., 2021)</w:t>
      </w:r>
      <w:r w:rsidR="00580B04">
        <w:rPr>
          <w:rFonts w:ascii="Times New Roman" w:hAnsi="Times New Roman" w:cs="Times New Roman"/>
        </w:rPr>
        <w:fldChar w:fldCharType="end"/>
      </w:r>
      <w:r w:rsidRPr="00F23463">
        <w:rPr>
          <w:rFonts w:ascii="Times New Roman" w:hAnsi="Times New Roman" w:cs="Times New Roman"/>
        </w:rPr>
        <w:t xml:space="preserve">, respiratory conditions </w:t>
      </w:r>
      <w:r w:rsidR="000670E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{"citationID":"4ge59MUK","properties":{"formattedCitation":"(NHS Digital, 2020)","plainCitation":"(NHS Digital, 2020)","noteIndex":0},"citationItems":[{"id":1035,"uris":["http://zotero.org/users/7873587/items/WZH88Y5Z"],"itemData":{"id":1035,"type":"webpage","abstract":"Statistics on Smoking","container-title":"NHS Digital","language":"en","title":"Part 1: Smoking-related ill health and mortality","title-short":"Part 1","URL":"https://digital.nhs.uk/data-and-information/publications/statistical/statistics-on-smoking/statistics-on-smoking-england-2020/part-1-smoking-related-ill-health-and-mortality","author":[{"literal":"NHS Digital"}],"accessed":{"date-parts":[["2022",8,1]]},"issued":{"date-parts":[["2020"]]}}}],"schema":"https://github.com/citation-style-language/schema/raw/master/csl-citation.json"} </w:instrText>
      </w:r>
      <w:r w:rsidR="000670EF">
        <w:rPr>
          <w:rFonts w:ascii="Times New Roman" w:hAnsi="Times New Roman" w:cs="Times New Roman"/>
        </w:rPr>
        <w:fldChar w:fldCharType="separate"/>
      </w:r>
      <w:r w:rsidR="00B03BD7" w:rsidRPr="00B03BD7">
        <w:rPr>
          <w:rFonts w:ascii="Times New Roman" w:hAnsi="Times New Roman" w:cs="Times New Roman"/>
        </w:rPr>
        <w:t>(NHS Digital, 2020)</w:t>
      </w:r>
      <w:r w:rsidR="000670EF">
        <w:rPr>
          <w:rFonts w:ascii="Times New Roman" w:hAnsi="Times New Roman" w:cs="Times New Roman"/>
        </w:rPr>
        <w:fldChar w:fldCharType="end"/>
      </w:r>
      <w:r w:rsidRPr="00F23463">
        <w:rPr>
          <w:rFonts w:ascii="Times New Roman" w:hAnsi="Times New Roman" w:cs="Times New Roman"/>
        </w:rPr>
        <w:t xml:space="preserve">, and multiple forms of cancer </w:t>
      </w:r>
      <w:r w:rsidR="00094FCC">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{"citationID":"mMTyvF3t","properties":{"formattedCitation":"(Cancer Research UK, 2021; Lee et al., 2012; J. H. Lin et al., 2021)","plainCitation":"(Cancer Research UK, 2021; Lee et al., 2012; J. H. Lin et al., 2021)","dontUpdate":true,"noteIndex":0},"citationItems":[{"id":1041,"uris":["http://zotero.org/users/7873587/items/7B47BPA2"],"itemData":{"id":1041,"type":"webpage","abstract":"Chemicals in cigarette smoke cause lung cancer and at least 14 other cancer types. Stopping smoking completely is the best thing you can do for your health.","container-title":"Cancer Research UK","language":"en","title":"How does smoking cause cancer?","URL":"https://www.cancerresearchuk.org/about-cancer/causes-of-cancer/smoking-and-cancer/how-does-smoking-cause-cancer","author":[{"literal":"Cancer Research UK"}],"accessed":{"date-parts":[["2022",8,1]]},"issued":{"date-parts":[["2021"]]}},"label":"page"},{"id":1038,"uris":["http://zotero.org/users/7873587/items/CQVXYEIT"],"itemData":{"id":1038,"type":"article-journal","abstract":"Smoking is a known lung cancer cause, but no detailed quantitative systematic review exists. We summarize evidence for various indices.","container-title":"BMC Cancer","DOI":"10.1186/1471-2407-12-385","ISSN":"1471-2407","issue":"1","journalAbbreviation":"BMC Cancer","page":"385","source":"BioMed Central","title":"Systematic review with meta-analysis of the epidemiological evidence in the 1900s relating smoking to lung cancer","volume":"12","author":[{"family":"Lee","given":"Peter N."},{"family":"Forey","given":"Barbara A."},{"family":"Coombs","given":"Katharine J."}],"issued":{"date-parts":[["2012",9,3]]}},"label":"page"},{"id":1043,"uris":["http://zotero.org/users/7873587/items/698NV82B"],"itemData":{"id":1043,"type":"article-journal","abstract":"BACKGROUND: The role of smoking in nasopharyngeal carcinoma (NPC) remains uncertain, especially in endemic regions. We conducted an individual participant data (IPD) meta-analysis of prospective cohort studies to investigate the associations between smoking exposure and risk of NPC.\nMETHODS: We obtained individual participant data of 334 935 male participants from six eligible population-based cohorts in NPC-endemic regions, including two each in Guangzhou and Taiwan, and one each in Hong Kong and Singapore. We used one- and two-stage approaches IPD meta-analysis and Cox proportional hazard models to calculate hazard ratios (HRs) and 95% confidence intervals (CIs) of NPC for smoking exposure adjusting for age and drinking status.\nRESULTS: During 2 961 315 person-years of follow-up, 399 NPC evens were ascertained. Risks of NPC were higher in ever versus never smokers (HRone-stage = 1.32, 95% CI = 1.07-1.63, P = 0.0088; HRtwo-stage = 1.27, 1.01-1.60, 0.04). These positive associations appeared to be stronger in ever smokers who consumed 16+ cigarettes/day (HRone-stage = 1.67, 95% CI = 1.29-2.16, P = 0.0001), and in those who started smoking at age younger than 16 (2.16, 1.33-3.50, 0.0103), with dose-response relationships (P-values for trend = 0.0028 and 0.0103, respectively). Quitting (versus daily smoking) showed a small reduced risk (stopped for 5+ years: HRone-stage = 0.91, 95% CI = 0.60-1.39, P = 0.66; for former smokers: HRtwo-stage = 0.84, 0.61-1.14, 0.26).\nCONCLUSIONS: This first IPD meta-analysis from six prospective cohorts in endemic regions has provided robust observational evidence that smoking increased NPC risk in men. NPC should be added to the 12-16 cancer sites known to be tobacco-related cancers. Strong tobacco control policies, preventing young individuals from smoking, would reduce NPC risk in endemic regions.","container-title":"International Journal of Epidemiology","DOI":"10.1093/ije/dyab060","ISSN":"1464-3685","issue":"3","journalAbbreviation":"Int J Epidemiol","language":"eng","note":"PMID: 33787881\nPMCID: PMC8271191","page":"975-986","source":"PubMed","title":"Smoking and nasopharyngeal cancer: individual data meta-analysis of six prospective studies on 334 935 men","title-short":"Smoking and nasopharyngeal cancer","volume":"50","author":[{"family":"Lin","given":"Jia Huang"},{"family":"Wen","given":"Chi Pang"},{"family":"Jiang","given":"Chao Qiang"},{"family":"Yuan","given":"Jian-Min"},{"family":"Chen","given":"Chien Jen"},{"family":"Ho","given":"Sai Yin"},{"family":"Gao","given":"Wayne"},{"family":"Zhang","given":"Weisen"},{"family":"Wang","given":"Renwei"},{"family":"Chien","given":"Yin-Chu"},{"family":"Xu","given":"Lin"},{"family":"Wu","given":"Xifeng"},{"family":"Jin","given":"Ya Li"},{"family":"Koh","given":"Woon-Puay"},{"family":"Hsu","given":"Wan-Lun"},{"family":"Zhu","given":"Feng"},{"family":"Wen","given":"Christopher"},{"family":"Zhu","given":"Tong"},{"family":"Lee","given":"June Han"},{"family":"Mai","given":"Zhi-Ming"},{"family":"Lung","given":"Maria Li"},{"family":"Lam","given":"Tai-Hing"}],"issued":{"date-parts":[["2021",7,9]]}},"label":"page"}],"schema":"https://github.com/citation-style-language/schema/raw/master/csl-citation.json"} </w:instrText>
      </w:r>
      <w:r w:rsidR="00094FCC">
        <w:rPr>
          <w:rFonts w:ascii="Times New Roman" w:hAnsi="Times New Roman" w:cs="Times New Roman"/>
        </w:rPr>
        <w:fldChar w:fldCharType="separate"/>
      </w:r>
      <w:r w:rsidR="00493C57" w:rsidRPr="00493C57">
        <w:rPr>
          <w:rFonts w:ascii="Times New Roman" w:hAnsi="Times New Roman" w:cs="Times New Roman"/>
        </w:rPr>
        <w:t>(Cancer Research UK, 2021; Lee et al., 2012; Lin et al., 2021)</w:t>
      </w:r>
      <w:r w:rsidR="00094FCC">
        <w:rPr>
          <w:rFonts w:ascii="Times New Roman" w:hAnsi="Times New Roman" w:cs="Times New Roman"/>
        </w:rPr>
        <w:fldChar w:fldCharType="end"/>
      </w:r>
      <w:r w:rsidRPr="00F23463">
        <w:rPr>
          <w:rFonts w:ascii="Times New Roman" w:hAnsi="Times New Roman" w:cs="Times New Roman"/>
        </w:rPr>
        <w:t>. During the year 201</w:t>
      </w:r>
      <w:r w:rsidR="000670EF">
        <w:rPr>
          <w:rFonts w:ascii="Times New Roman" w:hAnsi="Times New Roman" w:cs="Times New Roman"/>
        </w:rPr>
        <w:t>9</w:t>
      </w:r>
      <w:r w:rsidRPr="00F23463">
        <w:rPr>
          <w:rFonts w:ascii="Times New Roman" w:hAnsi="Times New Roman" w:cs="Times New Roman"/>
        </w:rPr>
        <w:t>-20</w:t>
      </w:r>
      <w:r w:rsidR="000670EF">
        <w:rPr>
          <w:rFonts w:ascii="Times New Roman" w:hAnsi="Times New Roman" w:cs="Times New Roman"/>
        </w:rPr>
        <w:t>20</w:t>
      </w:r>
      <w:r w:rsidRPr="00F23463">
        <w:rPr>
          <w:rFonts w:ascii="Times New Roman" w:hAnsi="Times New Roman" w:cs="Times New Roman"/>
        </w:rPr>
        <w:t xml:space="preserve">, there were </w:t>
      </w:r>
      <w:r w:rsidR="000670EF">
        <w:rPr>
          <w:rFonts w:ascii="Times New Roman" w:hAnsi="Times New Roman" w:cs="Times New Roman"/>
        </w:rPr>
        <w:t>506</w:t>
      </w:r>
      <w:r w:rsidRPr="00F23463">
        <w:rPr>
          <w:rFonts w:ascii="Times New Roman" w:hAnsi="Times New Roman" w:cs="Times New Roman"/>
        </w:rPr>
        <w:t>,</w:t>
      </w:r>
      <w:r w:rsidR="000670EF">
        <w:rPr>
          <w:rFonts w:ascii="Times New Roman" w:hAnsi="Times New Roman" w:cs="Times New Roman"/>
        </w:rPr>
        <w:t>100</w:t>
      </w:r>
      <w:r w:rsidRPr="00F23463">
        <w:rPr>
          <w:rFonts w:ascii="Times New Roman" w:hAnsi="Times New Roman" w:cs="Times New Roman"/>
        </w:rPr>
        <w:t xml:space="preserve"> hospital admissions, and 7</w:t>
      </w:r>
      <w:r w:rsidR="000670EF">
        <w:rPr>
          <w:rFonts w:ascii="Times New Roman" w:hAnsi="Times New Roman" w:cs="Times New Roman"/>
        </w:rPr>
        <w:t>4</w:t>
      </w:r>
      <w:r w:rsidRPr="00F23463">
        <w:rPr>
          <w:rFonts w:ascii="Times New Roman" w:hAnsi="Times New Roman" w:cs="Times New Roman"/>
        </w:rPr>
        <w:t>,</w:t>
      </w:r>
      <w:r w:rsidR="000670EF">
        <w:rPr>
          <w:rFonts w:ascii="Times New Roman" w:hAnsi="Times New Roman" w:cs="Times New Roman"/>
        </w:rPr>
        <w:t>6</w:t>
      </w:r>
      <w:r w:rsidRPr="00F23463">
        <w:rPr>
          <w:rFonts w:ascii="Times New Roman" w:hAnsi="Times New Roman" w:cs="Times New Roman"/>
        </w:rPr>
        <w:t xml:space="preserve">00 deaths that were primarily due to tobacco smoking </w:t>
      </w:r>
      <w:r w:rsidR="000670E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{"citationID":"t1zofw7v","properties":{"formattedCitation":"(NHS Digital, 2020)","plainCitation":"(NHS Digital, 2020)","noteIndex":0},"citationItems":[{"id":1035,"uris":["http://zotero.org/users/7873587/items/WZH88Y5Z"],"itemData":{"id":1035,"type":"webpage","abstract":"Statistics on Smoking","container-title":"NHS Digital","language":"en","title":"Part 1: Smoking-related ill health and mortality","title-short":"Part 1","URL":"https://digital.nhs.uk/data-and-information/publications/statistical/statistics-on-smoking/statistics-on-smoking-england-2020/part-1-smoking-related-ill-health-and-mortality","author":[{"literal":"NHS Digital"}],"accessed":{"date-parts":[["2022",8,1]]},"issued":{"date-parts":[["2020"]]}}}],"schema":"https://github.com/citation-style-language/schema/raw/master/csl-citation.json"} </w:instrText>
      </w:r>
      <w:r w:rsidR="000670EF">
        <w:rPr>
          <w:rFonts w:ascii="Times New Roman" w:hAnsi="Times New Roman" w:cs="Times New Roman"/>
        </w:rPr>
        <w:fldChar w:fldCharType="separate"/>
      </w:r>
      <w:r w:rsidR="00B03BD7" w:rsidRPr="00B03BD7">
        <w:rPr>
          <w:rFonts w:ascii="Times New Roman" w:hAnsi="Times New Roman" w:cs="Times New Roman"/>
        </w:rPr>
        <w:t>(NHS Digital, 2020)</w:t>
      </w:r>
      <w:r w:rsidR="000670EF">
        <w:rPr>
          <w:rFonts w:ascii="Times New Roman" w:hAnsi="Times New Roman" w:cs="Times New Roman"/>
        </w:rPr>
        <w:fldChar w:fldCharType="end"/>
      </w:r>
      <w:r w:rsidR="000670EF">
        <w:rPr>
          <w:rFonts w:ascii="Times New Roman" w:hAnsi="Times New Roman" w:cs="Times New Roman"/>
        </w:rPr>
        <w:t>.</w:t>
      </w:r>
    </w:p>
    <w:p w14:paraId="5CDC8395" w14:textId="77777777" w:rsidR="008A4FF5" w:rsidRPr="00F23463" w:rsidRDefault="008A4FF5" w:rsidP="00AC0B06">
      <w:pPr>
        <w:pStyle w:val="NoSpacing"/>
        <w:spacing w:line="480" w:lineRule="auto"/>
        <w:rPr>
          <w:rFonts w:ascii="Times New Roman" w:hAnsi="Times New Roman" w:cs="Times New Roman"/>
        </w:rPr>
      </w:pPr>
    </w:p>
    <w:p w14:paraId="12B0DB86" w14:textId="2F3CAA1E" w:rsidR="008A4FF5" w:rsidRPr="00F23463" w:rsidRDefault="008A4FF5" w:rsidP="00AF0AD7">
      <w:pPr>
        <w:pStyle w:val="NoSpacing"/>
        <w:spacing w:line="480" w:lineRule="auto"/>
        <w:rPr>
          <w:rFonts w:ascii="Times New Roman" w:hAnsi="Times New Roman" w:cs="Times New Roman"/>
        </w:rPr>
      </w:pPr>
      <w:r w:rsidRPr="00F23463">
        <w:rPr>
          <w:rFonts w:ascii="Times New Roman" w:hAnsi="Times New Roman" w:cs="Times New Roman"/>
        </w:rPr>
        <w:t xml:space="preserve">Crucially, as well as physical health, addiction also has negative impacts on a person’s mental health </w:t>
      </w:r>
      <w:r w:rsidR="00831BD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{"citationID":"YjuH0Hc3","properties":{"formattedCitation":"(Jan\\uc0\\u233{}-Llopis &amp; Matytsina, 2006)","plainCitation":"(Jané-Llopis &amp; Matytsina, 2006)","noteIndex":0},"citationItems":[{"id":1050,"uris":["http://zotero.org/users/7873587/items/MB4YDNYP"],"itemData":{"id":1050,"type":"article-journal","abstract":"This paper reviews some major epidemiological studies undertaken in high-income countries during the last 15 years which have reported the prevalence of mental disorders and substance use disorders and their relationship. Comorbidity between mental and substance use disorders is highly prevalent across countries. In general, people with a substance use disorder had higher comorbid rates of mental disorders than vice versa, and people with illicit drug disorders had the highest rates of comorbid mental disorders. There is a strong direct association between the magnitude of comorbidity and the severity of substance use disorders. While causal pathways differ across substances and disorders, there is evidence that alcohol is a casual factor for depression, in some European countries up to 10% of male depression. Policies that reduce the use of substances are likely to reduce the prevalence of mental disorders. Treatment should be available in an integrated fashion for both mental and substance use disorders. There is a need to expand the evidence base on comorbidity, particularly in low-income countries.","container-title":"Drug and Alcohol Review","DOI":"10.1080/09595230600944461","ISSN":"0959-5236","issue":"6","journalAbbreviation":"Drug Alcohol Rev","language":"eng","note":"PMID: 17132571","page":"515-536","source":"PubMed","title":"Mental health and alcohol, drugs and tobacco: a review of the comorbidity between mental disorders and the use of alcohol, tobacco and illicit drugs","title-short":"Mental health and alcohol, drugs and tobacco","volume":"25","author":[{"family":"Jané-Llopis","given":"Eva"},{"family":"Matytsina","given":"Irina"}],"issued":{"date-parts":[["2006",11]]}}}],"schema":"https://github.com/citation-style-language/schema/raw/master/csl-citation.json"} </w:instrText>
      </w:r>
      <w:r w:rsidR="00831BD3">
        <w:rPr>
          <w:rFonts w:ascii="Times New Roman" w:hAnsi="Times New Roman" w:cs="Times New Roman"/>
        </w:rPr>
        <w:fldChar w:fldCharType="separate"/>
      </w:r>
      <w:r w:rsidR="00831BD3" w:rsidRPr="00831BD3">
        <w:rPr>
          <w:rFonts w:ascii="Times New Roman" w:hAnsi="Times New Roman" w:cs="Times New Roman"/>
        </w:rPr>
        <w:t>(Jané-Llopis &amp; Matytsina, 2006)</w:t>
      </w:r>
      <w:r w:rsidR="00831BD3">
        <w:rPr>
          <w:rFonts w:ascii="Times New Roman" w:hAnsi="Times New Roman" w:cs="Times New Roman"/>
        </w:rPr>
        <w:fldChar w:fldCharType="end"/>
      </w:r>
      <w:r w:rsidRPr="00F23463">
        <w:rPr>
          <w:rFonts w:ascii="Times New Roman" w:hAnsi="Times New Roman" w:cs="Times New Roman"/>
        </w:rPr>
        <w:t>. For example, alcohol use is positively associated with depression</w:t>
      </w:r>
      <w:r w:rsidR="000F7B5A">
        <w:rPr>
          <w:rFonts w:ascii="Times New Roman" w:hAnsi="Times New Roman" w:cs="Times New Roman"/>
        </w:rPr>
        <w:t xml:space="preserve"> </w:t>
      </w:r>
      <w:r w:rsidR="000F7B5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{"citationID":"aARUffOf","properties":{"formattedCitation":"(Boden &amp; Fergusson, 2011; Fergusson et al., 2009; Kessler et al., 1997)","plainCitation":"(Boden &amp; Fergusson, 2011; Fergusson et al., 2009; Kessler et al., 1997)","noteIndex":0},"citationItems":[{"id":1052,"uris":["http://zotero.org/users/7873587/items/B2PT5NCF"],"itemData":{"id":1052,"type":"article-journal","abstract":"Aims To examine the literature on the associations between alcohol use disorders (AUD) and major depression (MD), and to evaluate the evidence for the existence of a causal relationship between the disorders. Methods PsycInfo; PubMed; Embase; Scopus; ISI Web of Science database searches for studies pertaining to AUD and MD from the 1980 to the present. Random-effects models were used to derive estimates of the pooled adjusted odds ratios (AOR) for the links between AUD and MD among studies reporting an AOR. Results The analysis revealed that the presence of either disorder doubled the risks of the second disorder, with pooled AORs ranging from 2.00 to 2.09. Epidemiological data suggest that the linkages between the disorders cannot be accounted for fully by common factors that influence both AUD and MD, and that the disorders appear to be linked in a causal manner. Further evidence suggests that the most plausible causal association between AUD and MD is one in which AUD increases the risk of MD, rather than vice versa. Potential mechanisms underlying these causal linkages include neurophysiological and metabolic changes resulting from exposure to alcohol. The need for further research examining mechanisms of linkage, gender differences in associations between AUD and MD and classification issues was identified. Conclusions The current state of the literature suggests a causal linkage between alcohol use disorders and major depression, such that increasing involvement with alcohol increases risk of depression. Further research is needed in order to clarify the nature of this causal link, in order to develop effective intervention and treatment approaches.","container-title":"Addiction","DOI":"10.1111/j.1360-0443.2010.03351.x","ISSN":"1360-0443","issue":"5","language":"en","note":"_eprint: https://onlinelibrary.wiley.com/doi/pdf/10.1111/j.1360-0443.2010.03351.x","page":"906-914","source":"Wiley Online Library","title":"Alcohol and depression","volume":"106","author":[{"family":"Boden","given":"Joseph M."},{"family":"Fergusson","given":"David M."}],"issued":{"date-parts":[["2011"]]}},"label":"page"},{"id":1055,"uris":["http://zotero.org/users/7873587/items/NEFRKANI"],"itemData":{"id":1055,"type":"article-journal","abstract":"CONTEXT: There has been a great deal of research on the comorbidity between alcohol abuse or dependence (AAD) and major depression (MD). However, it is unclear whether AAD increases the risk of MD or vice versa.\nOBJECTIVE: To examine the associations between AAD and MD using fixed-effects modeling to control for confounding and using structural equation models to ascertain the direction of causality.\nDESIGN: Data were gathered during the course of the Christchurch Health and Development Study, a 25-year longitudinal study of a birth cohort of children from New Zealand (635 boys, 630 girls).\nSETTING: General community sample.\nPARTICIPANTS: The analysis was based on a sample of 1055 participants with available data on AAD and MD at ages 17 to 18, 20 to 21, and 24 to 25 years.\nMAIN OUTCOME MEASURES: Symptom criteria for AAD and MD from the DSM-IV at ages 17 to 18, 20 to 21, and 24 to 25 years as well as measures of life stress, cannabis use, other illicit drug use, affiliation with deviant peers, unemployment, partner substance use, and partner criminality at ages 17 to 18, 20 to 21, and 24 to 25 years.\nRESULTS: There were significant (P &lt; .001) pooled associations between AAD and MD. Controlling for confounding factors using conditional fixed-effects models and time-dynamic covariate factors reduced the magnitude of these associations, but they remained statistically significant. Structural equation modeling suggested that the best-fitting causal model was one in which AAD led to increased risk of MD.\nCONCLUSIONS: The findings suggest that the associations between AAD and MD were best explained by a causal model in which problems with alcohol led to increased risk of MD as opposed to a self-medication model in which MD led to increased risk of AAD.","container-title":"Archives of General Psychiatry","DOI":"10.1001/archgenpsychiatry.2008.543","ISSN":"1538-3636","issue":"3","journalAbbreviation":"Arch Gen Psychiatry","language":"eng","note":"PMID: 19255375","page":"260-266","source":"PubMed","title":"Tests of causal links between alcohol abuse or dependence and major depression","volume":"66","author":[{"family":"Fergusson","given":"David M."},{"family":"Boden","given":"Joseph M."},{"family":"Horwood","given":"L. John"}],"issued":{"date-parts":[["2009",3]]}},"label":"page"},{"id":1058,"uris":["http://zotero.org/users/7873587/items/P6726U87"],"itemData":{"id":1058,"type":"article-journal","abstract":"OBJECTIVE: To study patterns of co-occurrence of lifetime DSM-III-R alcohol disorders in a household sample.\nMETHODS: Data came from the National Comorbidity Survey (NCS), a nationally representative household survey. Diagnoses were based on a modified version of the Composite International Diagnostic Interview.\nRESULTS: Respondents with lifetime NCS/DSM-III-R alcohol abuse or dependence had a high probability of carrying at least 1 other lifetime NCS/DSM-III-R diagnosis. Retrospective reports have suggested that most lifetime co-occurring alcohol disorders begin at a later age than at least 1 other NCS/DSM-III-R disorder. Earlier disorders are generally stronger predictors of alcohol dependence than alcohol abuse and stronger among women than men. Lifetime co-occurrence is positively, but weakly, associated with the persistence of alcohol abuse among men and of alcohol dependence among both men and women.\nCONCLUSIONS: Caution is needed in interpreting the results due to the fact that diagnoses were made by nonclinicians and results are based on retrospective reports of the age at onset. Within the context of these limitations, though, these results show that alcohol abuse and dependence are often associated with other lifetime DSM-III-R disorders and suggest that, at least in recent cohorts, the alcohol use disorders are usually temporally secondary. Prospective data and data based on clinically confirmed diagnoses are needed to verify these findings.","container-title":"Archives of General Psychiatry","DOI":"10.1001/archpsyc.1997.01830160031005","ISSN":"0003-990X","issue":"4","journalAbbreviation":"Arch Gen Psychiatry","language":"eng","note":"PMID: 9107147","page":"313-321","source":"PubMed","title":"Lifetime co-occurrence of DSM-III-R alcohol abuse and dependence with other psychiatric disorders in the National Comorbidity Survey","volume":"54","author":[{"family":"Kessler","given":"R. C."},{"family":"Crum","given":"R. M."},{"family":"Warner","given":"L. A."},{"family":"Nelson","given":"C. B."},{"family":"Schulenberg","given":"J."},{"family":"Anthony","given":"J. C."}],"issued":{"date-parts":[["1997",4]]}},"label":"page"}],"schema":"https://github.com/citation-style-language/schema/raw/master/csl-citation.json"} </w:instrText>
      </w:r>
      <w:r w:rsidR="000F7B5A">
        <w:rPr>
          <w:rFonts w:ascii="Times New Roman" w:hAnsi="Times New Roman" w:cs="Times New Roman"/>
        </w:rPr>
        <w:fldChar w:fldCharType="separate"/>
      </w:r>
      <w:r w:rsidR="000F7B5A" w:rsidRPr="000F7B5A">
        <w:rPr>
          <w:rFonts w:ascii="Times New Roman" w:hAnsi="Times New Roman" w:cs="Times New Roman"/>
        </w:rPr>
        <w:t>(Boden &amp; Fergusson, 2011; Fergusson et al., 2009; Kessler et al., 1997)</w:t>
      </w:r>
      <w:r w:rsidR="000F7B5A">
        <w:rPr>
          <w:rFonts w:ascii="Times New Roman" w:hAnsi="Times New Roman" w:cs="Times New Roman"/>
        </w:rPr>
        <w:fldChar w:fldCharType="end"/>
      </w:r>
      <w:r w:rsidR="000F7B5A">
        <w:rPr>
          <w:rFonts w:ascii="Times New Roman" w:hAnsi="Times New Roman" w:cs="Times New Roman"/>
        </w:rPr>
        <w:t xml:space="preserve">. </w:t>
      </w:r>
      <w:r w:rsidRPr="00F23463">
        <w:rPr>
          <w:rFonts w:ascii="Times New Roman" w:hAnsi="Times New Roman" w:cs="Times New Roman"/>
        </w:rPr>
        <w:t xml:space="preserve">Furthermore, in alcohol-treatment settings, people with depressive symptoms have worse treatment outcomes than those in treatment without depressive symptoms </w:t>
      </w:r>
      <w:r w:rsidR="000F7B5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{"citationID":"KJG2ZIOv","properties":{"formattedCitation":"(Pettinati et al., 2013)","plainCitation":"(Pettinati et al., 2013)","noteIndex":0},"citationItems":[{"id":1060,"uris":["http://zotero.org/users/7873587/items/KK5KQMGR"],"itemData":{"id":1060,"type":"article-journal","abstract":"Mood and substance use disorders commonly co-occur, yet there is little evidence-based research to guide the pharmacologic management of these comorbid disorders. The authors review the existing empirical findings, some of which may call into question current clinical pharmacotherapy practices for treating co-occurring mood and substance use disorders. The authors also highlight knowledge gaps that can serve as a basis for future research. The specific mood disorders reviewed are bipolar and major depressive disorders (either one co-occurring with a substance use disorder). Overall, findings from the relatively small amount of available data indicate that pharmacotherapy for managing mood symptoms can be effective in patients with substance dependence, although results have not been consistent across all studies. Also, in most studies, medications for managing mood symptoms did not appear to have an impact on the substance use disorder. In a recent trial for comorbid major depression and alcohol dependence, combination treatment with a medication for depression and another for alcohol dependence was found to reduce depressive symptoms and excessive drinking simultaneously. However, research has only begun to address optimal pharmacologic management of co-occurring disorders. In addition, current clinical treatment for alcohol and drug dependence often excludes new pharmacotherapies approved by the U.S. Food and Drug Administration for treating certain types of addiction. With new data becoming available, it appears that we need to revisit current practice in the pharmacological management of co-occurring mood and substance use disorders.","container-title":"The American Journal of Psychiatry","DOI":"10.1176/appi.ajp.2012.12010112","ISSN":"1535-7228","issue":"1","journalAbbreviation":"Am J Psychiatry","language":"eng","note":"PMID: 23223834\nPMCID: PMC3595612","page":"23-30","source":"PubMed","title":"Current status of co-occurring mood and substance use disorders: a new therapeutic target","title-short":"Current status of co-occurring mood and substance use disorders","volume":"170","author":[{"family":"Pettinati","given":"Helen M."},{"family":"O'Brien","given":"Charles P."},{"family":"Dundon","given":"William D."}],"issued":{"date-parts":[["2013",1]]}}}],"schema":"https://github.com/citation-style-language/schema/raw/master/csl-citation.json"} </w:instrText>
      </w:r>
      <w:r w:rsidR="000F7B5A">
        <w:rPr>
          <w:rFonts w:ascii="Times New Roman" w:hAnsi="Times New Roman" w:cs="Times New Roman"/>
        </w:rPr>
        <w:fldChar w:fldCharType="separate"/>
      </w:r>
      <w:r w:rsidR="000F7B5A" w:rsidRPr="000F7B5A">
        <w:rPr>
          <w:rFonts w:ascii="Times New Roman" w:hAnsi="Times New Roman" w:cs="Times New Roman"/>
        </w:rPr>
        <w:t>(Pettinati et al., 2013)</w:t>
      </w:r>
      <w:r w:rsidR="000F7B5A">
        <w:rPr>
          <w:rFonts w:ascii="Times New Roman" w:hAnsi="Times New Roman" w:cs="Times New Roman"/>
        </w:rPr>
        <w:fldChar w:fldCharType="end"/>
      </w:r>
      <w:r w:rsidRPr="00F23463">
        <w:rPr>
          <w:rFonts w:ascii="Times New Roman" w:hAnsi="Times New Roman" w:cs="Times New Roman"/>
        </w:rPr>
        <w:t xml:space="preserve">. In England, a third of cigarettes smoked are by people with mental health conditions, with </w:t>
      </w:r>
      <w:r w:rsidR="000F7B5A">
        <w:rPr>
          <w:rFonts w:ascii="Times New Roman" w:hAnsi="Times New Roman" w:cs="Times New Roman"/>
        </w:rPr>
        <w:t>recent</w:t>
      </w:r>
      <w:r w:rsidRPr="00F23463">
        <w:rPr>
          <w:rFonts w:ascii="Times New Roman" w:hAnsi="Times New Roman" w:cs="Times New Roman"/>
        </w:rPr>
        <w:t xml:space="preserve"> statistics </w:t>
      </w:r>
      <w:r w:rsidR="000F7B5A">
        <w:rPr>
          <w:rFonts w:ascii="Times New Roman" w:hAnsi="Times New Roman" w:cs="Times New Roman"/>
        </w:rPr>
        <w:t>showing</w:t>
      </w:r>
      <w:r w:rsidRPr="00F23463">
        <w:rPr>
          <w:rFonts w:ascii="Times New Roman" w:hAnsi="Times New Roman" w:cs="Times New Roman"/>
        </w:rPr>
        <w:t xml:space="preserve"> that people with mental health conditions are at least twice as likely to smoke compared to the general population</w:t>
      </w:r>
      <w:r w:rsidR="000F7B5A">
        <w:rPr>
          <w:rFonts w:ascii="Times New Roman" w:hAnsi="Times New Roman" w:cs="Times New Roman"/>
        </w:rPr>
        <w:t xml:space="preserve"> </w:t>
      </w:r>
      <w:r w:rsidR="000F7B5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{"citationID":"KbAkJc6S","properties":{"formattedCitation":"(Public Health England, 2020)","plainCitation":"(Public Health England, 2020)","noteIndex":0},"citationItems":[{"id":1066,"uris":["http://zotero.org/users/7873587/items/TH8DQ79L"],"itemData":{"id":1066,"type":"webpage","container-title":"GOV.UK","language":"en","title":"Health matters: smoking and mental health","title-short":"Health matters","URL":"https://www.gov.uk/government/publications/health-matters-smoking-and-mental-health/health-matters-smoking-and-mental-health","author":[{"literal":"Public Health England"}],"accessed":{"date-parts":[["2022",8,1]]},"issued":{"date-parts":[["2020"]]}}}],"schema":"https://github.com/citation-style-language/schema/raw/master/csl-citation.json"} </w:instrText>
      </w:r>
      <w:r w:rsidR="000F7B5A">
        <w:rPr>
          <w:rFonts w:ascii="Times New Roman" w:hAnsi="Times New Roman" w:cs="Times New Roman"/>
        </w:rPr>
        <w:fldChar w:fldCharType="separate"/>
      </w:r>
      <w:r w:rsidR="00B316AF" w:rsidRPr="00B316AF">
        <w:rPr>
          <w:rFonts w:ascii="Times New Roman" w:hAnsi="Times New Roman" w:cs="Times New Roman"/>
        </w:rPr>
        <w:t xml:space="preserve">(Public Health England, </w:t>
      </w:r>
      <w:r w:rsidR="00B316AF" w:rsidRPr="00B316AF">
        <w:rPr>
          <w:rFonts w:ascii="Times New Roman" w:hAnsi="Times New Roman" w:cs="Times New Roman"/>
        </w:rPr>
        <w:lastRenderedPageBreak/>
        <w:t>2020)</w:t>
      </w:r>
      <w:r w:rsidR="000F7B5A">
        <w:rPr>
          <w:rFonts w:ascii="Times New Roman" w:hAnsi="Times New Roman" w:cs="Times New Roman"/>
        </w:rPr>
        <w:fldChar w:fldCharType="end"/>
      </w:r>
      <w:r w:rsidR="00B316AF">
        <w:rPr>
          <w:rFonts w:ascii="Times New Roman" w:hAnsi="Times New Roman" w:cs="Times New Roman"/>
        </w:rPr>
        <w:t>.</w:t>
      </w:r>
      <w:r w:rsidRPr="00F23463">
        <w:rPr>
          <w:rFonts w:ascii="Times New Roman" w:hAnsi="Times New Roman" w:cs="Times New Roman"/>
        </w:rPr>
        <w:t xml:space="preserve"> </w:t>
      </w:r>
      <w:r w:rsidR="00B316AF">
        <w:rPr>
          <w:rFonts w:ascii="Times New Roman" w:hAnsi="Times New Roman" w:cs="Times New Roman"/>
        </w:rPr>
        <w:t>I</w:t>
      </w:r>
      <w:r w:rsidRPr="00F23463">
        <w:rPr>
          <w:rFonts w:ascii="Times New Roman" w:hAnsi="Times New Roman" w:cs="Times New Roman"/>
        </w:rPr>
        <w:t xml:space="preserve">n both general populations and clinical populations, compared to people who smoke, smoking cessation is associated with significant improvements in mental health, such as levels of stress, anxiety, and depression </w:t>
      </w:r>
      <w:r w:rsidR="00B316AF">
        <w:rPr>
          <w:rFonts w:ascii="Times New Roman" w:hAnsi="Times New Roman" w:cs="Times New Roman"/>
        </w:rPr>
        <w:fldChar w:fldCharType="begin"/>
      </w:r>
      <w:r w:rsidR="00AF0AD7">
        <w:rPr>
          <w:rFonts w:ascii="Times New Roman" w:hAnsi="Times New Roman" w:cs="Times New Roman"/>
        </w:rPr>
        <w:instrText xml:space="preserve"> ADDIN ZOTERO_ITEM CSL_CITATION {"citationID":"cdL3rhc8","properties":{"formattedCitation":"(G. Taylor et al., 2014, 2021)","plainCitation":"(G. Taylor et al., 2014, 2021)","noteIndex":0},"citationItems":[{"id":1068,"uris":["http://zotero.org/users/7873587/items/9JCVU9PD"],"itemData":{"id":1068,"type":"article-journal","abstract":"Objective To investigate change in mental health after smoking cessation compared with continuing to smoke.\nDesign Systematic review and meta-analysis of observational studies.\nData sources Web of Science, Cochrane Central Register of Controlled Trials, Medline, Embase, and PsycINFO for relevant studies from inception to April 2012. Reference lists of included studies were hand searched, and authors were contacted when insufficient data were reported.\nEligibility criteria for selecting studies Longitudinal studies of adults that assessed mental health before smoking cessation and at least six weeks after cessation or baseline in healthy and clinical populations.\nResults 26 studies that assessed mental health with questionnaires designed to measure anxiety, depression, mixed anxiety and depression, psychological quality of life, positive affect, and stress were included. Follow-up mental health scores were measured between seven weeks and nine years after baseline. Anxiety, depression, mixed anxiety and depression, and stress significantly decreased between baseline and follow-up in quitters compared with continuing smokers: the standardised mean differences (95% confidence intervals) were anxiety −0.37 (95% confidence interval −0.70 to −0.03); depression −0.25 (−0.37 to −0.12); mixed anxiety and depression −0.31 (−0.47 to −0.14); stress −0.27 (−0.40 to −0.13). Both psychological quality of life and positive affect significantly increased between baseline and follow-up in quitters compared with continuing smokers 0.22 (0.09 to 0.36) and 0.40 (0.09 to 0.71), respectively). There was no evidence that the effect size differed between the general population and populations with physical or psychiatric disorders.\nConclusions Smoking cessation is associated with reduced depression, anxiety, and stress and improved positive mood and quality of life compared with continuing to smoke. The effect size seems as large for those with psychiatric disorders as those without. The effect sizes are equal or larger than those of antidepressant treatment for mood and anxiety disorders.","container-title":"BMJ","DOI":"10.1136/bmj.g1151","ISSN":"1756-1833","journalAbbreviation":"BMJ","language":"en","license":"© Taylor et al 2014.            This is an Open Access article distributed in accordance with the Creative Commons Attribution Non Commercial (CC BY-NC 3.0) license, which permits others to distribute, remix, adapt, build upon this work non-commercially, and license their derivative works on different terms, provided the original work is properly cited and the use is non-commercial. See: http://creativecommons.org/licenses/by-nc/3.0/.","note":"publisher: British Medical Journal Publishing Group\nsection: Research\nPMID: 24524926","page":"g1151","source":"www.bmj.com","title":"Change in mental health after smoking cessation: systematic review and meta-analysis","title-short":"Change in mental health after smoking cessation","volume":"348","author":[{"family":"Taylor","given":"Gemma"},{"family":"McNeill","given":"Ann"},{"family":"Girling","given":"Alan"},{"family":"Farley","given":"Amanda"},{"family":"Lindson-Hawley","given":"Nicola"},{"family":"Aveyard","given":"Paul"}],"issued":{"date-parts":[["2014",2,13]]}},"label":"page"},{"id":1071,"uris":["http://zotero.org/users/7873587/items/SH7KN645"],"itemData":{"id":1071,"type":"article-journal","container-title":"Cochrane Database of Systematic Reviews","DOI":"10.1002/14651858.CD013522.pub2","ISSN":"1465-1858","issue":"3","language":"en","note":"publisher: John Wiley &amp; Sons, Ltd","source":"www.cochranelibrary.com","title":"Smoking cessation for improving mental health","URL":"https://www.cochranelibrary.com/cdsr/doi/10.1002/14651858.CD013522.pub2/full","author":[{"family":"Taylor","given":"Gemma"},{"family":"Lindson","given":"Nicola"},{"family":"Farley","given":"Amanda"},{"family":"Leinberger-Jabari","given":"Andrea"},{"family":"Sawyer","given":"Katherine"},{"family":"Naudé","given":"Rebecca te Water"},{"family":"Theodoulou","given":"Annika"},{"family":"King","given":"Naomi"},{"family":"Burke","given":"Chloe"},{"family":"Aveyard","given":"Paul"}],"accessed":{"date-parts":[["2022",8,1]]},"issued":{"date-parts":[["2021"]]}},"label":"page"}],"schema":"https://github.com/citation-style-language/schema/raw/master/csl-citation.json"} </w:instrText>
      </w:r>
      <w:r w:rsidR="00B316AF">
        <w:rPr>
          <w:rFonts w:ascii="Times New Roman" w:hAnsi="Times New Roman" w:cs="Times New Roman"/>
        </w:rPr>
        <w:fldChar w:fldCharType="separate"/>
      </w:r>
      <w:r w:rsidR="00AF0AD7" w:rsidRPr="00AF0AD7">
        <w:rPr>
          <w:rFonts w:ascii="Times New Roman" w:hAnsi="Times New Roman" w:cs="Times New Roman"/>
        </w:rPr>
        <w:t>(Taylor et al., 2014, 2021)</w:t>
      </w:r>
      <w:r w:rsidR="00B316AF">
        <w:rPr>
          <w:rFonts w:ascii="Times New Roman" w:hAnsi="Times New Roman" w:cs="Times New Roman"/>
        </w:rPr>
        <w:fldChar w:fldCharType="end"/>
      </w:r>
      <w:r w:rsidR="00B316AF">
        <w:rPr>
          <w:rFonts w:ascii="Times New Roman" w:hAnsi="Times New Roman" w:cs="Times New Roman"/>
        </w:rPr>
        <w:t xml:space="preserve">. </w:t>
      </w:r>
      <w:r w:rsidRPr="00F23463">
        <w:rPr>
          <w:rFonts w:ascii="Times New Roman" w:hAnsi="Times New Roman" w:cs="Times New Roman"/>
        </w:rPr>
        <w:t xml:space="preserve">However, it is difficult to tease apart the causal direction between co-occurring mental health problems and addictive behaviours </w:t>
      </w:r>
      <w:r w:rsidR="00D079B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{"citationID":"AGOUzI2S","properties":{"formattedCitation":"(Puddephatt et al., 2021)","plainCitation":"(Puddephatt et al., 2021)","noteIndex":0},"citationItems":[{"id":1074,"uris":["http://zotero.org/users/7873587/items/VMB3Q8LI"],"itemData":{"id":1074,"type":"article-journal","abstract":"Background and Aims Research has shown that alcohol use and common mental disorders (CMDs) co-occur; however, little is known about how the global prevalence of alcohol use compares across different CMDs. We aimed to (i) report global associations of alcohol use (alcohol use disorder (AUD), binge drinking and consumption) comparing those with and without a CMD, (ii) examine how this differed among those with and without specific types of CMDs and (iii) examine how results may differ by study characteristics. Methods We used a systematic review and meta-analysis. Cross-sectional, cohort, prospective, longitudinal and case–control studies reporting the prevalence of alcohol use among those with and without a CMD in the general population were identified using PsycINFO, MEDLINE, PsyARTICLES, PubMed, Scopus and Web of Science until March 2020. Depression, anxiety and phobia were included as a CMD. Studies were included if they used a standardized measure of alcohol use. A random-effects meta-analysis was conducted to generate pooled prevalence and associations of AUD with CMD with 95% confidence intervals (CI). A narrative review is provided for binge drinking and alcohol consumption Results A total of 512 full-texts were reviewed, 51 included in our final review and 17 in our meta-analyses (n = 382 201). Individuals with a CMD had a twofold increase in the odds of reporting an AUD [odds ratio (OR) = 2.02, 95% CI = 1.72–2.36]. The odds of having an AUD were similar when stratified by the type of CMD (mood disorder: OR = 2.00, 95% CI = 1.62–2.47; anxiety/phobic disorder: OR = 1.94, 95% CI = 1.35–2.78). An analysis of study characteristics did not reveal any clear explanations for between-study heterogeneity (I2 &gt; 80%). There were no clear patterns for associations between having a CMD and binge drinking or alcohol consumption, respectively. Conclusions People with common mental disorders (depression, anxiety, phobia) are twice as likely to report an alcohol use disorder than people without common mental disorders.","container-title":"Addiction","DOI":"10.1111/add.15735","ISSN":"1360-0443","issue":"6","language":"en","note":"_eprint: https://onlinelibrary.wiley.com/doi/pdf/10.1111/add.15735","page":"1543-1572","source":"Wiley Online Library","title":"Associations of common mental disorder with alcohol use in the adult general population: a systematic review and meta-analysis","title-short":"Associations of common mental disorder with alcohol use in the adult general population","volume":"117","author":[{"family":"Puddephatt","given":"Jo-Anne"},{"family":"Irizar","given":"Patricia"},{"family":"Jones","given":"Andrew"},{"family":"Gage","given":"Suzanne H."},{"family":"Goodwin","given":"Laura"}],"issued":{"date-parts":[["2021"]]}}}],"schema":"https://github.com/citation-style-language/schema/raw/master/csl-citation.json"} </w:instrText>
      </w:r>
      <w:r w:rsidR="00D079B9">
        <w:rPr>
          <w:rFonts w:ascii="Times New Roman" w:hAnsi="Times New Roman" w:cs="Times New Roman"/>
        </w:rPr>
        <w:fldChar w:fldCharType="separate"/>
      </w:r>
      <w:r w:rsidR="00D079B9" w:rsidRPr="00D079B9">
        <w:rPr>
          <w:rFonts w:ascii="Times New Roman" w:hAnsi="Times New Roman" w:cs="Times New Roman"/>
        </w:rPr>
        <w:t>(Puddephatt et al., 2021)</w:t>
      </w:r>
      <w:r w:rsidR="00D079B9">
        <w:rPr>
          <w:rFonts w:ascii="Times New Roman" w:hAnsi="Times New Roman" w:cs="Times New Roman"/>
        </w:rPr>
        <w:fldChar w:fldCharType="end"/>
      </w:r>
      <w:r w:rsidR="00D079B9">
        <w:rPr>
          <w:rFonts w:ascii="Times New Roman" w:hAnsi="Times New Roman" w:cs="Times New Roman"/>
        </w:rPr>
        <w:t xml:space="preserve">. </w:t>
      </w:r>
      <w:r w:rsidRPr="00F23463">
        <w:rPr>
          <w:rFonts w:ascii="Times New Roman" w:hAnsi="Times New Roman" w:cs="Times New Roman"/>
        </w:rPr>
        <w:t xml:space="preserve">Therefore, it is less clear whether substance use </w:t>
      </w:r>
      <w:r w:rsidR="00D079B9">
        <w:rPr>
          <w:rFonts w:ascii="Times New Roman" w:hAnsi="Times New Roman" w:cs="Times New Roman"/>
        </w:rPr>
        <w:t>exacerbates</w:t>
      </w:r>
      <w:r w:rsidRPr="00F23463">
        <w:rPr>
          <w:rFonts w:ascii="Times New Roman" w:hAnsi="Times New Roman" w:cs="Times New Roman"/>
        </w:rPr>
        <w:t xml:space="preserve"> existing mental health condition</w:t>
      </w:r>
      <w:r w:rsidR="00D079B9">
        <w:rPr>
          <w:rFonts w:ascii="Times New Roman" w:hAnsi="Times New Roman" w:cs="Times New Roman"/>
        </w:rPr>
        <w:t>(s)</w:t>
      </w:r>
      <w:r w:rsidRPr="00F23463">
        <w:rPr>
          <w:rFonts w:ascii="Times New Roman" w:hAnsi="Times New Roman" w:cs="Times New Roman"/>
        </w:rPr>
        <w:t>, or whether existing mental health condition</w:t>
      </w:r>
      <w:r w:rsidR="00D079B9">
        <w:rPr>
          <w:rFonts w:ascii="Times New Roman" w:hAnsi="Times New Roman" w:cs="Times New Roman"/>
        </w:rPr>
        <w:t>(</w:t>
      </w:r>
      <w:r w:rsidRPr="00F23463">
        <w:rPr>
          <w:rFonts w:ascii="Times New Roman" w:hAnsi="Times New Roman" w:cs="Times New Roman"/>
        </w:rPr>
        <w:t>s</w:t>
      </w:r>
      <w:r w:rsidR="00D079B9">
        <w:rPr>
          <w:rFonts w:ascii="Times New Roman" w:hAnsi="Times New Roman" w:cs="Times New Roman"/>
        </w:rPr>
        <w:t>)</w:t>
      </w:r>
      <w:r w:rsidRPr="00F23463">
        <w:rPr>
          <w:rFonts w:ascii="Times New Roman" w:hAnsi="Times New Roman" w:cs="Times New Roman"/>
        </w:rPr>
        <w:t xml:space="preserve"> </w:t>
      </w:r>
      <w:r w:rsidR="00D079B9">
        <w:rPr>
          <w:rFonts w:ascii="Times New Roman" w:hAnsi="Times New Roman" w:cs="Times New Roman"/>
        </w:rPr>
        <w:t>arise from</w:t>
      </w:r>
      <w:r w:rsidRPr="00F23463">
        <w:rPr>
          <w:rFonts w:ascii="Times New Roman" w:hAnsi="Times New Roman" w:cs="Times New Roman"/>
        </w:rPr>
        <w:t xml:space="preserve"> substance use. </w:t>
      </w:r>
    </w:p>
    <w:p w14:paraId="25E268D7" w14:textId="77777777" w:rsidR="008A4FF5" w:rsidRPr="00F23463" w:rsidRDefault="008A4FF5" w:rsidP="00AC0B06">
      <w:pPr>
        <w:pStyle w:val="NoSpacing"/>
        <w:spacing w:line="480" w:lineRule="auto"/>
        <w:rPr>
          <w:rFonts w:ascii="Times New Roman" w:hAnsi="Times New Roman" w:cs="Times New Roman"/>
        </w:rPr>
      </w:pPr>
    </w:p>
    <w:p w14:paraId="26A5217A" w14:textId="7375F960" w:rsidR="008A4FF5" w:rsidRDefault="008A4FF5" w:rsidP="00DD2433">
      <w:pPr>
        <w:pStyle w:val="NoSpacing"/>
        <w:spacing w:line="480" w:lineRule="auto"/>
        <w:rPr>
          <w:rFonts w:ascii="Times New Roman" w:hAnsi="Times New Roman" w:cs="Times New Roman"/>
        </w:rPr>
      </w:pPr>
      <w:r w:rsidRPr="00F23463">
        <w:rPr>
          <w:rFonts w:ascii="Times New Roman" w:hAnsi="Times New Roman" w:cs="Times New Roman"/>
        </w:rPr>
        <w:t>In addition to being detrimental to the health of an individual, addiction also has adverse consequences to society as a whole. The estimated socioeconomic costs of alcohol consumption to society are £21 billion per year</w:t>
      </w:r>
      <w:r w:rsidR="00D079B9">
        <w:rPr>
          <w:rFonts w:ascii="Times New Roman" w:hAnsi="Times New Roman" w:cs="Times New Roman"/>
        </w:rPr>
        <w:t xml:space="preserve"> </w:t>
      </w:r>
      <w:r w:rsidR="00A01B2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{"citationID":"QWLmwpkO","properties":{"formattedCitation":"(Public Health England, 2016)","plainCitation":"(Public Health England, 2016)","noteIndex":0},"citationItems":[{"id":1076,"uris":["http://zotero.org/users/7873587/items/2B7Z5SW4"],"itemData":{"id":1076,"type":"webpage","container-title":"GOV.UK","language":"en","title":"Health matters: harmful drinking and alcohol dependence","title-short":"Health matters","URL":"https://www.gov.uk/government/publications/health-matters-harmful-drinking-and-alcohol-dependence/health-matters-harmful-drinking-and-alcohol-dependence","author":[{"literal":"Public Health England"}],"accessed":{"date-parts":[["2022",8,1]]},"issued":{"date-parts":[["2016"]]}}}],"schema":"https://github.com/citation-style-language/schema/raw/master/csl-citation.json"} </w:instrText>
      </w:r>
      <w:r w:rsidR="00A01B25">
        <w:rPr>
          <w:rFonts w:ascii="Times New Roman" w:hAnsi="Times New Roman" w:cs="Times New Roman"/>
        </w:rPr>
        <w:fldChar w:fldCharType="separate"/>
      </w:r>
      <w:r w:rsidR="00A01B25" w:rsidRPr="00A01B25">
        <w:rPr>
          <w:rFonts w:ascii="Times New Roman" w:hAnsi="Times New Roman" w:cs="Times New Roman"/>
        </w:rPr>
        <w:t>(Public Health England, 2016)</w:t>
      </w:r>
      <w:r w:rsidR="00A01B25">
        <w:rPr>
          <w:rFonts w:ascii="Times New Roman" w:hAnsi="Times New Roman" w:cs="Times New Roman"/>
        </w:rPr>
        <w:fldChar w:fldCharType="end"/>
      </w:r>
      <w:r w:rsidR="00A01B25">
        <w:rPr>
          <w:rFonts w:ascii="Times New Roman" w:hAnsi="Times New Roman" w:cs="Times New Roman"/>
        </w:rPr>
        <w:t xml:space="preserve">. </w:t>
      </w:r>
      <w:r w:rsidRPr="00F23463">
        <w:rPr>
          <w:rFonts w:ascii="Times New Roman" w:hAnsi="Times New Roman" w:cs="Times New Roman"/>
        </w:rPr>
        <w:t xml:space="preserve">A breakdown of this figure reveals that £11 billion is a result of crime (e.g., drink-driving and alcohol-related violence), £7 billion is a result of lost productivity to society (e.g., workdays lost through things such as hangovers), and £3.5 billion is direct to the </w:t>
      </w:r>
      <w:r w:rsidR="00A01B25">
        <w:rPr>
          <w:rFonts w:ascii="Times New Roman" w:hAnsi="Times New Roman" w:cs="Times New Roman"/>
        </w:rPr>
        <w:t>National Health Service</w:t>
      </w:r>
      <w:r w:rsidRPr="00F23463">
        <w:rPr>
          <w:rFonts w:ascii="Times New Roman" w:hAnsi="Times New Roman" w:cs="Times New Roman"/>
        </w:rPr>
        <w:t xml:space="preserve"> (</w:t>
      </w:r>
      <w:r w:rsidR="00A01B25">
        <w:rPr>
          <w:rFonts w:ascii="Times New Roman" w:hAnsi="Times New Roman" w:cs="Times New Roman"/>
        </w:rPr>
        <w:t xml:space="preserve">NHS; </w:t>
      </w:r>
      <w:r w:rsidR="00A01B2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{"citationID":"BexjlHTw","properties":{"formattedCitation":"(Public Health England, 2016)","plainCitation":"(Public Health England, 2016)","dontUpdate":true,"noteIndex":0},"citationItems":[{"id":1076,"uris":["http://zotero.org/users/7873587/items/2B7Z5SW4"],"itemData":{"id":1076,"type":"webpage","container-title":"GOV.UK","language":"en","title":"Health matters: harmful drinking and alcohol dependence","title-short":"Health matters","URL":"https://www.gov.uk/government/publications/health-matters-harmful-drinking-and-alcohol-dependence/health-matters-harmful-drinking-and-alcohol-dependence","author":[{"literal":"Public Health England"}],"accessed":{"date-parts":[["2022",8,1]]},"issued":{"date-parts":[["2016"]]}}}],"schema":"https://github.com/citation-style-language/schema/raw/master/csl-citation.json"} </w:instrText>
      </w:r>
      <w:r w:rsidR="00A01B25">
        <w:rPr>
          <w:rFonts w:ascii="Times New Roman" w:hAnsi="Times New Roman" w:cs="Times New Roman"/>
        </w:rPr>
        <w:fldChar w:fldCharType="separate"/>
      </w:r>
      <w:r w:rsidR="00A01B25" w:rsidRPr="00A01B25">
        <w:rPr>
          <w:rFonts w:ascii="Times New Roman" w:hAnsi="Times New Roman" w:cs="Times New Roman"/>
        </w:rPr>
        <w:t>Public Health England, 2016)</w:t>
      </w:r>
      <w:r w:rsidR="00A01B25">
        <w:rPr>
          <w:rFonts w:ascii="Times New Roman" w:hAnsi="Times New Roman" w:cs="Times New Roman"/>
        </w:rPr>
        <w:fldChar w:fldCharType="end"/>
      </w:r>
      <w:r w:rsidRPr="00F23463">
        <w:rPr>
          <w:rFonts w:ascii="Times New Roman" w:hAnsi="Times New Roman" w:cs="Times New Roman"/>
        </w:rPr>
        <w:t>. The cost of tobacco smoking to society is in excess of £1</w:t>
      </w:r>
      <w:r w:rsidR="00A01B25">
        <w:rPr>
          <w:rFonts w:ascii="Times New Roman" w:hAnsi="Times New Roman" w:cs="Times New Roman"/>
        </w:rPr>
        <w:t>4</w:t>
      </w:r>
      <w:r w:rsidRPr="00F23463">
        <w:rPr>
          <w:rFonts w:ascii="Times New Roman" w:hAnsi="Times New Roman" w:cs="Times New Roman"/>
        </w:rPr>
        <w:t xml:space="preserve"> billion per year, of which £2.</w:t>
      </w:r>
      <w:r w:rsidR="00A01B25">
        <w:rPr>
          <w:rFonts w:ascii="Times New Roman" w:hAnsi="Times New Roman" w:cs="Times New Roman"/>
        </w:rPr>
        <w:t>5</w:t>
      </w:r>
      <w:r w:rsidRPr="00F23463">
        <w:rPr>
          <w:rFonts w:ascii="Times New Roman" w:hAnsi="Times New Roman" w:cs="Times New Roman"/>
        </w:rPr>
        <w:t xml:space="preserve"> billion is direct to the NHS </w:t>
      </w:r>
      <w:r w:rsidR="00DD243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{"citationID":"kW1QRaYR","properties":{"formattedCitation":"(Public Health England, 2018)","plainCitation":"(Public Health England, 2018)","noteIndex":0},"citationItems":[{"id":1078,"uris":["http://zotero.org/users/7873587/items/N2FIS3PP"],"itemData":{"id":1078,"type":"webpage","container-title":"GOV.UK","language":"en","title":"Tobacco commissioning support: principles and indicators","title-short":"Tobacco commissioning support","URL":"https://www.gov.uk/government/publications/alcohol-drugs-and-tobacco-commissioning-support-pack/tobacco-commissioning-support-pack-2019-to-2020-principles-and-indicators","author":[{"literal":"Public Health England"}],"accessed":{"date-parts":[["2022",8,1]]},"issued":{"date-parts":[["2018"]]}}}],"schema":"https://github.com/citation-style-language/schema/raw/master/csl-citation.json"} </w:instrText>
      </w:r>
      <w:r w:rsidR="00DD2433">
        <w:rPr>
          <w:rFonts w:ascii="Times New Roman" w:hAnsi="Times New Roman" w:cs="Times New Roman"/>
        </w:rPr>
        <w:fldChar w:fldCharType="separate"/>
      </w:r>
      <w:r w:rsidR="00DD2433" w:rsidRPr="00DD2433">
        <w:rPr>
          <w:rFonts w:ascii="Times New Roman" w:hAnsi="Times New Roman" w:cs="Times New Roman"/>
        </w:rPr>
        <w:t>(Public Health England, 2018)</w:t>
      </w:r>
      <w:r w:rsidR="00DD2433">
        <w:rPr>
          <w:rFonts w:ascii="Times New Roman" w:hAnsi="Times New Roman" w:cs="Times New Roman"/>
        </w:rPr>
        <w:fldChar w:fldCharType="end"/>
      </w:r>
      <w:r w:rsidR="00DD2433">
        <w:rPr>
          <w:rFonts w:ascii="Times New Roman" w:hAnsi="Times New Roman" w:cs="Times New Roman"/>
        </w:rPr>
        <w:t>.</w:t>
      </w:r>
    </w:p>
    <w:p w14:paraId="06C83C55" w14:textId="77777777" w:rsidR="00D079B9" w:rsidRPr="00F23463" w:rsidRDefault="00D079B9" w:rsidP="00AC0B06">
      <w:pPr>
        <w:pStyle w:val="NoSpacing"/>
        <w:spacing w:line="480" w:lineRule="auto"/>
        <w:rPr>
          <w:rFonts w:ascii="Times New Roman" w:hAnsi="Times New Roman" w:cs="Times New Roman"/>
        </w:rPr>
      </w:pPr>
    </w:p>
    <w:p w14:paraId="28021F50" w14:textId="460AD8AF" w:rsidR="008A4FF5" w:rsidRPr="00F23463" w:rsidRDefault="008A4FF5" w:rsidP="00573078">
      <w:pPr>
        <w:pStyle w:val="Heading2"/>
      </w:pPr>
      <w:bookmarkStart w:id="57" w:name="_Toc109901456"/>
      <w:bookmarkStart w:id="58" w:name="_Toc109901929"/>
      <w:bookmarkStart w:id="59" w:name="_Toc109911322"/>
      <w:bookmarkStart w:id="60" w:name="_Toc110612725"/>
      <w:bookmarkStart w:id="61" w:name="_Toc110629035"/>
      <w:bookmarkStart w:id="62" w:name="_Toc110870943"/>
      <w:r w:rsidRPr="00F23463">
        <w:t>1.2</w:t>
      </w:r>
      <w:r w:rsidR="00174DF4" w:rsidRPr="00F23463">
        <w:t>.</w:t>
      </w:r>
      <w:r w:rsidRPr="00F23463">
        <w:t xml:space="preserve"> Addiction: Definitions and diagnosis</w:t>
      </w:r>
      <w:bookmarkEnd w:id="57"/>
      <w:bookmarkEnd w:id="58"/>
      <w:bookmarkEnd w:id="59"/>
      <w:bookmarkEnd w:id="60"/>
      <w:bookmarkEnd w:id="61"/>
      <w:bookmarkEnd w:id="62"/>
    </w:p>
    <w:p w14:paraId="7477F94E" w14:textId="3BC58010" w:rsidR="008A4FF5" w:rsidRPr="00F23463" w:rsidRDefault="008A4FF5" w:rsidP="00F13438">
      <w:pPr>
        <w:pStyle w:val="NoSpacing"/>
        <w:spacing w:line="480" w:lineRule="auto"/>
        <w:rPr>
          <w:rFonts w:ascii="Times New Roman" w:hAnsi="Times New Roman" w:cs="Times New Roman"/>
        </w:rPr>
      </w:pPr>
      <w:r w:rsidRPr="00F23463">
        <w:rPr>
          <w:rFonts w:ascii="Times New Roman" w:hAnsi="Times New Roman" w:cs="Times New Roman"/>
        </w:rPr>
        <w:t>The Diagnostic and Statistical Manual of Mental Disorders-5 (DSM-5) is a tool that is used to characterise individuals on the clinical severity of symptoms associated with substance-related behaviours such as alcohol consumption and tobacco smoking</w:t>
      </w:r>
      <w:r w:rsidR="00DD2433">
        <w:rPr>
          <w:rFonts w:ascii="Times New Roman" w:hAnsi="Times New Roman" w:cs="Times New Roman"/>
        </w:rPr>
        <w:t xml:space="preserve"> </w:t>
      </w:r>
      <w:r w:rsidR="00F134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{"citationID":"4lzwOkAi","properties":{"formattedCitation":"(American Psychiatric Association, 2013)","plainCitation":"(American Psychiatric Association, 2013)","noteIndex":0},"citationItems":[{"id":1080,"uris":["http://zotero.org/users/7873587/items/G5ULK25B"],"itemData":{"id":1080,"type":"book","abstract":"The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reserved)","collection-title":"Diagnostic and statistical manual of mental disorders: DSM-5™, 5th ed","edition":"5th","event-place":"Arlington, VA, US","ISBN":"978-0-89042-554-1","note":"DOI: 10.1176/appi.books.9780890425596","number-of-pages":"xliv, 947","publisher":"American Psychiatric Publishing, Inc.","publisher-place":"Arlington, VA, US","source":"APA PsycNet","title":"Diagnostic and statistical manual of mental disorders","title-short":"Diagnostic and statistical manual of mental disorders","author":[{"literal":"American Psychiatric Association"}],"issued":{"date-parts":[["2013"]]}}}],"schema":"https://github.com/citation-style-language/schema/raw/master/csl-citation.json"} </w:instrText>
      </w:r>
      <w:r w:rsidR="00F13438">
        <w:rPr>
          <w:rFonts w:ascii="Times New Roman" w:hAnsi="Times New Roman" w:cs="Times New Roman"/>
        </w:rPr>
        <w:fldChar w:fldCharType="separate"/>
      </w:r>
      <w:r w:rsidR="00F13438" w:rsidRPr="00F13438">
        <w:rPr>
          <w:rFonts w:ascii="Times New Roman" w:hAnsi="Times New Roman" w:cs="Times New Roman"/>
        </w:rPr>
        <w:t>(American Psychiatric Association, 2013)</w:t>
      </w:r>
      <w:r w:rsidR="00F13438">
        <w:rPr>
          <w:rFonts w:ascii="Times New Roman" w:hAnsi="Times New Roman" w:cs="Times New Roman"/>
        </w:rPr>
        <w:fldChar w:fldCharType="end"/>
      </w:r>
      <w:r w:rsidR="00F13438">
        <w:rPr>
          <w:rFonts w:ascii="Times New Roman" w:hAnsi="Times New Roman" w:cs="Times New Roman"/>
        </w:rPr>
        <w:t xml:space="preserve">. </w:t>
      </w:r>
      <w:r w:rsidRPr="00F23463">
        <w:rPr>
          <w:rFonts w:ascii="Times New Roman" w:hAnsi="Times New Roman" w:cs="Times New Roman"/>
        </w:rPr>
        <w:t xml:space="preserve">The DSM-IV was updated to the DSM-5 in 2013, accompanied by changes to how alcohol and smoking behaviours are classified </w:t>
      </w:r>
      <w:r w:rsidR="00F134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{"citationID":"R8Gf6BIA","properties":{"formattedCitation":"(Boness et al., 2021)","plainCitation":"(Boness et al., 2021)","noteIndex":0},"citationItems":[{"id":1082,"uris":["http://zotero.org/users/7873587/items/TSGKBBTK"],"itemData":{"id":1082,"type":"article-journal","abstract":"Modern nosologies (e.g., International Classification of Diseases, 11th edition [ICD-11], Diagnostic and Statistical Manual of Mental Disorders, 5th edition [DSM–5]) for alcohol use disorder (AUD) and dependence prioritize reliability and clinical presentation over etiology, resulting in a diagnosis that is not always strongly grounded in basic theory and research. Within these nosologies, DSM–5 AUD is treated as a discrete, largely categorical, but graded, phenomenon, which results in additional challenges (e.g., significant phenotypic heterogeneity). Efforts to increase the compatibility between AUD diagnosis and modern conceptualizations of alcohol dependence, which describe it as dimensional and partially overlapping with other psychopathology (e.g., other substance use disorders), will inspire a stronger scientific framework and strengthen AUD’s validity. We conducted a systematic review of 144 reviews to integrate addiction constructs and theories into a comprehensive framework to identify fundamental mechanisms implicated in AUD. The product of this effort was the Etiologic, Theory-based, Ontogenetic Hierarchical Framework (ETOH Framework) of AUD mechanisms, which outlines superdomains of cognitive control, reward, and negative valence and emotionality, each of which subsume narrower, hierarchically organized components. We also outline opponent processes and self-awareness as key moderators of AUD mechanisms. In contrast with other frameworks, we recommend an increased conceptual role for negative valence and compulsion in AUD. The ETOH framework serves as a critical step toward conceptualizations of AUD as dimensional and heterogeneous. It has the potential to improve AUD assessment and aid in the development of evidence-based diagnostic measures that focus on key mechanisms in AUD, consequently facilitating precision medicine. (PsycInfo Database Record (c) 2022 APA, all rights reserved)","container-title":"Psychological Bulletin","DOI":"10.1037/bul0000333","ISSN":"1939-1455","issue":"10","note":"publisher-place: US\npublisher: American Psychological Association","page":"1075-1123","source":"APA PsycNet","title":"The etiologic, theory-based, ontogenetic hierarchical framework of alcohol use disorder: A translational systematic review of reviews","title-short":"The etiologic, theory-based, ontogenetic hierarchical framework of alcohol use disorder","volume":"147","author":[{"family":"Boness","given":"Cassandra L."},{"family":"Watts","given":"Ashley L."},{"family":"Moeller","given":"Kimberly N."},{"family":"Sher","given":"Kenneth J."}],"issued":{"date-parts":[["2021"]]}}}],"schema":"https://github.com/citation-style-language/schema/raw/master/csl-citation.json"} </w:instrText>
      </w:r>
      <w:r w:rsidR="00F13438">
        <w:rPr>
          <w:rFonts w:ascii="Times New Roman" w:hAnsi="Times New Roman" w:cs="Times New Roman"/>
        </w:rPr>
        <w:fldChar w:fldCharType="separate"/>
      </w:r>
      <w:r w:rsidR="00F13438" w:rsidRPr="00F13438">
        <w:rPr>
          <w:rFonts w:ascii="Times New Roman" w:hAnsi="Times New Roman" w:cs="Times New Roman"/>
        </w:rPr>
        <w:t>(Boness et al., 2021)</w:t>
      </w:r>
      <w:r w:rsidR="00F13438">
        <w:rPr>
          <w:rFonts w:ascii="Times New Roman" w:hAnsi="Times New Roman" w:cs="Times New Roman"/>
        </w:rPr>
        <w:fldChar w:fldCharType="end"/>
      </w:r>
      <w:r w:rsidR="00F13438">
        <w:rPr>
          <w:rFonts w:ascii="Times New Roman" w:hAnsi="Times New Roman" w:cs="Times New Roman"/>
        </w:rPr>
        <w:t>.</w:t>
      </w:r>
      <w:r w:rsidRPr="00F23463">
        <w:rPr>
          <w:rFonts w:ascii="Times New Roman" w:hAnsi="Times New Roman" w:cs="Times New Roman"/>
        </w:rPr>
        <w:t xml:space="preserve"> </w:t>
      </w:r>
    </w:p>
    <w:p w14:paraId="39A41CD9" w14:textId="77777777" w:rsidR="008A4FF5" w:rsidRPr="00F23463" w:rsidRDefault="008A4FF5" w:rsidP="00AC0B06">
      <w:pPr>
        <w:pStyle w:val="NoSpacing"/>
        <w:spacing w:line="480" w:lineRule="auto"/>
        <w:rPr>
          <w:rFonts w:ascii="Times New Roman" w:hAnsi="Times New Roman" w:cs="Times New Roman"/>
        </w:rPr>
      </w:pPr>
    </w:p>
    <w:p w14:paraId="037DCCC8" w14:textId="01759571" w:rsidR="008A4FF5" w:rsidRDefault="008A4FF5" w:rsidP="00F13438">
      <w:pPr>
        <w:pStyle w:val="NoSpacing"/>
        <w:spacing w:line="480" w:lineRule="auto"/>
        <w:rPr>
          <w:rFonts w:ascii="Times New Roman" w:hAnsi="Times New Roman" w:cs="Times New Roman"/>
        </w:rPr>
      </w:pPr>
      <w:r w:rsidRPr="00F23463">
        <w:rPr>
          <w:rFonts w:ascii="Times New Roman" w:hAnsi="Times New Roman" w:cs="Times New Roman"/>
        </w:rPr>
        <w:lastRenderedPageBreak/>
        <w:t xml:space="preserve">In relation to the DSM-IV, individuals were categorised according to the severity of their symptoms associated with alcohol consumption, which ranged from alcohol abuse to alcohol dependence, with a clear distinction and specific criteria between the two. However, the DSM-5 upgraded this by changing the key label to alcohol use disorder (AUD) with mild, moderate, and severe sub-classifications depending on the number of criteria met. This was because although the dependence diagnosis had high test-retest reliability, the abuse diagnosis was much more variable, and did not always lead to dependence despite abuse often being viewed as a precursor (see </w:t>
      </w:r>
      <w:r w:rsidR="00F134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{"citationID":"pfU3Q6B3","properties":{"formattedCitation":"(Hasin et al., 2013)","plainCitation":"(Hasin et al., 2013)","dontUpdate":true,"noteIndex":0},"citationItems":[{"id":1086,"uris":["http://zotero.org/users/7873587/items/KX8L7DRH"],"itemData":{"id":1086,"type":"article-journal","abstract":"Since DSM-IV was published in 1994, its approach to substance use disorders has come under scrutiny. Strengths were identified (notably, reliability and validity of dependence), but concerns have also arisen. The DSM-5 Substance-Related Disorders Work Group considered these issues and recommended revisions for DSM-5. General concerns included whether to retain the division into two main disorders (dependence and abuse), whether substance use disorder criteria should be added or removed, and whether an appropriate substance use disorder severity indicator could be identified. Specific issues included possible addition of withdrawal syndromes for several substances, alignment of nicotine criteria with those for other substances, addition of biomarkers, and inclusion of nonsubstance, behavioral addictions.This article presents the major issues and evidence considered by the work group, which included literature reviews and extensive new data analyses. The work group recommendations for DSM-5 revisions included combining abuse and dependence criteria into a single substance use disorder based on consistent findings from over 200,000 study participants, dropping legal problems and adding craving as criteria, adding cannabis and caffeine withdrawal syndromes, aligning tobacco use disorder criteria with other substance use disorders, and moving gambling disorders to the chapter formerly reserved for substance-related disorders. The proposed changes overcome many problems, while further studies will be needed to address issues for which less data were available.","container-title":"The American Journal of Psychiatry","DOI":"10.1176/appi.ajp.2013.12060782","ISSN":"1535-7228","issue":"8","journalAbbreviation":"Am J Psychiatry","language":"eng","note":"PMID: 23903334\nPMCID: PMC3767415","page":"834-851","source":"PubMed","title":"DSM-5 criteria for substance use disorders: recommendations and rationale","title-short":"DSM-5 criteria for substance use disorders","volume":"170","author":[{"family":"Hasin","given":"Deborah S."},{"family":"O'Brien","given":"Charles P."},{"family":"Auriacombe","given":"Marc"},{"family":"Borges","given":"Guilherme"},{"family":"Bucholz","given":"Kathleen"},{"family":"Budney","given":"Alan"},{"family":"Compton","given":"Wilson M."},{"family":"Crowley","given":"Thomas"},{"family":"Ling","given":"Walter"},{"family":"Petry","given":"Nancy M."},{"family":"Schuckit","given":"Marc"},{"family":"Grant","given":"Bridget F."}],"issued":{"date-parts":[["2013",8]]}}}],"schema":"https://github.com/citation-style-language/schema/raw/master/csl-citation.json"} </w:instrText>
      </w:r>
      <w:r w:rsidR="00F13438">
        <w:rPr>
          <w:rFonts w:ascii="Times New Roman" w:hAnsi="Times New Roman" w:cs="Times New Roman"/>
        </w:rPr>
        <w:fldChar w:fldCharType="separate"/>
      </w:r>
      <w:r w:rsidR="00F13438" w:rsidRPr="00F13438">
        <w:rPr>
          <w:rFonts w:ascii="Times New Roman" w:hAnsi="Times New Roman" w:cs="Times New Roman"/>
        </w:rPr>
        <w:t>Hasin et al., 2013</w:t>
      </w:r>
      <w:r w:rsidR="00F13438">
        <w:rPr>
          <w:rFonts w:ascii="Times New Roman" w:hAnsi="Times New Roman" w:cs="Times New Roman"/>
        </w:rPr>
        <w:fldChar w:fldCharType="end"/>
      </w:r>
      <w:r w:rsidRPr="00F23463">
        <w:rPr>
          <w:rFonts w:ascii="Times New Roman" w:hAnsi="Times New Roman" w:cs="Times New Roman"/>
        </w:rPr>
        <w:t xml:space="preserve"> for a review). Furthermore, the distinction between abuse and dependence was arbitrary in nature: criteria for abuse were sometimes more severe than the criteria for dependence</w:t>
      </w:r>
      <w:r w:rsidR="00F13438">
        <w:rPr>
          <w:rFonts w:ascii="Times New Roman" w:hAnsi="Times New Roman" w:cs="Times New Roman"/>
        </w:rPr>
        <w:t xml:space="preserve"> </w:t>
      </w:r>
      <w:r w:rsidR="00F1343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{"citationID":"NDXOjq6f","properties":{"formattedCitation":"(Boness et al., 2021; Saha et al., 2007)","plainCitation":"(Boness et al., 2021; Saha et al., 2007)","noteIndex":0},"citationItems":[{"id":1082,"uris":["http://zotero.org/users/7873587/items/TSGKBBTK"],"itemData":{"id":1082,"type":"article-journal","abstract":"Modern nosologies (e.g., International Classification of Diseases, 11th edition [ICD-11], Diagnostic and Statistical Manual of Mental Disorders, 5th edition [DSM–5]) for alcohol use disorder (AUD) and dependence prioritize reliability and clinical presentation over etiology, resulting in a diagnosis that is not always strongly grounded in basic theory and research. Within these nosologies, DSM–5 AUD is treated as a discrete, largely categorical, but graded, phenomenon, which results in additional challenges (e.g., significant phenotypic heterogeneity). Efforts to increase the compatibility between AUD diagnosis and modern conceptualizations of alcohol dependence, which describe it as dimensional and partially overlapping with other psychopathology (e.g., other substance use disorders), will inspire a stronger scientific framework and strengthen AUD’s validity. We conducted a systematic review of 144 reviews to integrate addiction constructs and theories into a comprehensive framework to identify fundamental mechanisms implicated in AUD. The product of this effort was the Etiologic, Theory-based, Ontogenetic Hierarchical Framework (ETOH Framework) of AUD mechanisms, which outlines superdomains of cognitive control, reward, and negative valence and emotionality, each of which subsume narrower, hierarchically organized components. We also outline opponent processes and self-awareness as key moderators of AUD mechanisms. In contrast with other frameworks, we recommend an increased conceptual role for negative valence and compulsion in AUD. The ETOH framework serves as a critical step toward conceptualizations of AUD as dimensional and heterogeneous. It has the potential to improve AUD assessment and aid in the development of evidence-based diagnostic measures that focus on key mechanisms in AUD, consequently facilitating precision medicine. (PsycInfo Database Record (c) 2022 APA, all rights reserved)","container-title":"Psychological Bulletin","DOI":"10.1037/bul0000333","ISSN":"1939-1455","issue":"10","note":"publisher-place: US\npublisher: American Psychological Association","page":"1075-1123","source":"APA PsycNet","title":"The etiologic, theory-based, ontogenetic hierarchical framework of alcohol use disorder: A translational systematic review of reviews","title-short":"The etiologic, theory-based, ontogenetic hierarchical framework of alcohol use disorder","volume":"147","author":[{"family":"Boness","given":"Cassandra L."},{"family":"Watts","given":"Ashley L."},{"family":"Moeller","given":"Kimberly N."},{"family":"Sher","given":"Kenneth J."}],"issued":{"date-parts":[["2021"]]}},"label":"act"},{"id":1089,"uris":["http://zotero.org/users/7873587/items/CIPG2JAJ"],"itemData":{"id":1089,"type":"article-journal","abstract":"Background\nItem response theory (IRT) was used to determine whether DSM-IV alcohol abuse and dependence and consumption criteria were arrayed along a continuum of severity.\n\nMethods\nData came from a large, nationally representative sample of the U.S. adult population.\n\nResults\nDSM-IV alcohol abuse and dependence criteria formed a continuum of alcohol use disorder severity along with the drinking 5+/4+ at least once a week in the past year criterion. Criteria were invariant across sex, race-ethnicity, and age subgroups.\n\nConclusion\nThe drinking 5+/4+ high-risk drinking pattern was identified as a suitable criterion for future classifications of DSM-IV alcohol use disorder. Some dependence criteria were among the least severe criteria, and some abuse criteria were among the most severe, findings that question the validity of DSM-IV abuse and dependence categories as distinct entities and that do not support the assumption of abuse as prodromal to dependence. Physical dependence and addiction were identified as defining elements of the continuum. Further research examining their dimensional properties and relationships to high-risk drinking patterns appears warranted. An approach highlighting a more important role of consumption in future classifications of alcohol use disorder defined broadly to encompass all alcohol-related harm, including addiction and physical dependence is discussed.","container-title":"Drug and alcohol dependence","DOI":"10.1016/j.drugalcdep.2006.12.003","ISSN":"0376-8716","issue":"1","journalAbbreviation":"Drug Alcohol Depend","note":"PMID: 17240085\nPMCID: PMC2727876","page":"82-92","source":"PubMed Central","title":"The role of alcohol consumption in future classifications of alcohol use disorders","volume":"89","author":[{"family":"Saha","given":"Tulshi D."},{"family":"Stinson","given":"Frederick S."},{"family":"Grant","given":"Bridget F."}],"issued":{"date-parts":[["2007",6,15]]}},"label":"page"}],"schema":"https://github.com/citation-style-language/schema/raw/master/csl-citation.json"} </w:instrText>
      </w:r>
      <w:r w:rsidR="00F13438">
        <w:rPr>
          <w:rFonts w:ascii="Times New Roman" w:hAnsi="Times New Roman" w:cs="Times New Roman"/>
        </w:rPr>
        <w:fldChar w:fldCharType="separate"/>
      </w:r>
      <w:r w:rsidR="00F13438" w:rsidRPr="00F13438">
        <w:rPr>
          <w:rFonts w:ascii="Times New Roman" w:hAnsi="Times New Roman" w:cs="Times New Roman"/>
        </w:rPr>
        <w:t>(Boness et al., 2021; Saha et al., 2007)</w:t>
      </w:r>
      <w:r w:rsidR="00F13438">
        <w:rPr>
          <w:rFonts w:ascii="Times New Roman" w:hAnsi="Times New Roman" w:cs="Times New Roman"/>
        </w:rPr>
        <w:fldChar w:fldCharType="end"/>
      </w:r>
      <w:r w:rsidR="00F13438">
        <w:rPr>
          <w:rFonts w:ascii="Times New Roman" w:hAnsi="Times New Roman" w:cs="Times New Roman"/>
        </w:rPr>
        <w:t xml:space="preserve">. </w:t>
      </w:r>
      <w:r w:rsidRPr="00F23463">
        <w:rPr>
          <w:rFonts w:ascii="Times New Roman" w:hAnsi="Times New Roman" w:cs="Times New Roman"/>
        </w:rPr>
        <w:t xml:space="preserve">Research is in support of a continuum model of AUD, demonstrating that dependence and abuse form a single factor and therefore exist on a single dimension </w:t>
      </w:r>
      <w:r w:rsidR="00F134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{"citationID":"gOsxItPw","properties":{"formattedCitation":"(Hasin et al., 2012, 2013)","plainCitation":"(Hasin et al., 2012, 2013)","noteIndex":0},"citationItems":[{"id":1092,"uris":["http://zotero.org/users/7873587/items/NL5HVGKA"],"itemData":{"id":1092,"type":"article-journal","abstract":"Background\nA number of changes have been proposed and investigated in the criteria for substance use disorders in DSM-5. However, although clinical utility of DSM-5 is a high priority, relatively little of the empirical evidence supporting the changes was obtained from samples of substance abuse patients.\nMethods\nProposed changes were examined in 663 patients in treatment for substance use disorders, evaluated by experienced clinicians using the Psychiatric Research Interview for Substance and Mental Disorders (PRISM). Factor and item response theory analysis was used to investigate the dimensionality and psychometric properties of alcohol, cannabis, cocaine and heroin abuse and dependence criteria, and craving.\nResults\nThe seven dependence criteria, three of the abuse criteria (hazardous use; social/interpersonal problems related to use; neglect of roles to use), and craving form a unidimensional latent trait for alcohol, cannabis, cocaine and heroin. Craving did not add significantly to the total information offered by the dependence criteria, but adding the three abuse criteria and craving together did significantly increase total information for the criteria sets associated with alcohol, cannabis and heroin.\nConclusion\nAmong adult patients in treatment for substance disorders, the alcohol, cannabis, cocaine and heroin criteria for dependence, abuse (with the exception of legal problems), and craving measure a single underlying dimension. Results support the proposal to combine abuse and dependence into a single diagnosis in the DSM-5, omitting legal problems. Mixed support was provided for the addition of craving as a new criterion, warranting future studies of this important construct in substance use disorders.","container-title":"Drug and Alcohol Dependence","DOI":"10.1016/j.drugalcdep.2011.09.005","ISSN":"0376-8716","issue":"1","journalAbbreviation":"Drug and Alcohol Dependence","language":"en","page":"28-37","source":"ScienceDirect","title":"Analyses related to the development of DSM-5 criteria for substance use related disorders: 2. Proposed DSM-5 criteria for alcohol, cannabis, cocaine and heroin disorders in 663 substance abuse patients","title-short":"Analyses related to the development of DSM-5 criteria for substance use related disorders","volume":"122","author":[{"family":"Hasin","given":"Deborah S."},{"family":"Fenton","given":"Miriam C."},{"family":"Beseler","given":"Cheryl"},{"family":"Park","given":"Jung Yeon"},{"family":"Wall","given":"Melanie M."}],"issued":{"date-parts":[["2012",4,1]]}},"label":"page"},{"id":1086,"uris":["http://zotero.org/users/7873587/items/KX8L7DRH"],"itemData":{"id":1086,"type":"article-journal","abstract":"Since DSM-IV was published in 1994, its approach to substance use disorders has come under scrutiny. Strengths were identified (notably, reliability and validity of dependence), but concerns have also arisen. The DSM-5 Substance-Related Disorders Work Group considered these issues and recommended revisions for DSM-5. General concerns included whether to retain the division into two main disorders (dependence and abuse), whether substance use disorder criteria should be added or removed, and whether an appropriate substance use disorder severity indicator could be identified. Specific issues included possible addition of withdrawal syndromes for several substances, alignment of nicotine criteria with those for other substances, addition of biomarkers, and inclusion of nonsubstance, behavioral addictions.This article presents the major issues and evidence considered by the work group, which included literature reviews and extensive new data analyses. The work group recommendations for DSM-5 revisions included combining abuse and dependence criteria into a single substance use disorder based on consistent findings from over 200,000 study participants, dropping legal problems and adding craving as criteria, adding cannabis and caffeine withdrawal syndromes, aligning tobacco use disorder criteria with other substance use disorders, and moving gambling disorders to the chapter formerly reserved for substance-related disorders. The proposed changes overcome many problems, while further studies will be needed to address issues for which less data were available.","container-title":"The American Journal of Psychiatry","DOI":"10.1176/appi.ajp.2013.12060782","ISSN":"1535-7228","issue":"8","journalAbbreviation":"Am J Psychiatry","language":"eng","note":"PMID: 23903334\nPMCID: PMC3767415","page":"834-851","source":"PubMed","title":"DSM-5 criteria for substance use disorders: recommendations and rationale","title-short":"DSM-5 criteria for substance use disorders","volume":"170","author":[{"family":"Hasin","given":"Deborah S."},{"family":"O'Brien","given":"Charles P."},{"family":"Auriacombe","given":"Marc"},{"family":"Borges","given":"Guilherme"},{"family":"Bucholz","given":"Kathleen"},{"family":"Budney","given":"Alan"},{"family":"Compton","given":"Wilson M."},{"family":"Crowley","given":"Thomas"},{"family":"Ling","given":"Walter"},{"family":"Petry","given":"Nancy M."},{"family":"Schuckit","given":"Marc"},{"family":"Grant","given":"Bridget F."}],"issued":{"date-parts":[["2013",8]]}},"label":"act"}],"schema":"https://github.com/citation-style-language/schema/raw/master/csl-citation.json"} </w:instrText>
      </w:r>
      <w:r w:rsidR="00F13438">
        <w:rPr>
          <w:rFonts w:ascii="Times New Roman" w:hAnsi="Times New Roman" w:cs="Times New Roman"/>
        </w:rPr>
        <w:fldChar w:fldCharType="separate"/>
      </w:r>
      <w:r w:rsidR="00F13438" w:rsidRPr="00F13438">
        <w:rPr>
          <w:rFonts w:ascii="Times New Roman" w:hAnsi="Times New Roman" w:cs="Times New Roman"/>
        </w:rPr>
        <w:t>(Hasin et al., 2012, 2013)</w:t>
      </w:r>
      <w:r w:rsidR="00F13438">
        <w:rPr>
          <w:rFonts w:ascii="Times New Roman" w:hAnsi="Times New Roman" w:cs="Times New Roman"/>
        </w:rPr>
        <w:fldChar w:fldCharType="end"/>
      </w:r>
      <w:r w:rsidR="00F13438">
        <w:rPr>
          <w:rFonts w:ascii="Times New Roman" w:hAnsi="Times New Roman" w:cs="Times New Roman"/>
        </w:rPr>
        <w:t>.</w:t>
      </w:r>
    </w:p>
    <w:p w14:paraId="55F5F985" w14:textId="77777777" w:rsidR="00F13438" w:rsidRPr="00F23463" w:rsidRDefault="00F13438" w:rsidP="00F13438">
      <w:pPr>
        <w:pStyle w:val="NoSpacing"/>
        <w:spacing w:line="480" w:lineRule="auto"/>
        <w:rPr>
          <w:rFonts w:ascii="Times New Roman" w:hAnsi="Times New Roman" w:cs="Times New Roman"/>
        </w:rPr>
      </w:pPr>
    </w:p>
    <w:p w14:paraId="0C25D9AB" w14:textId="77777777" w:rsidR="008A4FF5" w:rsidRPr="00F23463" w:rsidRDefault="008A4FF5" w:rsidP="00A3110A">
      <w:pPr>
        <w:pStyle w:val="NoSpacing"/>
        <w:spacing w:line="480" w:lineRule="auto"/>
        <w:rPr>
          <w:rFonts w:ascii="Times New Roman" w:hAnsi="Times New Roman" w:cs="Times New Roman"/>
        </w:rPr>
      </w:pPr>
      <w:r w:rsidRPr="00F23463">
        <w:rPr>
          <w:rFonts w:ascii="Times New Roman" w:hAnsi="Times New Roman" w:cs="Times New Roman"/>
        </w:rPr>
        <w:t>For behaviour to be labelled as an AUD, a person’s drinking behaviour must have led to at least 2 of the following symptoms in the past 12 months. The severity of AUD is defined by how many symptoms a person has. Mild AUD is the presence of 2 or 3 symptoms, moderate AUD is the presence of 4 or 5 symptoms, and severe AUD is the presence of 6 or more symptoms:</w:t>
      </w:r>
    </w:p>
    <w:p w14:paraId="231C33C3" w14:textId="77777777" w:rsidR="008A4FF5" w:rsidRPr="00F23463" w:rsidRDefault="008A4FF5" w:rsidP="00A3110A">
      <w:pPr>
        <w:pStyle w:val="NoSpacing"/>
        <w:spacing w:line="480" w:lineRule="auto"/>
        <w:rPr>
          <w:rFonts w:ascii="Times New Roman" w:hAnsi="Times New Roman" w:cs="Times New Roman"/>
        </w:rPr>
      </w:pPr>
    </w:p>
    <w:p w14:paraId="0BFA93FD" w14:textId="187B06AB"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Alcohol is often taken in larger amounts or over a longer period than was intended.</w:t>
      </w:r>
    </w:p>
    <w:p w14:paraId="270C03B7" w14:textId="6F50854D"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There is a persistent desire or unsuccessful efforts to cut down or control alcohol use.</w:t>
      </w:r>
    </w:p>
    <w:p w14:paraId="12F73CCE" w14:textId="09DE2296"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A great deal of time is spent in activities necessary to obtain alcohol, use alcohol, or recover from its effects.</w:t>
      </w:r>
    </w:p>
    <w:p w14:paraId="31E45C97" w14:textId="69429196"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Craving, or a strong desire or urge to use alcohol.</w:t>
      </w:r>
    </w:p>
    <w:p w14:paraId="20C0D7B6" w14:textId="003B837E"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lastRenderedPageBreak/>
        <w:t>Recurrent alcohol use resulting in a failure to fulfil major role obligations at work, school, or home.</w:t>
      </w:r>
    </w:p>
    <w:p w14:paraId="21202634" w14:textId="5E744DD4"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Continued alcohol use despite having persistent or recurrent social or interpersonal problems caused or exacerbated by the effects of alcohol.</w:t>
      </w:r>
    </w:p>
    <w:p w14:paraId="69665E7F" w14:textId="69F201CA"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Important social, occupational, or recreational activities are given up or reduced because of alcohol use.</w:t>
      </w:r>
    </w:p>
    <w:p w14:paraId="17442487" w14:textId="58950A02"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Recurrent alcohol use in situations in which it is physically hazardous.</w:t>
      </w:r>
    </w:p>
    <w:p w14:paraId="2C3A0238" w14:textId="4A63F572"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Alcohol use is continued despite knowledge of having a persistent or recurrent physical or psychological problem that is likely to have been caused or exacerbated by alcohol.</w:t>
      </w:r>
    </w:p>
    <w:p w14:paraId="4873FA81" w14:textId="0C070CDF"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Tolerance, as defined by either of the following:</w:t>
      </w:r>
    </w:p>
    <w:p w14:paraId="245E10BD" w14:textId="5D666538" w:rsidR="008A4FF5" w:rsidRPr="00F23463" w:rsidRDefault="008A4FF5" w:rsidP="00A3110A">
      <w:pPr>
        <w:pStyle w:val="NoSpacing"/>
        <w:numPr>
          <w:ilvl w:val="0"/>
          <w:numId w:val="2"/>
        </w:numPr>
        <w:spacing w:line="480" w:lineRule="auto"/>
        <w:rPr>
          <w:rFonts w:ascii="Times New Roman" w:hAnsi="Times New Roman" w:cs="Times New Roman"/>
        </w:rPr>
      </w:pPr>
      <w:r w:rsidRPr="00F23463">
        <w:rPr>
          <w:rFonts w:ascii="Times New Roman" w:hAnsi="Times New Roman" w:cs="Times New Roman"/>
        </w:rPr>
        <w:t>A need for markedly increased amounts of alcohol to achieve intoxication or desired effect.</w:t>
      </w:r>
    </w:p>
    <w:p w14:paraId="47B4EF63" w14:textId="50017E6F" w:rsidR="008A4FF5" w:rsidRPr="00F23463" w:rsidRDefault="008A4FF5" w:rsidP="00A3110A">
      <w:pPr>
        <w:pStyle w:val="NoSpacing"/>
        <w:numPr>
          <w:ilvl w:val="0"/>
          <w:numId w:val="2"/>
        </w:numPr>
        <w:spacing w:line="480" w:lineRule="auto"/>
        <w:rPr>
          <w:rFonts w:ascii="Times New Roman" w:hAnsi="Times New Roman" w:cs="Times New Roman"/>
        </w:rPr>
      </w:pPr>
      <w:r w:rsidRPr="00F23463">
        <w:rPr>
          <w:rFonts w:ascii="Times New Roman" w:hAnsi="Times New Roman" w:cs="Times New Roman"/>
        </w:rPr>
        <w:t>A markedly diminished effect with continued use of the same amount of alcohol.</w:t>
      </w:r>
    </w:p>
    <w:p w14:paraId="035082CF" w14:textId="5CB156FD" w:rsidR="008A4FF5" w:rsidRPr="00F23463" w:rsidRDefault="008A4FF5" w:rsidP="00A3110A">
      <w:pPr>
        <w:pStyle w:val="NoSpacing"/>
        <w:numPr>
          <w:ilvl w:val="0"/>
          <w:numId w:val="1"/>
        </w:numPr>
        <w:spacing w:line="480" w:lineRule="auto"/>
        <w:rPr>
          <w:rFonts w:ascii="Times New Roman" w:hAnsi="Times New Roman" w:cs="Times New Roman"/>
        </w:rPr>
      </w:pPr>
      <w:r w:rsidRPr="00F23463">
        <w:rPr>
          <w:rFonts w:ascii="Times New Roman" w:hAnsi="Times New Roman" w:cs="Times New Roman"/>
        </w:rPr>
        <w:t>Withdrawal, as manifested by either of the following:</w:t>
      </w:r>
    </w:p>
    <w:p w14:paraId="42B6EA82" w14:textId="7703280E" w:rsidR="008A4FF5" w:rsidRPr="00F23463" w:rsidRDefault="008A4FF5" w:rsidP="00A3110A">
      <w:pPr>
        <w:pStyle w:val="NoSpacing"/>
        <w:numPr>
          <w:ilvl w:val="0"/>
          <w:numId w:val="3"/>
        </w:numPr>
        <w:spacing w:line="480" w:lineRule="auto"/>
        <w:rPr>
          <w:rFonts w:ascii="Times New Roman" w:hAnsi="Times New Roman" w:cs="Times New Roman"/>
        </w:rPr>
      </w:pPr>
      <w:r w:rsidRPr="00F23463">
        <w:rPr>
          <w:rFonts w:ascii="Times New Roman" w:hAnsi="Times New Roman" w:cs="Times New Roman"/>
        </w:rPr>
        <w:t xml:space="preserve">The characteristic withdrawal syndrome for alcohol </w:t>
      </w:r>
    </w:p>
    <w:p w14:paraId="7E4F569D" w14:textId="75EE625D" w:rsidR="008A4FF5" w:rsidRPr="00F23463" w:rsidRDefault="008A4FF5" w:rsidP="00A3110A">
      <w:pPr>
        <w:pStyle w:val="NoSpacing"/>
        <w:numPr>
          <w:ilvl w:val="0"/>
          <w:numId w:val="3"/>
        </w:numPr>
        <w:spacing w:line="480" w:lineRule="auto"/>
        <w:rPr>
          <w:rFonts w:ascii="Times New Roman" w:hAnsi="Times New Roman" w:cs="Times New Roman"/>
        </w:rPr>
      </w:pPr>
      <w:r w:rsidRPr="00F23463">
        <w:rPr>
          <w:rFonts w:ascii="Times New Roman" w:hAnsi="Times New Roman" w:cs="Times New Roman"/>
        </w:rPr>
        <w:t>Alcohol (or a closely related substance, such as a benzodiazepine) is taken to relieve or avoid withdrawal symptoms.</w:t>
      </w:r>
    </w:p>
    <w:p w14:paraId="00BC350B" w14:textId="77777777" w:rsidR="008A4FF5" w:rsidRPr="00F23463" w:rsidRDefault="008A4FF5" w:rsidP="00A3110A">
      <w:pPr>
        <w:pStyle w:val="NoSpacing"/>
        <w:spacing w:line="480" w:lineRule="auto"/>
        <w:rPr>
          <w:rFonts w:ascii="Times New Roman" w:hAnsi="Times New Roman" w:cs="Times New Roman"/>
        </w:rPr>
      </w:pPr>
    </w:p>
    <w:p w14:paraId="036C3206" w14:textId="1F9C9111" w:rsidR="008A4FF5" w:rsidRDefault="008A4FF5" w:rsidP="00712114">
      <w:pPr>
        <w:pStyle w:val="NoSpacing"/>
        <w:spacing w:line="480" w:lineRule="auto"/>
        <w:rPr>
          <w:rFonts w:ascii="Times New Roman" w:hAnsi="Times New Roman" w:cs="Times New Roman"/>
        </w:rPr>
      </w:pPr>
      <w:r w:rsidRPr="00F23463">
        <w:rPr>
          <w:rFonts w:ascii="Times New Roman" w:hAnsi="Times New Roman" w:cs="Times New Roman"/>
        </w:rPr>
        <w:t xml:space="preserve">An advantage of using the DSM-5 criteria to categorize behaviour is that it enables direct comparisons to be made with existing research that has used the DSM-5. However, a major limitation is that the diagnosis of AUD depends on a person having two or more symptoms, resulting in over 2,036 possible combinations that qualify for a diagnosis. Therefore, the extent to which it is helpful to use the DSM-5 to diagnose AUD is questionable given the large number of combinations of symptoms that could result in the same ‘diagnosis’: two </w:t>
      </w:r>
      <w:r w:rsidRPr="00F23463">
        <w:rPr>
          <w:rFonts w:ascii="Times New Roman" w:hAnsi="Times New Roman" w:cs="Times New Roman"/>
        </w:rPr>
        <w:lastRenderedPageBreak/>
        <w:t xml:space="preserve">people could be diagnosed with an AUD despite having no symptoms in common </w:t>
      </w:r>
      <w:r w:rsidR="0077198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{"citationID":"mdpx1Z4R","properties":{"formattedCitation":"(Heather, 2017)","plainCitation":"(Heather, 2017)","noteIndex":0},"citationItems":[{"id":1095,"uris":["http://zotero.org/users/7873587/items/5B3HPDKK"],"itemData":{"id":1095,"type":"chapter","abstract":"The chapter discusses issues that arise in the attempt to define addiction and, in doing so, reviews major positions in the literature on the essential","container-title":"Addiction and choice: rethinking the relationship","event-place":"Oxford","language":"en","page":"3-25","publisher":"Oxford University Press","publisher-place":"Oxford","source":"academic.oup.com","title":"On defining addiction","URL":"https://academic.oup.com/book/2163/chapter/142139187","author":[{"family":"Heather","given":"Nick"}],"editor":[{"family":"Heather","given":"Nick"},{"family":"Segal","given":"Gabriel"}],"accessed":{"date-parts":[["2022",8,1]]},"issued":{"date-parts":[["2017"]]}}}],"schema":"https://github.com/citation-style-language/schema/raw/master/csl-citation.json"} </w:instrText>
      </w:r>
      <w:r w:rsidR="0077198F">
        <w:rPr>
          <w:rFonts w:ascii="Times New Roman" w:hAnsi="Times New Roman" w:cs="Times New Roman"/>
        </w:rPr>
        <w:fldChar w:fldCharType="separate"/>
      </w:r>
      <w:r w:rsidR="00712114" w:rsidRPr="00712114">
        <w:rPr>
          <w:rFonts w:ascii="Times New Roman" w:hAnsi="Times New Roman" w:cs="Times New Roman"/>
        </w:rPr>
        <w:t>(Heather, 2017)</w:t>
      </w:r>
      <w:r w:rsidR="0077198F">
        <w:rPr>
          <w:rFonts w:ascii="Times New Roman" w:hAnsi="Times New Roman" w:cs="Times New Roman"/>
        </w:rPr>
        <w:fldChar w:fldCharType="end"/>
      </w:r>
      <w:r w:rsidR="0077198F">
        <w:rPr>
          <w:rFonts w:ascii="Times New Roman" w:hAnsi="Times New Roman" w:cs="Times New Roman"/>
        </w:rPr>
        <w:t>.</w:t>
      </w:r>
    </w:p>
    <w:p w14:paraId="7A651BDD" w14:textId="77777777" w:rsidR="00712114" w:rsidRPr="00F23463" w:rsidRDefault="00712114" w:rsidP="00712114">
      <w:pPr>
        <w:pStyle w:val="NoSpacing"/>
        <w:spacing w:line="480" w:lineRule="auto"/>
        <w:rPr>
          <w:rFonts w:ascii="Times New Roman" w:hAnsi="Times New Roman" w:cs="Times New Roman"/>
        </w:rPr>
      </w:pPr>
    </w:p>
    <w:p w14:paraId="68C7C680" w14:textId="731BC68E" w:rsidR="008A4FF5" w:rsidRPr="00F23463" w:rsidRDefault="008A4FF5" w:rsidP="00F47941">
      <w:pPr>
        <w:pStyle w:val="NoSpacing"/>
        <w:spacing w:line="480" w:lineRule="auto"/>
        <w:rPr>
          <w:rFonts w:ascii="Times New Roman" w:hAnsi="Times New Roman" w:cs="Times New Roman"/>
        </w:rPr>
      </w:pPr>
      <w:r w:rsidRPr="00F23463">
        <w:rPr>
          <w:rFonts w:ascii="Times New Roman" w:hAnsi="Times New Roman" w:cs="Times New Roman"/>
        </w:rPr>
        <w:t>Harmful alcohol consumption can be measured in the form of unit intake</w:t>
      </w:r>
      <w:r w:rsidR="00C83DE4">
        <w:rPr>
          <w:rFonts w:ascii="Times New Roman" w:hAnsi="Times New Roman" w:cs="Times New Roman"/>
        </w:rPr>
        <w:t>,</w:t>
      </w:r>
      <w:r w:rsidRPr="00F23463">
        <w:rPr>
          <w:rFonts w:ascii="Times New Roman" w:hAnsi="Times New Roman" w:cs="Times New Roman"/>
        </w:rPr>
        <w:t xml:space="preserve"> or with the Alcohol Use Disorders Identification Test (AUDIT), a tool used to screen people for hazardous and harmful alcohol consumption </w:t>
      </w:r>
      <w:r w:rsidR="00C83DE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{"citationID":"7Dde6FX6","properties":{"formattedCitation":"(Saunders et al., 1993)","plainCitation":"(Saunders et al., 1993)","noteIndex":0},"citationItems":[{"id":1097,"uris":["http://zotero.org/users/7873587/items/H8CAYUDE"],"itemData":{"id":1097,"type":"article-journal","abstract":"The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C83DE4">
        <w:rPr>
          <w:rFonts w:ascii="Times New Roman" w:hAnsi="Times New Roman" w:cs="Times New Roman"/>
        </w:rPr>
        <w:fldChar w:fldCharType="separate"/>
      </w:r>
      <w:r w:rsidR="00C83DE4" w:rsidRPr="00C83DE4">
        <w:rPr>
          <w:rFonts w:ascii="Times New Roman" w:hAnsi="Times New Roman" w:cs="Times New Roman"/>
        </w:rPr>
        <w:t>(Saunders et al., 1993)</w:t>
      </w:r>
      <w:r w:rsidR="00C83DE4">
        <w:rPr>
          <w:rFonts w:ascii="Times New Roman" w:hAnsi="Times New Roman" w:cs="Times New Roman"/>
        </w:rPr>
        <w:fldChar w:fldCharType="end"/>
      </w:r>
      <w:r w:rsidR="00C83DE4">
        <w:rPr>
          <w:rFonts w:ascii="Times New Roman" w:hAnsi="Times New Roman" w:cs="Times New Roman"/>
        </w:rPr>
        <w:t xml:space="preserve">. </w:t>
      </w:r>
      <w:r w:rsidRPr="00F23463">
        <w:rPr>
          <w:rFonts w:ascii="Times New Roman" w:hAnsi="Times New Roman" w:cs="Times New Roman"/>
        </w:rPr>
        <w:t xml:space="preserve">In the UK, ‘low risk’ drinking guidelines were developed by Chief Medical Officers; drinking in excess of these guidelines </w:t>
      </w:r>
      <w:r w:rsidR="0045059A">
        <w:rPr>
          <w:rFonts w:ascii="Times New Roman" w:hAnsi="Times New Roman" w:cs="Times New Roman"/>
        </w:rPr>
        <w:t xml:space="preserve">(see </w:t>
      </w:r>
      <w:r w:rsidR="0045059A" w:rsidRPr="0045059A">
        <w:rPr>
          <w:rFonts w:ascii="Times New Roman" w:hAnsi="Times New Roman" w:cs="Times New Roman"/>
        </w:rPr>
        <w:t>p.18</w:t>
      </w:r>
      <w:r w:rsidR="0045059A">
        <w:rPr>
          <w:rFonts w:ascii="Times New Roman" w:hAnsi="Times New Roman" w:cs="Times New Roman"/>
        </w:rPr>
        <w:t xml:space="preserve">) </w:t>
      </w:r>
      <w:r w:rsidRPr="00F23463">
        <w:rPr>
          <w:rFonts w:ascii="Times New Roman" w:hAnsi="Times New Roman" w:cs="Times New Roman"/>
        </w:rPr>
        <w:t xml:space="preserve">is understood as increasing the risk of harm to health </w:t>
      </w:r>
      <w:r w:rsidR="0093677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{"citationID":"efAgJjVi","properties":{"formattedCitation":"(Office for Health Improvement &amp; Disparities, 2021a)","plainCitation":"(Office for Health Improvement &amp; Disparities, 2021a)","noteIndex":0},"citationItems":[{"id":1099,"uris":["http://zotero.org/users/7873587/items/NNEECUGN"],"itemData":{"id":1099,"type":"webpage","container-title":"GOV.UK","language":"en","title":"Chapter 12: Alcohol","title-short":"Chapter 12","URL":"https://www.gov.uk/government/publications/delivering-better-oral-health-an-evidence-based-toolkit-for-prevention/chapter-12-alcohol","author":[{"literal":"Office for Health Improvement &amp; Disparities"}],"accessed":{"date-parts":[["2022",8,1]]},"issued":{"date-parts":[["2021"]]}}}],"schema":"https://github.com/citation-style-language/schema/raw/master/csl-citation.json"} </w:instrText>
      </w:r>
      <w:r w:rsidR="00936779">
        <w:rPr>
          <w:rFonts w:ascii="Times New Roman" w:hAnsi="Times New Roman" w:cs="Times New Roman"/>
        </w:rPr>
        <w:fldChar w:fldCharType="separate"/>
      </w:r>
      <w:r w:rsidR="00F47941" w:rsidRPr="00F47941">
        <w:rPr>
          <w:rFonts w:ascii="Times New Roman" w:hAnsi="Times New Roman" w:cs="Times New Roman"/>
        </w:rPr>
        <w:t>(Office for Health Improvement &amp; Disparities, 2021a)</w:t>
      </w:r>
      <w:r w:rsidR="00936779">
        <w:rPr>
          <w:rFonts w:ascii="Times New Roman" w:hAnsi="Times New Roman" w:cs="Times New Roman"/>
        </w:rPr>
        <w:fldChar w:fldCharType="end"/>
      </w:r>
      <w:r w:rsidR="00936779">
        <w:rPr>
          <w:rFonts w:ascii="Times New Roman" w:hAnsi="Times New Roman" w:cs="Times New Roman"/>
        </w:rPr>
        <w:t xml:space="preserve">. </w:t>
      </w:r>
      <w:r w:rsidRPr="00F23463">
        <w:rPr>
          <w:rFonts w:ascii="Times New Roman" w:hAnsi="Times New Roman" w:cs="Times New Roman"/>
        </w:rPr>
        <w:t xml:space="preserve">The AUDIT questionnaire contains questions about alcohol consumption, specifically patterns and consequences of alcohol consumption </w:t>
      </w:r>
      <w:r w:rsidR="00E760E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{"citationID":"gzRVby7p","properties":{"formattedCitation":"(Higgins-Biddle &amp; Babor, 2018)","plainCitation":"(Higgins-Biddle &amp; Babor, 2018)","noteIndex":0},"citationItems":[{"id":1101,"uris":["http://zotero.org/users/7873587/items/FT4F968A"],"itemData":{"id":1101,"type":"article-journal","abstract":"BACKGROUND: The US Preventive Services Task Force recommends that clinicians screen all adults for alcohol misuse and provide brief counseling to those engaged in risky or hazardous drinking. The World Health Organization's (WHO's) Alcohol Use Disorders Identification Test (AUDIT) is the most widely tested instrument for screening in primary health care.\nOBJECTIVES: This paper describes the structural and functional features of the AUDIT and methodological problems with the validation of the alcohol consumption questions (AUDIT-C). The content, scoring, and rationale for a new version of the AUDIT (called the USAUDIT), adapted to US standard drink size and hazardous drinking guidelines, is presented.\nMETHOD: Narrative review focusing on the consumption elements of the AUDIT. Four studies of the AUDIT-C are reviewed and evaluated.\nRESULTS: The AUDIT has been used extensively in many countries without making the changes in the first three consumption questions recommended in the AUDIT User's Manual. As a consequence, the original WHO version is not compatible with US guidelines and AUDIT scores are not comparable with those obtained in countries that have different drink sizes, consumption units, and safe drinking limits. Clinical and Scientific Significance. The USAUDIT has adapted the WHO AUDIT to a 14 g standard drink, and US low-risk drinking guidelines. These changes provide greater accuracy in measuring alcohol consumption than the AUDIT-C.","container-title":"The American Journal of Drug and Alcohol Abuse","DOI":"10.1080/00952990.2018.1456545","ISSN":"1097-9891","issue":"6","journalAbbreviation":"Am J Drug Alcohol Abuse","language":"eng","note":"PMID: 29723083\nPMCID: PMC6217805","page":"578-586","source":"PubMed","title":"A review of the Alcohol Use Disorders Identification Test (AUDIT), AUDIT-C, and USAUDIT for screening in the United States: Past issues and future directions","title-short":"A review of the Alcohol Use Disorders Identification Test (AUDIT), AUDIT-C, and USAUDIT for screening in the United States","volume":"44","author":[{"family":"Higgins-Biddle","given":"John C."},{"family":"Babor","given":"Thomas F."}],"issued":{"date-parts":[["2018"]]}}}],"schema":"https://github.com/citation-style-language/schema/raw/master/csl-citation.json"} </w:instrText>
      </w:r>
      <w:r w:rsidR="00E760EB">
        <w:rPr>
          <w:rFonts w:ascii="Times New Roman" w:hAnsi="Times New Roman" w:cs="Times New Roman"/>
        </w:rPr>
        <w:fldChar w:fldCharType="separate"/>
      </w:r>
      <w:r w:rsidR="00E760EB" w:rsidRPr="00E760EB">
        <w:rPr>
          <w:rFonts w:ascii="Times New Roman" w:hAnsi="Times New Roman" w:cs="Times New Roman"/>
        </w:rPr>
        <w:t>(Higgins-Biddle &amp; Babor, 2018)</w:t>
      </w:r>
      <w:r w:rsidR="00E760EB">
        <w:rPr>
          <w:rFonts w:ascii="Times New Roman" w:hAnsi="Times New Roman" w:cs="Times New Roman"/>
        </w:rPr>
        <w:fldChar w:fldCharType="end"/>
      </w:r>
      <w:r w:rsidRPr="00F23463">
        <w:rPr>
          <w:rFonts w:ascii="Times New Roman" w:hAnsi="Times New Roman" w:cs="Times New Roman"/>
        </w:rPr>
        <w:t xml:space="preserve">. A score of 8 or more is used as a cut-off to index hazardous or harmful alcohol consumption. Hazardous alcohol consumption refers to drinking which is likely to lead to harm in the future, whereas harmful drinking refers to alcohol use where the current risk of damage to social, physical, and mental health is likely </w:t>
      </w:r>
      <w:r w:rsidR="00E760E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{"citationID":"1Z0lxJ1p","properties":{"formattedCitation":"(Saunders et al., 1993)","plainCitation":"(Saunders et al., 1993)","noteIndex":0},"citationItems":[{"id":1097,"uris":["http://zotero.org/users/7873587/items/H8CAYUDE"],"itemData":{"id":1097,"type":"article-journal","abstract":"The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E760EB">
        <w:rPr>
          <w:rFonts w:ascii="Times New Roman" w:hAnsi="Times New Roman" w:cs="Times New Roman"/>
        </w:rPr>
        <w:fldChar w:fldCharType="separate"/>
      </w:r>
      <w:r w:rsidR="00E760EB" w:rsidRPr="00E760EB">
        <w:rPr>
          <w:rFonts w:ascii="Times New Roman" w:hAnsi="Times New Roman" w:cs="Times New Roman"/>
        </w:rPr>
        <w:t>(Saunders et al., 1993)</w:t>
      </w:r>
      <w:r w:rsidR="00E760EB">
        <w:rPr>
          <w:rFonts w:ascii="Times New Roman" w:hAnsi="Times New Roman" w:cs="Times New Roman"/>
        </w:rPr>
        <w:fldChar w:fldCharType="end"/>
      </w:r>
      <w:r w:rsidR="00E760EB">
        <w:rPr>
          <w:rFonts w:ascii="Times New Roman" w:hAnsi="Times New Roman" w:cs="Times New Roman"/>
        </w:rPr>
        <w:t>.</w:t>
      </w:r>
    </w:p>
    <w:p w14:paraId="531710CA" w14:textId="77777777" w:rsidR="008A4FF5" w:rsidRPr="00F23463" w:rsidRDefault="008A4FF5" w:rsidP="00A3110A">
      <w:pPr>
        <w:pStyle w:val="NoSpacing"/>
        <w:spacing w:line="480" w:lineRule="auto"/>
        <w:rPr>
          <w:rFonts w:ascii="Times New Roman" w:hAnsi="Times New Roman" w:cs="Times New Roman"/>
        </w:rPr>
      </w:pPr>
    </w:p>
    <w:p w14:paraId="36EBEBA0" w14:textId="1E77E0D3" w:rsidR="008A4FF5" w:rsidRPr="00F23463" w:rsidRDefault="008A4FF5" w:rsidP="0013734D">
      <w:pPr>
        <w:pStyle w:val="NoSpacing"/>
        <w:spacing w:line="480" w:lineRule="auto"/>
        <w:rPr>
          <w:rFonts w:ascii="Times New Roman" w:hAnsi="Times New Roman" w:cs="Times New Roman"/>
        </w:rPr>
      </w:pPr>
      <w:r w:rsidRPr="00F23463">
        <w:rPr>
          <w:rFonts w:ascii="Times New Roman" w:hAnsi="Times New Roman" w:cs="Times New Roman"/>
        </w:rPr>
        <w:t xml:space="preserve">There were also changes from the DSM-IV to the DSM-5 in relation to tobacco use. The DSM-IV only assessed nicotine dependence, and therefore did not include nicotine abuse as a diagnosis. The DSM-5 has upgraded this label to tobacco use disorder (TUD) with mild, moderate, and severe sub-classifications depending on the number of criteria met—similar to diagnosing AUD. </w:t>
      </w:r>
      <w:r w:rsidR="00820C91">
        <w:rPr>
          <w:rFonts w:ascii="Times New Roman" w:hAnsi="Times New Roman" w:cs="Times New Roman"/>
        </w:rPr>
        <w:t>N</w:t>
      </w:r>
      <w:r w:rsidR="00D2536C">
        <w:rPr>
          <w:rFonts w:ascii="Times New Roman" w:hAnsi="Times New Roman" w:cs="Times New Roman"/>
        </w:rPr>
        <w:t>icotine abuse criteria</w:t>
      </w:r>
      <w:r w:rsidRPr="00F23463">
        <w:rPr>
          <w:rFonts w:ascii="Times New Roman" w:hAnsi="Times New Roman" w:cs="Times New Roman"/>
        </w:rPr>
        <w:t xml:space="preserve"> </w:t>
      </w:r>
      <w:r w:rsidR="00D2536C">
        <w:rPr>
          <w:rFonts w:ascii="Times New Roman" w:hAnsi="Times New Roman" w:cs="Times New Roman"/>
        </w:rPr>
        <w:t>were</w:t>
      </w:r>
      <w:r w:rsidR="005A19F7">
        <w:rPr>
          <w:rFonts w:ascii="Times New Roman" w:hAnsi="Times New Roman" w:cs="Times New Roman"/>
        </w:rPr>
        <w:t xml:space="preserve"> often</w:t>
      </w:r>
      <w:r w:rsidR="00D2536C">
        <w:rPr>
          <w:rFonts w:ascii="Times New Roman" w:hAnsi="Times New Roman" w:cs="Times New Roman"/>
        </w:rPr>
        <w:t xml:space="preserve"> viewed </w:t>
      </w:r>
      <w:r w:rsidR="00820C91">
        <w:rPr>
          <w:rFonts w:ascii="Times New Roman" w:hAnsi="Times New Roman" w:cs="Times New Roman"/>
        </w:rPr>
        <w:t xml:space="preserve">to be </w:t>
      </w:r>
      <w:r w:rsidR="005A19F7">
        <w:rPr>
          <w:rFonts w:ascii="Times New Roman" w:hAnsi="Times New Roman" w:cs="Times New Roman"/>
        </w:rPr>
        <w:t xml:space="preserve">redundant predictors of nicotine dependence </w:t>
      </w:r>
      <w:r w:rsidR="005A19F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{"citationID":"aad8dN0O","properties":{"formattedCitation":"(Hughes et al., 2011)","plainCitation":"(Hughes et al., 2011)","noteIndex":0},"citationItems":[{"id":1107,"uris":["http://zotero.org/users/7873587/items/7RAZCX7D"],"itemData":{"id":1107,"type":"article-journal","container-title":"Addiction","DOI":"10.1111/j.1360-0443.2010.03281.x","ISSN":"1360-0443","issue":"5","journalAbbreviation":"Addiction","language":"eng","note":"PMID: 21477244","page":"894-895; discussion 895-897","source":"PubMed","title":"Applicability of DSM criteria to nicotine dependence","volume":"106","author":[{"family":"Hughes","given":"John R."},{"family":"Baker","given":"Timothy"},{"family":"Breslau","given":"Naomi"},{"family":"Covey","given":"Lirio"},{"family":"Shiffman","given":"Saul"}],"issued":{"date-parts":[["2011",5]]}}}],"schema":"https://github.com/citation-style-language/schema/raw/master/csl-citation.json"} </w:instrText>
      </w:r>
      <w:r w:rsidR="005A19F7">
        <w:rPr>
          <w:rFonts w:ascii="Times New Roman" w:hAnsi="Times New Roman" w:cs="Times New Roman"/>
        </w:rPr>
        <w:fldChar w:fldCharType="separate"/>
      </w:r>
      <w:r w:rsidR="005A19F7" w:rsidRPr="005A19F7">
        <w:rPr>
          <w:rFonts w:ascii="Times New Roman" w:hAnsi="Times New Roman" w:cs="Times New Roman"/>
        </w:rPr>
        <w:t>(Hughes et al., 2011)</w:t>
      </w:r>
      <w:r w:rsidR="005A19F7">
        <w:rPr>
          <w:rFonts w:ascii="Times New Roman" w:hAnsi="Times New Roman" w:cs="Times New Roman"/>
        </w:rPr>
        <w:fldChar w:fldCharType="end"/>
      </w:r>
      <w:r w:rsidR="00820C91">
        <w:rPr>
          <w:rFonts w:ascii="Times New Roman" w:hAnsi="Times New Roman" w:cs="Times New Roman"/>
        </w:rPr>
        <w:t xml:space="preserve"> in that they were assumed to be rarely endorsed in the absence of dependence. H</w:t>
      </w:r>
      <w:r w:rsidR="005A19F7">
        <w:rPr>
          <w:rFonts w:ascii="Times New Roman" w:hAnsi="Times New Roman" w:cs="Times New Roman"/>
        </w:rPr>
        <w:t>owever,</w:t>
      </w:r>
      <w:r w:rsidR="00820C91">
        <w:rPr>
          <w:rFonts w:ascii="Times New Roman" w:hAnsi="Times New Roman" w:cs="Times New Roman"/>
        </w:rPr>
        <w:t xml:space="preserve"> this has been challenged </w:t>
      </w:r>
      <w:r w:rsidR="0013734D">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{"citationID":"cKLyKu0d","properties":{"formattedCitation":"(Hasin et al., 2005; Shmulewitz et al., 2011)","plainCitation":"(Hasin et al., 2005; Shmulewitz et al., 2011)","noteIndex":0},"citationItems":[{"id":1110,"uris":["http://zotero.org/users/7873587/items/LD2TKT3L"],"itemData":{"id":1110,"type":"article-journal","abstract":"The extent to which dependence occurs with or without abuse is important because of the potential for underestimation and biased estimates of drug dependence in surveys that rely on abuse as a screening method for dependence. The purpose of this paper was to present the prevalence of DSM-IV drug dependence with and without drug abuse in a nationally representative sample, as well as in subgroups defined by sex, age and race/ethnicity. Among all respondents with current drug dependence, 22.0% did not additionally meet criteria for abuse (19.5% among males and 27.8% among females). Current drug dependence without abuse was especially common among females age 45-64 (52.6% of all cases). Among those with lifetime diagnoses of drug dependence, a small proportion overall, 5.0% had no symptoms of abuse, with the highest proportion again found among females aged 45-64 (19.5% of all cases). The use of drug abuse as a screening method for drug dependence in large epidemiologic studies will differentially underestimate the prevalence of dependence by subgroup, affecting many types of research. Dependence with and without abuse may represent heterogeneous phenotypes for genetic and gene-environment research, which should be explored.","container-title":"Drug and Alcohol Dependence","DOI":"10.1016/j.drugalcdep.2005.03.010","ISSN":"0376-8716","issue":"1","journalAbbreviation":"Drug Alcohol Depend","language":"eng","note":"PMID: 16157234","page":"117-123","source":"PubMed","title":"Co-occurring DSM-IV drug abuse in DSM-IV drug dependence: results from the National Epidemiologic Survey on Alcohol and Related Conditions","title-short":"Co-occurring DSM-IV drug abuse in DSM-IV drug dependence","volume":"80","author":[{"family":"Hasin","given":"Deborah S."},{"family":"Hatzenbueler","given":"Mark"},{"family":"Smith","given":"Sharon"},{"family":"Grant","given":"Bridget F."}],"issued":{"date-parts":[["2005",10,1]]}},"label":"page"},{"id":1104,"uris":["http://zotero.org/users/7873587/items/5LN53X6C"],"itemData":{"id":1104,"type":"article-journal","abstract":"Aims\nEvidence-based changes planned for DSM-5 substance use disorders (SUDs) include combining dependence and three of the abuse criteria into one disorder and adding a criterion indicating craving. Because DSM-IV did not include a category for nicotine abuse, little empirical support is available for aligning the nicotine use disorder criteria with the DSM-5 criteria for other SUDs.\n\nDesign\nLatent variable analyses, likelihood ratio tests (LRT) and bootstrap tests were used to explore the unidimensionality, psychometric properties and information of the nicotine criteria.\n\nSetting, Participants\nA sample of household residents selected from the Israeli population register yielded 727 lifetime cigarette smokers.\n\nMeasurements\nDSM-IV nicotine dependence criteria and proposed abuse and craving criteria, assessed with a structured interview.\n\nFindings\nThree abuse criteria (hazardous use, social/interpersonal problems, and neglect roles) were prevalent among smokers, formed a unidimensional latent trait with nicotine dependence criteria, were intermixed with dependence criteria across the severity spectrum, and significantly increased the diagnostic information over the dependence-only model. LRT results also supported including the abuse criteria (Χ&lt;sup&gt;2&lt;/sup&gt;&lt;sub&gt;3&lt;/sub&gt;=259.63, p&lt;0.0001). A craving criterion was shown to fit well with the other criteria.\n\nConclusion\nSimilar to findings from research on other substances, nicotine dependence, abuse, and craving criteria formed a single factor. The results support alignment of nicotine criteria with those for alcohol and drug use disorders in DSM-5.","container-title":"Addiction","DOI":"10.1111/j.1360-0443.2011.03484.x","ISSN":"0965-2140","issue":"9","journalAbbreviation":"Addiction","note":"PMID: 21545668\nPMCID: PMC3163441","page":"1675-1686","source":"PubMed Central","title":"Nicotine dependence, abuse, and craving: dimensionality in an Israeli sample","title-short":"Nicotine dependence, abuse, and craving","volume":"106","author":[{"family":"Shmulewitz","given":"Dvora"},{"family":"Keyes","given":"Katherine M."},{"family":"Wall","given":"Melanie M."},{"family":"Aharonovich","given":"Efrat"},{"family":"Aivadyan","given":"Christina"},{"family":"Greenstein","given":"Eliana"},{"family":"Spivak","given":"Baruch"},{"family":"Weizman","given":"Abraham"},{"family":"Frisch","given":"Amos"},{"family":"Grant","given":"Bridget F."},{"family":"Hasin","given":"Deborah"}],"issued":{"date-parts":[["2011",9]]}},"label":"act"}],"schema":"https://github.com/citation-style-language/schema/raw/master/csl-citation.json"} </w:instrText>
      </w:r>
      <w:r w:rsidR="0013734D">
        <w:rPr>
          <w:rFonts w:ascii="Times New Roman" w:hAnsi="Times New Roman" w:cs="Times New Roman"/>
        </w:rPr>
        <w:fldChar w:fldCharType="separate"/>
      </w:r>
      <w:r w:rsidR="0013734D" w:rsidRPr="0013734D">
        <w:rPr>
          <w:rFonts w:ascii="Times New Roman" w:hAnsi="Times New Roman" w:cs="Times New Roman"/>
        </w:rPr>
        <w:t>(Hasin et al., 2005; Shmulewitz et al., 2011)</w:t>
      </w:r>
      <w:r w:rsidR="0013734D">
        <w:rPr>
          <w:rFonts w:ascii="Times New Roman" w:hAnsi="Times New Roman" w:cs="Times New Roman"/>
        </w:rPr>
        <w:fldChar w:fldCharType="end"/>
      </w:r>
      <w:r w:rsidR="00820C91">
        <w:rPr>
          <w:rFonts w:ascii="Times New Roman" w:hAnsi="Times New Roman" w:cs="Times New Roman"/>
        </w:rPr>
        <w:t xml:space="preserve">, with </w:t>
      </w:r>
      <w:r w:rsidRPr="00F23463">
        <w:rPr>
          <w:rFonts w:ascii="Times New Roman" w:hAnsi="Times New Roman" w:cs="Times New Roman"/>
        </w:rPr>
        <w:t>research</w:t>
      </w:r>
      <w:r w:rsidR="005A19F7">
        <w:rPr>
          <w:rFonts w:ascii="Times New Roman" w:hAnsi="Times New Roman" w:cs="Times New Roman"/>
        </w:rPr>
        <w:t xml:space="preserve"> </w:t>
      </w:r>
      <w:r w:rsidR="00820C91">
        <w:rPr>
          <w:rFonts w:ascii="Times New Roman" w:hAnsi="Times New Roman" w:cs="Times New Roman"/>
        </w:rPr>
        <w:t xml:space="preserve">again </w:t>
      </w:r>
      <w:r w:rsidR="005A19F7">
        <w:rPr>
          <w:rFonts w:ascii="Times New Roman" w:hAnsi="Times New Roman" w:cs="Times New Roman"/>
        </w:rPr>
        <w:t>support</w:t>
      </w:r>
      <w:r w:rsidR="00820C91">
        <w:rPr>
          <w:rFonts w:ascii="Times New Roman" w:hAnsi="Times New Roman" w:cs="Times New Roman"/>
        </w:rPr>
        <w:t>ing</w:t>
      </w:r>
      <w:r w:rsidR="005A19F7">
        <w:rPr>
          <w:rFonts w:ascii="Times New Roman" w:hAnsi="Times New Roman" w:cs="Times New Roman"/>
        </w:rPr>
        <w:t xml:space="preserve"> </w:t>
      </w:r>
      <w:r w:rsidRPr="00F23463">
        <w:rPr>
          <w:rFonts w:ascii="Times New Roman" w:hAnsi="Times New Roman" w:cs="Times New Roman"/>
        </w:rPr>
        <w:t xml:space="preserve">a continuum model by demonstrating that tobacco dependence and abuse exist on a single dimension </w:t>
      </w:r>
      <w:r w:rsidR="00D2536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{"citationID":"9hexVgjh","properties":{"formattedCitation":"(Shmulewitz et al., 2011)","plainCitation":"(Shmulewitz et al., 2011)","noteIndex":0},"citationItems":[{"id":1104,"uris":["http://zotero.org/users/7873587/items/5LN53X6C"],"itemData":{"id":1104,"type":"article-journal","abstract":"Aims\nEvidence-based changes planned for DSM-5 substance use disorders (SUDs) include combining dependence and three of the abuse criteria into one disorder and adding a criterion indicating craving. Because DSM-IV did not include a category for nicotine abuse, little empirical support is available for aligning the nicotine use disorder criteria with the DSM-5 criteria for other SUDs.\n\nDesign\nLatent variable analyses, likelihood ratio tests (LRT) and bootstrap tests were used to explore the unidimensionality, psychometric properties and information of the nicotine criteria.\n\nSetting, Participants\nA sample of household residents selected from the Israeli population register yielded 727 lifetime cigarette smokers.\n\nMeasurements\nDSM-IV nicotine dependence criteria and proposed abuse and craving criteria, assessed with a structured interview.\n\nFindings\nThree abuse criteria (hazardous use, social/interpersonal problems, and neglect roles) were prevalent among smokers, formed a unidimensional latent trait with nicotine dependence criteria, were intermixed with dependence criteria across the severity spectrum, and significantly increased the diagnostic information over the dependence-only model. LRT results also supported including the abuse criteria (Χ&lt;sup&gt;2&lt;/sup&gt;&lt;sub&gt;3&lt;/sub&gt;=259.63, p&lt;0.0001). A craving criterion was shown to fit well with the other criteria.\n\nConclusion\nSimilar to findings from research on other substances, nicotine dependence, abuse, and craving criteria formed a single factor. The results support alignment of nicotine criteria with those for alcohol and drug use disorders in DSM-5.","container-title":"Addiction","DOI":"10.1111/j.1360-0443.2011.03484.x","ISSN":"0965-2140","issue":"9","journalAbbreviation":"Addiction","note":"PMID: 21545668\nPMCID: PMC3163441","page":"1675-1686","source":"PubMed Central","title":"Nicotine dependence, abuse, and craving: dimensionality in an Israeli sample","title-short":"Nicotine dependence, abuse, and craving","volume":"106","author":[{"family":"Shmulewitz","given":"Dvora"},{"family":"Keyes","given":"Katherine M."},{"family":"Wall","given":"Melanie M."},{"family":"Aharonovich","given":"Efrat"},{"family":"Aivadyan","given":"Christina"},{"family":"Greenstein","given":"Eliana"},{"family":"Spivak","given":"Baruch"},{"family":"Weizman","given":"Abraham"},{"family":"Frisch","given":"Amos"},{"family":"Grant","given":"Bridget F."},{"family":"Hasin","given":"Deborah"}],"issued":{"date-parts":[["2011",9]]}}}],"schema":"https://github.com/citation-style-language/schema/raw/master/csl-citation.json"} </w:instrText>
      </w:r>
      <w:r w:rsidR="00D2536C">
        <w:rPr>
          <w:rFonts w:ascii="Times New Roman" w:hAnsi="Times New Roman" w:cs="Times New Roman"/>
        </w:rPr>
        <w:fldChar w:fldCharType="separate"/>
      </w:r>
      <w:r w:rsidR="00D2536C" w:rsidRPr="00D2536C">
        <w:rPr>
          <w:rFonts w:ascii="Times New Roman" w:hAnsi="Times New Roman" w:cs="Times New Roman"/>
        </w:rPr>
        <w:t>(Shmulewitz et al., 2011)</w:t>
      </w:r>
      <w:r w:rsidR="00D2536C">
        <w:rPr>
          <w:rFonts w:ascii="Times New Roman" w:hAnsi="Times New Roman" w:cs="Times New Roman"/>
        </w:rPr>
        <w:fldChar w:fldCharType="end"/>
      </w:r>
      <w:r w:rsidR="00D2536C">
        <w:rPr>
          <w:rFonts w:ascii="Times New Roman" w:hAnsi="Times New Roman" w:cs="Times New Roman"/>
        </w:rPr>
        <w:t>.</w:t>
      </w:r>
      <w:r w:rsidRPr="00F23463">
        <w:rPr>
          <w:rFonts w:ascii="Times New Roman" w:hAnsi="Times New Roman" w:cs="Times New Roman"/>
        </w:rPr>
        <w:t xml:space="preserve"> </w:t>
      </w:r>
    </w:p>
    <w:p w14:paraId="13BB3597" w14:textId="77777777" w:rsidR="008A4FF5" w:rsidRPr="00F23463" w:rsidRDefault="008A4FF5" w:rsidP="00A3110A">
      <w:pPr>
        <w:pStyle w:val="NoSpacing"/>
        <w:spacing w:line="480" w:lineRule="auto"/>
        <w:rPr>
          <w:rFonts w:ascii="Times New Roman" w:hAnsi="Times New Roman" w:cs="Times New Roman"/>
        </w:rPr>
      </w:pPr>
    </w:p>
    <w:p w14:paraId="10039AE1" w14:textId="77777777" w:rsidR="008A4FF5" w:rsidRPr="00F23463" w:rsidRDefault="008A4FF5" w:rsidP="00A3110A">
      <w:pPr>
        <w:pStyle w:val="NoSpacing"/>
        <w:spacing w:line="480" w:lineRule="auto"/>
        <w:rPr>
          <w:rFonts w:ascii="Times New Roman" w:hAnsi="Times New Roman" w:cs="Times New Roman"/>
        </w:rPr>
      </w:pPr>
      <w:r w:rsidRPr="00F23463">
        <w:rPr>
          <w:rFonts w:ascii="Times New Roman" w:hAnsi="Times New Roman" w:cs="Times New Roman"/>
        </w:rPr>
        <w:t>Within the DSM-5, different substances are classified based on the same overarching criteria. For example, for behaviour to be labelled as TUD (and identical to the AUD diagnostic criteria) an individual’s tobacco use must have led to at least two of the following criteria in the past 12 months. The severity of TUD is defined by how many symptoms a person has. Mild tobacco use disorder is the presence of 2 or 3 symptoms, moderate tobacco use disorder is the presence of 4 or 5 symptoms, and severe tobacco use disorder is the presence of 6 or more symptoms:</w:t>
      </w:r>
    </w:p>
    <w:p w14:paraId="755965FA" w14:textId="77777777" w:rsidR="008A4FF5" w:rsidRPr="00F23463" w:rsidRDefault="008A4FF5" w:rsidP="00A3110A">
      <w:pPr>
        <w:pStyle w:val="NoSpacing"/>
        <w:spacing w:line="480" w:lineRule="auto"/>
        <w:rPr>
          <w:rFonts w:ascii="Times New Roman" w:hAnsi="Times New Roman" w:cs="Times New Roman"/>
        </w:rPr>
      </w:pPr>
    </w:p>
    <w:p w14:paraId="01AA2986" w14:textId="3848799D"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Tobacco is often taken in larger amounts or over a longer period than was intended.</w:t>
      </w:r>
    </w:p>
    <w:p w14:paraId="7807BD56" w14:textId="39183119"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There is a persistent desire or unsuccessful efforts to cut down or control tobacco use.</w:t>
      </w:r>
    </w:p>
    <w:p w14:paraId="5BF78D45" w14:textId="69FC3F10"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A great deal of time is spent in activities necessary to obtain or use tobacco.</w:t>
      </w:r>
    </w:p>
    <w:p w14:paraId="42F36D34" w14:textId="75AE9E5D"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Craving, or a strong desire or urge to use tobacco.</w:t>
      </w:r>
    </w:p>
    <w:p w14:paraId="0FB13544" w14:textId="0D611B24"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Recurrent tobacco use resulting in a failure to fulfil major role obligations at work, school, or home.</w:t>
      </w:r>
    </w:p>
    <w:p w14:paraId="1C552F39" w14:textId="0D2A0519"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Continued tobacco use despite having persistent or recurrent social or interpersonal problems caused or exacerbated by the effects of tobacco (e.g., arguments with others about tobacco use).</w:t>
      </w:r>
    </w:p>
    <w:p w14:paraId="0B01560F" w14:textId="68090A95"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Important social, occupational, or recreational activities are given up or reduced because of tobacco use.</w:t>
      </w:r>
    </w:p>
    <w:p w14:paraId="4D4F2157" w14:textId="653028A4"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 xml:space="preserve">Recurrent tobacco </w:t>
      </w:r>
      <w:proofErr w:type="gramStart"/>
      <w:r w:rsidRPr="00F23463">
        <w:rPr>
          <w:rFonts w:ascii="Times New Roman" w:hAnsi="Times New Roman" w:cs="Times New Roman"/>
        </w:rPr>
        <w:t>use</w:t>
      </w:r>
      <w:proofErr w:type="gramEnd"/>
      <w:r w:rsidRPr="00F23463">
        <w:rPr>
          <w:rFonts w:ascii="Times New Roman" w:hAnsi="Times New Roman" w:cs="Times New Roman"/>
        </w:rPr>
        <w:t xml:space="preserve"> in situations in which it is physically hazardous (e.g., smoking in bed).</w:t>
      </w:r>
    </w:p>
    <w:p w14:paraId="6FBEE0AB" w14:textId="1FF82204"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Tobacco use is continued despite knowledge of having a persistent or recurrent physical or psychological problem that is likely to have been caused or exacerbated by tobacco.</w:t>
      </w:r>
    </w:p>
    <w:p w14:paraId="08BDE6B4" w14:textId="6A7F74BC"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lastRenderedPageBreak/>
        <w:t>Tolerance, as defined by either of the following:</w:t>
      </w:r>
    </w:p>
    <w:p w14:paraId="78482E20" w14:textId="6BC0D286" w:rsidR="008A4FF5" w:rsidRPr="00F23463" w:rsidRDefault="008A4FF5" w:rsidP="00A3110A">
      <w:pPr>
        <w:pStyle w:val="NoSpacing"/>
        <w:numPr>
          <w:ilvl w:val="0"/>
          <w:numId w:val="5"/>
        </w:numPr>
        <w:spacing w:line="480" w:lineRule="auto"/>
        <w:rPr>
          <w:rFonts w:ascii="Times New Roman" w:hAnsi="Times New Roman" w:cs="Times New Roman"/>
        </w:rPr>
      </w:pPr>
      <w:r w:rsidRPr="00F23463">
        <w:rPr>
          <w:rFonts w:ascii="Times New Roman" w:hAnsi="Times New Roman" w:cs="Times New Roman"/>
        </w:rPr>
        <w:t>A need for markedly increased amounts of tobacco to achieve the desired effect.</w:t>
      </w:r>
    </w:p>
    <w:p w14:paraId="041E7E4F" w14:textId="1889B62D" w:rsidR="008A4FF5" w:rsidRPr="00F23463" w:rsidRDefault="008A4FF5" w:rsidP="00A3110A">
      <w:pPr>
        <w:pStyle w:val="NoSpacing"/>
        <w:numPr>
          <w:ilvl w:val="0"/>
          <w:numId w:val="5"/>
        </w:numPr>
        <w:spacing w:line="480" w:lineRule="auto"/>
        <w:rPr>
          <w:rFonts w:ascii="Times New Roman" w:hAnsi="Times New Roman" w:cs="Times New Roman"/>
        </w:rPr>
      </w:pPr>
      <w:r w:rsidRPr="00F23463">
        <w:rPr>
          <w:rFonts w:ascii="Times New Roman" w:hAnsi="Times New Roman" w:cs="Times New Roman"/>
        </w:rPr>
        <w:t>A markedly diminished effect with continued use of the same amount of tobacco.</w:t>
      </w:r>
    </w:p>
    <w:p w14:paraId="20E059C5" w14:textId="24CCBC7D" w:rsidR="008A4FF5" w:rsidRPr="00F23463" w:rsidRDefault="008A4FF5" w:rsidP="00A3110A">
      <w:pPr>
        <w:pStyle w:val="NoSpacing"/>
        <w:numPr>
          <w:ilvl w:val="0"/>
          <w:numId w:val="4"/>
        </w:numPr>
        <w:spacing w:line="480" w:lineRule="auto"/>
        <w:rPr>
          <w:rFonts w:ascii="Times New Roman" w:hAnsi="Times New Roman" w:cs="Times New Roman"/>
        </w:rPr>
      </w:pPr>
      <w:r w:rsidRPr="00F23463">
        <w:rPr>
          <w:rFonts w:ascii="Times New Roman" w:hAnsi="Times New Roman" w:cs="Times New Roman"/>
        </w:rPr>
        <w:t>Withdrawal, as manifested by either of the following:</w:t>
      </w:r>
    </w:p>
    <w:p w14:paraId="59E08F77" w14:textId="020749D5" w:rsidR="008A4FF5" w:rsidRPr="00F23463" w:rsidRDefault="008A4FF5" w:rsidP="00A3110A">
      <w:pPr>
        <w:pStyle w:val="NoSpacing"/>
        <w:numPr>
          <w:ilvl w:val="0"/>
          <w:numId w:val="6"/>
        </w:numPr>
        <w:spacing w:line="480" w:lineRule="auto"/>
        <w:rPr>
          <w:rFonts w:ascii="Times New Roman" w:hAnsi="Times New Roman" w:cs="Times New Roman"/>
        </w:rPr>
      </w:pPr>
      <w:r w:rsidRPr="00F23463">
        <w:rPr>
          <w:rFonts w:ascii="Times New Roman" w:hAnsi="Times New Roman" w:cs="Times New Roman"/>
        </w:rPr>
        <w:t>The characteristic withdrawal syndrome for tobacco (refer to Criteria A and B of the criteria set for tobacco withdrawal).</w:t>
      </w:r>
    </w:p>
    <w:p w14:paraId="16ECAB37" w14:textId="13A90AA8" w:rsidR="008A4FF5" w:rsidRPr="00F23463" w:rsidRDefault="008A4FF5" w:rsidP="00AC0B06">
      <w:pPr>
        <w:pStyle w:val="NoSpacing"/>
        <w:numPr>
          <w:ilvl w:val="0"/>
          <w:numId w:val="6"/>
        </w:numPr>
        <w:spacing w:line="480" w:lineRule="auto"/>
        <w:rPr>
          <w:rFonts w:ascii="Times New Roman" w:hAnsi="Times New Roman" w:cs="Times New Roman"/>
        </w:rPr>
      </w:pPr>
      <w:r w:rsidRPr="00F23463">
        <w:rPr>
          <w:rFonts w:ascii="Times New Roman" w:hAnsi="Times New Roman" w:cs="Times New Roman"/>
        </w:rPr>
        <w:t>Tobacco (or a closely related substance, such as nicotine) is taken to relieve or avoid withdrawal symptoms.</w:t>
      </w:r>
    </w:p>
    <w:p w14:paraId="10710E70" w14:textId="77777777" w:rsidR="008A4FF5" w:rsidRPr="00F23463" w:rsidRDefault="008A4FF5" w:rsidP="00AC0B06">
      <w:pPr>
        <w:pStyle w:val="NoSpacing"/>
        <w:spacing w:line="480" w:lineRule="auto"/>
        <w:rPr>
          <w:rFonts w:ascii="Times New Roman" w:hAnsi="Times New Roman" w:cs="Times New Roman"/>
        </w:rPr>
      </w:pPr>
    </w:p>
    <w:p w14:paraId="5C438DAB" w14:textId="292792C2" w:rsidR="008A4FF5" w:rsidRPr="00F23463" w:rsidRDefault="008A4FF5" w:rsidP="00573078">
      <w:pPr>
        <w:pStyle w:val="Heading2"/>
      </w:pPr>
      <w:bookmarkStart w:id="63" w:name="_Toc109901457"/>
      <w:bookmarkStart w:id="64" w:name="_Toc109901930"/>
      <w:bookmarkStart w:id="65" w:name="_Toc109911323"/>
      <w:bookmarkStart w:id="66" w:name="_Toc110612726"/>
      <w:bookmarkStart w:id="67" w:name="_Toc110629036"/>
      <w:bookmarkStart w:id="68" w:name="_Toc110870944"/>
      <w:r w:rsidRPr="00F23463">
        <w:t>1.3</w:t>
      </w:r>
      <w:r w:rsidR="00174DF4" w:rsidRPr="00F23463">
        <w:t>.</w:t>
      </w:r>
      <w:r w:rsidRPr="00F23463">
        <w:t xml:space="preserve"> Behaviour change, recovery, and treatment</w:t>
      </w:r>
      <w:bookmarkEnd w:id="63"/>
      <w:bookmarkEnd w:id="64"/>
      <w:bookmarkEnd w:id="65"/>
      <w:bookmarkEnd w:id="66"/>
      <w:bookmarkEnd w:id="67"/>
      <w:bookmarkEnd w:id="68"/>
    </w:p>
    <w:p w14:paraId="30A08069" w14:textId="42B540C4" w:rsidR="008A4FF5" w:rsidRDefault="008A4FF5" w:rsidP="00EA2321">
      <w:pPr>
        <w:pStyle w:val="NoSpacing"/>
        <w:spacing w:line="480" w:lineRule="auto"/>
        <w:rPr>
          <w:rFonts w:ascii="Times New Roman" w:hAnsi="Times New Roman" w:cs="Times New Roman"/>
        </w:rPr>
      </w:pPr>
      <w:r w:rsidRPr="00F23463">
        <w:rPr>
          <w:rFonts w:ascii="Times New Roman" w:hAnsi="Times New Roman" w:cs="Times New Roman"/>
        </w:rPr>
        <w:t xml:space="preserve">Despite the high prevalence of alcohol consumption and tobacco smoking in England, recent figures show that these behaviours have declined steadily over time. </w:t>
      </w:r>
      <w:r w:rsidR="001F3E5B">
        <w:rPr>
          <w:rFonts w:ascii="Times New Roman" w:hAnsi="Times New Roman" w:cs="Times New Roman"/>
        </w:rPr>
        <w:t>For example, t</w:t>
      </w:r>
      <w:r w:rsidRPr="00F23463">
        <w:rPr>
          <w:rFonts w:ascii="Times New Roman" w:hAnsi="Times New Roman" w:cs="Times New Roman"/>
        </w:rPr>
        <w:t xml:space="preserve">he number of adults who </w:t>
      </w:r>
      <w:r w:rsidR="001F3E5B">
        <w:rPr>
          <w:rFonts w:ascii="Times New Roman" w:hAnsi="Times New Roman" w:cs="Times New Roman"/>
        </w:rPr>
        <w:t xml:space="preserve">self-report consumption </w:t>
      </w:r>
      <w:r w:rsidR="00975721">
        <w:rPr>
          <w:rFonts w:ascii="Times New Roman" w:hAnsi="Times New Roman" w:cs="Times New Roman"/>
        </w:rPr>
        <w:t>in excess of the</w:t>
      </w:r>
      <w:r w:rsidR="001F3E5B" w:rsidRPr="001F3E5B">
        <w:rPr>
          <w:rFonts w:ascii="Times New Roman" w:hAnsi="Times New Roman" w:cs="Times New Roman"/>
        </w:rPr>
        <w:t xml:space="preserve"> recommended 14 unit</w:t>
      </w:r>
      <w:r w:rsidR="004B6264">
        <w:rPr>
          <w:rFonts w:ascii="Times New Roman" w:hAnsi="Times New Roman" w:cs="Times New Roman"/>
        </w:rPr>
        <w:t xml:space="preserve"> weekly </w:t>
      </w:r>
      <w:r w:rsidR="00975721">
        <w:rPr>
          <w:rFonts w:ascii="Times New Roman" w:hAnsi="Times New Roman" w:cs="Times New Roman"/>
        </w:rPr>
        <w:t>guideline</w:t>
      </w:r>
      <w:r w:rsidR="001F3E5B">
        <w:rPr>
          <w:rFonts w:ascii="Times New Roman" w:hAnsi="Times New Roman" w:cs="Times New Roman"/>
        </w:rPr>
        <w:t xml:space="preserve"> has declined</w:t>
      </w:r>
      <w:r w:rsidR="00975721">
        <w:rPr>
          <w:rFonts w:ascii="Times New Roman" w:hAnsi="Times New Roman" w:cs="Times New Roman"/>
        </w:rPr>
        <w:t xml:space="preserve">, and this is accompanied by an </w:t>
      </w:r>
      <w:r w:rsidR="00975721" w:rsidRPr="00F23463">
        <w:rPr>
          <w:rFonts w:ascii="Times New Roman" w:hAnsi="Times New Roman" w:cs="Times New Roman"/>
        </w:rPr>
        <w:t xml:space="preserve">increase in alcohol abstinence </w:t>
      </w:r>
      <w:r w:rsidR="00975721">
        <w:rPr>
          <w:rFonts w:ascii="Times New Roman" w:hAnsi="Times New Roman" w:cs="Times New Roman"/>
        </w:rPr>
        <w:t xml:space="preserve">rates </w:t>
      </w:r>
      <w:r w:rsidR="006F665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{"citationID":"2I5L4xsZ","properties":{"formattedCitation":"(Ng Fat et al., 2018; Public Health England, 2021b)","plainCitation":"(Ng Fat et al., 2018; Public Health England, 2021b)","noteIndex":0},"citationItems":[{"id":1116,"uris":["http://zotero.org/users/7873587/items/Z9VEUSEF"],"itemData":{"id":1116,"type":"article-journal","abstract":"Non-drinking among young people has increased over the past decade in England, yet the underlying factor driving this change is unknown. Traditionally non-drinking has been found to be associated with lower socio-economic status and poorer health. This study explores among which sub-groups non-drinking has increased, and how this correlates with changes in drinking patterns, to identify whether behaviours are becoming more polarised, or reduction is widespread among young people.","container-title":"BMC Public Health","DOI":"10.1186/s12889-018-5995-3","ISSN":"1471-2458","issue":"1","journalAbbreviation":"BMC Public Health","page":"1090","source":"BioMed Central","title":"Investigating the growing trend of non-drinking among young people; analysis of repeated cross-sectional surveys in England 2005–2015","volume":"18","author":[{"family":"Ng Fat","given":"Linda"},{"family":"Shelton","given":"Nicola"},{"family":"Cable","given":"Noriko"}],"issued":{"date-parts":[["2018",10,10]]}}},{"id":1114,"uris":["http://zotero.org/users/7873587/items/VZKXJ4QK"],"itemData":{"id":1114,"type":"webpage","container-title":"GOV.UK","language":"en","title":"Local Alcohol Profiles for England (LAPE): July 2021 update","title-short":"Local Alcohol Profiles for England","URL":"https://www.gov.uk/government/statistics/local-alcohol-profiles-for-england-lape-july-2021-update/local-alcohol-profiles-for-england-short-statistical-commentary-july-2021","author":[{"family":"Public Health England","given":""}],"accessed":{"date-parts":[["2022",8,1]]},"issued":{"date-parts":[["2021"]]}},"label":"page"}],"schema":"https://github.com/citation-style-language/schema/raw/master/csl-citation.json"} </w:instrText>
      </w:r>
      <w:r w:rsidR="006F665B">
        <w:rPr>
          <w:rFonts w:ascii="Times New Roman" w:hAnsi="Times New Roman" w:cs="Times New Roman"/>
        </w:rPr>
        <w:fldChar w:fldCharType="separate"/>
      </w:r>
      <w:r w:rsidR="001F4CD1" w:rsidRPr="001F4CD1">
        <w:rPr>
          <w:rFonts w:ascii="Times New Roman" w:hAnsi="Times New Roman" w:cs="Times New Roman"/>
        </w:rPr>
        <w:t>(Ng Fat et al., 2018; Public Health England, 2021b)</w:t>
      </w:r>
      <w:r w:rsidR="006F665B">
        <w:rPr>
          <w:rFonts w:ascii="Times New Roman" w:hAnsi="Times New Roman" w:cs="Times New Roman"/>
        </w:rPr>
        <w:fldChar w:fldCharType="end"/>
      </w:r>
      <w:r w:rsidR="001F3E5B">
        <w:rPr>
          <w:rFonts w:ascii="Times New Roman" w:hAnsi="Times New Roman" w:cs="Times New Roman"/>
        </w:rPr>
        <w:t xml:space="preserve">. </w:t>
      </w:r>
      <w:r w:rsidR="00975721">
        <w:rPr>
          <w:rFonts w:ascii="Times New Roman" w:hAnsi="Times New Roman" w:cs="Times New Roman"/>
        </w:rPr>
        <w:t>In</w:t>
      </w:r>
      <w:r w:rsidRPr="00F23463">
        <w:rPr>
          <w:rFonts w:ascii="Times New Roman" w:hAnsi="Times New Roman" w:cs="Times New Roman"/>
        </w:rPr>
        <w:t xml:space="preserve"> particular, 16- to 24-year-olds have shown reductions in drinking behaviours (e.g., being less likely to have drunk alcohol in the past week; </w:t>
      </w:r>
      <w:r w:rsidR="004B626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{"citationID":"1pAsimAf","properties":{"formattedCitation":"(Oldham et al., 2018)","plainCitation":"(Oldham et al., 2018)","dontUpdate":true,"noteIndex":0},"citationItems":[{"id":1125,"uris":["http://zotero.org/users/7873587/items/4MDXVDFG"],"itemData":{"id":1125,"type":"report","abstract":"Young people in England are drinking less. Evidence from multiple surveys shows a consistent\npattern over 10-15 years of reduced participation in drinking, reduced consumption levels\namong drinkers, reduced prevalence of drunkenness and less positive attitudes towards\nalcohol. Similar changes are seen across the UK, Europe, North America and Australasia. The\ndownward trends are also not limited to alcohol. Declines are also seen in smoking and illicit\ndrug use among young people.\n\nThis report launches a new four-year study funded by the Wellcome Trust, which aims to\nexamine the patterns and causes of the decline in youth drinking. In this first publication, we\nbring together data from two long-running, nationally-representative surveys, the 1988-2016\nSmoking Drinking and Drug Use amongst Young People in England surveys (SDD) and the\n2001-2016 Health Surveys for England (HSE), to present the most comprehensive picture to\ndate of the downturn in alcohol use among young people aged 8 to 24.","event-place":"Sheffield","genre":"Monograph","language":"en","note":"publisher: University of Sheffield","publisher-place":"Sheffield","title":"Youth Drinking in Decline","URL":"https://www.sheffield.ac.uk/polopoly_fs/1.806889!/file/Oldham_Holmes_Youth_drinking_in_decline_FINAL.pdf","author":[{"family":"Oldham","given":"M."},{"family":"Holmes","given":"J."},{"family":"Whitaker","given":"V."},{"family":"Fairbrother","given":"H."},{"family":"Curtis","given":"P."}],"accessed":{"date-parts":[["2022",8,1]]},"issued":{"date-parts":[["2018",9,27]]}}}],"schema":"https://github.com/citation-style-language/schema/raw/master/csl-citation.json"} </w:instrText>
      </w:r>
      <w:r w:rsidR="004B6264">
        <w:rPr>
          <w:rFonts w:ascii="Times New Roman" w:hAnsi="Times New Roman" w:cs="Times New Roman"/>
        </w:rPr>
        <w:fldChar w:fldCharType="separate"/>
      </w:r>
      <w:r w:rsidR="004B6264" w:rsidRPr="004B6264">
        <w:rPr>
          <w:rFonts w:ascii="Times New Roman" w:hAnsi="Times New Roman" w:cs="Times New Roman"/>
        </w:rPr>
        <w:t>Oldham et al., 2018)</w:t>
      </w:r>
      <w:r w:rsidR="004B6264">
        <w:rPr>
          <w:rFonts w:ascii="Times New Roman" w:hAnsi="Times New Roman" w:cs="Times New Roman"/>
        </w:rPr>
        <w:fldChar w:fldCharType="end"/>
      </w:r>
      <w:r w:rsidR="004B6264">
        <w:rPr>
          <w:rFonts w:ascii="Times New Roman" w:hAnsi="Times New Roman" w:cs="Times New Roman"/>
        </w:rPr>
        <w:t xml:space="preserve"> which </w:t>
      </w:r>
      <w:r w:rsidR="005D7464">
        <w:rPr>
          <w:rFonts w:ascii="Times New Roman" w:hAnsi="Times New Roman" w:cs="Times New Roman"/>
        </w:rPr>
        <w:t>extend into</w:t>
      </w:r>
      <w:r w:rsidR="001F4CD1">
        <w:rPr>
          <w:rFonts w:ascii="Times New Roman" w:hAnsi="Times New Roman" w:cs="Times New Roman"/>
        </w:rPr>
        <w:t xml:space="preserve"> adulthood </w:t>
      </w:r>
      <w:r w:rsidR="005D746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{"citationID":"UOOMb87R","properties":{"formattedCitation":"(Holmes et al., 2022)","plainCitation":"(Holmes et al., 2022)","noteIndex":0},"citationItems":[{"id":1119,"uris":["http://zotero.org/users/7873587/items/65XKZGET"],"itemData":{"id":1119,"type":"article-journal","abstract":"•\n              The implications of recent declines in youth drinking require attention.\n            \n            \n              •\n              Structural and cultural forces mean the declines are unlikely to be transient.\n            \n            \n              •\n              Older heavy drinking cohorts mean harm rates may get worse before getting better.\n            \n            \n              •\n              Alcohol may fall down the policy agenda leading to few new control policies.\n            \n            \n              •\n              Stakeholders should be aware of the risks associated with reduced focus on alcohol.\n            \n          \n        , Youth drinking has declined across most high-income countries in the last 20 years. Although researchers and commentators have explored the nature and drivers of decline, they have paid less attention to its implications. This matters because of the potential impact on contemporary and future public health, as well as on alcohol policy-making. This commentary therefore considers how youth drinking trends may develop in future, what this would mean for public health, and what it might mean for alcohol policy and debate., We argue that the decline in youth drinking is well-established and unlikely to reverse, despite smaller declines and stabilising trends in recent years. Young people also appear to be carrying their lighter drinking into adulthood in at least some countries. This suggests we should expect large short- and long-term public health benefits. The latter may however be obscured in population-level data by increased harm arising from earlier, heavier drinking generations moving through the highest risk points in the life course., The likely impact of the decline in youth drinking on public and policy debate is less clear. We explore the possibilities using two model scenarios, the reinforcement and withdrawal models. In the reinforcement model, a ‘virtuous’ circle of falling alcohol consumption, increasing public support for alcohol control policies and apparent policy successes facilitates progressive strengthening of policy, akin to that seen in the tobacco experience. In the withdrawal model, policy-makers turn their attention to other problems, public health advocates struggle to justify proposed interventions and existing policies erode over time as industry actors reassert and strengthen their partnerships with government around alcohol policy. We argue that disconnects between the tobacco experience and the reinforcement model make the withdrawal model a more plausible scenario. We conclude by suggesting some tentative ways forward for public health actors working in this space.","container-title":"The International Journal on Drug Policy","DOI":"10.1016/j.drugpo.2022.103606","ISSN":"0955-3959","journalAbbreviation":"Int J Drug Policy","note":"PMID: 35131690\nPMCID: PMC7612362","page":"103606","source":"PubMed Central","title":"Youth drinking in decline: What are the implications for public health, public policy and public debate?","title-short":"Youth drinking in decline","volume":"102","author":[{"family":"Holmes","given":"John"},{"family":"Fairbrother","given":"Hannah"},{"family":"Livingston","given":"Michael"},{"family":"Meier","given":"Petra Sylvia"},{"family":"Oldham","given":"Melissa"},{"family":"Pennay","given":"Amy"},{"family":"Whitaker","given":"Victoria"}],"issued":{"date-parts":[["2022",4]]}}}],"schema":"https://github.com/citation-style-language/schema/raw/master/csl-citation.json"} </w:instrText>
      </w:r>
      <w:r w:rsidR="005D7464">
        <w:rPr>
          <w:rFonts w:ascii="Times New Roman" w:hAnsi="Times New Roman" w:cs="Times New Roman"/>
        </w:rPr>
        <w:fldChar w:fldCharType="separate"/>
      </w:r>
      <w:r w:rsidR="005D7464" w:rsidRPr="005D7464">
        <w:rPr>
          <w:rFonts w:ascii="Times New Roman" w:hAnsi="Times New Roman" w:cs="Times New Roman"/>
        </w:rPr>
        <w:t>(Holmes et al., 2022)</w:t>
      </w:r>
      <w:r w:rsidR="005D7464">
        <w:rPr>
          <w:rFonts w:ascii="Times New Roman" w:hAnsi="Times New Roman" w:cs="Times New Roman"/>
        </w:rPr>
        <w:fldChar w:fldCharType="end"/>
      </w:r>
      <w:r w:rsidR="005D7464">
        <w:rPr>
          <w:rFonts w:ascii="Times New Roman" w:hAnsi="Times New Roman" w:cs="Times New Roman"/>
        </w:rPr>
        <w:t>.</w:t>
      </w:r>
      <w:r w:rsidR="001F4CD1">
        <w:rPr>
          <w:rFonts w:ascii="Times New Roman" w:hAnsi="Times New Roman" w:cs="Times New Roman"/>
        </w:rPr>
        <w:t xml:space="preserve"> </w:t>
      </w:r>
      <w:r w:rsidRPr="00F23463">
        <w:rPr>
          <w:rFonts w:ascii="Times New Roman" w:hAnsi="Times New Roman" w:cs="Times New Roman"/>
        </w:rPr>
        <w:t>The decline in alcohol consumption has also been observed in children aged 11- to 15-year</w:t>
      </w:r>
      <w:r w:rsidR="004B6264">
        <w:rPr>
          <w:rFonts w:ascii="Times New Roman" w:hAnsi="Times New Roman" w:cs="Times New Roman"/>
        </w:rPr>
        <w:t>s</w:t>
      </w:r>
      <w:r w:rsidRPr="00F23463">
        <w:rPr>
          <w:rFonts w:ascii="Times New Roman" w:hAnsi="Times New Roman" w:cs="Times New Roman"/>
        </w:rPr>
        <w:t xml:space="preserve"> frequently referred to as “youth drinking in decline” </w:t>
      </w:r>
      <w:r w:rsidR="005D746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{"citationID":"Yo3nVPeM","properties":{"formattedCitation":"(Oldham et al., 2020)","plainCitation":"(Oldham et al., 2020)","noteIndex":0},"citationItems":[{"id":1122,"uris":["http://zotero.org/users/7873587/items/8YWRWCZ2"],"itemData":{"id":1122,"type":"article-journal","abstract":"Background and Aims Youth alcohol consumption has declined significantly during the past 15 years in many high-income countries, which may have significant public health benefits. However, if the reductions in drinking occur mainly among lighter drinkers who are at lower risk, then rates of alcohol-related harm among young people today and adults in future may not fall in line with consumption. There is conflicting evidence from Swedish school studies, with some suggesting that all young people are drinking less, while others suggest that alcohol consumption among heavier drinkers may be stable or rising while average consumption declines. This paper extends the geographical focus of previous research and examines whether the decline in youth drinking is consistent across the consumption distribution in England. Design Quantile regression of 15 waves of repeat cross-sectional survey data. Setting England, 2001–16. Participants A total of 31 882 schoolchildren (50.7% male) aged 11–15 who responded to the Smoking Drinking and Drug Use among Young People surveys. Measurements Past-week alcohol consumption in UK units at each fifth percentile of the consumption distribution. Findings Reductions in alcohol consumption occurred at all percentiles of the consumption distribution analysed between 2001 and 2016, but the magnitude of the decline differed across percentiles. The decline in consumption at the 90th percentile [β = −0.21, confidence interval (CI) = −0.24, −0.18] was significantly larger than among either lighter drinkers at the 50th percentile (β = −0.02, CI = −0.02, −0.01) or heavier drinkers at the 95th percentile (β = −0.16, CI = −0.18, −0.13). Conclusions Alcohol consumption among young people in England appears to be declining across the consumption distribution, and peaks among heavy drinkers. The magnitude of this decline differs significantly between percentiles of the consumption distribution, with consumption falling proportionally less among the lightest, moderate and very heaviest youth drinkers.","container-title":"Addiction","DOI":"10.1111/add.14824","ISSN":"1360-0443","issue":"2","language":"en","note":"_eprint: https://onlinelibrary.wiley.com/doi/pdf/10.1111/add.14824","page":"230-238","source":"Wiley Online Library","title":"The decline in youth drinking in England—is everyone drinking less? A quantile regression analysis","title-short":"The decline in youth drinking in England—is everyone drinking less?","volume":"115","author":[{"family":"Oldham","given":"Melissa"},{"family":"Callinan","given":"Sarah"},{"family":"Whitaker","given":"Victoria"},{"family":"Fairbrother","given":"Hannah"},{"family":"Curtis","given":"Penny"},{"family":"Meier","given":"Petra"},{"family":"Livingston","given":"Michael"},{"family":"Holmes","given":"John"}],"issued":{"date-parts":[["2020"]]}}}],"schema":"https://github.com/citation-style-language/schema/raw/master/csl-citation.json"} </w:instrText>
      </w:r>
      <w:r w:rsidR="005D7464">
        <w:rPr>
          <w:rFonts w:ascii="Times New Roman" w:hAnsi="Times New Roman" w:cs="Times New Roman"/>
        </w:rPr>
        <w:fldChar w:fldCharType="separate"/>
      </w:r>
      <w:r w:rsidR="005D7464" w:rsidRPr="005D7464">
        <w:rPr>
          <w:rFonts w:ascii="Times New Roman" w:hAnsi="Times New Roman" w:cs="Times New Roman"/>
        </w:rPr>
        <w:t>(Oldham et al., 2020)</w:t>
      </w:r>
      <w:r w:rsidR="005D7464">
        <w:rPr>
          <w:rFonts w:ascii="Times New Roman" w:hAnsi="Times New Roman" w:cs="Times New Roman"/>
        </w:rPr>
        <w:fldChar w:fldCharType="end"/>
      </w:r>
      <w:r w:rsidR="005D7464">
        <w:rPr>
          <w:rFonts w:ascii="Times New Roman" w:hAnsi="Times New Roman" w:cs="Times New Roman"/>
        </w:rPr>
        <w:t>.</w:t>
      </w:r>
      <w:r w:rsidRPr="00F23463">
        <w:rPr>
          <w:rFonts w:ascii="Times New Roman" w:hAnsi="Times New Roman" w:cs="Times New Roman"/>
        </w:rPr>
        <w:t xml:space="preserve"> There has also been an observable decline in tobacco smoking in England; in 2019, 13.9% of adults were classified as dependent tobacco smokers which is a substantial reduction from the 19.8% of adults in 2011, equating to an estimated 2 million less tobacco smokers </w:t>
      </w:r>
      <w:r w:rsidR="004B626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{"citationID":"fnSewDML","properties":{"formattedCitation":"(Office for National Statistics, 2020)","plainCitation":"(Office for National Statistics, 2020)","noteIndex":0},"citationItems":[{"id":714,"uris":["http://zotero.org/users/7873587/items/E8HZBY3N"],"itemData":{"id":714,"type":"webpage","title":"Adult smoking habits in the UK: 2019","URL":"https://www.ons.gov.uk/peoplepopulationandcommunity/healthandsocialcare/healthandlifeexpectancies/bulletins/adultsmokinghabitsingreatbritain/2019","author":[{"literal":"Office for National Statistics"}],"issued":{"date-parts":[["2020"]]}}}],"schema":"https://github.com/citation-style-language/schema/raw/master/csl-citation.json"} </w:instrText>
      </w:r>
      <w:r w:rsidR="004B6264">
        <w:rPr>
          <w:rFonts w:ascii="Times New Roman" w:hAnsi="Times New Roman" w:cs="Times New Roman"/>
        </w:rPr>
        <w:fldChar w:fldCharType="separate"/>
      </w:r>
      <w:r w:rsidR="004B6264" w:rsidRPr="004B6264">
        <w:rPr>
          <w:rFonts w:ascii="Times New Roman" w:hAnsi="Times New Roman" w:cs="Times New Roman"/>
        </w:rPr>
        <w:t>(Office for National Statistics, 2020)</w:t>
      </w:r>
      <w:r w:rsidR="004B6264">
        <w:rPr>
          <w:rFonts w:ascii="Times New Roman" w:hAnsi="Times New Roman" w:cs="Times New Roman"/>
        </w:rPr>
        <w:fldChar w:fldCharType="end"/>
      </w:r>
      <w:r w:rsidR="004B6264">
        <w:rPr>
          <w:rFonts w:ascii="Times New Roman" w:hAnsi="Times New Roman" w:cs="Times New Roman"/>
        </w:rPr>
        <w:t>.</w:t>
      </w:r>
      <w:r w:rsidRPr="00F23463">
        <w:rPr>
          <w:rFonts w:ascii="Times New Roman" w:hAnsi="Times New Roman" w:cs="Times New Roman"/>
        </w:rPr>
        <w:t xml:space="preserve"> </w:t>
      </w:r>
      <w:r w:rsidR="00CA49F3">
        <w:rPr>
          <w:rFonts w:ascii="Times New Roman" w:hAnsi="Times New Roman" w:cs="Times New Roman"/>
        </w:rPr>
        <w:t>Specifically,</w:t>
      </w:r>
      <w:r w:rsidR="005F4542">
        <w:rPr>
          <w:rFonts w:ascii="Times New Roman" w:hAnsi="Times New Roman" w:cs="Times New Roman"/>
        </w:rPr>
        <w:t xml:space="preserve"> reductions in the uptake of tobacco smoking before the age of 25 have been observed</w:t>
      </w:r>
      <w:r w:rsidR="00EA2321">
        <w:rPr>
          <w:rFonts w:ascii="Times New Roman" w:hAnsi="Times New Roman" w:cs="Times New Roman"/>
        </w:rPr>
        <w:t xml:space="preserve"> </w:t>
      </w:r>
      <w:r w:rsidR="00EA2321">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{"citationID":"1rz60U9d","properties":{"formattedCitation":"(Opazo Breton et al., 2022)","plainCitation":"(Opazo Breton et al., 2022)","noteIndex":0},"citationItems":[{"id":1341,"uris":["http://zotero.org/users/7873587/items/GJMCUGHF"],"itemData":{"id":1341,"type":"article-journal","abstract":"BACKGROUND AND AIMS: Smoking prevalence has been falling in England for more than 50 years, but remains a prevalent and major public health problem. This study used an age-period-cohort (APC) approach to measure lifecycle, historical and generational patterns of individual smoking behaviour.\nDESIGN: APC analysis of repeated cross-sectional smoking prevalence data obtained from three nationally representative surveys.\nSETTING: England (1972-2019).\nPARTICIPANTS: Individuals aged 18-90 years.\nMEASUREMENTS: We studied relative odds of current smoking in relation to age in single years from 18 to 90, 24 groups of 2-year survey periods (1972-73 to 2018-19) and 20 groups of 5-year birth cohorts (1907-11 to 1997-2001). Age and period rates were studied for two groups of birth cohorts: those aged 18-25 years and those aged over 25 years.\nFINDINGS: Relative to age 18, the odds of current smoking increased with age until approximately age 25 [odds ratio (OR) = 1.48, 95% confidence interval (CI) = 1.41-1.56] and then decreased progressively to age 90 (OR = 0.06, 95% CI = 0.04-0.08). They also decreased almost linearly with period relative to 1972-73 (for 2018-19: OR = 0.30, 95% CI = 0.26-0.34) and with birth cohort relative to 1902-06, with the largest decreased observed for birth cohort 1992-96 (OR = 0.44, 95% CI = 0.35-0.46) and 1997-2001 (OR = 0.35, 95% CI = 0.74-0.88). Smoking declined in the 18-25 age group by an average of 7% over successive 2-year periods and by an average of 5% in those aged over 25.\nCONCLUSIONS: Smoking in England appears to have declined over recent decades mainly as a result of reduced smoking uptake before age 25, and to a lesser extent to smoking cessation after age 25.","container-title":"Addiction","DOI":"10.1111/add.15696","ISSN":"1360-0443","issue":"5","journalAbbreviation":"Addiction","language":"eng","note":"PMID: 34590368","page":"1392-1403","source":"PubMed","title":"Understanding long-term trends in smoking in England, 1972-2019: an age-period-cohort approach","title-short":"Understanding long-term trends in smoking in England, 1972-2019","volume":"117","author":[{"family":"Opazo Breton","given":"Magdalena"},{"family":"Gillespie","given":"Duncan"},{"family":"Pryce","given":"Robert"},{"family":"Bogdanovica","given":"Ilze"},{"family":"Angus","given":"Colin"},{"family":"Hernandez Alava","given":"Monica"},{"family":"Brennan","given":"Alan"},{"family":"Britton","given":"John"}],"issued":{"date-parts":[["2022",5]]}}}],"schema":"https://github.com/citation-style-language/schema/raw/master/csl-citation.json"} </w:instrText>
      </w:r>
      <w:r w:rsidR="00EA2321">
        <w:rPr>
          <w:rFonts w:ascii="Times New Roman" w:hAnsi="Times New Roman" w:cs="Times New Roman"/>
        </w:rPr>
        <w:fldChar w:fldCharType="separate"/>
      </w:r>
      <w:r w:rsidR="00EA2321" w:rsidRPr="00EA2321">
        <w:rPr>
          <w:rFonts w:ascii="Times New Roman" w:hAnsi="Times New Roman" w:cs="Times New Roman"/>
        </w:rPr>
        <w:t>(Opazo Breton et al., 2022)</w:t>
      </w:r>
      <w:r w:rsidR="00EA2321">
        <w:rPr>
          <w:rFonts w:ascii="Times New Roman" w:hAnsi="Times New Roman" w:cs="Times New Roman"/>
        </w:rPr>
        <w:fldChar w:fldCharType="end"/>
      </w:r>
      <w:r w:rsidR="005F4542">
        <w:rPr>
          <w:rFonts w:ascii="Times New Roman" w:hAnsi="Times New Roman" w:cs="Times New Roman"/>
        </w:rPr>
        <w:t xml:space="preserve">. </w:t>
      </w:r>
    </w:p>
    <w:p w14:paraId="661164EB" w14:textId="77777777" w:rsidR="00FA098B" w:rsidRPr="00F23463" w:rsidRDefault="00FA098B" w:rsidP="00FA098B">
      <w:pPr>
        <w:pStyle w:val="NoSpacing"/>
        <w:spacing w:line="480" w:lineRule="auto"/>
        <w:rPr>
          <w:rFonts w:ascii="Times New Roman" w:hAnsi="Times New Roman" w:cs="Times New Roman"/>
        </w:rPr>
      </w:pPr>
    </w:p>
    <w:p w14:paraId="186B1A42" w14:textId="4B80996E" w:rsidR="008A4FF5" w:rsidRDefault="008A4FF5" w:rsidP="00F47941">
      <w:pPr>
        <w:pStyle w:val="NoSpacing"/>
        <w:spacing w:line="480" w:lineRule="auto"/>
        <w:rPr>
          <w:rFonts w:ascii="Times New Roman" w:hAnsi="Times New Roman" w:cs="Times New Roman"/>
        </w:rPr>
      </w:pPr>
      <w:r w:rsidRPr="00F23463">
        <w:rPr>
          <w:rFonts w:ascii="Times New Roman" w:hAnsi="Times New Roman" w:cs="Times New Roman"/>
        </w:rPr>
        <w:lastRenderedPageBreak/>
        <w:t>Numerous factors may prompt or contribute to behaviour</w:t>
      </w:r>
      <w:r w:rsidR="005F4542">
        <w:rPr>
          <w:rFonts w:ascii="Times New Roman" w:hAnsi="Times New Roman" w:cs="Times New Roman"/>
        </w:rPr>
        <w:t xml:space="preserve"> change</w:t>
      </w:r>
      <w:r w:rsidRPr="00F23463">
        <w:rPr>
          <w:rFonts w:ascii="Times New Roman" w:hAnsi="Times New Roman" w:cs="Times New Roman"/>
        </w:rPr>
        <w:t xml:space="preserve">. For example, there is increasing popularity of monthly campaigns whereby people try to abstain from substance use for a month, such as ‘Dry January’ for alcohol and ‘Stoptober’ for tobacco. Since the introduction of Stoptober by the Department of Health in 2012 </w:t>
      </w:r>
      <w:r w:rsidR="00FA098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{"citationID":"FXFtLRSS","properties":{"formattedCitation":"(Brown, Kotz, et al., 2014)","plainCitation":"(Brown, Kotz, et al., 2014)","noteIndex":0},"citationItems":[{"id":1128,"uris":["http://zotero.org/users/7873587/items/8XFFGH4W"],"itemData":{"id":1128,"type":"article-journal","abstract":"Background\nA national smoking cessation campaign based on behaviour change theory and operating through both traditional and new media was launched across England during late 2012 (‘Stoptober’). In addition to attempting to start a movement in which smokers would quit at the same time in response to a positive mass quitting trigger, the campaign set smokers the goal of being smoke-free for October and embodied other psychological principles in a range of tools and communications.\n\nMethods\nData on quit attempts were obtained from 31,566 past-year smokers during nationally representative household surveys conducted monthly between 2007 and 2012. The effectiveness of the campaign was assessed by the increase in national quit attempt rate in October relative to other months in 2012 vs. 2007–2011.\n\nResults\nRelative to other months in the year, more people tried to quit in October in 2012 compared with 2007–2011 (OR = 1.79, 95%CI = 1.20–2.68). In 2012 there was an approximately 50% increase in quitting during October compared with other months of the same year (9.6% vs. 6.6%; OR = 1.50, 95%CI = 1.05–2.15), whereas in 2007–2011 the rate in October was non-significantly less than in other months of the same period (6.4% vs. 7.5%; OR = 0.84, 95%CI = 0.70–1.00). Stoptober is estimated to have generated an additional 350,000 quit attempts and saved 10,400 discounted life years (DLY) at less than £415 per DLY in the modal age group.\n\nConclusions\nDesigning a national public health campaign with a clear behavioural target (making a serious quit attempt) using key psychological principles can yield substantial behaviour change and public health impact.","container-title":"Drug and Alcohol Dependence","DOI":"10.1016/j.drugalcdep.2013.11.003","ISSN":"0376-8716","journalAbbreviation":"Drug Alcohol Depend","note":"PMID: 24322004\nPMCID: PMC3929003","page":"52-58","source":"PubMed Central","title":"How effective and cost-effective was the national mass media smoking cessation campaign ‘Stoptober’?","volume":"135","author":[{"family":"Brown","given":"Jamie"},{"family":"Kotz","given":"Daniel"},{"family":"Michie","given":"Susan"},{"family":"Stapleton","given":"John"},{"family":"Walmsley","given":"Matthew"},{"family":"West","given":"Robert"}],"issued":{"date-parts":[["2014",2,1]]}}}],"schema":"https://github.com/citation-style-language/schema/raw/master/csl-citation.json"} </w:instrText>
      </w:r>
      <w:r w:rsidR="00FA098B">
        <w:rPr>
          <w:rFonts w:ascii="Times New Roman" w:hAnsi="Times New Roman" w:cs="Times New Roman"/>
        </w:rPr>
        <w:fldChar w:fldCharType="separate"/>
      </w:r>
      <w:r w:rsidR="00EE28C2" w:rsidRPr="00EE28C2">
        <w:rPr>
          <w:rFonts w:ascii="Times New Roman" w:hAnsi="Times New Roman" w:cs="Times New Roman"/>
        </w:rPr>
        <w:t>(Brown, Kotz, et al., 2014)</w:t>
      </w:r>
      <w:r w:rsidR="00FA098B">
        <w:rPr>
          <w:rFonts w:ascii="Times New Roman" w:hAnsi="Times New Roman" w:cs="Times New Roman"/>
        </w:rPr>
        <w:fldChar w:fldCharType="end"/>
      </w:r>
      <w:r w:rsidRPr="00F23463">
        <w:rPr>
          <w:rFonts w:ascii="Times New Roman" w:hAnsi="Times New Roman" w:cs="Times New Roman"/>
        </w:rPr>
        <w:t xml:space="preserve"> quit attempts during the October month have increased </w:t>
      </w:r>
      <w:r w:rsidR="00641D6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{"citationID":"RgEFEux9","properties":{"formattedCitation":"(Kuipers et al., 2019)","plainCitation":"(Kuipers et al., 2019)","noteIndex":0},"citationItems":[{"id":1137,"uris":["http://zotero.org/users/7873587/items/7PLUILRX"],"itemData":{"id":1137,"type":"article-journal","abstract":"Introduction\nSince 2012, England has an annual “Stoptober” campaign for collective smoking cessation. Our aim was to assess (1) overall impact of the Stoptober campaign on quit attempts over its first 6 years, (2) consistency of impact over the campaign years, and (3) the role of the campaign budget.\n\nMethods\nWe used data of 51 399 adult smokers and ex-smokers in 132 repeat cross-sectional monthly surveys in England, 2007–2017. In a quasiexperimental design, adjusted logistic regression analyses compared past-month quit attempt rate between (1) October and other months in the year, between 2007–2011 and 2012–2017; (2) October and other months, across years 2012–2017; and (3) October and other months, between high-budget (2012–2015) and low-budget Stoptober campaigns (2016–2017). Bayes factors (BF) differentiated insensitive data and absence of an effect.\n\nResults\n(1) In 2012–2017, quit attempts were more prevalent in October versus other months (odds ratio [OR]: 1.24, 95% confidence interval [CI]: 1.00 to 1.53), whereas similar in 2007–2011 (OR: 0.95, 95% CI: 0.76 to 1.18; BF = 0.2); data were somewhat insensitive but supported this difference (OR: 1.30, 95% CI: 0.97 to 1.75; BF = 2.1). (2) In 2012–2017, quit attempt prevalence ranged from 3.1% to 8.5% in October and 5.0% to 7.3% in other months. The difference between October and other months was large in 2012 (absolute unadjusted difference of 3.3%; OR: 1.92, 95% CI: 1.23 to 2.98) and 2015 (3.1%; OR: 1.84, 95% CI: 1.14 to 2.95), but small in 2013–2014 and 2016–2017 (0.36 &lt; BF &lt; 1.02). (3) Data were somewhat insensitive but supported interaction with campaign budget (OR: 1.50, 95% CI: 0.92 to 2.44; BF = 2.2).\n\nDiscussion\nIn 2012–2017, there appears to have been an increase in past-month quit attempts during October in England. The increase was inconsistent across Stoptober campaigns and appears to have been greater when the campaign budget was higher.\n\nImplications\nOver the first 6 years of Stoptober campaigns, there appears to have been an overall increase in past-month quit attempts during October in England, and the data imply that a sufficiently high budget contributes to greater impact of the Stoptober campaign. These findings encourage the further spread of the Stoptober campaign to other countries. Future research should clarify how increased quit attempts as a consequence of Stoptober translate into quit success and which of Stoptober’s ingredients were most important in increasing quit attempts, especially among vulnerable groups.","container-title":"Nicotine &amp; Tobacco Research","DOI":"10.1093/ntr/ntz108","ISSN":"1462-2203","issue":"9","journalAbbreviation":"Nicotine Tob Res","note":"PMID: 31246257\nPMCID: PMC7443602","page":"1453-1459","source":"PubMed Central","title":"Impact of the “Stoptober” smoking cessation campaign in England from 2012 to 2017: A quasiexperimental repeat cross-sectional study","title-short":"Impact of the “Stoptober” Smoking Cessation Campaign in England From 2012 to 2017","volume":"22","author":[{"family":"Kuipers","given":"Mirte A G"},{"family":"West","given":"Robert"},{"family":"Beard","given":"Emma V"},{"family":"Brown","given":"Jamie"}],"issued":{"date-parts":[["2019",6,27]]}}}],"schema":"https://github.com/citation-style-language/schema/raw/master/csl-citation.json"} </w:instrText>
      </w:r>
      <w:r w:rsidR="00641D68">
        <w:rPr>
          <w:rFonts w:ascii="Times New Roman" w:hAnsi="Times New Roman" w:cs="Times New Roman"/>
        </w:rPr>
        <w:fldChar w:fldCharType="separate"/>
      </w:r>
      <w:r w:rsidR="00641D68" w:rsidRPr="00641D68">
        <w:rPr>
          <w:rFonts w:ascii="Times New Roman" w:hAnsi="Times New Roman" w:cs="Times New Roman"/>
        </w:rPr>
        <w:t>(Kuipers et al., 2019)</w:t>
      </w:r>
      <w:r w:rsidR="00641D68">
        <w:rPr>
          <w:rFonts w:ascii="Times New Roman" w:hAnsi="Times New Roman" w:cs="Times New Roman"/>
        </w:rPr>
        <w:fldChar w:fldCharType="end"/>
      </w:r>
      <w:r w:rsidR="00641D68">
        <w:rPr>
          <w:rFonts w:ascii="Times New Roman" w:hAnsi="Times New Roman" w:cs="Times New Roman"/>
        </w:rPr>
        <w:t xml:space="preserve">. </w:t>
      </w:r>
      <w:r w:rsidRPr="00F23463">
        <w:rPr>
          <w:rFonts w:ascii="Times New Roman" w:hAnsi="Times New Roman" w:cs="Times New Roman"/>
        </w:rPr>
        <w:t xml:space="preserve">Furthermore, expenditure on mass-media campaigns such as Stoptober is associated with a higher successful quitting rate in people who attempt to stop smoking </w:t>
      </w:r>
      <w:r w:rsidR="00641D6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{"citationID":"NkcDEqYA","properties":{"formattedCitation":"(Kuipers et al., 2018)","plainCitation":"(Kuipers et al., 2018)","noteIndex":0},"citationItems":[{"id":1134,"uris":["http://zotero.org/users/7873587/items/NU8WYJ2T"],"itemData":{"id":1134,"type":"article-journal","abstract":"Background\nIt has been established that mass media campaigns can increase smoking cessation rates, but there is little direct evidence estimating associations between government expenditure on tobacco control mass media campaigns and smoking cessation. This study assessed the association over 8 years between mass media expenditure in England and quit attempts, smoking cessation and smoking prevalence.\n\nMethods\nAutoregressive integrated moving average modelling with exogenous variables (ARIMAX) was applied to monthly estimates from the Smoking Toolkit Study between June 2008 and February 2016. We assessed the association between the trends in mass media expenditure and (1) quit attempts in the last two months, (2) quit success among those who attempted to quit and (3) smoking prevalence. Analyses were adjusted for trends in weekly spending on tobacco by smokers, tobacco control policies and the use of established aids to cessation.\n\nResults\nMonthly spending on mass media campaigns ranged from nothing to £2.4 million, with a mean of £465 054. An increase in mass media expenditure of 10% of the monthly average was associated with a 0.51% increase (of the average) in success rates of quit attempts (95% CI 0.10% to 0.91%, p=0.014). No clear association was detected between changes in mass media expenditure and changes in quit attempt prevalence (β=–0.03, 95% CI –2.05% to 2.00%, p=0.979) or smoking prevalence (β=–0.03, 95% CI –0.09% to 0.03%, p=0.299).\n\nConclusion\nBetween 2008 and 2016, higher monthly expenditure on tobacco control mass media campaigns in England was associated with higher quit success rates.","container-title":"Tobacco Control","DOI":"10.1136/tobaccocontrol-2017-053662","ISSN":"0964-4563","issue":"4","journalAbbreviation":"Tob Control","note":"PMID: 28667091\nPMCID: PMC6047146","page":"455-462","source":"PubMed Central","title":"Associations between tobacco control mass media campaign expenditure and smoking prevalence and quitting in England: a time series analysis","title-short":"Associations between tobacco control mass media campaign expenditure and smoking prevalence and quitting in England","volume":"27","author":[{"family":"Kuipers","given":"Mirte A G"},{"family":"Beard","given":"Emma"},{"family":"West","given":"Robert"},{"family":"Brown","given":"Jamie"}],"issued":{"date-parts":[["2018",7]]}}}],"schema":"https://github.com/citation-style-language/schema/raw/master/csl-citation.json"} </w:instrText>
      </w:r>
      <w:r w:rsidR="00641D68">
        <w:rPr>
          <w:rFonts w:ascii="Times New Roman" w:hAnsi="Times New Roman" w:cs="Times New Roman"/>
        </w:rPr>
        <w:fldChar w:fldCharType="separate"/>
      </w:r>
      <w:r w:rsidR="00641D68" w:rsidRPr="00641D68">
        <w:rPr>
          <w:rFonts w:ascii="Times New Roman" w:hAnsi="Times New Roman" w:cs="Times New Roman"/>
        </w:rPr>
        <w:t>(Kuipers et al., 2018)</w:t>
      </w:r>
      <w:r w:rsidR="00641D68">
        <w:rPr>
          <w:rFonts w:ascii="Times New Roman" w:hAnsi="Times New Roman" w:cs="Times New Roman"/>
        </w:rPr>
        <w:fldChar w:fldCharType="end"/>
      </w:r>
      <w:r w:rsidR="00641D68">
        <w:rPr>
          <w:rFonts w:ascii="Times New Roman" w:hAnsi="Times New Roman" w:cs="Times New Roman"/>
        </w:rPr>
        <w:t xml:space="preserve">. </w:t>
      </w:r>
      <w:r w:rsidRPr="00F23463">
        <w:rPr>
          <w:rFonts w:ascii="Times New Roman" w:hAnsi="Times New Roman" w:cs="Times New Roman"/>
        </w:rPr>
        <w:t xml:space="preserve">Participating in Dry January has been found to help reduce alcohol consumption and increase psychological and physiological well-being </w:t>
      </w:r>
      <w:r w:rsidR="00D4186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{"citationID":"UCK4tVdm","properties":{"formattedCitation":"(Ballard, 2016; de Visser et al., 2016; de Visser &amp; Nicholls, 2020; de Visser &amp; Piper, 2020)","plainCitation":"(Ballard, 2016; de Visser et al., 2016; de Visser &amp; Nicholls, 2020; de Visser &amp; Piper, 2020)","noteIndex":0},"citationItems":[{"id":1140,"uris":["http://zotero.org/users/7873587/items/GMJEPNWP"],"itemData":{"id":1140,"type":"article-journal","container-title":"The British Journal of General Practice","DOI":"10.3399/bjgp16X683173","ISSN":"0960-1643","issue":"642","journalAbbreviation":"Br J Gen Pract","note":"PMID: 26719465\nPMCID: PMC4684010","page":"32","source":"PubMed Central","title":"What is Dry January?","volume":"66","author":[{"family":"Ballard","given":"Jackie"}],"issued":{"date-parts":[["2016",1]]}},"label":"page"},{"id":1153,"uris":["http://zotero.org/users/7873587/items/I8C39ME4"],"itemData":{"id":1153,"type":"article-journal","abstract":"Objective: Research suggests that temporary abstinence from alcohol may convey physiological benefits and enhance well-being. The aim of this study was to address a lack of information about: (a) correlates of successful completion of a planned period of abstinence, and (b) how success or failure in planned abstinence affects subsequent alcohol consumption. Method: 857 British adults (249 men, 608 women) participating in the “Dry January” alcohol abstinence challenge completed a baseline questionnaire, a 1-month follow-up questionnaire, and a 6-month follow-up questionnaire. Key variables assessed at baseline included measures of alcohol consumption and drink refusal self-efficacy (DRSE). Results: In bivariate analysis, success during Dry January was predicted by measures of more moderate alcohol consumption and greater social DRSE at baseline. Multivariate analyses revealed that success during Dry January was best predicted by a lower frequency of drunkenness in the month prior to Dry January. Structural equation modeling revealed that participation in Dry January was related to reductions in alcohol consumption and increases in DRSE among all respondents at 6-month follow-up, regardless of success, but indicated that these changes were more likely among people who successfully completed the challenge. Conclusions: The findings suggest that participation in abstinence challenges such as Dry January may be associated with changes toward healthier drinking and greater DRSE, and is unlikely to result in undesirable “rebound effects”: very few people reported increased alcohol consumption following a period of voluntary abstinence. (PsycInfo Database Record (c) 2020 APA, all rights reserved)","container-title":"Health Psychology","DOI":"10.1037/hea0000297","ISSN":"1930-7810","issue":"3","note":"publisher-place: US\npublisher: American Psychological Association","page":"281-289","source":"APA PsycNet","title":"Voluntary temporary abstinence from alcohol during “Dry January” and subsequent alcohol use","volume":"35","author":[{"family":"Visser","given":"Richard O.","non-dropping-particle":"de"},{"family":"Robinson","given":"Emily"},{"family":"Bond","given":"Rod"}],"issued":{"date-parts":[["2016"]]}},"label":"act"},{"id":1143,"uris":["http://zotero.org/users/7873587/items/U337ZKY7"],"itemData":{"id":1143,"type":"article-journal","abstract":"Background: Temporary alcohol abstinence conveys physiological benefits. Less well-known are its effects on well-being and general self-efficacy (GSE), and how use of support during alcohol abstinence challenges affects success rates. Methods: In this study, 4232 adults participating in ‘Dry January’ completed a baseline questionnaire and a 1-month follow-up questionnaire. Key follow-up variables related to whether respondents completed the abstinence challenge, their use of support provided by Dry January, and changes in well-being and GSE. Analyses also examined whether well-being and GSE explained variance in the likelihood of completing Dry January not accounted for by other variables known to be associated with successful attempts at Dry January. Results: Participation in Dry January was associated with increases in well-being and GSE among all respondents: these changes were larger among people who successfully completed the challenge. In multivariate analysis, greater use of email support was a significant independent correlate of completing Dry January. Conclusions: This paper adds to growing evidence that support provided through organised abstinence challenges is associated with changes in beliefs linked to harmful drinking. However, there is a need for further research to help us to understand what forms of support are most effective for different drinkers. (PsycInfo Database Record (c) 2022 APA, all rights reserved)","container-title":"Psychology &amp; Health","DOI":"10.1080/08870446.2020.1743840","ISSN":"1476-8321","issue":"11","note":"publisher-place: United Kingdom\npublisher: Taylor &amp; Francis","page":"1293-1305","source":"APA PsycNet","title":"Temporary abstinence during Dry January: Predictors of success; impact on well-being and self-efficacy","title-short":"Temporary abstinence during Dry January","volume":"35","author":[{"family":"Visser","given":"Richard O.","non-dropping-particle":"de"},{"family":"Nicholls","given":"James"}],"issued":{"date-parts":[["2020"]]}},"label":"act"},{"id":1151,"uris":["http://zotero.org/users/7873587/items/E8YHSQG6"],"itemData":{"id":1151,"type":"article-journal","abstract":"The alcohol abstinence challenge ‘Dry January’ continues to grow, but there is a lack of knowledge of how Dry January participants compare to the general population. There is also a need to determine whether benefits experienced by Dry January participants are unique to that group or are also observed among other people.We conducted a prospective cohort study using online questionnaires in early January, February and August 2019. We compared 1192 Dry January participants and 1549 adult drinkers who did not attempt to abstain from alcohol. Key outcomes were self-rated physical health, psychological well-being (Warwick–Edinburgh Mental Well-Being Scale), control over drinking (Drink Refusal Self-Efficacy Scale (DRSE)) and alcohol intake (Alcohol Use Disorders Identification Test–Consumption (AUDIT-C) subscale). Baseline differences in demographic and alcohol consumption variables were included as covariates in between-group analyses.Dry January participants had higher SES, poorer well-being, higher AUDIT-C scores and less control over their drinking than the general population. Beneficial changes in health, WEMWBS, DRSE and AUDIT-C observed among people completing Dry January were not observed among other adult drinkers.Dry January appears to attract people who are heavier drinkers than the general population and who are more concerned about their alcohol intake. Completion of Dry January is associated with short- and longer-term benefits to well-being that are not observed in the general population.","container-title":"Alcohol and Alcoholism","DOI":"10.1093/alcalc/agaa025","ISSN":"0735-0414","issue":"4","journalAbbreviation":"Alcohol and Alcoholism","page":"433-438","source":"Silverchair","title":"Short- and longer-term benefits of temporary alcohol abstinence during ‘Dry January’ are not also observed among adult drinkers in the general population: Prospective cohort study","title-short":"Short- and Longer-Term Benefits of Temporary Alcohol Abstinence During ‘Dry January’ Are Not Also Observed Among Adult Drinkers in the General Population","volume":"55","author":[{"family":"Visser","given":"Richard O","non-dropping-particle":"de"},{"family":"Piper","given":"Richard"}],"issued":{"date-parts":[["2020",6,25]]}},"label":"act"}],"schema":"https://github.com/citation-style-language/schema/raw/master/csl-citation.json"} </w:instrText>
      </w:r>
      <w:r w:rsidR="00D4186D">
        <w:rPr>
          <w:rFonts w:ascii="Times New Roman" w:hAnsi="Times New Roman" w:cs="Times New Roman"/>
        </w:rPr>
        <w:fldChar w:fldCharType="separate"/>
      </w:r>
      <w:r w:rsidR="00D4186D" w:rsidRPr="00D4186D">
        <w:rPr>
          <w:rFonts w:ascii="Times New Roman" w:hAnsi="Times New Roman" w:cs="Times New Roman"/>
        </w:rPr>
        <w:t>(Ballard, 2016; de Visser et al., 2016; de Visser &amp; Nicholls, 2020; de Visser &amp; Piper, 2020)</w:t>
      </w:r>
      <w:r w:rsidR="00D4186D">
        <w:rPr>
          <w:rFonts w:ascii="Times New Roman" w:hAnsi="Times New Roman" w:cs="Times New Roman"/>
        </w:rPr>
        <w:fldChar w:fldCharType="end"/>
      </w:r>
      <w:r w:rsidR="00D4186D">
        <w:rPr>
          <w:rFonts w:ascii="Times New Roman" w:hAnsi="Times New Roman" w:cs="Times New Roman"/>
        </w:rPr>
        <w:t xml:space="preserve">. </w:t>
      </w:r>
      <w:r w:rsidRPr="00F23463">
        <w:rPr>
          <w:rFonts w:ascii="Times New Roman" w:hAnsi="Times New Roman" w:cs="Times New Roman"/>
        </w:rPr>
        <w:t xml:space="preserve">However, a limitation of existing research is that it suffers from selection bias: participants recruited were already motivated to cut down and therefore this makes it difficult to distinguish whether the beneficial changes are the result of pre-motivation or the period of abstinence from drinking. Although the long-term effects of cutting down alcohol consumption for a month are yet to be empirically tested, promising advances have been made towards establishing feasible methodology to do so </w:t>
      </w:r>
      <w:r w:rsidR="00D418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{"citationID":"opdHitTL","properties":{"formattedCitation":"(Field, Puddephatt, et al., 2020)","plainCitation":"(Field, Puddephatt, et al., 2020)","noteIndex":0},"citationItems":[{"id":1156,"uris":["http://zotero.org/users/7873587/items/HI7FA5AR"],"itemData":{"id":1156,"type":"article-journal","abstract":"Participation in temporary alcohol abstinence campaigns such as ‘Dry January’ may prompt enduring reductions in alcohol consumption. A randomized controlled trial (RCT) is required to establish any long-term benefits or negative consequences of temporary abstinence. In the present study, we randomized heavy drinkers to complete or intermittent alcohol abstinence for 4 weeks, in order to evaluate the feasibility of conducting a large-scale RCT.","container-title":"Pilot and Feasibility Studies","DOI":"10.1186/s40814-020-0554-y","ISSN":"2055-5784","issue":"1","journalAbbreviation":"Pilot and Feasibility Studies","page":"9","source":"BioMed Central","title":"Benefits of temporary alcohol restriction: a feasibility randomized trial","title-short":"Benefits of temporary alcohol restriction","volume":"6","author":[{"family":"Field","given":"Matt"},{"family":"Puddephatt","given":"Jo-Anne"},{"family":"Goodwin","given":"Laura"},{"family":"Owens","given":"Lynn"},{"family":"Reaves","given":"Danielle"},{"family":"Holmes","given":"John"}],"issued":{"date-parts":[["2020",1,31]]}}}],"schema":"https://github.com/citation-style-language/schema/raw/master/csl-citation.json"} </w:instrText>
      </w:r>
      <w:r w:rsidR="00D4186D">
        <w:rPr>
          <w:rFonts w:ascii="Times New Roman" w:hAnsi="Times New Roman" w:cs="Times New Roman"/>
        </w:rPr>
        <w:fldChar w:fldCharType="separate"/>
      </w:r>
      <w:r w:rsidR="00D4186D" w:rsidRPr="00D4186D">
        <w:rPr>
          <w:rFonts w:ascii="Times New Roman" w:hAnsi="Times New Roman" w:cs="Times New Roman"/>
        </w:rPr>
        <w:t>(Field, Puddephatt, et al., 2020)</w:t>
      </w:r>
      <w:r w:rsidR="00D4186D">
        <w:rPr>
          <w:rFonts w:ascii="Times New Roman" w:hAnsi="Times New Roman" w:cs="Times New Roman"/>
        </w:rPr>
        <w:fldChar w:fldCharType="end"/>
      </w:r>
      <w:r w:rsidRPr="00F23463">
        <w:rPr>
          <w:rFonts w:ascii="Times New Roman" w:hAnsi="Times New Roman" w:cs="Times New Roman"/>
        </w:rPr>
        <w:t xml:space="preserve">. It is important to note that the campaign Dry January is not intended as an intervention for people with AUD, but rather, has an aim to help people to reset their relationship with drinking </w:t>
      </w:r>
      <w:r w:rsidR="00D418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{"citationID":"Wxyjyj6L","properties":{"formattedCitation":"(Ballard, 2016)","plainCitation":"(Ballard, 2016)","noteIndex":0},"citationItems":[{"id":1140,"uris":["http://zotero.org/users/7873587/items/GMJEPNWP"],"itemData":{"id":1140,"type":"article-journal","container-title":"The British Journal of General Practice","DOI":"10.3399/bjgp16X683173","ISSN":"0960-1643","issue":"642","journalAbbreviation":"Br J Gen Pract","note":"PMID: 26719465\nPMCID: PMC4684010","page":"32","source":"PubMed Central","title":"What is Dry January?","volume":"66","author":[{"family":"Ballard","given":"Jackie"}],"issued":{"date-parts":[["2016",1]]}}}],"schema":"https://github.com/citation-style-language/schema/raw/master/csl-citation.json"} </w:instrText>
      </w:r>
      <w:r w:rsidR="00D4186D">
        <w:rPr>
          <w:rFonts w:ascii="Times New Roman" w:hAnsi="Times New Roman" w:cs="Times New Roman"/>
        </w:rPr>
        <w:fldChar w:fldCharType="separate"/>
      </w:r>
      <w:r w:rsidR="00D4186D" w:rsidRPr="00D4186D">
        <w:rPr>
          <w:rFonts w:ascii="Times New Roman" w:hAnsi="Times New Roman" w:cs="Times New Roman"/>
        </w:rPr>
        <w:t>(Ballard, 2016)</w:t>
      </w:r>
      <w:r w:rsidR="00D4186D">
        <w:rPr>
          <w:rFonts w:ascii="Times New Roman" w:hAnsi="Times New Roman" w:cs="Times New Roman"/>
        </w:rPr>
        <w:fldChar w:fldCharType="end"/>
      </w:r>
      <w:r w:rsidR="00D4186D">
        <w:rPr>
          <w:rFonts w:ascii="Times New Roman" w:hAnsi="Times New Roman" w:cs="Times New Roman"/>
        </w:rPr>
        <w:t>.</w:t>
      </w:r>
      <w:r w:rsidRPr="00F23463">
        <w:rPr>
          <w:rFonts w:ascii="Times New Roman" w:hAnsi="Times New Roman" w:cs="Times New Roman"/>
        </w:rPr>
        <w:t xml:space="preserve"> As well as campaigns, there are likely a variety of other factors that contribute to behaviour change, including modifications in tobacco policy</w:t>
      </w:r>
      <w:r w:rsidR="0053552C">
        <w:rPr>
          <w:rFonts w:ascii="Times New Roman" w:hAnsi="Times New Roman" w:cs="Times New Roman"/>
        </w:rPr>
        <w:t xml:space="preserve"> </w:t>
      </w:r>
      <w:r w:rsidRPr="00F23463">
        <w:rPr>
          <w:rFonts w:ascii="Times New Roman" w:hAnsi="Times New Roman" w:cs="Times New Roman"/>
        </w:rPr>
        <w:t>such as increas</w:t>
      </w:r>
      <w:r w:rsidR="00D4186D">
        <w:rPr>
          <w:rFonts w:ascii="Times New Roman" w:hAnsi="Times New Roman" w:cs="Times New Roman"/>
        </w:rPr>
        <w:t>ed financial</w:t>
      </w:r>
      <w:r w:rsidRPr="00F23463">
        <w:rPr>
          <w:rFonts w:ascii="Times New Roman" w:hAnsi="Times New Roman" w:cs="Times New Roman"/>
        </w:rPr>
        <w:t xml:space="preserve"> price </w:t>
      </w:r>
      <w:r w:rsidR="0053552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{"citationID":"lvRN8XXA","properties":{"formattedCitation":"(HM Revenue &amp; Customs, 2021)","plainCitation":"(HM Revenue &amp; Customs, 2021)","noteIndex":0},"citationItems":[{"id":1159,"uris":["http://zotero.org/users/7873587/items/XFWY3SRY"],"itemData":{"id":1159,"type":"webpage","container-title":"GOV.UK","language":"en","title":"Changes to tobacco duty rates","URL":"https://www.gov.uk/government/publications/changes-to-tobacco-duty-rates/changes-to-tobacco-duty-rates","author":[{"literal":"HM Revenue &amp; Customs"}],"accessed":{"date-parts":[["2022",8,1]]},"issued":{"date-parts":[["2021"]]}}}],"schema":"https://github.com/citation-style-language/schema/raw/master/csl-citation.json"} </w:instrText>
      </w:r>
      <w:r w:rsidR="0053552C">
        <w:rPr>
          <w:rFonts w:ascii="Times New Roman" w:hAnsi="Times New Roman" w:cs="Times New Roman"/>
        </w:rPr>
        <w:fldChar w:fldCharType="separate"/>
      </w:r>
      <w:r w:rsidR="0053552C" w:rsidRPr="0053552C">
        <w:rPr>
          <w:rFonts w:ascii="Times New Roman" w:hAnsi="Times New Roman" w:cs="Times New Roman"/>
        </w:rPr>
        <w:t>(HM Revenue &amp; Customs, 2021)</w:t>
      </w:r>
      <w:r w:rsidR="0053552C">
        <w:rPr>
          <w:rFonts w:ascii="Times New Roman" w:hAnsi="Times New Roman" w:cs="Times New Roman"/>
        </w:rPr>
        <w:fldChar w:fldCharType="end"/>
      </w:r>
      <w:r w:rsidRPr="00F23463">
        <w:rPr>
          <w:rFonts w:ascii="Times New Roman" w:hAnsi="Times New Roman" w:cs="Times New Roman"/>
        </w:rPr>
        <w:t xml:space="preserve">, </w:t>
      </w:r>
      <w:r w:rsidR="00D4186D">
        <w:rPr>
          <w:rFonts w:ascii="Times New Roman" w:hAnsi="Times New Roman" w:cs="Times New Roman"/>
        </w:rPr>
        <w:t xml:space="preserve">strict </w:t>
      </w:r>
      <w:r w:rsidRPr="00F23463">
        <w:rPr>
          <w:rFonts w:ascii="Times New Roman" w:hAnsi="Times New Roman" w:cs="Times New Roman"/>
        </w:rPr>
        <w:t xml:space="preserve">sale restrictions (e.g., </w:t>
      </w:r>
      <w:r w:rsidR="00BE13AF">
        <w:rPr>
          <w:rFonts w:ascii="Times New Roman" w:hAnsi="Times New Roman" w:cs="Times New Roman"/>
        </w:rPr>
        <w:t xml:space="preserve">minimum of </w:t>
      </w:r>
      <w:r w:rsidRPr="00F23463">
        <w:rPr>
          <w:rFonts w:ascii="Times New Roman" w:hAnsi="Times New Roman" w:cs="Times New Roman"/>
        </w:rPr>
        <w:t xml:space="preserve">20 cigarettes or 30 grams of tobacco; </w:t>
      </w:r>
      <w:r w:rsidR="00BE13A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{"citationID":"9ED6fRjT","properties":{"formattedCitation":"(Opazo Breton et al., 2020)","plainCitation":"(Opazo Breton et al., 2020)","dontUpdate":true,"noteIndex":0},"citationItems":[{"id":1161,"uris":["http://zotero.org/users/7873587/items/5A9EB7CH"],"itemData":{"id":1161,"type":"article-journal","abstract":"Background Plain packaging and minimum pack size legislation for tobacco products was introduced in the UK in May 2016, with a 1-year sell-off period until May 2017, during which both fully branded and plain packs of various sizes were legally available. This study investigates trends in prices of roll-your-own tobacco (RYO) before, during and after implementation of this legislation, and compares trends with those observed in the cigarette market.\nMethods We used Nielsen Scantrack data for the period from March 2013 to June 2018 to describe trends in UK inflation-adjusted prices and volumes of both RYO and cigarettes, and linear regression to estimate changes in prices associated with the introduction of plain packaging and the minimum pack sizes of 30 g RYO and 20 cigarettes.\nResults In contrast to a downward trend in cigarette sales volumes, RYO volumes rose throughout the study period. By the time plain packs accounted for 75% or more of sales, the average price of products sold in equivalent pack sizes had increased, relative to average prices in the year before implementation and with adjustment for tax changes, from 34.9 to 38.8 pence per gram for RYO (mean difference 4.26, 95% CI 3.99 to 4.53 pence, 12% increase), and from 38.6 to 41.13 pence for cigarettes (mean difference 2.53, 95% CI 2.24 to 2.83 pence, 7% increase) per cigarette.\nConclusions New legislation resulted in higher prices for RYO and manufactured cigarettes. However, sales volumes of RYO continued to increase throughout the study period, perhaps because RYO remains a less expensive means of smoking tobacco.","container-title":"Tobacco Control","DOI":"10.1136/tobaccocontrol-2018-054734","ISSN":"0964-4563, 1468-3318","issue":"3","language":"en","license":"© Author(s) (or their employer(s)) 2020. Re-use permitted under CC BY. Published by BMJ.. https://creativecommons.org/licenses/by/4.0/This is an open access article distributed in accordance with the Creative Commons Attribution 4.0 Unported (CC BY 4.0) license, which permits others to copy, redistribute, remix, transform and build upon this work for any purpose, provided the original work is properly cited, a link to the licence is given, and indication of whether changes were made. See: https://creativecommons.org/licenses/by/4.0/.","note":"publisher: BMJ Publishing Group Ltd\nsection: Original research\nPMID: 31073097","page":"263-268","source":"tobaccocontrol.bmj.com","title":"Changes in roll-your-own tobacco and cigarette sales volume and prices before, during and after plain packaging legislation in the UK","volume":"29","author":[{"family":"Opazo Breton","given":"Magdalena"},{"family":"Britton","given":"John"},{"family":"Bogdanovica","given":"Ilze"}],"issued":{"date-parts":[["2020",5,1]]}}}],"schema":"https://github.com/citation-style-language/schema/raw/master/csl-citation.json"} </w:instrText>
      </w:r>
      <w:r w:rsidR="00BE13AF">
        <w:rPr>
          <w:rFonts w:ascii="Times New Roman" w:hAnsi="Times New Roman" w:cs="Times New Roman"/>
        </w:rPr>
        <w:fldChar w:fldCharType="separate"/>
      </w:r>
      <w:r w:rsidR="00BE13AF" w:rsidRPr="00BE13AF">
        <w:rPr>
          <w:rFonts w:ascii="Times New Roman" w:hAnsi="Times New Roman" w:cs="Times New Roman"/>
        </w:rPr>
        <w:t>Opazo Breton et al., 2020)</w:t>
      </w:r>
      <w:r w:rsidR="00BE13AF">
        <w:rPr>
          <w:rFonts w:ascii="Times New Roman" w:hAnsi="Times New Roman" w:cs="Times New Roman"/>
        </w:rPr>
        <w:fldChar w:fldCharType="end"/>
      </w:r>
      <w:r w:rsidRPr="00F23463">
        <w:rPr>
          <w:rFonts w:ascii="Times New Roman" w:hAnsi="Times New Roman" w:cs="Times New Roman"/>
        </w:rPr>
        <w:t xml:space="preserve">, verbal and pictorial health warnings </w:t>
      </w:r>
      <w:r w:rsidR="00BE13A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{"citationID":"iSxPheQT","properties":{"formattedCitation":"(Department of Health &amp; Social Care, 2021)","plainCitation":"(Department of Health &amp; Social Care, 2021)","noteIndex":0},"citationItems":[{"id":1165,"uris":["http://zotero.org/users/7873587/items/EG6FE3Z9"],"itemData":{"id":1165,"type":"webpage","container-title":"GOV.UK","language":"en","title":"Changes to packaging requirements for tobacco products","title-short":"Changes to packaging requirements for tobacco products","URL":"https://www.gov.uk/government/publications/packaging-of-tobacco-products/packaging-requirements-for-tobacco-products","author":[{"literal":"Department of Health &amp; Social Care"}],"accessed":{"date-parts":[["2022",8,1]]},"issued":{"date-parts":[["2021"]]}}}],"schema":"https://github.com/citation-style-language/schema/raw/master/csl-citation.json"} </w:instrText>
      </w:r>
      <w:r w:rsidR="00BE13AF">
        <w:rPr>
          <w:rFonts w:ascii="Times New Roman" w:hAnsi="Times New Roman" w:cs="Times New Roman"/>
        </w:rPr>
        <w:fldChar w:fldCharType="separate"/>
      </w:r>
      <w:r w:rsidR="00BE13AF" w:rsidRPr="00BE13AF">
        <w:rPr>
          <w:rFonts w:ascii="Times New Roman" w:hAnsi="Times New Roman" w:cs="Times New Roman"/>
        </w:rPr>
        <w:t>(Department of Health &amp; Social Care, 2021)</w:t>
      </w:r>
      <w:r w:rsidR="00BE13AF">
        <w:rPr>
          <w:rFonts w:ascii="Times New Roman" w:hAnsi="Times New Roman" w:cs="Times New Roman"/>
        </w:rPr>
        <w:fldChar w:fldCharType="end"/>
      </w:r>
      <w:r w:rsidR="00BE13AF">
        <w:rPr>
          <w:rFonts w:ascii="Times New Roman" w:hAnsi="Times New Roman" w:cs="Times New Roman"/>
        </w:rPr>
        <w:t xml:space="preserve">, </w:t>
      </w:r>
      <w:r w:rsidRPr="00F23463">
        <w:rPr>
          <w:rFonts w:ascii="Times New Roman" w:hAnsi="Times New Roman" w:cs="Times New Roman"/>
        </w:rPr>
        <w:t>and the ban on smoking in</w:t>
      </w:r>
      <w:r w:rsidR="00581C6F">
        <w:rPr>
          <w:rFonts w:ascii="Times New Roman" w:hAnsi="Times New Roman" w:cs="Times New Roman"/>
        </w:rPr>
        <w:t>side</w:t>
      </w:r>
      <w:r w:rsidRPr="00F23463">
        <w:rPr>
          <w:rFonts w:ascii="Times New Roman" w:hAnsi="Times New Roman" w:cs="Times New Roman"/>
        </w:rPr>
        <w:t xml:space="preserve"> public places</w:t>
      </w:r>
      <w:r w:rsidR="00581C6F">
        <w:rPr>
          <w:rFonts w:ascii="Times New Roman" w:hAnsi="Times New Roman" w:cs="Times New Roman"/>
        </w:rPr>
        <w:t xml:space="preserve"> </w:t>
      </w:r>
      <w:r w:rsidR="00581C6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{"citationID":"BYqqfKsQ","properties":{"formattedCitation":"(Tattan-Birch &amp; Jarvis, 2022)","plainCitation":"(Tattan-Birch &amp; Jarvis, 2022)","noteIndex":0},"citationItems":[{"id":1167,"uris":["http://zotero.org/users/7873587/items/8QV2MLQL"],"itemData":{"id":1167,"type":"article-journal","abstract":"Background\nWe aimed to investigate trends in children's exposure to second-hand tobacco smoke in England from 1998 to 2018.\nMethods\nWe used twenty-one years of data from the Health Survey for England, a yearly repeated cross-sectional population study. A total of 49,460 children participated between 1998 and 2018, of whom 17,463 were biochemically confirmed non-smokers aged 4-15. We examined changes in (i) the proportion of children living in reported smoke-free homes and (ii) second-hand smoke uptake, measured quantitatively using saliva cotinine concentration.\nFindings\nThe percentage of children living in a home reported to be smoke-free increased from 63.0% (95% CI 60.5%-65.2%) in 1998 to 93.3% (91.8%-94.6%) in 2018. This increase was most pronounced among children with a smoker parent, rising from 17.1% (14.7%-19.8%) to 75.9% (70.8%-80.4%). Segmented regression showed that the rate of adoption of smoke-free homes accelerated leading up to the 2007 ban on smoking in public places, growing most rapidly in the four years after its entry into law. Between 1998 and 2018, there was a ten-fold decline in geometric mean cotinine among non-smoking children, from 0.50 ng/ml (0.46-0.56) to 0.05 ng/ml (0.04-0.06). A total of 65.0% (61.2%-68.6%) of children had undetectable cotinine in 2018, up from 14.3% (12.7%-16.0%) in 1998. Children living in rented accommodation were more exposed than those from owner-occupied households, but they experienced similar relative declines across years.\nInterpretation\nCotinine data show that children's exposure to second-hand smoke has fallen by some 90% since 1998, with an apparent acceleration in adoption of smoke-free homes since the 2007 ban on smoking in public places. A norm has emerged that sees smoking in the home as inappropriate, almost universally where parents are non-smokers, but also increasingly among smoking parents.\nFunding\nPublic Health England, now the Office for Health Improvement and Disparities, and Cancer Research UK.","container-title":"The Lancet Regional Health - Europe","DOI":"10.1016/j.lanepe.2022.100315","ISSN":"2666-7762","journalAbbreviation":"The Lancet Regional Health - Europe","language":"en","page":"100315","source":"ScienceDirect","title":"Children's exposure to second-hand smoke 10 years on from smoke-free legislation in England: Cotinine data from the Health Survey for England 1998-2018","title-short":"Children's exposure to second-hand smoke 10 years on from smoke-free legislation in England","volume":"15","author":[{"family":"Tattan-Birch","given":"Harry"},{"family":"Jarvis","given":"Martin J."}],"issued":{"date-parts":[["2022",4,1]]}}}],"schema":"https://github.com/citation-style-language/schema/raw/master/csl-citation.json"} </w:instrText>
      </w:r>
      <w:r w:rsidR="00581C6F">
        <w:rPr>
          <w:rFonts w:ascii="Times New Roman" w:hAnsi="Times New Roman" w:cs="Times New Roman"/>
        </w:rPr>
        <w:fldChar w:fldCharType="separate"/>
      </w:r>
      <w:r w:rsidR="00581C6F" w:rsidRPr="00581C6F">
        <w:rPr>
          <w:rFonts w:ascii="Times New Roman" w:hAnsi="Times New Roman" w:cs="Times New Roman"/>
        </w:rPr>
        <w:t>(Tattan-Birch &amp; Jarvis, 2022)</w:t>
      </w:r>
      <w:r w:rsidR="00581C6F">
        <w:rPr>
          <w:rFonts w:ascii="Times New Roman" w:hAnsi="Times New Roman" w:cs="Times New Roman"/>
        </w:rPr>
        <w:fldChar w:fldCharType="end"/>
      </w:r>
      <w:r w:rsidRPr="00F23463">
        <w:rPr>
          <w:rFonts w:ascii="Times New Roman" w:hAnsi="Times New Roman" w:cs="Times New Roman"/>
        </w:rPr>
        <w:t xml:space="preserve">. Changes are </w:t>
      </w:r>
      <w:r w:rsidR="00AB44E7">
        <w:rPr>
          <w:rFonts w:ascii="Times New Roman" w:hAnsi="Times New Roman" w:cs="Times New Roman"/>
        </w:rPr>
        <w:t>continuously</w:t>
      </w:r>
      <w:r w:rsidRPr="00F23463">
        <w:rPr>
          <w:rFonts w:ascii="Times New Roman" w:hAnsi="Times New Roman" w:cs="Times New Roman"/>
        </w:rPr>
        <w:t xml:space="preserve"> being made in attempt to divert future smokers</w:t>
      </w:r>
      <w:r w:rsidR="00581C6F">
        <w:rPr>
          <w:rFonts w:ascii="Times New Roman" w:hAnsi="Times New Roman" w:cs="Times New Roman"/>
        </w:rPr>
        <w:t xml:space="preserve">; </w:t>
      </w:r>
      <w:r w:rsidRPr="00F23463">
        <w:rPr>
          <w:rFonts w:ascii="Times New Roman" w:hAnsi="Times New Roman" w:cs="Times New Roman"/>
        </w:rPr>
        <w:t xml:space="preserve">menthol cigarettes which have a less harsh taste have been banned since May 2020 </w:t>
      </w:r>
      <w:r w:rsidR="004D2F65">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{"citationID":"0wxIOzEs","properties":{"formattedCitation":"(East et al., 2022)","plainCitation":"(East et al., 2022)","noteIndex":0},"citationItems":[{"id":1170,"uris":["http://zotero.org/users/7873587/items/ZIR4G9BN"],"itemData":{"id":1170,"type":"article-journal","abstract":"Importance: Menthol cigarettes were prohibited in England in May 2020 and nationally in Canada in October 2017 but remain permitted in the US. Evidence on the outcomes of menthol cigarette bans among youth outside of Canada, and the characteristics of youth smokers, is lacking.\nObjectives: To evaluate the outcomes of menthol cigarette bans on youth menthol cigarette smoking and to characterize youth menthol cigarette smokers in terms of demographics and cigarette consumption and dependence.\nDesign, Setting, and Participants: This survey study uses data from online repeat cross-sectional International Tobacco Control Youth Tobacco and Vaping Surveys conducted in 2018, 2019, February 2020, and August 2020. Participants included past 30-day smokers aged 16 to 19 years. Data analysis was performed from March 2021 to January 2022.\nMain Outcomes and Measures: Usually smoke a brand of cigarettes that was menthol, including capsule.\nExposures: Menthol cigarette ban, comparing 3 countries over time: Canada, where a ban already existed, England, where a ban was implemented during the study, and the US, where no national ban was present. Age, sex, race, and consumption and dependence were also examined by menthol smoking in each country, and in England before vs after the ban.\nResults: The analytical sample comprised 7067 participants aged 16 to 19 years, of whom 4129 were female and 5019 were White. In England, the weighted percentage of youth smokers who reported smoking a menthol or capsule cigarette brand was stable in the 3 survey waves before the menthol ban (2018 to February 2020, 9.4% vs 12.1%; adjusted odds ratio [AOR], 1.03; 95% CI, 0.99-1.06; P = .15) but decreased to 3.0% after the ban (February 2020 vs August 2020, AOR, 1.07; 95% CI, 1.04-1.10; P &lt; .001). The decrease between February and August 2020 in England was similar across all demographic groups but was greater among youth who perceived themselves as addicted to cigarettes (AOR, 0.37; 95% CI, 0.41-0.97; P = .04). In the 2 comparison countries, menthol or capsule smoking was stable across all waves (2018 to August 2020: US, 33.6%-36.9%; Canada, 3.1%-2.3%) and was more prevalent in the US than in England (AOR, 5.58; 95% CI, 4.63-6.72; P &lt; .001). Menthol or capsule smoking was also more prevalent among smokers in England who were female vs male (10.9% vs 7.2%; AOR, 1.04; 95% CI, 1.01-1.06; P = .002); among smokers in the US who identified as Black vs White (60.6% vs 31.9%; AOR, 1.33; 95% CI, 1.23-1.44; P &lt; .001) or who were frequent smokers (AOR, 1.07; 95% CI, 1.01-1.13; P = .03), smoked more cigarettes per day (2-5 vs 1, AOR, 1.09; 95% CI, 1.02-1.15; P = .006; &gt;5 vs 1, AOR, 1.10; 95% CI, 1.03-1.18; P = .007), or had urges to smoke every or most days (AOR, 1.08; 95% CI, 1.02-1.14; P = .006); and among smokers in Canada who perceived themselves as addicted to cigarettes (AOR, 1.02; 95% CI, 1.00-1.03; P = .01).\nConclusions and Relevance: In this survey study, the proportion of youth smokers who smoke menthol (including capsule) cigarettes decreased substantially after the menthol ban in England. This association was consistent across all demographic groups. Perceived addiction among menthol smokers was also lower where menthol cigarettes were banned.","container-title":"JAMA network open","DOI":"10.1001/jamanetworkopen.2022.10029","ISSN":"2574-3805","issue":"5","journalAbbreviation":"JAMA Netw Open","language":"eng","note":"PMID: 35503218\nPMCID: PMC9066289","page":"e2210029","source":"PubMed","title":"Evaluating the outcomes of the menthol cigarette ban in England by comparing menthol cigarette smoking among youth in England, Canada, and the US, 2018-2020","volume":"5","author":[{"family":"East","given":"Katherine A."},{"family":"Reid","given":"Jessica L."},{"family":"Burkhalter","given":"Robin"},{"family":"Kock","given":"Loren"},{"family":"Hyland","given":"Andrew"},{"family":"Fong","given":"Geoffrey T."},{"family":"Hammond","given":"David"}],"issued":{"date-parts":[["2022",5,2]]}}}],"schema":"https://github.com/citation-style-language/schema/raw/master/csl-citation.json"} </w:instrText>
      </w:r>
      <w:r w:rsidR="004D2F65">
        <w:rPr>
          <w:rFonts w:ascii="Times New Roman" w:hAnsi="Times New Roman" w:cs="Times New Roman"/>
        </w:rPr>
        <w:fldChar w:fldCharType="separate"/>
      </w:r>
      <w:r w:rsidR="004D2F65" w:rsidRPr="004D2F65">
        <w:rPr>
          <w:rFonts w:ascii="Times New Roman" w:hAnsi="Times New Roman" w:cs="Times New Roman"/>
        </w:rPr>
        <w:t>(East et al., 2022)</w:t>
      </w:r>
      <w:r w:rsidR="004D2F65">
        <w:rPr>
          <w:rFonts w:ascii="Times New Roman" w:hAnsi="Times New Roman" w:cs="Times New Roman"/>
        </w:rPr>
        <w:fldChar w:fldCharType="end"/>
      </w:r>
      <w:r w:rsidR="004D2F65">
        <w:rPr>
          <w:rFonts w:ascii="Times New Roman" w:hAnsi="Times New Roman" w:cs="Times New Roman"/>
        </w:rPr>
        <w:t xml:space="preserve">. </w:t>
      </w:r>
      <w:r w:rsidRPr="00F23463">
        <w:rPr>
          <w:rFonts w:ascii="Times New Roman" w:hAnsi="Times New Roman" w:cs="Times New Roman"/>
        </w:rPr>
        <w:t xml:space="preserve">Increased health </w:t>
      </w:r>
      <w:r w:rsidRPr="00F23463">
        <w:rPr>
          <w:rFonts w:ascii="Times New Roman" w:hAnsi="Times New Roman" w:cs="Times New Roman"/>
        </w:rPr>
        <w:lastRenderedPageBreak/>
        <w:t xml:space="preserve">consciousness and a greater awareness of the adverse consequences of alcohol consumption and smoking might also contribute to behaviour change, in addition to the growing popularity of e-cigarettes as an alternative to tobacco smoking </w:t>
      </w:r>
      <w:r w:rsidR="00EE28C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{"citationID":"423bKk1Z","properties":{"formattedCitation":"(Brose et al., 2020; Brown, West, et al., 2014)","plainCitation":"(Brose et al., 2020; Brown, West, et al., 2014)","noteIndex":0},"citationItems":[{"id":1173,"uris":["http://zotero.org/users/7873587/items/JQHFL8BW"],"itemData":{"id":1173,"type":"article-journal","abstract":"To reduce inequalities between individuals with and without mental health problems, a better understanding is required of triggers and success of quit attempts among the third of smokers with mental health problems. The aim was to assess whether there are differences by mental health status in (i) triggers for quit attempts, (ii) use of evidence-based support (iii) and quit success.","container-title":"BMC Medicine","DOI":"10.1186/s12916-020-01617-7","ISSN":"1741-7015","issue":"1","journalAbbreviation":"BMC Medicine","page":"161","source":"BioMed Central","title":"Mental health and smoking cessation—a population survey in England","volume":"18","author":[{"family":"Brose","given":"Leonie S."},{"family":"Brown","given":"Jamie"},{"family":"McNeill","given":"Ann"}],"issued":{"date-parts":[["2020",6,25]]}},"label":"act"},{"id":1131,"uris":["http://zotero.org/users/7873587/items/QRESHHGS"],"itemData":{"id":1131,"type":"article-journal","abstract":"•\n              There is now near universal awareness of e-cigarettes.\n            \n            \n              •\n              Use is common among smokers.\n            \n            \n              •\n              Quarter of all smokers unsure as to whether they are less harmful than cigarettes.\n            \n            \n              •\n              E-lites – a brand that delivers a low dose of nicotine – is the most popular.\n            \n            \n              •\n              Users have higher SES, smoke more heavily and have attempted to quit recently.","container-title":"Addictive Behaviors","DOI":"10.1016/j.addbeh.2014.03.009","ISSN":"0306-4603","issue":"6","journalAbbreviation":"Addict Behav","note":"PMID: 24679611\nPMCID: PMC4003532","page":"1120-1125","source":"PubMed Central","title":"Prevalence and characteristics of e-cigarette users in Great Britain: Findings from a general population survey of smokers","title-short":"Prevalence and characteristics of e-cigarette users in Great Britain","volume":"39","author":[{"family":"Brown","given":"Jamie"},{"family":"West","given":"Robert"},{"family":"Beard","given":"Emma"},{"family":"Michie","given":"Susan"},{"family":"Shahab","given":"Lion"},{"family":"McNeill","given":"Ann"}],"issued":{"date-parts":[["2014",6]]}},"label":"page"}],"schema":"https://github.com/citation-style-language/schema/raw/master/csl-citation.json"} </w:instrText>
      </w:r>
      <w:r w:rsidR="00EE28C2">
        <w:rPr>
          <w:rFonts w:ascii="Times New Roman" w:hAnsi="Times New Roman" w:cs="Times New Roman"/>
        </w:rPr>
        <w:fldChar w:fldCharType="separate"/>
      </w:r>
      <w:r w:rsidR="00EE28C2" w:rsidRPr="00EE28C2">
        <w:rPr>
          <w:rFonts w:ascii="Times New Roman" w:hAnsi="Times New Roman" w:cs="Times New Roman"/>
        </w:rPr>
        <w:t>(Brose et al., 2020; Brown, West, et al., 2014)</w:t>
      </w:r>
      <w:r w:rsidR="00EE28C2">
        <w:rPr>
          <w:rFonts w:ascii="Times New Roman" w:hAnsi="Times New Roman" w:cs="Times New Roman"/>
        </w:rPr>
        <w:fldChar w:fldCharType="end"/>
      </w:r>
      <w:r w:rsidR="00EE28C2">
        <w:rPr>
          <w:rFonts w:ascii="Times New Roman" w:hAnsi="Times New Roman" w:cs="Times New Roman"/>
        </w:rPr>
        <w:t xml:space="preserve"> </w:t>
      </w:r>
      <w:r w:rsidRPr="00F23463">
        <w:rPr>
          <w:rFonts w:ascii="Times New Roman" w:hAnsi="Times New Roman" w:cs="Times New Roman"/>
        </w:rPr>
        <w:t>and alcohol-free variations of standard alcoholic drinks</w:t>
      </w:r>
      <w:r w:rsidR="00EA2321">
        <w:rPr>
          <w:rFonts w:ascii="Times New Roman" w:hAnsi="Times New Roman" w:cs="Times New Roman"/>
        </w:rPr>
        <w:t>, such as</w:t>
      </w:r>
      <w:r w:rsidR="00894A65">
        <w:rPr>
          <w:rFonts w:ascii="Times New Roman" w:hAnsi="Times New Roman" w:cs="Times New Roman"/>
        </w:rPr>
        <w:t xml:space="preserve"> </w:t>
      </w:r>
      <w:r w:rsidR="00894A65" w:rsidRPr="00894A65">
        <w:rPr>
          <w:rFonts w:ascii="Times New Roman" w:hAnsi="Times New Roman" w:cs="Times New Roman"/>
        </w:rPr>
        <w:t>Beck's Blue</w:t>
      </w:r>
      <w:r w:rsidR="00894A65">
        <w:rPr>
          <w:rFonts w:ascii="Times New Roman" w:hAnsi="Times New Roman" w:cs="Times New Roman"/>
        </w:rPr>
        <w:t xml:space="preserve"> </w:t>
      </w:r>
      <w:r w:rsidR="00EE28C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{"citationID":"T7NZ2Eib","properties":{"formattedCitation":"(Drinkaware, 2022)","plainCitation":"(Drinkaware, 2022)","noteIndex":0},"citationItems":[{"id":1176,"uris":["http://zotero.org/users/7873587/items/7AAT335Z"],"itemData":{"id":1176,"type":"webpage","abstract":"Cut down on the alcohol units you consume without stopping drinking completely.","language":"en","title":"Low alcohol drinks","URL":"https://www.drinkaware.co.uk/advice/how-to-reduce-your-drinking/low-alcohol-drinks","author":[{"literal":"Drinkaware"}],"accessed":{"date-parts":[["2022",8,1]]},"issued":{"date-parts":[["2022"]]}}}],"schema":"https://github.com/citation-style-language/schema/raw/master/csl-citation.json"} </w:instrText>
      </w:r>
      <w:r w:rsidR="00EE28C2">
        <w:rPr>
          <w:rFonts w:ascii="Times New Roman" w:hAnsi="Times New Roman" w:cs="Times New Roman"/>
        </w:rPr>
        <w:fldChar w:fldCharType="separate"/>
      </w:r>
      <w:r w:rsidR="00F47941" w:rsidRPr="00F47941">
        <w:rPr>
          <w:rFonts w:ascii="Times New Roman" w:hAnsi="Times New Roman" w:cs="Times New Roman"/>
        </w:rPr>
        <w:t>(Drinkaware, 2022)</w:t>
      </w:r>
      <w:r w:rsidR="00EE28C2">
        <w:rPr>
          <w:rFonts w:ascii="Times New Roman" w:hAnsi="Times New Roman" w:cs="Times New Roman"/>
        </w:rPr>
        <w:fldChar w:fldCharType="end"/>
      </w:r>
      <w:r w:rsidR="00F47941">
        <w:rPr>
          <w:rFonts w:ascii="Times New Roman" w:hAnsi="Times New Roman" w:cs="Times New Roman"/>
        </w:rPr>
        <w:t xml:space="preserve">. </w:t>
      </w:r>
      <w:r w:rsidRPr="00F23463">
        <w:rPr>
          <w:rFonts w:ascii="Times New Roman" w:hAnsi="Times New Roman" w:cs="Times New Roman"/>
        </w:rPr>
        <w:t xml:space="preserve"> </w:t>
      </w:r>
    </w:p>
    <w:p w14:paraId="5FDB0ED8" w14:textId="77777777" w:rsidR="008A4FF5" w:rsidRPr="00F23463" w:rsidRDefault="008A4FF5" w:rsidP="00AC0B06">
      <w:pPr>
        <w:pStyle w:val="NoSpacing"/>
        <w:spacing w:line="480" w:lineRule="auto"/>
        <w:rPr>
          <w:rFonts w:ascii="Times New Roman" w:hAnsi="Times New Roman" w:cs="Times New Roman"/>
        </w:rPr>
      </w:pPr>
    </w:p>
    <w:p w14:paraId="71D56F80" w14:textId="6479E4BE" w:rsidR="008A4FF5" w:rsidRPr="00F23463" w:rsidRDefault="008A4FF5" w:rsidP="00BE4C32">
      <w:pPr>
        <w:pStyle w:val="NoSpacing"/>
        <w:spacing w:line="480" w:lineRule="auto"/>
        <w:rPr>
          <w:rFonts w:ascii="Times New Roman" w:hAnsi="Times New Roman" w:cs="Times New Roman"/>
        </w:rPr>
      </w:pPr>
      <w:r w:rsidRPr="00F23463">
        <w:rPr>
          <w:rFonts w:ascii="Times New Roman" w:hAnsi="Times New Roman" w:cs="Times New Roman"/>
        </w:rPr>
        <w:t xml:space="preserve">In relation to recovery, current dominating theoretical frameworks posit addiction to be a chronic disease of the brain </w:t>
      </w:r>
      <w:r w:rsidR="00F4794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{"citationID":"iIHSsPbw","properties":{"formattedCitation":"(Volkow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F47941">
        <w:rPr>
          <w:rFonts w:ascii="Times New Roman" w:hAnsi="Times New Roman" w:cs="Times New Roman"/>
        </w:rPr>
        <w:fldChar w:fldCharType="separate"/>
      </w:r>
      <w:r w:rsidR="00F47941" w:rsidRPr="00F47941">
        <w:rPr>
          <w:rFonts w:ascii="Times New Roman" w:hAnsi="Times New Roman" w:cs="Times New Roman"/>
        </w:rPr>
        <w:t>(Volkow et al., 2016)</w:t>
      </w:r>
      <w:r w:rsidR="00F47941">
        <w:rPr>
          <w:rFonts w:ascii="Times New Roman" w:hAnsi="Times New Roman" w:cs="Times New Roman"/>
        </w:rPr>
        <w:fldChar w:fldCharType="end"/>
      </w:r>
      <w:r w:rsidRPr="00F23463">
        <w:rPr>
          <w:rFonts w:ascii="Times New Roman" w:hAnsi="Times New Roman" w:cs="Times New Roman"/>
        </w:rPr>
        <w:t>, and in doing so, struggle to provide a coherent explanatory account of how people recover from addiction. To elaborate, brain disease models of addiction (BDMA) propose that although initial substance use is voluntary, the transition to addiction is chronic and characterised by a transition to compulsive behaviour</w:t>
      </w:r>
      <w:r w:rsidR="004228A7">
        <w:rPr>
          <w:rFonts w:ascii="Times New Roman" w:hAnsi="Times New Roman" w:cs="Times New Roman"/>
        </w:rPr>
        <w:t>.</w:t>
      </w:r>
      <w:r w:rsidR="00F47941">
        <w:rPr>
          <w:rFonts w:ascii="Times New Roman" w:hAnsi="Times New Roman" w:cs="Times New Roman"/>
        </w:rPr>
        <w:t xml:space="preserve"> </w:t>
      </w:r>
      <w:r w:rsidRPr="00F23463">
        <w:rPr>
          <w:rFonts w:ascii="Times New Roman" w:hAnsi="Times New Roman" w:cs="Times New Roman"/>
        </w:rPr>
        <w:t xml:space="preserve">A core emphasis is that dependence is accompanied by a loss of control in the ability to limit or stop substance use </w:t>
      </w:r>
      <w:r w:rsidR="004228A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{"citationID":"vxymoRT4","properties":{"formattedCitation":"(Leshner, 2001; Volkow &amp; Li, 2004)","plainCitation":"(Leshner, 2001; Volkow &amp; Li, 2004)","noteIndex":0},"citationItems":[{"id":1185,"uris":["http://zotero.org/users/7873587/items/QTMNBJHU"],"itemData":{"id":1185,"type":"article-journal","container-title":"Issues in Science and Technology","ISSN":"0748-5492","issue":"3","note":"publisher: University of Texas at Dallas","page":"75-80","source":"JSTOR","title":"Addiction is a brain disease","volume":"17","author":[{"family":"Leshner","given":"Alan I"}],"issued":{"date-parts":[["2001"]]}},"label":"page"},{"id":1187,"uris":["http://zotero.org/users/7873587/items/EJWY4XBS"],"itemData":{"id":1187,"type":"article-journal","abstract":"Drug addiction manifests as a compulsive drive to take a drug despite serious adverse consequences. This aberrant behaviour has traditionally been viewed as bad \"choices\" that are made voluntarily by the addict. However, recent studies have shown that repeated drug use leads to long-lasting changes in the brain that undermine voluntary control. This, combined with new knowledge of how environmental, genetic and developmental factors contribute to addiction, should bring about changes in our approach to the prevention and treatment of addiction.","container-title":"Nature Reviews. Neuroscience","DOI":"10.1038/nrn1539","ISSN":"1471-003X","issue":"12","journalAbbreviation":"Nat Rev Neurosci","language":"eng","note":"PMID: 15550951","page":"963-970","source":"PubMed","title":"Drug addiction: the neurobiology of behaviour gone awry","title-short":"Drug addiction","volume":"5","author":[{"family":"Volkow","given":"Nora D."},{"family":"Li","given":"Ting-Kai"}],"issued":{"date-parts":[["2004",12]]}},"label":"act"}],"schema":"https://github.com/citation-style-language/schema/raw/master/csl-citation.json"} </w:instrText>
      </w:r>
      <w:r w:rsidR="004228A7">
        <w:rPr>
          <w:rFonts w:ascii="Times New Roman" w:hAnsi="Times New Roman" w:cs="Times New Roman"/>
        </w:rPr>
        <w:fldChar w:fldCharType="separate"/>
      </w:r>
      <w:r w:rsidR="004228A7" w:rsidRPr="004228A7">
        <w:rPr>
          <w:rFonts w:ascii="Times New Roman" w:hAnsi="Times New Roman" w:cs="Times New Roman"/>
        </w:rPr>
        <w:t>(Leshner, 2001; Volkow &amp; Li, 2004)</w:t>
      </w:r>
      <w:r w:rsidR="004228A7">
        <w:rPr>
          <w:rFonts w:ascii="Times New Roman" w:hAnsi="Times New Roman" w:cs="Times New Roman"/>
        </w:rPr>
        <w:fldChar w:fldCharType="end"/>
      </w:r>
      <w:r w:rsidR="004228A7">
        <w:rPr>
          <w:rFonts w:ascii="Times New Roman" w:hAnsi="Times New Roman" w:cs="Times New Roman"/>
        </w:rPr>
        <w:t>,</w:t>
      </w:r>
      <w:r w:rsidRPr="00F23463">
        <w:rPr>
          <w:rFonts w:ascii="Times New Roman" w:hAnsi="Times New Roman" w:cs="Times New Roman"/>
        </w:rPr>
        <w:t xml:space="preserve"> even if there is desire to do so. This theoretical viewpoint</w:t>
      </w:r>
      <w:r w:rsidR="00894A65">
        <w:rPr>
          <w:rFonts w:ascii="Times New Roman" w:hAnsi="Times New Roman" w:cs="Times New Roman"/>
        </w:rPr>
        <w:t xml:space="preserve"> however</w:t>
      </w:r>
      <w:r w:rsidRPr="00F23463">
        <w:rPr>
          <w:rFonts w:ascii="Times New Roman" w:hAnsi="Times New Roman" w:cs="Times New Roman"/>
        </w:rPr>
        <w:t xml:space="preserve"> contrasts with a convincing line of evidence demonstrating that the majority of people with addiction eventually recover </w:t>
      </w:r>
      <w:r w:rsidR="003124F6">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{"citationID":"WdLflIiZ","properties":{"formattedCitation":"(Lopez-Quintero et al., 2011)","plainCitation":"(Lopez-Quintero et al., 2011)","noteIndex":0},"citationItems":[{"id":1189,"uris":["http://zotero.org/users/7873587/items/TH3K3I3H"],"itemData":{"id":1189,"type":"article-journal","abstract":"Aim\nTo estimate the general and racial-ethnic specific cumulative probability of remission from nicotine alcohol cannabis or cocaine dependence, and to identify predictors of remission across substances.\n\nDesign\nData were collected from structured diagnostic interviews using the Alcohol Use Disorder and Associated Disabilities Interview Schedule – DSM-IV version.\n\nSetting\nThe 2001–2002 NESARC surveyed a nationally representative sample from USA adults (n=43,093) selected in a three-stage sampling design.\n\nParticipants\nThe subsamples of individuals with lifetime DSM-IV diagnosis of dependence on nicotine (n=6,937), alcohol (n=4,781), cannabis (n=530) and cocaine (n=408).\n\nMeasurements\nCumulative probability estimates of dependence remission for the general population and across racial-ethnic groups. Hazard ratios for remission from dependence.\n\nFindings\nLifetime cumulative probability estimates of dependence remission were 83.7% for nicotine, 90.6% for alcohol, 97.2% for cannabis, and 99.2% for cocaine. Half of the cases of nicotine, alcohol, cannabis and cocaine dependence remitted approximately 26, 14, 6 and 5 years after dependence onset, respectively. Males, Blacks and individuals with diagnosis of personality disorders and history of substance use comorbidity exhibited lower hazards of remission for at least two substances.\n\nConclusions\nA significant proportion of individuals with dependence on nicotine, alcohol, cannabis or cocaine achieve remission at some point in their lifetime, although the probability and time to remission varies by substance and racial-ethnic group. Several predictors of remission are shared by at least two substances, suggesting that the processes of remission overlap. The lower rates of remission of individuals with comorbid personality or substance use disorders highlight the need of providing coordinated psychiatric and substance abuse interventions.","container-title":"Addiction","DOI":"10.1111/j.1360-0443.2010.03194.x","ISSN":"0965-2140","issue":"3","journalAbbreviation":"Addiction","note":"PMID: 21077975\nPMCID: PMC3227547","page":"657-669","source":"PubMed Central","title":"Probability and predictors of remission from lifetime nicotine, alcohol, cannabis, or cocaine dependence: Results from the National Epidemiologic Survey on Alcohol and Related Conditions","title-short":"Probability and predictors of remission from lifetime nicotine, alcohol, cannabis, or cocaine dependence","volume":"106","author":[{"family":"Lopez-Quintero","given":"Catalina"},{"family":"Hasin","given":"Deborah S."},{"family":"Cobos","given":"José Pérez","non-dropping-particle":"de los"},{"family":"Pines","given":"Abigail"},{"family":"Wang","given":"Shuai"},{"family":"Grant","given":"Bridget F."},{"family":"Blanco","given":"Carlos"}],"issued":{"date-parts":[["2011",3]]}}}],"schema":"https://github.com/citation-style-language/schema/raw/master/csl-citation.json"} </w:instrText>
      </w:r>
      <w:r w:rsidR="003124F6">
        <w:rPr>
          <w:rFonts w:ascii="Times New Roman" w:hAnsi="Times New Roman" w:cs="Times New Roman"/>
        </w:rPr>
        <w:fldChar w:fldCharType="separate"/>
      </w:r>
      <w:r w:rsidR="003124F6" w:rsidRPr="003124F6">
        <w:rPr>
          <w:rFonts w:ascii="Times New Roman" w:hAnsi="Times New Roman" w:cs="Times New Roman"/>
        </w:rPr>
        <w:t>(Lopez-Quintero et al., 2011)</w:t>
      </w:r>
      <w:r w:rsidR="003124F6">
        <w:rPr>
          <w:rFonts w:ascii="Times New Roman" w:hAnsi="Times New Roman" w:cs="Times New Roman"/>
        </w:rPr>
        <w:fldChar w:fldCharType="end"/>
      </w:r>
      <w:r w:rsidRPr="00F23463">
        <w:rPr>
          <w:rFonts w:ascii="Times New Roman" w:hAnsi="Times New Roman" w:cs="Times New Roman"/>
        </w:rPr>
        <w:t xml:space="preserve">, including both people who seek treatment and those who do not </w:t>
      </w:r>
      <w:r w:rsidR="00BE4C32">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{"citationID":"Tcu2X5Vy","properties":{"formattedCitation":"(Dawson et al., 2006; G. M. Heyman, 2013, 2017; Tucker et al., 2020)","plainCitation":"(Dawson et al., 2006; G. M. Heyman, 2013, 2017; Tucker et al., 2020)","dontUpdate":true,"noteIndex":0},"citationItems":[{"id":1192,"uris":["http://zotero.org/users/7873587/items/R9G3SK47"],"itemData":{"id":1192,"type":"article-journal","abstract":"OBJECTIVE: The purpose of this study was to investigate the effects of transitional life events related to education, employment, and family formation on the likelihood of recovery from alcohol dependence as defined by the Diagnostic and Statistical Manual of Mental Disorders, Fourth Edition (DSM-IV), distinguishing the short- and long-term effects of these events and potential effect modification by treatment history, gender, and severity of dependence.\nMETHOD: This analysis is based on data from the Wave 1 2001-2002 National Epidemiologic Survey on Alcohol and Related Conditions (NESARC), a cross-sectional, retrospective survey of a nationally representative sample of U.S. adults 18 years of age and older. The analytic sample consisted of 4,422 individuals with prior-to-past-year (PPY) onset of DSM-IV alcohol dependence. Time-dependent proportional hazards models were used to estimate the effects of completing school, starting full-time work, getting married, becoming separated/divorced/widowed, and becoming a parent on the outcomes of nonabstinent recovery (NR; e.g., low-risk asymptomatic drinking) and abstinent recovery (AR).\nRESULTS: Entry into and exit from a first marriage each increased the likelihood of NR during the first 3 years after those events occurred (hazard rate ratio [HRR] = 1.37 and 1.76, respectively). However, individuals who were still dependent 3 or more years after those events occurred had a decreased likelihood of subsequent NR (HRR = 0.70 for both events), as did those who were still dependent 3 or more years after completing schooling (HRR = 0.54). The likelihood of AR was more than doubled in the 3 years after first becoming a parent (HRR = 2.22) but was decreased among individuals still dependent 3 or more years after starting full-time work. For the outcome of NR, all of the negative effects associated with still being dependent 3 or more years after the occurrence of key life events were more strongly negative among individuals with less severe cases of dependence.\nCONCLUSIONS: Transitional life events demonstrate many effects on recovery, including both direct effects consistent with role socialization and associations more reflective of selectivity than causation. Taken as a whole, these events appear to contribute to (but by no means fully explain) the high rates of recovery from alcohol dependence that have been observed even in the absence of treatment.","container-title":"Journal of Studies on Alcohol","DOI":"10.15288/jsa.2006.67.195","ISSN":"0096-882X","issue":"2","journalAbbreviation":"J Stud Alcohol","language":"eng","note":"PMID: 16568565","page":"195-203","source":"PubMed","title":"Maturing out of alcohol dependence: the impact of transitional life events","title-short":"Maturing out of alcohol dependence","volume":"67","author":[{"family":"Dawson","given":"Deborah A."},{"family":"Grant","given":"Bridget F."},{"family":"Stinson","given":"Frederick S."},{"family":"Chou","given":"Patricia S."}],"issued":{"date-parts":[["2006",3]]}},"label":"act"},{"id":1194,"uris":["http://zotero.org/users/7873587/items/EVK5TMZB"],"itemData":{"id":1194,"type":"article-journal","abstract":"Addiction’s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M."}],"accessed":{"date-parts":[["2022",8,1]]},"issued":{"date-parts":[["2013"]]}},"label":"act"},{"id":1196,"uris":["http://zotero.org/users/7873587/items/BQUE3N76"],"itemData":{"id":1196,"type":"article-journal","abstract":"Introduction\nThis paper addresses two overlapping questions: Do addicts have the capacity to voluntarily quit drugs? And do individuals knowingly pursue courses of action that they realize are bad for them, such as excessive drug use?\nMethods\nI propose two testable versions of free will. First, the observation that activities differ in the degree to which they are susceptible to the influence of their consequences (e.g., costs and benefits) has proven a useful criterion for classifying behavior as voluntary or involuntary. Thus, we can ask if drug use in addicts is influenced by its consequences. For instance, do laws that promise legal sanctions for drug use reduce drug use in addicts? Second, the philosopher Harry Frankfurt proposed a definition of free will that takes into account desires and self-reflection. I propose that addicts who do not want to desire drugs and successfully stop craving drugs pass his test.\nResults\nDependence on illicit drugs typically ends after about four to six years. Dependence on cigarettes and alcohol persists for much longer, but most smokers and alcoholics eventually voluntarily quit using. Smokers and heroin addicts can voluntarily regulate their drug cravings as a function of the availability of their drug of choice. They have the capacity to pass Frankfurt's test of free will.\nConclusions\nAddicts have free will as defined by the capacity to voluntary quit using drugs and to voluntarily regulate their cravings.","container-title":"Addictive Behaviors Reports","DOI":"10.1016/j.abrep.2017.02.001","ISSN":"2352-8532","journalAbbreviation":"Addictive Behaviors Reports","language":"en","page":"85-93","source":"ScienceDirect","title":"Do addicts have free will? An empirical approach to a vexing question","title-short":"Do addicts have free will?","volume":"5","author":[{"family":"Heyman","given":"Gene M."}],"issued":{"date-parts":[["2017",6,1]]}},"label":"act"},{"id":1199,"uris":["http://zotero.org/users/7873587/items/7RDL44BJ"],"itemData":{"id":1199,"type":"article-journal","abstract":"Almost one-third of the U.S. population meets alcohol use disorder (AUD) criteria on a lifetime basis. This review provides an overview of recent research on the prevalence and patterns of alcohol-related improvement and selectively reviews nationally representative surveys and studies that followed risk groups longitudinally with a goal of informing patients with AUD and AUD researchers, clinicians, and policy-makers about patterns of improvement in the population. Based on the research, alcohol use increases during adolescence and early adulthood and then decreases beginning in the mid-20s across the adult life span. Approximately 70% of persons with AUD and alcohol problems improve without interventions (natural recovery), and fewer than 25% utilize alcohol-focused services. Low-risk drinking is a more common outcome in untreated samples, in part because seeking treatment is associated with higher problem severity. Sex differences are more apparent in help-seeking than recovery patterns, and women have lower help-seeking rates than men. Whites are proportionately more likely to utilize services than are Blacks and Hispanics. Improving recovery rates will likely require offering interventions outside of the health care sector to affected communities and utilizing social networks and public health tools to close the longstanding gap between need and utilization of AUD-focused services.","container-title":"Alcohol Research: Current Reviews","DOI":"10.35946/arcr.v40.3.02","ISSN":"2168-3492","issue":"3","journalAbbreviation":"Alcohol Res","note":"PMID: 33194507\nPMCID: PMC7643818","page":"02","source":"PubMed Central","title":"Epidemiology of recovery from alcohol use disorder","volume":"40","author":[{"family":"Tucker","given":"Jalie A."},{"family":"Chandler","given":"Susan D."},{"family":"Witkiewitz","given":"Katie"}],"issued":{"date-parts":[["2020",11,12]]}},"label":"act"}],"schema":"https://github.com/citation-style-language/schema/raw/master/csl-citation.json"} </w:instrText>
      </w:r>
      <w:r w:rsidR="00BE4C32">
        <w:rPr>
          <w:rFonts w:ascii="Times New Roman" w:hAnsi="Times New Roman" w:cs="Times New Roman"/>
        </w:rPr>
        <w:fldChar w:fldCharType="separate"/>
      </w:r>
      <w:r w:rsidR="00BE4C32" w:rsidRPr="00BE4C32">
        <w:rPr>
          <w:rFonts w:ascii="Times New Roman" w:hAnsi="Times New Roman" w:cs="Times New Roman"/>
        </w:rPr>
        <w:t>(Dawson et al., 2006; Heyman, 2013, 2017; Tucker et al., 2020)</w:t>
      </w:r>
      <w:r w:rsidR="00BE4C32">
        <w:rPr>
          <w:rFonts w:ascii="Times New Roman" w:hAnsi="Times New Roman" w:cs="Times New Roman"/>
        </w:rPr>
        <w:fldChar w:fldCharType="end"/>
      </w:r>
      <w:r w:rsidR="00BE4C32">
        <w:rPr>
          <w:rFonts w:ascii="Times New Roman" w:hAnsi="Times New Roman" w:cs="Times New Roman"/>
        </w:rPr>
        <w:t xml:space="preserve">. </w:t>
      </w:r>
      <w:r w:rsidR="00BE4C3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{"citationID":"KwNJji1u","properties":{"formattedCitation":"(G. M. Heyman, 2013)","plainCitation":"(G. M. Heyman, 2013)","dontUpdate":true,"noteIndex":0},"citationItems":[{"id":1194,"uris":["http://zotero.org/users/7873587/items/EVK5TMZB"],"itemData":{"id":1194,"type":"article-journal","abstract":"Addiction’s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M."}],"accessed":{"date-parts":[["2022",8,1]]},"issued":{"date-parts":[["2013"]]}}}],"schema":"https://github.com/citation-style-language/schema/raw/master/csl-citation.json"} </w:instrText>
      </w:r>
      <w:r w:rsidR="00BE4C32">
        <w:rPr>
          <w:rFonts w:ascii="Times New Roman" w:hAnsi="Times New Roman" w:cs="Times New Roman"/>
        </w:rPr>
        <w:fldChar w:fldCharType="separate"/>
      </w:r>
      <w:r w:rsidR="00BE4C32" w:rsidRPr="00BE4C32">
        <w:rPr>
          <w:rFonts w:ascii="Times New Roman" w:hAnsi="Times New Roman" w:cs="Times New Roman"/>
        </w:rPr>
        <w:t>Heyman</w:t>
      </w:r>
      <w:r w:rsidR="00BE4C32">
        <w:rPr>
          <w:rFonts w:ascii="Times New Roman" w:hAnsi="Times New Roman" w:cs="Times New Roman"/>
        </w:rPr>
        <w:t xml:space="preserve"> (</w:t>
      </w:r>
      <w:r w:rsidR="00BE4C32" w:rsidRPr="00BE4C32">
        <w:rPr>
          <w:rFonts w:ascii="Times New Roman" w:hAnsi="Times New Roman" w:cs="Times New Roman"/>
        </w:rPr>
        <w:t>2013)</w:t>
      </w:r>
      <w:r w:rsidR="00BE4C32">
        <w:rPr>
          <w:rFonts w:ascii="Times New Roman" w:hAnsi="Times New Roman" w:cs="Times New Roman"/>
        </w:rPr>
        <w:fldChar w:fldCharType="end"/>
      </w:r>
      <w:r w:rsidR="00BE4C32">
        <w:rPr>
          <w:rFonts w:ascii="Times New Roman" w:hAnsi="Times New Roman" w:cs="Times New Roman"/>
        </w:rPr>
        <w:t xml:space="preserve"> </w:t>
      </w:r>
      <w:r w:rsidRPr="00F23463">
        <w:rPr>
          <w:rFonts w:ascii="Times New Roman" w:hAnsi="Times New Roman" w:cs="Times New Roman"/>
        </w:rPr>
        <w:t>synthesised data from national epidemiological surveys in the USA and found that among all participants who had met the DSM criteria for SUD in their lifetime, between 76% and 83% were in remission at the time of the surveys (remission is defined as the absence of any symptom of dependence during the year before the interview)</w:t>
      </w:r>
      <w:r w:rsidR="00894A65">
        <w:rPr>
          <w:rFonts w:ascii="Times New Roman" w:hAnsi="Times New Roman" w:cs="Times New Roman"/>
        </w:rPr>
        <w:t xml:space="preserve">, and </w:t>
      </w:r>
      <w:r w:rsidRPr="00F23463">
        <w:rPr>
          <w:rFonts w:ascii="Times New Roman" w:hAnsi="Times New Roman" w:cs="Times New Roman"/>
        </w:rPr>
        <w:t xml:space="preserve">most people in remission achieved this without the benefit of treatment. Latency to remission varied according to what the primary substance of use was and legality status. For example, half of the individuals with AUD were in remission 16 years after the onset of the disorder, whilst for cocaine dependence this was 4 years. These findings contrast the BDMA which postulates that the longer a person is </w:t>
      </w:r>
      <w:r w:rsidRPr="00F23463">
        <w:rPr>
          <w:rFonts w:ascii="Times New Roman" w:hAnsi="Times New Roman" w:cs="Times New Roman"/>
        </w:rPr>
        <w:lastRenderedPageBreak/>
        <w:t xml:space="preserve">addicted, the less likely they are to recover </w:t>
      </w:r>
      <w:r w:rsidR="00BE4C3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{"citationID":"Ric8Z8Ra","properties":{"formattedCitation":"(Volkow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BE4C32">
        <w:rPr>
          <w:rFonts w:ascii="Times New Roman" w:hAnsi="Times New Roman" w:cs="Times New Roman"/>
        </w:rPr>
        <w:fldChar w:fldCharType="separate"/>
      </w:r>
      <w:r w:rsidR="00BE4C32" w:rsidRPr="00BE4C32">
        <w:rPr>
          <w:rFonts w:ascii="Times New Roman" w:hAnsi="Times New Roman" w:cs="Times New Roman"/>
        </w:rPr>
        <w:t>(Volkow et al., 2016)</w:t>
      </w:r>
      <w:r w:rsidR="00BE4C32">
        <w:rPr>
          <w:rFonts w:ascii="Times New Roman" w:hAnsi="Times New Roman" w:cs="Times New Roman"/>
        </w:rPr>
        <w:fldChar w:fldCharType="end"/>
      </w:r>
      <w:r w:rsidR="00BE4C32">
        <w:rPr>
          <w:rFonts w:ascii="Times New Roman" w:hAnsi="Times New Roman" w:cs="Times New Roman"/>
        </w:rPr>
        <w:t xml:space="preserve">. </w:t>
      </w:r>
      <w:r w:rsidRPr="00F23463">
        <w:rPr>
          <w:rFonts w:ascii="Times New Roman" w:hAnsi="Times New Roman" w:cs="Times New Roman"/>
        </w:rPr>
        <w:t xml:space="preserve">This is because over three-quarters of people who once had a diagnosis of SUD reached remission, and this was generally increased with overall years of use </w:t>
      </w:r>
      <w:r w:rsidR="00BE4C3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{"citationID":"KsJRkgA8","properties":{"formattedCitation":"(G. M. Heyman, 2013)","plainCitation":"(G. M. Heyman, 2013)","dontUpdate":true,"noteIndex":0},"citationItems":[{"id":1194,"uris":["http://zotero.org/users/7873587/items/EVK5TMZB"],"itemData":{"id":1194,"type":"article-journal","abstract":"Addiction’s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M."}],"accessed":{"date-parts":[["2022",8,1]]},"issued":{"date-parts":[["2013"]]}}}],"schema":"https://github.com/citation-style-language/schema/raw/master/csl-citation.json"} </w:instrText>
      </w:r>
      <w:r w:rsidR="00BE4C32">
        <w:rPr>
          <w:rFonts w:ascii="Times New Roman" w:hAnsi="Times New Roman" w:cs="Times New Roman"/>
        </w:rPr>
        <w:fldChar w:fldCharType="separate"/>
      </w:r>
      <w:r w:rsidR="00BE4C32" w:rsidRPr="00BE4C32">
        <w:rPr>
          <w:rFonts w:ascii="Times New Roman" w:hAnsi="Times New Roman" w:cs="Times New Roman"/>
        </w:rPr>
        <w:t>(Heyman, 2013)</w:t>
      </w:r>
      <w:r w:rsidR="00BE4C32">
        <w:rPr>
          <w:rFonts w:ascii="Times New Roman" w:hAnsi="Times New Roman" w:cs="Times New Roman"/>
        </w:rPr>
        <w:fldChar w:fldCharType="end"/>
      </w:r>
      <w:r w:rsidR="00BE4C32">
        <w:rPr>
          <w:rFonts w:ascii="Times New Roman" w:hAnsi="Times New Roman" w:cs="Times New Roman"/>
        </w:rPr>
        <w:t>.</w:t>
      </w:r>
    </w:p>
    <w:p w14:paraId="24236515" w14:textId="77777777" w:rsidR="008A4FF5" w:rsidRPr="00F23463" w:rsidRDefault="008A4FF5" w:rsidP="00AC0B06">
      <w:pPr>
        <w:pStyle w:val="NoSpacing"/>
        <w:spacing w:line="480" w:lineRule="auto"/>
        <w:rPr>
          <w:rFonts w:ascii="Times New Roman" w:hAnsi="Times New Roman" w:cs="Times New Roman"/>
        </w:rPr>
      </w:pPr>
    </w:p>
    <w:p w14:paraId="7CE99989" w14:textId="271F02EF" w:rsidR="008A4FF5" w:rsidRPr="00B605CA" w:rsidRDefault="008A4FF5" w:rsidP="00D2679C">
      <w:pPr>
        <w:pStyle w:val="NoSpacing"/>
        <w:spacing w:line="480" w:lineRule="auto"/>
        <w:rPr>
          <w:rFonts w:ascii="Times New Roman" w:hAnsi="Times New Roman" w:cs="Times New Roman"/>
        </w:rPr>
      </w:pPr>
      <w:r w:rsidRPr="00F23463">
        <w:rPr>
          <w:rFonts w:ascii="Times New Roman" w:hAnsi="Times New Roman" w:cs="Times New Roman"/>
        </w:rPr>
        <w:t>Evidence of recovery from addiction can be difficult to measure given that definitions of recovery are heterogeneous</w:t>
      </w:r>
      <w:r w:rsidR="00BE4C32">
        <w:rPr>
          <w:rFonts w:ascii="Times New Roman" w:hAnsi="Times New Roman" w:cs="Times New Roman"/>
        </w:rPr>
        <w:t xml:space="preserve"> </w:t>
      </w:r>
      <w:r w:rsidR="00BE4C3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{"citationID":"YSOnJDps","properties":{"formattedCitation":"(Ashford et al., 2019)","plainCitation":"(Ashford et al., 2019)","noteIndex":0},"citationItems":[{"id":1201,"uris":["http://zotero.org/users/7873587/items/M5HUFQAY"],"itemData":{"id":1201,"type":"article-journal","abstract":"A number of definitions exist for the concept of “recovery” in both the substance use disorder (SUD) and mental health (MH) fields. Previous attempts to define recovery have not reached consensus among experts within the field. Thus, the definition has remained diffuse at the expense of attempts to measure and evaluate treatment and recovery outcomes. The notion of recovery as an organizing principle between SUD and MH, collectively identified as behavioral health (BH), can be better served by a collaborative endeavor to define the word and concept of “recovery”. The Recovery Science Research Collaborative (RSRC), an interdisciplinary bi-annual collaboration among recovery researchers and professionals from across the country, sought to address the definition of recovery at the inaugural meeting in December 2017 at Kennesaw State University. The RSRC undertook this task with the primary goal of defining “recovery” for use in research – aiming to create a consensus definition that allows recovery to be clearly operationalized and effectively investigated.","container-title":"Addiction Research &amp; Theory","DOI":"10.1080/16066359.2018.1515352","ISSN":"1606-6359","issue":"3","note":"publisher: Taylor &amp; Francis\n_eprint: https://doi.org/10.1080/16066359.2018.1515352","page":"179-188","source":"Taylor and Francis+NEJM","title":"Defining and operationalizing the phenomena of recovery: a working definition from the recovery science research collaborative","title-short":"Defining and operationalizing the phenomena of recovery","volume":"27","author":[{"family":"Ashford","given":"Robert D."},{"family":"Brown","given":"Austin"},{"family":"Brown","given":"Tiffany"},{"family":"Callis","given":"Jason"},{"family":"Cleveland","given":"H. Harrington"},{"family":"Eisenhart","given":"Emily"},{"family":"Groover","given":"Hillary"},{"family":"Hayes","given":"Nicholas"},{"family":"Johnston","given":"Teresa"},{"family":"Kimball","given":"Thomas"},{"family":"Manteuffel","given":"Brigitte"},{"family":"McDaniel","given":"Jessica"},{"family":"Montgomery","given":"Lindsay"},{"family":"Phillips","given":"Shane"},{"family":"Polacek","given":"Michael"},{"family":"Statman","given":"Matt"},{"family":"Whitney","given":"Jason"}],"issued":{"date-parts":[["2019",5,4]]}}}],"schema":"https://github.com/citation-style-language/schema/raw/master/csl-citation.json"} </w:instrText>
      </w:r>
      <w:r w:rsidR="00BE4C32">
        <w:rPr>
          <w:rFonts w:ascii="Times New Roman" w:hAnsi="Times New Roman" w:cs="Times New Roman"/>
        </w:rPr>
        <w:fldChar w:fldCharType="separate"/>
      </w:r>
      <w:r w:rsidR="00BE4C32" w:rsidRPr="00BE4C32">
        <w:rPr>
          <w:rFonts w:ascii="Times New Roman" w:hAnsi="Times New Roman" w:cs="Times New Roman"/>
        </w:rPr>
        <w:t>(Ashford et al., 2019)</w:t>
      </w:r>
      <w:r w:rsidR="00BE4C32">
        <w:rPr>
          <w:rFonts w:ascii="Times New Roman" w:hAnsi="Times New Roman" w:cs="Times New Roman"/>
        </w:rPr>
        <w:fldChar w:fldCharType="end"/>
      </w:r>
      <w:r w:rsidR="00BE4C32">
        <w:rPr>
          <w:rFonts w:ascii="Times New Roman" w:hAnsi="Times New Roman" w:cs="Times New Roman"/>
        </w:rPr>
        <w:t xml:space="preserve"> </w:t>
      </w:r>
      <w:r w:rsidRPr="00F23463">
        <w:rPr>
          <w:rFonts w:ascii="Times New Roman" w:hAnsi="Times New Roman" w:cs="Times New Roman"/>
        </w:rPr>
        <w:t xml:space="preserve">which may reflect the numerous pathways to recovery, such as treatment assisted recovery and natural recovery </w:t>
      </w:r>
      <w:r w:rsidR="00BE4C32">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{"citationID":"bC3mVCxq","properties":{"formattedCitation":"(W. L. White, 2007)","plainCitation":"(W. L. White, 2007)","dontUpdate":true,"noteIndex":0},"citationItems":[{"id":1203,"uris":["http://zotero.org/users/7873587/items/CYZ9JUMT"],"itemData":{"id":1203,"type":"article-journal","abstract":"The addiction field's failure to achieve consensus on a definition of \"recovery\" from severe and persistent alcohol and other drug problems undermines clinical research, compromises clinical practice, and muddles the field's communications to service constituents, allied service professionals, the public, and policymakers. This essay discusses 10 questions critical to the achievement of such a definition and offers a working definition of recovery that attempts to meet the criteria of precision, inclusiveness, exclusiveness, measurability, acceptability, and simplicity. The key questions explore who has professional and cultural authority to define recovery, the defining ingredients of recovery, the boundaries (scope and depth) of recovery, and temporal benchmarks of recovery (when recovery begins and ends). The process of defining recovery touches on some of the most controversial issues within the addictions field.","container-title":"Journal of Substance Abuse Treatment","DOI":"10.1016/j.jsat.2007.04.015","ISSN":"0740-5472","issue":"3","journalAbbreviation":"J Subst Abuse Treat","language":"eng","note":"PMID: 17889295","page":"229-241","source":"PubMed","title":"Addiction recovery: its definition and conceptual boundaries","title-short":"Addiction recovery","volume":"33","author":[{"family":"White","given":"William L."}],"issued":{"date-parts":[["2007",10]]}}}],"schema":"https://github.com/citation-style-language/schema/raw/master/csl-citation.json"} </w:instrText>
      </w:r>
      <w:r w:rsidR="00BE4C32">
        <w:rPr>
          <w:rFonts w:ascii="Times New Roman" w:hAnsi="Times New Roman" w:cs="Times New Roman"/>
        </w:rPr>
        <w:fldChar w:fldCharType="separate"/>
      </w:r>
      <w:r w:rsidR="00D2679C" w:rsidRPr="00D2679C">
        <w:rPr>
          <w:rFonts w:ascii="Times New Roman" w:hAnsi="Times New Roman" w:cs="Times New Roman"/>
        </w:rPr>
        <w:t>(White, 2007)</w:t>
      </w:r>
      <w:r w:rsidR="00BE4C32">
        <w:rPr>
          <w:rFonts w:ascii="Times New Roman" w:hAnsi="Times New Roman" w:cs="Times New Roman"/>
        </w:rPr>
        <w:fldChar w:fldCharType="end"/>
      </w:r>
      <w:r w:rsidRPr="00F23463">
        <w:rPr>
          <w:rFonts w:ascii="Times New Roman" w:hAnsi="Times New Roman" w:cs="Times New Roman"/>
        </w:rPr>
        <w:t xml:space="preserve">. In 2008, an attempt was made to define recovery by bringing together 16 addiction experts, however, they could not agree on a unanimous definition </w:t>
      </w:r>
      <w:r w:rsidR="009C23A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{"citationID":"I8r8hHD5","properties":{"formattedCitation":"(UK Drug Policy Commission, 2008)","plainCitation":"(UK Drug Policy Commission, 2008)","noteIndex":0},"citationItems":[{"id":1206,"uris":["http://zotero.org/users/7873587/items/TED3CHZK"],"itemData":{"id":1206,"type":"report","event-place":"London","publisher-place":"London","title":"The UK drug policy commission recovery consensus group: A vision of recovery","URL":"https://www.ukdpc.org.uk/wp-content/uploads/Policy%20report%20-%20A%20vision%20of%20recovery_%20UKDPC%20recovery%20consensus%20group.pdf","author":[{"literal":"UK Drug Policy Commission"}],"issued":{"date-parts":[["2008"]]}}}],"schema":"https://github.com/citation-style-language/schema/raw/master/csl-citation.json"} </w:instrText>
      </w:r>
      <w:r w:rsidR="009C23AD">
        <w:rPr>
          <w:rFonts w:ascii="Times New Roman" w:hAnsi="Times New Roman" w:cs="Times New Roman"/>
        </w:rPr>
        <w:fldChar w:fldCharType="separate"/>
      </w:r>
      <w:r w:rsidR="009C23AD" w:rsidRPr="009C23AD">
        <w:rPr>
          <w:rFonts w:ascii="Times New Roman" w:hAnsi="Times New Roman" w:cs="Times New Roman"/>
        </w:rPr>
        <w:t>(UK Drug Policy Commission, 2008)</w:t>
      </w:r>
      <w:r w:rsidR="009C23AD">
        <w:rPr>
          <w:rFonts w:ascii="Times New Roman" w:hAnsi="Times New Roman" w:cs="Times New Roman"/>
        </w:rPr>
        <w:fldChar w:fldCharType="end"/>
      </w:r>
      <w:r w:rsidR="009C23AD">
        <w:rPr>
          <w:rFonts w:ascii="Times New Roman" w:hAnsi="Times New Roman" w:cs="Times New Roman"/>
        </w:rPr>
        <w:t xml:space="preserve">. </w:t>
      </w:r>
      <w:r w:rsidRPr="00F23463">
        <w:rPr>
          <w:rFonts w:ascii="Times New Roman" w:hAnsi="Times New Roman" w:cs="Times New Roman"/>
        </w:rPr>
        <w:t>Recovery is often characterised by complete abstinence</w:t>
      </w:r>
      <w:r w:rsidR="009C23AD">
        <w:rPr>
          <w:rFonts w:ascii="Times New Roman" w:hAnsi="Times New Roman" w:cs="Times New Roman"/>
        </w:rPr>
        <w:t xml:space="preserve">; however, </w:t>
      </w:r>
      <w:r w:rsidRPr="00F23463">
        <w:rPr>
          <w:rFonts w:ascii="Times New Roman" w:hAnsi="Times New Roman" w:cs="Times New Roman"/>
        </w:rPr>
        <w:t xml:space="preserve">research has demonstrated that people with alcohol dependence can reduce their alcohol consumption, and that this reduction can be maintained for 1 year </w:t>
      </w:r>
      <w:r w:rsidR="00A9174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{"citationID":"G9dxDnqu","properties":{"formattedCitation":"(Witkiewitz, Falk, et al., 2019)","plainCitation":"(Witkiewitz, Falk, et al., 2019)","noteIndex":0},"citationItems":[{"id":1212,"uris":["http://zotero.org/users/7873587/items/23J8G7HC"],"itemData":{"id":1212,"type":"article-journal","abstract":"BACKGROUND: Reductions in the World Health Organization (WHO) risk drinking levels have been proposed as an alternative primary outcome for alcohol clinical trials. Yet, little is known about whether reductions in WHO risk drinking levels can be maintained over time. The current study examined whether reductions in WHO risk drinking levels were maintained for up to 1 year following treatment, and whether reductions over time were associated with improvements in functioning.\nMETHODS: Secondary data analysis of individuals with alcohol dependence (n = 1,226) enrolled in the COMBINE study, a multisite, randomized, placebo-controlled clinical trial. Logistic regression was used to examine the maintenance of end-of-treatment WHO risk level reductions and WHO risk level reductions at the 1-year follow-up. Repeated-measures mixed models were used to examine the association between WHO risk level reductions and functional outcomes over time.\nRESULTS: Achieving at least a 1- or 2-level reduction in risk by the end of treatment was significantly associated with WHO risk level reductions at the 1-year follow-up assessment (p &lt; 0.001). Among individuals who achieved at least a 1-level reduction by the end of treatment, 85.5% reported at least a 1-level reduction at the 1-year follow-up. Among individuals who achieved at least a 2-level reduction by the end of treatment, 77.8% reported at least a 2-level reduction at the 1-year follow-up. WHO risk level reductions were associated with significantly lower alcohol consumption, better physical health (p &lt; 0.01), and fewer alcohol-related consequences (p &lt; 0.001) up to 1 year following treatment.\nCONCLUSIONS: One- and 2-level reductions in WHO risk levels during alcohol treatment were maintained after treatment and associated with better functioning over time. These findings support the use of the WHO risk level reductions as an outcome measure that reflects clinically significant improvement in how individuals seeking treatment for alcohol use disorder feel and function.","container-title":"Alcoholism, Clinical and Experimental Research","DOI":"10.1111/acer.14018","ISSN":"1530-0277","issue":"5","journalAbbreviation":"Alcohol Clin Exp Res","language":"eng","note":"PMID: 30951210\nPMCID: PMC6502682","page":"979-987","source":"PubMed","title":"Maintenance of World Health Organization risk drinking level reductions and posttreatment functioning following a large alcohol use disorder clinical trial","volume":"43","author":[{"family":"Witkiewitz","given":"Katie"},{"family":"Falk","given":"Daniel E."},{"family":"Litten","given":"Raye Z."},{"family":"Hasin","given":"Deborah S."},{"family":"Kranzler","given":"Henry R."},{"family":"Mann","given":"Karl F."},{"family":"O'Malley","given":"Stephanie S."},{"family":"Anton","given":"Raymond F."}],"issued":{"date-parts":[["2019",5]]}}}],"schema":"https://github.com/citation-style-language/schema/raw/master/csl-citation.json"} </w:instrText>
      </w:r>
      <w:r w:rsidR="00A9174C">
        <w:rPr>
          <w:rFonts w:ascii="Times New Roman" w:hAnsi="Times New Roman" w:cs="Times New Roman"/>
        </w:rPr>
        <w:fldChar w:fldCharType="separate"/>
      </w:r>
      <w:r w:rsidR="00A9174C" w:rsidRPr="00A9174C">
        <w:rPr>
          <w:rFonts w:ascii="Times New Roman" w:hAnsi="Times New Roman" w:cs="Times New Roman"/>
        </w:rPr>
        <w:t>(Witkiewitz, Falk, et al., 2019)</w:t>
      </w:r>
      <w:r w:rsidR="00A9174C">
        <w:rPr>
          <w:rFonts w:ascii="Times New Roman" w:hAnsi="Times New Roman" w:cs="Times New Roman"/>
        </w:rPr>
        <w:fldChar w:fldCharType="end"/>
      </w:r>
      <w:r w:rsidRPr="00F23463">
        <w:rPr>
          <w:rFonts w:ascii="Times New Roman" w:hAnsi="Times New Roman" w:cs="Times New Roman"/>
        </w:rPr>
        <w:t xml:space="preserve">, 3 years </w:t>
      </w:r>
      <w:r w:rsidR="00A9174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{"citationID":"DaqLVv2v","properties":{"formattedCitation":"(Witkiewitz, Wilson, et al., 2019)","plainCitation":"(Witkiewitz, Wilson, et al., 2019)","noteIndex":0},"citationItems":[{"id":1209,"uris":["http://zotero.org/users/7873587/items/SF2XFICE"],"itemData":{"id":1209,"type":"article-journal","abstract":"BACKGROUND AND AIMS: Recovery from alcohol use disorder (AUD) is often narrowly defined by abstinence from alcohol and improvements in functioning (e.g. mental health, social functioning, employment). This study used latent profile analysis to examine variability in recovery outcomes, defined by alcohol use, alcohol-related problems and psychosocial functioning at 3 years following treatment. Secondary analysis investigated pre-treatment, post-treatment and 1- and 3-year post-treatment covariate predictors of the latent profiles.\nDESIGN: Secondary analysis of data from a randomized clinical trial.\nSETTING: United States.\nPARTICIPANTS: We used data from the out-patient arm of Project MATCH (n = 806; 29.7% female, 22.2% non-white).\nMEASUREMENTS: Recovery was defined by latent profile analyses including measures of psychosocial functioning and life satisfaction (Psychosocial Functioning Inventory), unemployment and mental health (Addiction Severity Index), alcohol and other drug use (Form 90) and alcohol-related consequences (Drinker Inventory of Consequences) 3 years following treatment. Mixture modeling was used to examine correlates of profiles.\nFINDINGS: We identified four profiles at 3 years following treatment: (1) poor functioning frequent heavy drinkers, (2) poor functioning infrequent heavy drinkers, (3) high functioning occasional heavy drinkers and (4) high-functioning infrequent non-heavy drinkers. There were relatively few differences on indicators of functioning and treatment-related variables between the high functioning infrequent non-heavy drinkers and the high-functioning occasional heavy drinkers, other than high-functioning occasional heavy drinkers having lower alcohol dependence severity [odds ratio (OR) = 0.94, 95% confidence interval (CI) = 0.90, 0.98], fewer post-treatment coping skills (OR = 0.54, 95% CI = 0.32, 0.90) and lower 3-year post-treatment abstinence self-efficacy (OR = 0.37, 95% CI = 0.28, 0.49) and Alcoholics Anonymous (AA) involvement (OR = 0.87, 95% CI = 0.85, 0.99). The two high-functioning profiles showed the greatest improvements in functioning from baseline through the 3-year follow-up, whereas the low-functioning profiles showed the least amount of improvement. High-functioning occasional heavy drinkers had higher purpose in life than the poor-functioning profiles.\nCONCLUSIONS: Some individuals who engage in heavy drinking following treatment for alcohol use disorder may function as well as those who are mostly abstinent with respect to psychosocial functioning, employment, life satisfaction and mental health.","container-title":"Addiction","DOI":"10.1111/add.14403","ISSN":"1360-0443","issue":"1","journalAbbreviation":"Addiction","language":"eng","note":"PMID: 30063267\nPMCID: PMC6289769","page":"69-80","source":"PubMed","title":"Profiles of recovery from alcohol use disorder at three years following treatment: can the definition of recovery be extended to include high functioning heavy drinkers?","title-short":"Profiles of recovery from alcohol use disorder at three years following treatment","volume":"114","author":[{"family":"Witkiewitz","given":"Katie"},{"family":"Wilson","given":"Adam D."},{"family":"Pearson","given":"Matthew R."},{"family":"Montes","given":"Kevin S."},{"family":"Kirouac","given":"Megan"},{"family":"Roos","given":"Corey R."},{"family":"Hallgren","given":"Kevin A."},{"family":"Maisto","given":"Stephen A."}],"issued":{"date-parts":[["2019",1]]}}}],"schema":"https://github.com/citation-style-language/schema/raw/master/csl-citation.json"} </w:instrText>
      </w:r>
      <w:r w:rsidR="00A9174C">
        <w:rPr>
          <w:rFonts w:ascii="Times New Roman" w:hAnsi="Times New Roman" w:cs="Times New Roman"/>
        </w:rPr>
        <w:fldChar w:fldCharType="separate"/>
      </w:r>
      <w:r w:rsidR="00A9174C" w:rsidRPr="00A9174C">
        <w:rPr>
          <w:rFonts w:ascii="Times New Roman" w:hAnsi="Times New Roman" w:cs="Times New Roman"/>
        </w:rPr>
        <w:t>(Witkiewitz, Wilson, et al., 2019)</w:t>
      </w:r>
      <w:r w:rsidR="00A9174C">
        <w:rPr>
          <w:rFonts w:ascii="Times New Roman" w:hAnsi="Times New Roman" w:cs="Times New Roman"/>
        </w:rPr>
        <w:fldChar w:fldCharType="end"/>
      </w:r>
      <w:r w:rsidR="00A9174C">
        <w:rPr>
          <w:rFonts w:ascii="Times New Roman" w:hAnsi="Times New Roman" w:cs="Times New Roman"/>
        </w:rPr>
        <w:t xml:space="preserve">, </w:t>
      </w:r>
      <w:r w:rsidRPr="00F23463">
        <w:rPr>
          <w:rFonts w:ascii="Times New Roman" w:hAnsi="Times New Roman" w:cs="Times New Roman"/>
        </w:rPr>
        <w:t xml:space="preserve">and even up to 10 years following treatment </w:t>
      </w:r>
      <w:r w:rsidR="005225FD">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{"citationID":"w8c03WPB","properties":{"formattedCitation":"(Witkiewitz et al., 2021)","plainCitation":"(Witkiewitz et al., 2021)","noteIndex":0},"citationItems":[{"id":1207,"uris":["http://zotero.org/users/7873587/items/GMJWR5AM"],"itemData":{"id":1207,"type":"article-journal","abstract":"OBJECTIVE: Four decades ago, the \"controlled drinking\" controversy roiled the alcohol field. Data have subsequently accumulated indicating that nonabstinent alcohol use disorder (AUD) recovery is achievable, but questions remain whether it is sustainable long-term. This study examined whether nonabstinent recovery at 3 years after AUD treatment is associated with better functioning at 10 years after treatment.\nMETHODS: Data were from the 10-year follow-up of Project MATCH (New Mexico site only, n  = 146; 30.1% female, 58.6% non-White). Recovery was defined by latent profile analyses based on psychosocial functioning and alcohol consumption 3 years after treatment. Drinking practices and consequences, depression, purpose in life, and anger were assessed 10 years after treatment. Distal outcome analyses examined differences in drinking and functional outcomes at 10 years as a function of the 3-year latent profiles. Analyses were preregistered at https://osf.io/3hbxr.\nRESULTS: Four latent profiles identified at 3 years after treatment (ie, low functioning frequent heavy drinkers, low functioning infrequent heavy drinkers, high functioning heavy drinkers, and high functioning infrequent nonheavy drinkers) were significantly associated with outcomes 10 years after treatment. The 2 high functioning profiles at 3 years had the highest level of psychological functioning at 10 years posttreatment, regardless of alcohol consumption level. Abstinence at 3 years did not predict better psychological functioning at 10 years.\nCONCLUSIONS: Nonabstinent AUD recovery is possible and is sustainable for up to 10 years after treatment. The current findings align with recent proposals to move beyond relying on alcohol consumption as a central defining feature of AUD recovery.","container-title":"Journal of Addiction Medicine","DOI":"10.1097/ADM.0000000000000760","ISSN":"1935-3227","issue":"4","journalAbbreviation":"J Addict Med","language":"eng","note":"PMID: 33060466\nPMCID: PMC8044251","page":"303-310","source":"PubMed","title":"Can individuals with alcohol use disorder sustain non-abstinent recovery? Non-abstinent outcomes 10 years after alcohol use disorder treatment","title-short":"Can Individuals With Alcohol Use Disorder Sustain Non-abstinent Recovery?","volume":"15","author":[{"family":"Witkiewitz","given":"Katie"},{"family":"Wilson","given":"Adam D."},{"family":"Roos","given":"Corey R."},{"family":"Swan","given":"Julia E."},{"family":"Votaw","given":"Victoria R."},{"family":"Stein","given":"Elena R."},{"family":"Pearson","given":"Matthew R."},{"family":"Edwards","given":"Karlyn A."},{"family":"Tonigan","given":"Jeffrey Scott"},{"family":"Hallgren","given":"Kevin A."},{"family":"Montes","given":"Kevin S."},{"family":"Maisto","given":"Stephen A."},{"family":"Tucker","given":"Jalie A."}],"issued":{"date-parts":[["2021",8,1]]}}}],"schema":"https://github.com/citation-style-language/schema/raw/master/csl-citation.json"} </w:instrText>
      </w:r>
      <w:r w:rsidR="005225FD">
        <w:rPr>
          <w:rFonts w:ascii="Times New Roman" w:hAnsi="Times New Roman" w:cs="Times New Roman"/>
        </w:rPr>
        <w:fldChar w:fldCharType="separate"/>
      </w:r>
      <w:r w:rsidR="005225FD" w:rsidRPr="005225FD">
        <w:rPr>
          <w:rFonts w:ascii="Times New Roman" w:hAnsi="Times New Roman" w:cs="Times New Roman"/>
        </w:rPr>
        <w:t>(Witkiewitz et al., 2021)</w:t>
      </w:r>
      <w:r w:rsidR="005225FD">
        <w:rPr>
          <w:rFonts w:ascii="Times New Roman" w:hAnsi="Times New Roman" w:cs="Times New Roman"/>
        </w:rPr>
        <w:fldChar w:fldCharType="end"/>
      </w:r>
      <w:r w:rsidR="005225FD">
        <w:rPr>
          <w:rFonts w:ascii="Times New Roman" w:hAnsi="Times New Roman" w:cs="Times New Roman"/>
        </w:rPr>
        <w:t xml:space="preserve">. </w:t>
      </w:r>
      <w:r w:rsidRPr="00F23463">
        <w:rPr>
          <w:rFonts w:ascii="Times New Roman" w:hAnsi="Times New Roman" w:cs="Times New Roman"/>
        </w:rPr>
        <w:t>The implication of these findings is that moderation of consumption can yield a form of recovery that is meaningful and successful for some people. Therefore, although abstinence is often the core outcome</w:t>
      </w:r>
      <w:r w:rsidR="009C23AD">
        <w:rPr>
          <w:rFonts w:ascii="Times New Roman" w:hAnsi="Times New Roman" w:cs="Times New Roman"/>
        </w:rPr>
        <w:t xml:space="preserve"> </w:t>
      </w:r>
      <w:r w:rsidRPr="00F23463">
        <w:rPr>
          <w:rFonts w:ascii="Times New Roman" w:hAnsi="Times New Roman" w:cs="Times New Roman"/>
        </w:rPr>
        <w:t xml:space="preserve">(e.g., </w:t>
      </w:r>
      <w:r w:rsidR="005225F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{"citationID":"OfvDwd8b","properties":{"formattedCitation":"(Volkow et al., 2016)","plainCitation":"(Volkow et al., 2016)","dontUpdate":true,"noteIndex":0},"citationItems":[{"id":1180,"uris":["http://zotero.org/users/7873587/items/MMB2LBXI"],"itemData":{"id":1180,"type":"article-journal","abstract":"This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5225FD">
        <w:rPr>
          <w:rFonts w:ascii="Times New Roman" w:hAnsi="Times New Roman" w:cs="Times New Roman"/>
        </w:rPr>
        <w:fldChar w:fldCharType="separate"/>
      </w:r>
      <w:r w:rsidR="005225FD" w:rsidRPr="005225FD">
        <w:rPr>
          <w:rFonts w:ascii="Times New Roman" w:hAnsi="Times New Roman" w:cs="Times New Roman"/>
        </w:rPr>
        <w:t>Volkow et al., 2016)</w:t>
      </w:r>
      <w:r w:rsidR="005225FD">
        <w:rPr>
          <w:rFonts w:ascii="Times New Roman" w:hAnsi="Times New Roman" w:cs="Times New Roman"/>
        </w:rPr>
        <w:fldChar w:fldCharType="end"/>
      </w:r>
      <w:r w:rsidRPr="00F23463">
        <w:rPr>
          <w:rFonts w:ascii="Times New Roman" w:hAnsi="Times New Roman" w:cs="Times New Roman"/>
        </w:rPr>
        <w:t xml:space="preserve">, the extent to which it should solely define engagement in the process of recovery is </w:t>
      </w:r>
      <w:r w:rsidR="00B66B1F">
        <w:rPr>
          <w:rFonts w:ascii="Times New Roman" w:hAnsi="Times New Roman" w:cs="Times New Roman"/>
        </w:rPr>
        <w:t>debatable</w:t>
      </w:r>
      <w:r w:rsidRPr="00F23463">
        <w:rPr>
          <w:rFonts w:ascii="Times New Roman" w:hAnsi="Times New Roman" w:cs="Times New Roman"/>
        </w:rPr>
        <w:t xml:space="preserve"> </w:t>
      </w:r>
      <w:r w:rsidR="005225F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{"citationID":"tGD03IXL","properties":{"formattedCitation":"(Ashford et al., 2019)","plainCitation":"(Ashford et al., 2019)","noteIndex":0},"citationItems":[{"id":1201,"uris":["http://zotero.org/users/7873587/items/M5HUFQAY"],"itemData":{"id":1201,"type":"article-journal","abstract":"A number of definitions exist for the concept of “recovery” in both the substance use disorder (SUD) and mental health (MH) fields. Previous attempts to define recovery have not reached consensus among experts within the field. Thus, the definition has remained diffuse at the expense of attempts to measure and evaluate treatment and recovery outcomes. The notion of recovery as an organizing principle between SUD and MH, collectively identified as behavioral health (BH), can be better served by a collaborative endeavor to define the word and concept of “recovery”. The Recovery Science Research Collaborative (RSRC), an interdisciplinary bi-annual collaboration among recovery researchers and professionals from across the country, sought to address the definition of recovery at the inaugural meeting in December 2017 at Kennesaw State University. The RSRC undertook this task with the primary goal of defining “recovery” for use in research – aiming to create a consensus definition that allows recovery to be clearly operationalized and effectively investigated.","container-title":"Addiction Research &amp; Theory","DOI":"10.1080/16066359.2018.1515352","ISSN":"1606-6359","issue":"3","note":"publisher: Taylor &amp; Francis\n_eprint: https://doi.org/10.1080/16066359.2018.1515352","page":"179-188","source":"Taylor and Francis+NEJM","title":"Defining and operationalizing the phenomena of recovery: a working definition from the recovery science research collaborative","title-short":"Defining and operationalizing the phenomena of recovery","volume":"27","author":[{"family":"Ashford","given":"Robert D."},{"family":"Brown","given":"Austin"},{"family":"Brown","given":"Tiffany"},{"family":"Callis","given":"Jason"},{"family":"Cleveland","given":"H. Harrington"},{"family":"Eisenhart","given":"Emily"},{"family":"Groover","given":"Hillary"},{"family":"Hayes","given":"Nicholas"},{"family":"Johnston","given":"Teresa"},{"family":"Kimball","given":"Thomas"},{"family":"Manteuffel","given":"Brigitte"},{"family":"McDaniel","given":"Jessica"},{"family":"Montgomery","given":"Lindsay"},{"family":"Phillips","given":"Shane"},{"family":"Polacek","given":"Michael"},{"family":"Statman","given":"Matt"},{"family":"Whitney","given":"Jason"}],"issued":{"date-parts":[["2019",5,4]]}}}],"schema":"https://github.com/citation-style-language/schema/raw/master/csl-citation.json"} </w:instrText>
      </w:r>
      <w:r w:rsidR="005225FD">
        <w:rPr>
          <w:rFonts w:ascii="Times New Roman" w:hAnsi="Times New Roman" w:cs="Times New Roman"/>
        </w:rPr>
        <w:fldChar w:fldCharType="separate"/>
      </w:r>
      <w:r w:rsidR="005225FD" w:rsidRPr="005225FD">
        <w:rPr>
          <w:rFonts w:ascii="Times New Roman" w:hAnsi="Times New Roman" w:cs="Times New Roman"/>
        </w:rPr>
        <w:t>(Ashford et al., 2019)</w:t>
      </w:r>
      <w:r w:rsidR="005225FD">
        <w:rPr>
          <w:rFonts w:ascii="Times New Roman" w:hAnsi="Times New Roman" w:cs="Times New Roman"/>
        </w:rPr>
        <w:fldChar w:fldCharType="end"/>
      </w:r>
      <w:r w:rsidR="00B66B1F">
        <w:rPr>
          <w:rFonts w:ascii="Times New Roman" w:hAnsi="Times New Roman" w:cs="Times New Roman"/>
        </w:rPr>
        <w:t>. A</w:t>
      </w:r>
      <w:r w:rsidRPr="00F23463">
        <w:rPr>
          <w:rFonts w:ascii="Times New Roman" w:hAnsi="Times New Roman" w:cs="Times New Roman"/>
        </w:rPr>
        <w:t xml:space="preserve">s a result, researchers are moving away from an abstinence only approach. Indeed, a recent review of the literature by </w:t>
      </w:r>
      <w:r w:rsidR="005225FD">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{"citationID":"veM0S8dt","properties":{"formattedCitation":"(Witkiewitz et al., 2020)","plainCitation":"(Witkiewitz et al., 2020)","dontUpdate":true,"noteIndex":0},"citationItems":[{"id":1215,"uris":["http://zotero.org/users/7873587/items/DR5M7YUW"],"itemData":{"id":1215,"type":"article-journal","abstract":"Alcohol use disorder (AUD) is among the most prevalent psychiatric disorders and is associated with enormous public health costs. Although AUD and other addictive behaviors have been described as chronic relapsing conditions, most individuals who develop AUD will eventually recover. This narrative review provides an overview of definitions of recovery, with a focus on recovery from AUD. The definitions reviewed include those developed by key stakeholder groups, as well as definitions derived from recent quantitative and qualitative studies of individuals who meet criteria for AUD and attempt to resolve their problems with or without treatment or who self-identify as pursuing or achieving recovery. The literature reviewed supports a definition of recovery as an ongoing dynamic process of behavior change characterized by relatively stable improvements in biopsychosocial functioning and purpose in life. The review concludes that definitions of recovery that rely solely on abstinence from alcohol and the absence of AUD symptoms fail to capture the multidimensional and heterogeneous pathways to recovery that are evident among individuals in general population and clinical samples.","container-title":"Alcohol Research: Current Reviews","DOI":"10.35946/arcr.v40.3.01","ISSN":"2169-4796","issue":"3","journalAbbreviation":"Alcohol Res","language":"eng","note":"PMID: 32983748\nPMCID: PMC7505137","page":"01","source":"PubMed","title":"What is recovery?","volume":"40","author":[{"family":"Witkiewitz","given":"Katie"},{"family":"Montes","given":"Kevin S."},{"family":"Schwebel","given":"Frank J."},{"family":"Tucker","given":"Jalie A."}],"issued":{"date-parts":[["2020"]]}}}],"schema":"https://github.com/citation-style-language/schema/raw/master/csl-citation.json"} </w:instrText>
      </w:r>
      <w:r w:rsidR="005225FD">
        <w:rPr>
          <w:rFonts w:ascii="Times New Roman" w:hAnsi="Times New Roman" w:cs="Times New Roman"/>
        </w:rPr>
        <w:fldChar w:fldCharType="separate"/>
      </w:r>
      <w:r w:rsidR="005225FD" w:rsidRPr="005225FD">
        <w:rPr>
          <w:rFonts w:ascii="Times New Roman" w:hAnsi="Times New Roman" w:cs="Times New Roman"/>
        </w:rPr>
        <w:t xml:space="preserve">Witkiewitz et al. </w:t>
      </w:r>
      <w:r w:rsidR="005225FD">
        <w:rPr>
          <w:rFonts w:ascii="Times New Roman" w:hAnsi="Times New Roman" w:cs="Times New Roman"/>
        </w:rPr>
        <w:t>(</w:t>
      </w:r>
      <w:r w:rsidR="005225FD" w:rsidRPr="005225FD">
        <w:rPr>
          <w:rFonts w:ascii="Times New Roman" w:hAnsi="Times New Roman" w:cs="Times New Roman"/>
        </w:rPr>
        <w:t>2020)</w:t>
      </w:r>
      <w:r w:rsidR="005225FD">
        <w:rPr>
          <w:rFonts w:ascii="Times New Roman" w:hAnsi="Times New Roman" w:cs="Times New Roman"/>
        </w:rPr>
        <w:fldChar w:fldCharType="end"/>
      </w:r>
      <w:r w:rsidR="005225FD">
        <w:rPr>
          <w:rFonts w:ascii="Times New Roman" w:hAnsi="Times New Roman" w:cs="Times New Roman"/>
        </w:rPr>
        <w:t xml:space="preserve"> </w:t>
      </w:r>
      <w:r w:rsidRPr="00F23463">
        <w:rPr>
          <w:rFonts w:ascii="Times New Roman" w:hAnsi="Times New Roman" w:cs="Times New Roman"/>
        </w:rPr>
        <w:t xml:space="preserve">proposed a definition of recovery that recognises it to be a process of behaviour change that is dynamic and ongoing, characterised by improvements in biopsychosocial functioning and purpose in life. </w:t>
      </w:r>
    </w:p>
    <w:p w14:paraId="28B424D7" w14:textId="77777777" w:rsidR="008A4FF5" w:rsidRPr="00F23463" w:rsidRDefault="008A4FF5" w:rsidP="00AC0B06">
      <w:pPr>
        <w:pStyle w:val="NoSpacing"/>
        <w:spacing w:line="480" w:lineRule="auto"/>
        <w:rPr>
          <w:rFonts w:ascii="Times New Roman" w:hAnsi="Times New Roman" w:cs="Times New Roman"/>
        </w:rPr>
      </w:pPr>
    </w:p>
    <w:p w14:paraId="21F6208D" w14:textId="06EAC8A5" w:rsidR="008A4FF5" w:rsidRPr="00F23463" w:rsidRDefault="008A4FF5" w:rsidP="00D3625D">
      <w:pPr>
        <w:pStyle w:val="NoSpacing"/>
        <w:spacing w:line="480" w:lineRule="auto"/>
        <w:rPr>
          <w:rFonts w:ascii="Times New Roman" w:hAnsi="Times New Roman" w:cs="Times New Roman"/>
        </w:rPr>
      </w:pPr>
      <w:r w:rsidRPr="00F23463">
        <w:rPr>
          <w:rFonts w:ascii="Times New Roman" w:hAnsi="Times New Roman" w:cs="Times New Roman"/>
        </w:rPr>
        <w:t xml:space="preserve">For people who seek treatment, some of the effective psychological interventions for addiction include alcoholics anonymous (AA), motivational interviewing (MI) or motivational enhancement therapy (MET), and cognitive behavioural therapy (CBT; </w:t>
      </w:r>
      <w:r w:rsidR="008B2D4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{"citationID":"wBwAPoKp","properties":{"formattedCitation":"(Dutra et al., 2008)","plainCitation":"(Dutra et al., 2008)","dontUpdate":true,"noteIndex":0},"citationItems":[{"id":1218,"uris":["http://zotero.org/users/7873587/items/6VX3G3RN"],"itemData":{"id":1218,"type":"article-journal","abstract":"OBJECTIVE: Despite significant advances in psychosocial treatments for substance use disorders, the relative success of these approaches has not been well documented. In this meta-analysis, the authors provide effect sizes for various types of psychosocial treatments, as well as abstinence and treatment-retention rates for cannabis, cocaine, opiate, and polysubstance abuse and dependence treatment trials.\nMETHOD: With a comprehensive series of literature searches, the authors identified a total of 34 well-controlled treatment conditions-five for cannabis, nine for cocaine, seven for opiate, and 13 for polysubstance users-representing the treatment of 2,340 patients. Psychosocial treatments evaluated included contingency management, relapse prevention, general cognitive behavior therapy, and treatments combining cognitive behavior therapy and contingency management.\nRESULTS: Overall, controlled trial data suggest that psychosocial treatments provide benefits reflecting a moderate effect size according to Cohen's standards. These interventions were most efficacious for cannabis use and least efficacious for polysubstance use. The strongest effect was found for contingency management interventions. Approximately one-third of participants across all psychosocial treatments dropped out before treatment completion compared to 44.6% for the control conditions.\nCONCLUSIONS: Effect sizes for psychosocial treatments for illicit drugs ranged from the low-moderate to high-moderate range, depending on the substance disorder and treatment under study. Given the long-term social, emotional, and cognitive impairments associated with substance use disorders, these effect sizes are noteworthy and comparable to those for other efficacious treatments in psychiatry.","container-title":"The American Journal of Psychiatry","DOI":"10.1176/appi.ajp.2007.06111851","ISSN":"0002-953X","issue":"2","journalAbbreviation":"Am J Psychiatry","language":"eng","note":"PMID: 18198270","page":"179-187","source":"PubMed","title":"A meta-analytic review of psychosocial interventions for substance use disorders","volume":"165","author":[{"family":"Dutra","given":"Lissa"},{"family":"Stathopoulou","given":"Georgia"},{"family":"Basden","given":"Shawnee L."},{"family":"Leyro","given":"Teresa M."},{"family":"Powers","given":"Mark B."},{"family":"Otto","given":"Michael W."}],"issued":{"date-parts":[["2008",2]]}}}],"schema":"https://github.com/citation-style-language/schema/raw/master/csl-citation.json"} </w:instrText>
      </w:r>
      <w:r w:rsidR="008B2D46">
        <w:rPr>
          <w:rFonts w:ascii="Times New Roman" w:hAnsi="Times New Roman" w:cs="Times New Roman"/>
        </w:rPr>
        <w:fldChar w:fldCharType="separate"/>
      </w:r>
      <w:r w:rsidR="008B2D46" w:rsidRPr="008B2D46">
        <w:rPr>
          <w:rFonts w:ascii="Times New Roman" w:hAnsi="Times New Roman" w:cs="Times New Roman"/>
        </w:rPr>
        <w:t xml:space="preserve">Dutra et </w:t>
      </w:r>
      <w:r w:rsidR="008B2D46" w:rsidRPr="008B2D46">
        <w:rPr>
          <w:rFonts w:ascii="Times New Roman" w:hAnsi="Times New Roman" w:cs="Times New Roman"/>
        </w:rPr>
        <w:lastRenderedPageBreak/>
        <w:t>al., 2008)</w:t>
      </w:r>
      <w:r w:rsidR="008B2D46">
        <w:rPr>
          <w:rFonts w:ascii="Times New Roman" w:hAnsi="Times New Roman" w:cs="Times New Roman"/>
        </w:rPr>
        <w:fldChar w:fldCharType="end"/>
      </w:r>
      <w:r w:rsidRPr="00F23463">
        <w:rPr>
          <w:rFonts w:ascii="Times New Roman" w:hAnsi="Times New Roman" w:cs="Times New Roman"/>
        </w:rPr>
        <w:t>. Previous research has provided an insight into the psychological mechanisms by which these treatments exert their effects. For example, AA is a non-professional organisation whereby a person who is dependent on alcohol is paired with a person who is abstinent from alcohol (but who used to be dependent themselves, also referred to as a ‘sponsor’). Group meetings are held</w:t>
      </w:r>
      <w:r w:rsidR="00123207">
        <w:rPr>
          <w:rFonts w:ascii="Times New Roman" w:hAnsi="Times New Roman" w:cs="Times New Roman"/>
        </w:rPr>
        <w:t xml:space="preserve">, and via a twelve-step programme, </w:t>
      </w:r>
      <w:r w:rsidR="00DE6C7B">
        <w:rPr>
          <w:rFonts w:ascii="Times New Roman" w:hAnsi="Times New Roman" w:cs="Times New Roman"/>
        </w:rPr>
        <w:t xml:space="preserve">are used to </w:t>
      </w:r>
      <w:r w:rsidR="00123207">
        <w:rPr>
          <w:rFonts w:ascii="Times New Roman" w:hAnsi="Times New Roman" w:cs="Times New Roman"/>
        </w:rPr>
        <w:t xml:space="preserve">advocate complete abstinence from alcohol. </w:t>
      </w:r>
      <w:r w:rsidRPr="00F23463">
        <w:rPr>
          <w:rFonts w:ascii="Times New Roman" w:hAnsi="Times New Roman" w:cs="Times New Roman"/>
        </w:rPr>
        <w:t xml:space="preserve">AA has been </w:t>
      </w:r>
      <w:r w:rsidR="005D61EE">
        <w:rPr>
          <w:rFonts w:ascii="Times New Roman" w:hAnsi="Times New Roman" w:cs="Times New Roman"/>
        </w:rPr>
        <w:t>found</w:t>
      </w:r>
      <w:r w:rsidRPr="00F23463">
        <w:rPr>
          <w:rFonts w:ascii="Times New Roman" w:hAnsi="Times New Roman" w:cs="Times New Roman"/>
        </w:rPr>
        <w:t xml:space="preserve"> to enhance recovery via </w:t>
      </w:r>
      <w:r w:rsidR="005D61EE" w:rsidRPr="00F23463">
        <w:rPr>
          <w:rFonts w:ascii="Times New Roman" w:hAnsi="Times New Roman" w:cs="Times New Roman"/>
        </w:rPr>
        <w:t>several</w:t>
      </w:r>
      <w:r w:rsidRPr="00F23463">
        <w:rPr>
          <w:rFonts w:ascii="Times New Roman" w:hAnsi="Times New Roman" w:cs="Times New Roman"/>
        </w:rPr>
        <w:t xml:space="preserve"> mechanisms</w:t>
      </w:r>
      <w:r w:rsidR="005D61EE">
        <w:rPr>
          <w:rFonts w:ascii="Times New Roman" w:hAnsi="Times New Roman" w:cs="Times New Roman"/>
        </w:rPr>
        <w:t>. Prominent examples are through the</w:t>
      </w:r>
      <w:r w:rsidRPr="00F23463">
        <w:rPr>
          <w:rFonts w:ascii="Times New Roman" w:hAnsi="Times New Roman" w:cs="Times New Roman"/>
        </w:rPr>
        <w:t xml:space="preserve"> facilitation of social network changes </w:t>
      </w:r>
      <w:r w:rsidR="00AA55C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{"citationID":"1AkUcZx6","properties":{"formattedCitation":"(Brooks et al., 2017; Kelly, 2017)","plainCitation":"(Brooks et al., 2017; Kelly, 2017)","noteIndex":0},"citationItems":[{"id":1220,"uris":["http://zotero.org/users/7873587/items/D62C9U29"],"itemData":{"id":1220,"type":"article-journal","abstract":"Introduction\nSevere alcohol use disorder (AUD) affects multiple aspects of an individual's life as well as their loved ones' lives. Perceived social support has the potential to help or hinder recovery efforts.\nMethods\nIn this analysis we seek to understand the changes of social networks among individuals with severe AUD (n=33) throughout their recovery process and the potential relationship between the quality and nature of those networks and sustained sobriety as they transition from an inpatient research facility providing rehabilitation treatment back to the community. Interviews were conducted in 2014 and 2015. We conducted in-depth thematic analysis of themes related to social support using an exploratory approach.\nResults\nThe most common types of social support mentioned in both inpatient and outpatient settings were instrumental and emotional. Participants most frequently mentioned Alcoholics Anonymous (AA), an abstinence-based support system, as a source of support and often used the inpatient program as an exemplar when describing their ideal social networks.\nConclusion\nThese data provide insight into the complexity of the issues and barriers that individuals in recovery may be facing across “transition periods.” From an intervention standpoint, it may be beneficial to focus on helping people choose environments and their accompanying social contexts and networks that are most conducive to recovery. Further elucidating the concept of social support and its role in recovery could provide information on unique needs of individuals and guide clinicians in engaging patients to develop new or sustain healthy existing social networks that result in continued sobriety.","container-title":"Addictive Behaviors Reports","DOI":"10.1016/j.abrep.2017.08.002","ISSN":"2352-8532","journalAbbreviation":"Addictive Behaviors Reports","language":"en","page":"76-82","source":"ScienceDirect","title":"A qualitative exploration of social support during treatment for severe alcohol use disorder and recovery","volume":"6","author":[{"family":"Brooks","given":"Alyssa T."},{"family":"Magaña Lòpez","given":"Miriam"},{"family":"Ranucci","given":"Alexandra"},{"family":"Krumlauf","given":"Michael"},{"family":"Wallen","given":"Gwenyth R."}],"issued":{"date-parts":[["2017",12,1]]}},"label":"page"},{"id":1226,"uris":["http://zotero.org/users/7873587/items/XBGYYH22"],"itemData":{"id":1226,"type":"article-journal","abstract":"Background Alcoholics Anonymous (AA) is a world-wide recovery mutual-help organization that continues to arouse controversy. In large part, concerns persist because of AA's ostensibly quasi-religious/spiritual orientation and emphasis. In 1990 the United States’ Institute of Medicine called for more studies on AA's effectiveness and its mechanisms of behavior change (MOBC) stimulating a flurry of federally funded research. This paper reviews the religious/spiritual origins of AA and its program and contrasts its theory with findings from this latest research. Method Literature review, summary and synthesis of studies examining AA's MOBC. Results While AA's original main text (‘the Big Book’, 1939) purports that recovery is achieved through quasi-religious/spiritual means (‘spiritual awakening’), findings from studies on MOBC suggest this may be true only for a minority of participants with high addiction severity. AA's beneficial effects seem to be carried predominantly by social, cognitive and affective mechanisms. These mechanisms are more aligned with the experiences reported by AA's own larger and more diverse membership as detailed in its later social, cognitive and behaviorally oriented publications (e.g. Living Sober, 1975) written when AA membership numbered more than a million men and women. Conclusions Alcoholics Anonymous appears to be an effective clinical and public health ally that aids addiction recovery through its ability to mobilize therapeutic mechanisms similar to those mobilized in formal treatment, but is able to do this for free over the long term in the communities in which people live.","container-title":"Addiction","DOI":"10.1111/add.13590","ISSN":"1360-0443","issue":"6","language":"en","note":"_eprint: https://onlinelibrary.wiley.com/doi/pdf/10.1111/add.13590","page":"929-936","source":"Wiley Online Library","title":"Is Alcoholics Anonymous religious, spiritual, neither? Findings from 25 years of mechanisms of behavior change research","title-short":"Is Alcoholics Anonymous religious, spiritual, neither?","volume":"112","author":[{"family":"Kelly","given":"John F."}],"issued":{"date-parts":[["2017"]]}},"label":"act"}],"schema":"https://github.com/citation-style-language/schema/raw/master/csl-citation.json"} </w:instrText>
      </w:r>
      <w:r w:rsidR="00AA55CE">
        <w:rPr>
          <w:rFonts w:ascii="Times New Roman" w:hAnsi="Times New Roman" w:cs="Times New Roman"/>
        </w:rPr>
        <w:fldChar w:fldCharType="separate"/>
      </w:r>
      <w:r w:rsidR="00AA55CE" w:rsidRPr="00AA55CE">
        <w:rPr>
          <w:rFonts w:ascii="Times New Roman" w:hAnsi="Times New Roman" w:cs="Times New Roman"/>
        </w:rPr>
        <w:t>(Brooks et al., 2017; Kelly, 2017)</w:t>
      </w:r>
      <w:r w:rsidR="00AA55CE">
        <w:rPr>
          <w:rFonts w:ascii="Times New Roman" w:hAnsi="Times New Roman" w:cs="Times New Roman"/>
        </w:rPr>
        <w:fldChar w:fldCharType="end"/>
      </w:r>
      <w:r w:rsidR="00AA55CE">
        <w:rPr>
          <w:rFonts w:ascii="Times New Roman" w:hAnsi="Times New Roman" w:cs="Times New Roman"/>
        </w:rPr>
        <w:t xml:space="preserve"> </w:t>
      </w:r>
      <w:r w:rsidRPr="00F23463">
        <w:rPr>
          <w:rFonts w:ascii="Times New Roman" w:hAnsi="Times New Roman" w:cs="Times New Roman"/>
        </w:rPr>
        <w:t>and boosting social and negative affect abstinence self-efficacy</w:t>
      </w:r>
      <w:r w:rsidR="00E70A60">
        <w:rPr>
          <w:rFonts w:ascii="Times New Roman" w:hAnsi="Times New Roman" w:cs="Times New Roman"/>
        </w:rPr>
        <w:t xml:space="preserve"> </w:t>
      </w:r>
      <w:r w:rsidR="00E70A6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{"citationID":"fuunQskR","properties":{"formattedCitation":"(Kelly et al., 2009, 2012)","plainCitation":"(Kelly et al., 2009, 2012)","noteIndex":0},"citationItems":[{"id":1232,"uris":["http://zotero.org/users/7873587/items/BU4VUFXX"],"itemData":{"id":1232,"type":"article-journal","abstract":"Rigorous reviews of the science on the effectiveness of Alcoholics Anonymous (AA) indicate that AA and related 12-step treatment are at least as helpful as other intervention approaches. Exactly how AA achieves these beneficial outcomes is less well understood, yet, greater elucidation of AA’s mechanisms could inform our understanding of addiction recovery and the timing and content of alcohol-related interventions. Empirical studies examining AA’s mechanisms were located from searches in Pubmed, Medline, PsycINFO, Social Service Abstracts and from published reference lists. Thirteen studies completed full mediational tests. A further six were included that had completed partial tests. Mechanisms examined fell into three domains: (1) Common processes; (2) AA-specific practices; and (3) Social and spiritual processes. Results suggest AA helps individuals recover through common process mechanisms associated with enhancing self-efficacy, coping skills, and motivation, and by facilitating adaptive social network changes. Little research or support was found for AA’s specific practices or spiritual mechanisms. Conclusions are limited by between-study differences in sampling, measurement, and assessment time-points, and by insufficient theoretical elaboration of recovery-related change. Similar to the common finding that theoretically-distinct professional interventions do not result in differential patient outcomes, AA’s effectiveness may not be due to its specific content or process. Rather, its chief strength may lie in its ability to provide free, long-term, easy access and exposure to recovery-related common therapeutic elements, the dose of which, can be adaptively self-regulated according to perceived need. (PsycINFO Database Record (c) 2016 APA, all rights reserved)","container-title":"Addiction Research &amp; Theory","DOI":"10.1080/16066350902770458","ISSN":"1476-7392","issue":"3","note":"publisher-place: US\npublisher: Informa Healthcare","page":"236-259","source":"APA PsycNet","title":"How do people recover from alcohol dependence? A systematic review of the research on mechanisms of behavior change in Alcoholics Anonymous","title-short":"How do people recover from alcohol dependence?","volume":"17","author":[{"family":"Kelly","given":"John Francis"},{"family":"Magill","given":"Molly"},{"family":"Stout","given":"Robert Lauren"}],"issued":{"date-parts":[["2009"]]}},"label":"act"},{"id":1229,"uris":["http://zotero.org/users/7873587/items/GRTQTDTR"],"itemData":{"id":1229,"type":"article-journal","abstract":"Aims\nEvidence indicates AA participation reduces relapse risk but less is known about the mechanisms through which AA confers this benefit. Initial studies indicate self-efficacy, negative affect, adaptive social networks, and spiritual practices are mediators of this effect, but because these have been tested in isolation, their relative importance remains elusive. This study tested multiple mediators simultaneously to help determine the most influential pathways.\n\nDesign\nProspective, statistically controlled, naturalistic investigation examined the extent to which purported mechanisms mediated the effect of AA attendance on alcohol outcomes controlling for baseline outcome values, mediators, treatment, and other confounders.\n\nSetting\nNine clinical sites within the United States.\n\nParticipants\nAdults (N=1,726) suffering from alcohol use disorder (AUD) with varying levels of severity initially enrolled in a randomized study with two arms: Aftercare (n=774); and Outpatient (n-952) comparing three outpatient treatments (Project MATCH)\n\nMeasurements\nAA attendance during treatment; mediators at 9 months; and, outcomes (Percent Days Abstinent [PDA] and Drinks per Drinking Day [DDD]) at 15 months.\n\nFindings\nAmong outpatients the effect of AA attendance on alcohol outcomes was explained primarily by adaptive social network changes and increases in social abstinence self-efficacy. Among more impaired aftercare patients, in addition to mediation through adaptive network changes and increases in social self-efficacy, AA lead to better outcomes through increasing spirituality/religiosity and by reducing negative affect. The degree to which mediators explained the relationship between AA and outcomes ranged from 43%–67%.\n\nConclusion\nAA facilitates recovery by mobilizing several processes simultaneously, however it is changes in social factors which appear to be of primary importance.","container-title":"Addiction (Abingdon, England)","DOI":"10.1111/j.1360-0443.2011.03593.x","ISSN":"0965-2140","issue":"2","journalAbbreviation":"Addiction","note":"PMID: 21917054\nPMCID: PMC3242865","page":"289-299","source":"PubMed Central","title":"Determining the relative importance of the mechanisms of behavior change within Alcoholics Anonymous: A multiple mediator analysis","title-short":"Determining the Relative Importance of the Mechanisms of Behavior Change within Alcoholics Anonymous","volume":"107","author":[{"family":"Kelly","given":"John F."},{"family":"Hoeppner","given":"Bettina"},{"family":"Stout","given":"Robert L."},{"family":"Pagano","given":"Maria"}],"issued":{"date-parts":[["2012",2]]}},"label":"page"}],"schema":"https://github.com/citation-style-language/schema/raw/master/csl-citation.json"} </w:instrText>
      </w:r>
      <w:r w:rsidR="00E70A60">
        <w:rPr>
          <w:rFonts w:ascii="Times New Roman" w:hAnsi="Times New Roman" w:cs="Times New Roman"/>
        </w:rPr>
        <w:fldChar w:fldCharType="separate"/>
      </w:r>
      <w:r w:rsidR="00E70A60" w:rsidRPr="00E70A60">
        <w:rPr>
          <w:rFonts w:ascii="Times New Roman" w:hAnsi="Times New Roman" w:cs="Times New Roman"/>
        </w:rPr>
        <w:t>(Kelly et al., 2009, 2012)</w:t>
      </w:r>
      <w:r w:rsidR="00E70A60">
        <w:rPr>
          <w:rFonts w:ascii="Times New Roman" w:hAnsi="Times New Roman" w:cs="Times New Roman"/>
        </w:rPr>
        <w:fldChar w:fldCharType="end"/>
      </w:r>
      <w:r w:rsidRPr="00F23463">
        <w:rPr>
          <w:rFonts w:ascii="Times New Roman" w:hAnsi="Times New Roman" w:cs="Times New Roman"/>
        </w:rPr>
        <w:t>. MI or MET</w:t>
      </w:r>
      <w:r w:rsidR="00D3625D">
        <w:rPr>
          <w:rFonts w:ascii="Times New Roman" w:hAnsi="Times New Roman" w:cs="Times New Roman"/>
        </w:rPr>
        <w:t>, on the other hand,</w:t>
      </w:r>
      <w:r w:rsidRPr="00F23463">
        <w:rPr>
          <w:rFonts w:ascii="Times New Roman" w:hAnsi="Times New Roman" w:cs="Times New Roman"/>
        </w:rPr>
        <w:t xml:space="preserve"> is a client‐centred method </w:t>
      </w:r>
      <w:r w:rsidR="005D61EE">
        <w:rPr>
          <w:rFonts w:ascii="Times New Roman" w:hAnsi="Times New Roman" w:cs="Times New Roman"/>
        </w:rPr>
        <w:t xml:space="preserve">that </w:t>
      </w:r>
      <w:r w:rsidR="007E25AD">
        <w:rPr>
          <w:rFonts w:ascii="Times New Roman" w:hAnsi="Times New Roman" w:cs="Times New Roman"/>
        </w:rPr>
        <w:t xml:space="preserve">uses ‘change-talk’ techniques to </w:t>
      </w:r>
      <w:r w:rsidR="00D3625D">
        <w:rPr>
          <w:rFonts w:ascii="Times New Roman" w:hAnsi="Times New Roman" w:cs="Times New Roman"/>
        </w:rPr>
        <w:t xml:space="preserve">augment a person’s intrinsic motivation to change, </w:t>
      </w:r>
      <w:r w:rsidRPr="00F23463">
        <w:rPr>
          <w:rFonts w:ascii="Times New Roman" w:hAnsi="Times New Roman" w:cs="Times New Roman"/>
        </w:rPr>
        <w:t>and this has been found to be effective in moving people into recovery</w:t>
      </w:r>
      <w:r w:rsidR="00085BE5">
        <w:rPr>
          <w:rFonts w:ascii="Times New Roman" w:hAnsi="Times New Roman" w:cs="Times New Roman"/>
        </w:rPr>
        <w:t xml:space="preserve"> </w:t>
      </w:r>
      <w:r w:rsidR="00085BE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{"citationID":"xA0w3XnZ","properties":{"formattedCitation":"(Magill et al., 2014, 2018)","plainCitation":"(Magill et al., 2014, 2018)","noteIndex":0},"citationItems":[{"id":1237,"uris":["http://zotero.org/users/7873587/items/ARLDPUFQ"],"itemData":{"id":1237,"type":"article-journal","abstract":"OBJECTIVE: The technical hypothesis of motivational interviewing (MI) posits that therapist-implemented MI skills are related to client speech regarding behavior change and that client speech predicts client outcome. The current meta-analysis is the first aggregate test of this proposed causal model.\nMETHOD: A systematic literature review, using stringent inclusion criteria, identified 16 reports describing 12 primary studies. We used review methods to calculate the inverse-variance-weighted pooled correlation coefficient for the therapist-to-client and the client-to-outcome paths across multiple targeted behaviors (i.e., alcohol or illicit drug use, other addictive behaviors).\nRESULTS: Therapist MI-consistent skills were correlated with more client language in favor of behavior change (i.e., change talk; r = .26, p &lt; .0001), but not less client language against behavior change (i.e., sustain talk; r = .10, p = .09). MI-inconsistent skills were associated with less change talk (r = -.17, p = .001) as well as more sustain talk (r = .07, p = .009). Among these studies, client change talk was not associated with follow-up outcome (r = .06, p = .41), but sustain talk was associated with worse outcome (r = -.24, p = .001). In addition, studies examining composite client language (e.g., an average of negative and positive statements) showed an overall positive relationship with client behavior change (r = .12, p = .006; k = 6).\nCONCLUSIONS: This meta-analysis provides an initial test and partial support for a key causal model of MI efficacy. Recommendations for MI practitioners, clinical supervisors, and process researchers are provided.","container-title":"Journal of Consulting and Clinical Psychology","DOI":"10.1037/a0036833","ISSN":"1939-2117","issue":"6","journalAbbreviation":"J Consult Clin Psychol","language":"eng","note":"PMID: 24841862\nPMCID: PMC4237697","page":"973-983","source":"PubMed","title":"The technical hypothesis of motivational interviewing: a meta-analysis of MI's key causal model","title-short":"The technical hypothesis of motivational interviewing","volume":"82","author":[{"family":"Magill","given":"Molly"},{"family":"Gaume","given":"Jacques"},{"family":"Apodaca","given":"Timothy R."},{"family":"Walthers","given":"Justin"},{"family":"Mastroleo","given":"Nadine R."},{"family":"Borsari","given":"Brian"},{"family":"Longabaugh","given":"Richard"}],"issued":{"date-parts":[["2014",12]]}},"label":"act"},{"id":1234,"uris":["http://zotero.org/users/7873587/items/BTX5AI82"],"itemData":{"id":1234,"type":"article-journal","abstract":"OBJECTIVE: In the present meta-analysis, we test the technical and relational hypotheses of Motivational Interviewing (MI) efficacy. We also propose an a priori conditional process model where heterogeneity of technical path effect sizes should be explained by interpersonal/relational (i.e., empathy, MI Spirit) and intrapersonal (i.e., client treatment seeking status) moderators.\nMETHOD: A systematic review identified k = 58 reports, describing 36 primary studies and 40 effect sizes (N = 3,025 participants). Statistical methods calculated the inverse variance-weighted pooled correlation coefficient for the therapist to client and the client to outcome paths across multiple target behaviors (i.e., alcohol use, other drug use, other behavior change).\nRESULTS: Therapist MI-consistent skills were correlated with more client change talk (r = .55, p &lt; .001) as well as more sustain talk (r = .40, p &lt; .001). MI-inconsistent skills were correlated with more sustain talk (r = .16, p &lt; .001), but not change talk. When these indicators were combined into proportions, as recommended in the Motivational Interviewing Skill Code, the overall technical hypothesis was supported. Specifically, proportion MI consistency was related to higher proportion change talk (r = .11, p = .004) and higher proportion change talk was related to reductions in risk behavior at follow up (r = -.16, p &lt; .001). When tested as two independent effects, client change talk was not significant, but sustain talk was positively associated with worse outcome (r = .19, p &lt; .001). Finally, the relational hypothesis was not supported, but heterogeneity in technical hypothesis path effect sizes was partially explained by inter- and intrapersonal moderators.\nCONCLUSIONS: This meta-analysis provides additional support for the technical hypothesis of MI efficacy; future research on the relational hypothesis should occur in the field rather than in the context of clinical trials. (PsycINFO Database Record","container-title":"Journal of Consulting and Clinical Psychology","DOI":"10.1037/ccp0000250","ISSN":"1939-2117","issue":"2","journalAbbreviation":"J Consult Clin Psychol","language":"eng","note":"PMID: 29265832\nPMCID: PMC5958907","page":"140-157","source":"PubMed","title":"A meta-analysis of motivational interviewing process: Technical, relational, and conditional process models of change","title-short":"A meta-analysis of motivational interviewing process","volume":"86","author":[{"family":"Magill","given":"Molly"},{"family":"Apodaca","given":"Timothy R."},{"family":"Borsari","given":"Brian"},{"family":"Gaume","given":"Jacques"},{"family":"Hoadley","given":"Ariel"},{"family":"Gordon","given":"Rebecca E. F."},{"family":"Tonigan","given":"J. Scott"},{"family":"Moyers","given":"Theresa"}],"issued":{"date-parts":[["2018",2]]}},"label":"page"}],"schema":"https://github.com/citation-style-language/schema/raw/master/csl-citation.json"} </w:instrText>
      </w:r>
      <w:r w:rsidR="00085BE5">
        <w:rPr>
          <w:rFonts w:ascii="Times New Roman" w:hAnsi="Times New Roman" w:cs="Times New Roman"/>
        </w:rPr>
        <w:fldChar w:fldCharType="separate"/>
      </w:r>
      <w:r w:rsidR="00085BE5" w:rsidRPr="00085BE5">
        <w:rPr>
          <w:rFonts w:ascii="Times New Roman" w:hAnsi="Times New Roman" w:cs="Times New Roman"/>
        </w:rPr>
        <w:t>(Magill et al., 2014, 2018)</w:t>
      </w:r>
      <w:r w:rsidR="00085BE5">
        <w:rPr>
          <w:rFonts w:ascii="Times New Roman" w:hAnsi="Times New Roman" w:cs="Times New Roman"/>
        </w:rPr>
        <w:fldChar w:fldCharType="end"/>
      </w:r>
      <w:r w:rsidR="00085BE5">
        <w:rPr>
          <w:rFonts w:ascii="Times New Roman" w:hAnsi="Times New Roman" w:cs="Times New Roman"/>
        </w:rPr>
        <w:t xml:space="preserve">. </w:t>
      </w:r>
      <w:r w:rsidRPr="00F23463">
        <w:rPr>
          <w:rFonts w:ascii="Times New Roman" w:hAnsi="Times New Roman" w:cs="Times New Roman"/>
        </w:rPr>
        <w:t xml:space="preserve">CBT works to tackle thought processes and aims to increase a person’s ability to cope </w:t>
      </w:r>
      <w:r w:rsidR="00085BE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{"citationID":"xP21sImc","properties":{"formattedCitation":"(Sudhir, 2018)","plainCitation":"(Sudhir, 2018)","noteIndex":0},"citationItems":[{"id":1240,"uris":["http://zotero.org/users/7873587/items/LY4ICV6E"],"itemData":{"id":1240,"type":"article-journal","abstract":"Cognitive behaviour therapy is a structured, time limited, psychological intervention that has is empirically supported across a wide variety of psychological disorders. CBT for addictive behaviours can be traced back to the application of learning theories in understanding addiction and subsequently to social cognitive theories. The focus of CBT is manifold and the focus is on targeting maintaining factors of addictive behaviours and preventing relapse. Relapse prevention programmes are based on social cognitive and cognitive behavioural principles. Interventions for preventing relapse include, behavioural strategies to decrease the valence of addictive behaviours, coping skills to deal with craving, arousal, negative mood states, assertiveness skills to manage social pressures, family psychoeducation and environmental manipulation and cognitive strategies to enhance self-efficacy beliefs and modification of outcome expectancies related to addictive behaviours. More recent developments in the area of managing addictions include third wave behaviour therapies. Third wave behaviour therapies are focused on improving building awareness, and distress tolerance skills using mindfulness practices. These approaches have shown promise, and more recently the neurobiological underpinnings of mindfulness strategies have been studied. The article provides an overview of cognitive behavioural approaches to managing addictions.","container-title":"Indian Journal of Psychiatry","DOI":"10.4103/psychiatry.IndianJPsychiatry_15_18","ISSN":"0019-5545","issue":"Suppl 4","journalAbbreviation":"Indian J Psychiatry","note":"PMID: 29540917\nPMCID: PMC5844158","page":"S479-S484","source":"PubMed Central","title":"Cognitive behavioural interventions in addictive disorders","volume":"60","author":[{"family":"Sudhir","given":"Paulomi M."}],"issued":{"date-parts":[["2018",2]]}}}],"schema":"https://github.com/citation-style-language/schema/raw/master/csl-citation.json"} </w:instrText>
      </w:r>
      <w:r w:rsidR="00085BE5">
        <w:rPr>
          <w:rFonts w:ascii="Times New Roman" w:hAnsi="Times New Roman" w:cs="Times New Roman"/>
        </w:rPr>
        <w:fldChar w:fldCharType="separate"/>
      </w:r>
      <w:r w:rsidR="00085BE5" w:rsidRPr="00085BE5">
        <w:rPr>
          <w:rFonts w:ascii="Times New Roman" w:hAnsi="Times New Roman" w:cs="Times New Roman"/>
        </w:rPr>
        <w:t>(Sudhir, 2018)</w:t>
      </w:r>
      <w:r w:rsidR="00085BE5">
        <w:rPr>
          <w:rFonts w:ascii="Times New Roman" w:hAnsi="Times New Roman" w:cs="Times New Roman"/>
        </w:rPr>
        <w:fldChar w:fldCharType="end"/>
      </w:r>
      <w:r w:rsidRPr="00F23463">
        <w:rPr>
          <w:rFonts w:ascii="Times New Roman" w:hAnsi="Times New Roman" w:cs="Times New Roman"/>
        </w:rPr>
        <w:t xml:space="preserve"> which is related to post-treatment drinking outcomes </w:t>
      </w:r>
      <w:r w:rsidR="00085BE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{"citationID":"JJVe7dtr","properties":{"formattedCitation":"(Roos et al., 2017)","plainCitation":"(Roos et al., 2017)","noteIndex":0},"citationItems":[{"id":1242,"uris":["http://zotero.org/users/7873587/items/FYTXDBQY"],"itemData":{"id":1242,"type":"article-journal","abstract":"BACKGROUND AND AIMS: There is inconsistent evidence that alcohol-specific coping is a mechanism of change in cognitive-behavioral therapy (CBT) for alcohol use disorder (AUD). Our primary aim was to test whether baseline dependence severity moderates the mediational effect of CBT on drinking outcomes via coping.\nDESIGN: Secondary data analysis of Project MATCH , a multi-site alcohol treatment trial in which participants, recruited in out-patient and aftercare arms, were randomized to three treatments: CBT, motivational enhancement therapy (MET) and Twelve-Step facilitation (TSF).\nSETTING: Nine research sites in the United States.\nPARTICIPANTS: A total of 1063 adults with AUD.\nMEASUREMENTS: The primary outcomes were percentage days abstinent and percentage heavy drinking days at the 1-year follow-up. Coping was assessed with the Processes of Change Questionnaire . Dependence severity was measured with the Alcohol Dependence Scale .\nFINDINGS: Among the full available sample (across treatment arms), there were no significant moderated mediation effects. Double moderated mediation analyses indicated that several moderated mediation effects were moderated by treatment arm (all P &lt; 0.05). In the out-patient arm, there were several significant moderated mediation effects (all P &lt; 0.05), but no significant moderated mediation effects in the aftercare arm. For out-patient clients with high baseline dependence severity, end-of-treatment coping mediated the positive treatment effects of CBT, compared with both MET and TSF, on 1-year drinking outcomes (all P &lt; 0.05). Coping did not mediate treatment effects of CBT among those with low or moderate dependence severity.\nCONCLUSIONS: In the Project MATCH out-patient sample, whether or not coping mediated the effects of cognitive-behavioral therapy for alcohol use disorder was conditional on dependence severity. End-of-treatment coping mediated the positive treatment effects of cognitive-behavioral therapy on 1-year drinking outcomes among out-patient clients when dependence severity was high, but not when dependence severity was low or moderate.","container-title":"Addiction","DOI":"10.1111/add.13841","ISSN":"1360-0443","issue":"9","journalAbbreviation":"Addiction","language":"eng","note":"PMID: 28388836\nPMCID: PMC5544539","page":"1547-1557","source":"PubMed","title":"Coping mediates the effects of cognitive-behavioral therapy for alcohol use disorder among out-patient clients in Project MATCH when dependence severity is high","volume":"112","author":[{"family":"Roos","given":"Corey R."},{"family":"Maisto","given":"Stephen A."},{"family":"Witkiewitz","given":"Katie"}],"issued":{"date-parts":[["2017",9]]}}}],"schema":"https://github.com/citation-style-language/schema/raw/master/csl-citation.json"} </w:instrText>
      </w:r>
      <w:r w:rsidR="00085BE5">
        <w:rPr>
          <w:rFonts w:ascii="Times New Roman" w:hAnsi="Times New Roman" w:cs="Times New Roman"/>
        </w:rPr>
        <w:fldChar w:fldCharType="separate"/>
      </w:r>
      <w:r w:rsidR="00085BE5" w:rsidRPr="00085BE5">
        <w:rPr>
          <w:rFonts w:ascii="Times New Roman" w:hAnsi="Times New Roman" w:cs="Times New Roman"/>
        </w:rPr>
        <w:t>(Roos et al., 2017)</w:t>
      </w:r>
      <w:r w:rsidR="00085BE5">
        <w:rPr>
          <w:rFonts w:ascii="Times New Roman" w:hAnsi="Times New Roman" w:cs="Times New Roman"/>
        </w:rPr>
        <w:fldChar w:fldCharType="end"/>
      </w:r>
      <w:r w:rsidR="00085BE5">
        <w:rPr>
          <w:rFonts w:ascii="Times New Roman" w:hAnsi="Times New Roman" w:cs="Times New Roman"/>
        </w:rPr>
        <w:t>.</w:t>
      </w:r>
    </w:p>
    <w:p w14:paraId="7A4B8FE5" w14:textId="77777777" w:rsidR="008A4FF5" w:rsidRPr="00F23463" w:rsidRDefault="008A4FF5" w:rsidP="00AC0B06">
      <w:pPr>
        <w:pStyle w:val="NoSpacing"/>
        <w:spacing w:line="480" w:lineRule="auto"/>
        <w:rPr>
          <w:rFonts w:ascii="Times New Roman" w:hAnsi="Times New Roman" w:cs="Times New Roman"/>
        </w:rPr>
      </w:pPr>
    </w:p>
    <w:p w14:paraId="3FDC39C1" w14:textId="52737F96" w:rsidR="008A4FF5" w:rsidRPr="00F23463" w:rsidRDefault="008A4FF5" w:rsidP="000A2E8B">
      <w:pPr>
        <w:pStyle w:val="NoSpacing"/>
        <w:spacing w:line="480" w:lineRule="auto"/>
        <w:rPr>
          <w:rFonts w:ascii="Times New Roman" w:hAnsi="Times New Roman" w:cs="Times New Roman"/>
        </w:rPr>
      </w:pPr>
      <w:r w:rsidRPr="00F23463">
        <w:rPr>
          <w:rFonts w:ascii="Times New Roman" w:hAnsi="Times New Roman" w:cs="Times New Roman"/>
        </w:rPr>
        <w:t xml:space="preserve">It is also common for people with addiction to recover on their own and without any formal treatment, often referred to as “self-change” and “natural recovery” </w:t>
      </w:r>
      <w:r w:rsidR="009E57D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{"citationID":"7bUU3qgb","properties":{"formattedCitation":"(Dawson et al., 2005; Heyman, 2013; Klingemann et al., 2010; Tucker et al., 2020)","plainCitation":"(Dawson et al., 2005; Heyman, 2013; Klingemann et al., 2010; Tucker et al., 2020)","noteIndex":0},"citationItems":[{"id":1245,"uris":["http://zotero.org/users/7873587/items/6RCXBNU2"],"itemData":{"id":1245,"type":"article-journal","abstract":"Aims To investigate the prevalence and correlates of recovery from Diagnostic and Statistical Manual version IV (DSM-IV) alcohol dependence by examining the past-year status of individuals who met the criteria for prior-to-past-year (PPY) dependence. Design Cross-sectional, retrospective survey of a nationally representative sample of US adults 18 years of age and over (first wave of a planned longitudinal survey). Methods This analysis is based on data from the 2001–02 National Epidemiologic Survey on Alcohol and Related Conditions (NESARC), in which data were collected in personal interviews conducted with one randomly selected adult in each sample household. A subset of the NESARC sample (total n = 43 093), consisting of 4422 US adults 18 years of age and over classified with PPY DSM-IV alcohol dependence, were evaluated with respect to their past-year recovery status: past-year dependence, partial remission, full remission, asymptomatic risk drinking, abstinent recovery (AR) and non-abstinent recovery (NR). Correlates of past-year status were examined in bivariate analyses and using multivariate logistic regression models. Findings Of people classified with PPY alcohol dependence, 25.0% were still classified as dependent in the past year; 27.3% were classified as being in partial remission; 11.8% were asymptomatic risk drinkers who demonstrated a pattern of drinking that put them at risk of relapse; 17.7% were low-risk drinkers; and 18.2% were abstainers. Only 25.5% of people with PPY dependence ever received treatment. Being married was associated positively with the odds of both AR and NR, and ethanol intake was negatively associated with both. Severity of dependence increased the odds of AR but decreased the odds of NR. The odds of AR (but not NR) increased with age and female gender but were decreased by the presence of a personality disorder. Treatment history modified the effects of college attendance/graduation, age at onset and interval since onset on the odds of recovery. Conclusions There is a substantial level of recovery from alcohol dependence. Information on factors associated with recovery may be useful in targeting appropriate treatment modalities.","container-title":"Addiction","DOI":"10.1111/j.1360-0443.2004.00964.x","ISSN":"1360-0443","issue":"3","language":"en","note":"_eprint: https://onlinelibrary.wiley.com/doi/pdf/10.1111/j.1360-0443.2004.00964.x","page":"281-292","source":"Wiley Online Library","title":"Recovery from DSM-IV alcohol dependence: United States, 2001–2002","title-short":"Recovery from DSM-IV alcohol dependence","volume":"100","author":[{"family":"Dawson","given":"Deborah A."},{"family":"Grant","given":"Bridget F."},{"family":"Stinson","given":"Frederick S."},{"family":"Chou","given":"Patricia S."},{"family":"Huang","given":"Boji"},{"family":"Ruan","given":"W. June"}],"issued":{"date-parts":[["2005"]]}},"label":"page"},{"id":1194,"uris":["http://zotero.org/users/7873587/items/EVK5TMZB"],"itemData":{"id":1194,"type":"article-journal","abstract":"Addiction’s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M."}],"accessed":{"date-parts":[["2022",8,1]]},"issued":{"date-parts":[["2013"]]}}},{"id":1248,"uris":["http://zotero.org/users/7873587/items/9SFF2Q4Q"],"itemData":{"id":1248,"type":"article-journal","abstract":"AIMS: A substantial literature demonstrates that natural recoveries from substance use disorders not only occur but are a common pathway to recovery. This article reviews selectively and comments on the current state-of-the-art in natural recovery research.\nMETHODS: Basic concepts in natural recovery research are presented, and topical and methodological trends and changes in self-change research over time are discussed.\nCONCLUSIONS: Although considerable progress has occurred in natural recovery research, several topics deserving of further research are identified, and implications for policy practice are discussed.","container-title":"Addiction","DOI":"10.1111/j.1360-0443.2009.02770.x","ISSN":"1360-0443","issue":"9","journalAbbreviation":"Addiction","language":"eng","note":"PMID: 19919592","page":"1510-1518","source":"PubMed","title":"Continuities and changes in self-change research","volume":"105","author":[{"family":"Klingemann","given":"Harald"},{"family":"Sobell","given":"Mark B."},{"family":"Sobell","given":"Linda C."}],"issued":{"date-parts":[["2010",9]]}}},{"id":1199,"uris":["http://zotero.org/users/7873587/items/7RDL44BJ"],"itemData":{"id":1199,"type":"article-journal","abstract":"Almost one-third of the U.S. population meets alcohol use disorder (AUD) criteria on a lifetime basis. This review provides an overview of recent research on the prevalence and patterns of alcohol-related improvement and selectively reviews nationally representative surveys and studies that followed risk groups longitudinally with a goal of informing patients with AUD and AUD researchers, clinicians, and policy-makers about patterns of improvement in the population. Based on the research, alcohol use increases during adolescence and early adulthood and then decreases beginning in the mid-20s across the adult life span. Approximately 70% of persons with AUD and alcohol problems improve without interventions (natural recovery), and fewer than 25% utilize alcohol-focused services. Low-risk drinking is a more common outcome in untreated samples, in part because seeking treatment is associated with higher problem severity. Sex differences are more apparent in help-seeking than recovery patterns, and women have lower help-seeking rates than men. Whites are proportionately more likely to utilize services than are Blacks and Hispanics. Improving recovery rates will likely require offering interventions outside of the health care sector to affected communities and utilizing social networks and public health tools to close the longstanding gap between need and utilization of AUD-focused services.","container-title":"Alcohol Research: Current Reviews","DOI":"10.35946/arcr.v40.3.02","ISSN":"2168-3492","issue":"3","journalAbbreviation":"Alcohol Res","note":"PMID: 33194507\nPMCID: PMC7643818","page":"02","source":"PubMed Central","title":"Epidemiology of recovery from alcohol use disorder","volume":"40","author":[{"family":"Tucker","given":"Jalie A."},{"family":"Chandler","given":"Susan D."},{"family":"Witkiewitz","given":"Katie"}],"issued":{"date-parts":[["2020",11,12]]}},"label":"page"}],"schema":"https://github.com/citation-style-language/schema/raw/master/csl-citation.json"} </w:instrText>
      </w:r>
      <w:r w:rsidR="009E57D5">
        <w:rPr>
          <w:rFonts w:ascii="Times New Roman" w:hAnsi="Times New Roman" w:cs="Times New Roman"/>
        </w:rPr>
        <w:fldChar w:fldCharType="separate"/>
      </w:r>
      <w:r w:rsidR="00607C29">
        <w:rPr>
          <w:rFonts w:ascii="Times New Roman" w:hAnsi="Times New Roman" w:cs="Times New Roman"/>
        </w:rPr>
        <w:t>(Dawson et al., 2005; Heyman, 2013; Klingemann et al., 2010; Tucker et al., 2020)</w:t>
      </w:r>
      <w:r w:rsidR="009E57D5">
        <w:rPr>
          <w:rFonts w:ascii="Times New Roman" w:hAnsi="Times New Roman" w:cs="Times New Roman"/>
        </w:rPr>
        <w:fldChar w:fldCharType="end"/>
      </w:r>
      <w:r w:rsidR="00607C29">
        <w:rPr>
          <w:rFonts w:ascii="Times New Roman" w:hAnsi="Times New Roman" w:cs="Times New Roman"/>
        </w:rPr>
        <w:t xml:space="preserve">. </w:t>
      </w:r>
      <w:r w:rsidRPr="00F23463">
        <w:rPr>
          <w:rFonts w:ascii="Times New Roman" w:hAnsi="Times New Roman" w:cs="Times New Roman"/>
        </w:rPr>
        <w:t xml:space="preserve">Epidemiological data clearly show a pattern of age-related decline in alcohol consumption </w:t>
      </w:r>
      <w:r w:rsidR="00607C2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{"citationID":"MovNTc9y","properties":{"formattedCitation":"(Britton et al., 2015)","plainCitation":"(Britton et al., 2015)","noteIndex":0},"citationItems":[{"id":1286,"uris":["http://zotero.org/users/7873587/items/68UVERYX"],"itemData":{"id":1286,"type":"article-journal","abstract":"BACKGROUND: Alcohol consumption patterns change across life and this is not fully captured in cross-sectional series data. Analysis of longitudinal data, with repeat alcohol measures, is necessary to reveal changes within the same individuals as they age. Such data are scarce and few studies are able to capture multiple decades of the life course. Therefore, we examined alcohol consumption trajectories, reporting both average weekly volume and frequency, using data from cohorts with repeated measures that cover different and overlapping periods of life.\nMETHODS: Data were from nine UK-based prospective cohorts with at least three repeated alcohol consumption measures on individuals (combined sample size of 59,397 with 174,666 alcohol observations), with data spanning from adolescence to very old age (90 years plus). Information on volume and frequency of drinking were harmonised across the cohorts. Predicted volume of alcohol by age was estimated using random effect multilevel models fitted to each cohort. Quadratic and cubic polynomial terms were used to describe non-linear age trajectories. Changes in drinking frequency by age were calculated from observed data within each cohort and then smoothed using locally weighted scatterplot smoothing. Models were fitted for men and women separately.\nRESULTS: We found that, for men, mean consumption rose sharply during adolescence, peaked at around 25 years at 20 units per week, and then declined and plateaued during mid-life, before declining from around 60 years. A similar trajectory was seen for women, but with lower overall consumption (peak of around 7 to 8 units per week). Frequent drinking (daily or most days of the week) became more common during mid to older age, most notably among men, reaching above 50% of men.\nCONCLUSIONS: This is the first attempt to synthesise longitudinal data on alcohol consumption from several overlapping cohorts to represent the entire life course and illustrates the importance of recognising that this behaviour is dynamic. The aetiological findings from epidemiological studies using just one exposure measure of alcohol, as is typically done, should be treated with caution. Having a better understanding of how drinking changes with age may help design intervention strategies.","container-title":"BMC medicine","DOI":"10.1186/s12916-015-0273-z","ISSN":"1741-7015","journalAbbreviation":"BMC Med","language":"eng","note":"PMID: 25858476\nPMCID: PMC4351673","page":"47","source":"PubMed","title":"Life course trajectories of alcohol consumption in the United Kingdom using longitudinal data from nine cohort studies","volume":"13","author":[{"family":"Britton","given":"Annie"},{"family":"Ben-Shlomo","given":"Yoav"},{"family":"Benzeval","given":"Michaela"},{"family":"Kuh","given":"Diana"},{"family":"Bell","given":"Steven"}],"issued":{"date-parts":[["2015",3,6]]}}}],"schema":"https://github.com/citation-style-language/schema/raw/master/csl-citation.json"} </w:instrText>
      </w:r>
      <w:r w:rsidR="00607C29">
        <w:rPr>
          <w:rFonts w:ascii="Times New Roman" w:hAnsi="Times New Roman" w:cs="Times New Roman"/>
        </w:rPr>
        <w:fldChar w:fldCharType="separate"/>
      </w:r>
      <w:r w:rsidR="00753732">
        <w:rPr>
          <w:rFonts w:ascii="Times New Roman" w:hAnsi="Times New Roman" w:cs="Times New Roman"/>
          <w:noProof/>
        </w:rPr>
        <w:t>(Britton et al., 2015)</w:t>
      </w:r>
      <w:r w:rsidR="00607C29">
        <w:rPr>
          <w:rFonts w:ascii="Times New Roman" w:hAnsi="Times New Roman" w:cs="Times New Roman"/>
        </w:rPr>
        <w:fldChar w:fldCharType="end"/>
      </w:r>
      <w:r w:rsidR="00753732">
        <w:rPr>
          <w:rFonts w:ascii="Times New Roman" w:hAnsi="Times New Roman" w:cs="Times New Roman"/>
        </w:rPr>
        <w:t xml:space="preserve"> </w:t>
      </w:r>
      <w:r w:rsidRPr="00F23463">
        <w:rPr>
          <w:rFonts w:ascii="Times New Roman" w:hAnsi="Times New Roman" w:cs="Times New Roman"/>
        </w:rPr>
        <w:t xml:space="preserve">which is referred to in the literature as “maturing-out” </w:t>
      </w:r>
      <w:r w:rsidR="00753732">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{"citationID":"Ty9dCiYK","properties":{"formattedCitation":"(O\\uc0\\u8217{}Malley, 2004)","plainCitation":"(O’Malley, 2004)","noteIndex":0},"citationItems":[{"id":1284,"uris":["http://zotero.org/users/7873587/items/VF5VMN8A"],"itemData":{"id":1284,"type":"article-journal","container-title":"Alcohol Research &amp; Health","ISSN":"1535-7414","issue":"4","journalAbbreviation":"Alcohol Res Health","note":"PMID: null\nPMCID: PMC6601682","page":"202-204","source":"PubMed Central","title":"Maturing out of problematic alcohol use","volume":"28","author":[{"family":"O’Malley","given":"Patrick M."}],"issued":{"date-parts":[["2004"]]}}}],"schema":"https://github.com/citation-style-language/schema/raw/master/csl-citation.json"} </w:instrText>
      </w:r>
      <w:r w:rsidR="00753732">
        <w:rPr>
          <w:rFonts w:ascii="Times New Roman" w:hAnsi="Times New Roman" w:cs="Times New Roman"/>
        </w:rPr>
        <w:fldChar w:fldCharType="separate"/>
      </w:r>
      <w:r w:rsidR="00753732" w:rsidRPr="00753732">
        <w:rPr>
          <w:rFonts w:ascii="Times New Roman" w:hAnsi="Times New Roman" w:cs="Times New Roman"/>
        </w:rPr>
        <w:t>(O’Malley, 2004)</w:t>
      </w:r>
      <w:r w:rsidR="00753732">
        <w:rPr>
          <w:rFonts w:ascii="Times New Roman" w:hAnsi="Times New Roman" w:cs="Times New Roman"/>
        </w:rPr>
        <w:fldChar w:fldCharType="end"/>
      </w:r>
      <w:r w:rsidRPr="00F23463">
        <w:rPr>
          <w:rFonts w:ascii="Times New Roman" w:hAnsi="Times New Roman" w:cs="Times New Roman"/>
        </w:rPr>
        <w:t xml:space="preserve">. This process can be explained through the role incompatibility theory </w:t>
      </w:r>
      <w:r w:rsidR="0075373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{"citationID":"IOnPANsx","properties":{"formattedCitation":"(Yamaguchi &amp; Kandel, 1985)","plainCitation":"(Yamaguchi &amp; Kandel, 1985)","noteIndex":0},"citationItems":[{"id":1283,"uris":["http://zotero.org/users/7873587/items/8T9B3Y6A"],"itemData":{"id":1283,"type":"article-journal","abstract":"Examined the relationship between role transitions and individual behaviors in relation to participation in family roles and the use of marihuana with a sample of 1,325 young adults (mean age 24.7 yrs), most of whom had participated in a high school survey 9 yrs earlier. Results show role selection effects of marihuana use were reflected in postponement of marriage and parenthood and increased risk of marital dissolution. Socialization effects of family roles on marihuana use were reflected in the reduced risk of marihuana initiation after marriage among females and the increased rate of stopping marihuana use after marriage among women and after parenthood among men. Anticipatory socialization was reflected in an increased propensity to stop marihuana use before marriage among both sexes and before parenthood among women. Results suggest that the timing and sequencing of participation in various social roles are not only under the influence of social norms but also under the influence of self-selective commitment to social roles that reduce possible stresses associated with specific role transitions. (3 p ref) (PsycINFO Database Record (c) 2018 APA, all rights reserved)","container-title":"American Journal of Sociology","DOI":"10.1086/228211","ISSN":"1537-5390","issue":"6","note":"publisher-place: US\npublisher: Univ of Chicago Press","page":"1284-1325","source":"APA PsycNet","title":"On the resolution of role incompatibility: A life event history analysis of family roles and marijuana use","title-short":"On the resolution of role incompatibility","volume":"90","author":[{"family":"Yamaguchi","given":"Kazuo"},{"family":"Kandel","given":"Denise B."}],"issued":{"date-parts":[["1985"]]}}}],"schema":"https://github.com/citation-style-language/schema/raw/master/csl-citation.json"} </w:instrText>
      </w:r>
      <w:r w:rsidR="00753732">
        <w:rPr>
          <w:rFonts w:ascii="Times New Roman" w:hAnsi="Times New Roman" w:cs="Times New Roman"/>
        </w:rPr>
        <w:fldChar w:fldCharType="separate"/>
      </w:r>
      <w:r w:rsidR="00504AF4">
        <w:rPr>
          <w:rFonts w:ascii="Times New Roman" w:hAnsi="Times New Roman" w:cs="Times New Roman"/>
          <w:noProof/>
        </w:rPr>
        <w:t>(Yamaguchi &amp; Kandel, 1985)</w:t>
      </w:r>
      <w:r w:rsidR="00753732">
        <w:rPr>
          <w:rFonts w:ascii="Times New Roman" w:hAnsi="Times New Roman" w:cs="Times New Roman"/>
        </w:rPr>
        <w:fldChar w:fldCharType="end"/>
      </w:r>
      <w:r w:rsidR="00D3625D">
        <w:rPr>
          <w:rFonts w:ascii="Times New Roman" w:hAnsi="Times New Roman" w:cs="Times New Roman"/>
        </w:rPr>
        <w:t>;</w:t>
      </w:r>
      <w:r w:rsidR="00504AF4">
        <w:rPr>
          <w:rFonts w:ascii="Times New Roman" w:hAnsi="Times New Roman" w:cs="Times New Roman"/>
        </w:rPr>
        <w:t xml:space="preserve"> </w:t>
      </w:r>
      <w:r w:rsidR="00D3625D">
        <w:rPr>
          <w:rFonts w:ascii="Times New Roman" w:hAnsi="Times New Roman" w:cs="Times New Roman"/>
        </w:rPr>
        <w:t xml:space="preserve">the attainment </w:t>
      </w:r>
      <w:r w:rsidRPr="00F23463">
        <w:rPr>
          <w:rFonts w:ascii="Times New Roman" w:hAnsi="Times New Roman" w:cs="Times New Roman"/>
        </w:rPr>
        <w:t xml:space="preserve">of adult roles and responsibilities is in direct conflict with heavy drinking. For example, roles such as marriage, cohabitation, employment, and parenthood </w:t>
      </w:r>
      <w:r w:rsidR="00504AF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{"citationID":"AuKUQGdL","properties":{"formattedCitation":"(Dawson et al., 2006; Staff et al., 2010, 2014)","plainCitation":"(Dawson et al., 2006; Staff et al., 2010, 2014)","noteIndex":0},"citationItems":[{"id":1192,"uris":["http://zotero.org/users/7873587/items/R9G3SK47"],"itemData":{"id":1192,"type":"article-journal","abstract":"OBJECTIVE: The purpose of this study was to investigate the effects of transitional life events related to education, employment, and family formation on the likelihood of recovery from alcohol dependence as defined by the Diagnostic and Statistical Manual of Mental Disorders, Fourth Edition (DSM-IV), distinguishing the short- and long-term effects of these events and potential effect modification by treatment history, gender, and severity of dependence.\nMETHOD: This analysis is based on data from the Wave 1 2001-2002 National Epidemiologic Survey on Alcohol and Related Conditions (NESARC), a cross-sectional, retrospective survey of a nationally representative sample of U.S. adults 18 years of age and older. The analytic sample consisted of 4,422 individuals with prior-to-past-year (PPY) onset of DSM-IV alcohol dependence. Time-dependent proportional hazards models were used to estimate the effects of completing school, starting full-time work, getting married, becoming separated/divorced/widowed, and becoming a parent on the outcomes of nonabstinent recovery (NR; e.g., low-risk asymptomatic drinking) and abstinent recovery (AR).\nRESULTS: Entry into and exit from a first marriage each increased the likelihood of NR during the first 3 years after those events occurred (hazard rate ratio [HRR] = 1.37 and 1.76, respectively). However, individuals who were still dependent 3 or more years after those events occurred had a decreased likelihood of subsequent NR (HRR = 0.70 for both events), as did those who were still dependent 3 or more years after completing schooling (HRR = 0.54). The likelihood of AR was more than doubled in the 3 years after first becoming a parent (HRR = 2.22) but was decreased among individuals still dependent 3 or more years after starting full-time work. For the outcome of NR, all of the negative effects associated with still being dependent 3 or more years after the occurrence of key life events were more strongly negative among individuals with less severe cases of dependence.\nCONCLUSIONS: Transitional life events demonstrate many effects on recovery, including both direct effects consistent with role socialization and associations more reflective of selectivity than causation. Taken as a whole, these events appear to contribute to (but by no means fully explain) the high rates of recovery from alcohol dependence that have been observed even in the absence of treatment.","container-title":"Journal of Studies on Alcohol","DOI":"10.15288/jsa.2006.67.195","ISSN":"0096-882X","issue":"2","journalAbbreviation":"J Stud Alcohol","language":"eng","note":"PMID: 16568565","page":"195-203","source":"PubMed","title":"Maturing out of alcohol dependence: the impact of transitional life events","title-short":"Maturing out of alcohol dependence","volume":"67","author":[{"family":"Dawson","given":"Deborah A."},{"family":"Grant","given":"Bridget F."},{"family":"Stinson","given":"Frederick S."},{"family":"Chou","given":"Patricia S."}],"issued":{"date-parts":[["2006",3]]}},"label":"page"},{"id":1280,"uris":["http://zotero.org/users/7873587/items/SN98ZQBV"],"itemData":{"id":1280,"type":"article-journal","abstract":"Substance use changes rapidly during late adolescence and early adulthood. This time in the life course is also dense with social role changes, as role changes provide dynamic context for individual developmental change. Using nationally representative, multiwave longitudinal data from age 18 to 28, we examine proximal links between changes in social roles and changes in substance use during the transition to adulthood. We find that changes in family roles, such as marriage, divorce, and parenthood, have clear and consistent associations with changes in substance use. With some notable exceptions, changes in school and work roles have weaker effects on changes in substance use compared to family roles. Changes in socializing (i.e., nights out for fun and recreation) and in religiosity were found to mediate the relationship of social role transitions to substance use. Two time-invariant covariates, socioeconomic background and heavy adolescent substance use, predicted social role status, but did not moderate associations, as within-person links between social roles and substance use were largely equivalent across groups. This paper adds to the cascading effects literature by considering how, within individuals, more proximal variations in school, work, and family roles relate to variations in substance use, and which roles appear to be most influential in precipitating changes in substance use during the transition to adulthood.","container-title":"Development and Psychopathology","DOI":"10.1017/S0954579410000544","ISSN":"1469-2198","issue":"4","journalAbbreviation":"Dev Psychopathol","language":"eng","note":"PMID: 20883590\nPMCID: PMC2951309","page":"917-932","source":"PubMed","title":"Substance use changes and social role transitions: proximal developmental effects on ongoing trajectories from late adolescence through early adulthood","title-short":"Substance use changes and social role transitions","volume":"22","author":[{"family":"Staff","given":"Jeremy"},{"family":"Schulenberg","given":"John E."},{"family":"Maslowsky","given":"Julie"},{"family":"Bachman","given":"Jerald G."},{"family":"O'Malley","given":"Patrick M."},{"family":"Maggs","given":"Jennifer L."},{"family":"Johnston","given":"Lloyd D."}],"issued":{"date-parts":[["2010",11]]}},"label":"page"},{"id":1279,"uris":["http://zotero.org/users/7873587/items/2A5PGSKX"],"itemData":{"id":1279,"type":"article-journal","abstract":"AIMS: To examine how changes in social roles, particularly in the family, predict rises and falls in alcohol consumption from ages 16 to 50 years.\nDESIGN: Longitudinal data from the National Child Development Study.\nSETTING: The birth cohort includes 99% of British infants born in 1 week in 1958. Participants After initial assessment of 17,415 infants, the cohort was interviewed at ages 7, 11, 16, 23, 33, 42, 46, and 50. This study uses the six adolescent to adult waves (n = 7212 women, 7377 men).\nMEASUREMENTS: Alcohol use [i.e. quantity consumed in past week and heavy daily drinking), symptoms of problem drinking (i.e. Cut-down, Annoyed, Guilt, Eye-opener (CAGE)] and social roles (i.e. union formation, parenthood and employment).\nFINDINGS: Estimates from fixed-effects models demonstrate that alcohol use is lower when women reside with child(ren) under age 5, compared to occasions when they do not [estimate = -0.38, 95% confidence interval (CI) = -0.43, -0.32 for past week units; odds ratio (OR) = 0.47, CI = 0.36, 0.62 for heavy-daily drinking; OR = 0.66, CI = 0.50, 0.87 for CAGE symptoms]. Associations are similar for men (estimate = -0.29, CI = -0.36, -0.23; OR = 0.64, CI = 0.53, 0.77; OR = 0.69, CI = 0.51, 0.94, respectively). When women and men are married, working and residing with young child(ren), past week units (estimate = -0.51, CI = -0.61, -0.41 for women; estimate = -0.34, CI = -0.44, -0.25 for men), heavy-daily drinking (OR = 0.49, CI = 0.30, 0.79 for women; OR = 0.47, CI = 0.35, 0.64 for men) and CAGE (OR = 0.44, CI = 0.23, 0.83 for women; OR = 0.39, CI = 0.18, 0.82 for men) are lower compared to occasions when they are not in these roles.\nCONCLUSIONS: From late adolescence to mid-life, women and men in Britain are most at risk for higher levels of alcohol consumption and problem drinking when family roles are absent.","container-title":"Addiction","DOI":"10.1111/add.12394","ISSN":"1360-0443","issue":"2","journalAbbreviation":"Addiction","language":"eng","note":"PMID: 24571025\nPMCID: PMC3937856","page":"227-236","source":"PubMed","title":"Family transitions and changes in drinking from adolescence through mid-life","volume":"109","author":[{"family":"Staff","given":"Jeremy"},{"family":"Greene","given":"Kaylin M."},{"family":"Maggs","given":"Jennifer L."},{"family":"Schoon","given":"Ingrid"}],"issued":{"date-parts":[["2014",2]]}},"label":"page"}],"schema":"https://github.com/citation-style-language/schema/raw/master/csl-citation.json"} </w:instrText>
      </w:r>
      <w:r w:rsidR="00504AF4">
        <w:rPr>
          <w:rFonts w:ascii="Times New Roman" w:hAnsi="Times New Roman" w:cs="Times New Roman"/>
        </w:rPr>
        <w:fldChar w:fldCharType="separate"/>
      </w:r>
      <w:r w:rsidR="00504AF4">
        <w:rPr>
          <w:rFonts w:ascii="Times New Roman" w:hAnsi="Times New Roman" w:cs="Times New Roman"/>
          <w:noProof/>
        </w:rPr>
        <w:t>(Dawson et al., 2006; Staff et al., 2010, 2014)</w:t>
      </w:r>
      <w:r w:rsidR="00504AF4">
        <w:rPr>
          <w:rFonts w:ascii="Times New Roman" w:hAnsi="Times New Roman" w:cs="Times New Roman"/>
        </w:rPr>
        <w:fldChar w:fldCharType="end"/>
      </w:r>
      <w:r w:rsidR="00504AF4">
        <w:rPr>
          <w:rFonts w:ascii="Times New Roman" w:hAnsi="Times New Roman" w:cs="Times New Roman"/>
        </w:rPr>
        <w:t xml:space="preserve"> </w:t>
      </w:r>
      <w:r w:rsidRPr="00F23463">
        <w:rPr>
          <w:rFonts w:ascii="Times New Roman" w:hAnsi="Times New Roman" w:cs="Times New Roman"/>
        </w:rPr>
        <w:t xml:space="preserve">are </w:t>
      </w:r>
      <w:r w:rsidR="00504AF4">
        <w:rPr>
          <w:rFonts w:ascii="Times New Roman" w:hAnsi="Times New Roman" w:cs="Times New Roman"/>
        </w:rPr>
        <w:t xml:space="preserve">inversely </w:t>
      </w:r>
      <w:r w:rsidRPr="00F23463">
        <w:rPr>
          <w:rFonts w:ascii="Times New Roman" w:hAnsi="Times New Roman" w:cs="Times New Roman"/>
        </w:rPr>
        <w:t>associated with</w:t>
      </w:r>
      <w:r w:rsidR="00504AF4">
        <w:rPr>
          <w:rFonts w:ascii="Times New Roman" w:hAnsi="Times New Roman" w:cs="Times New Roman"/>
        </w:rPr>
        <w:t xml:space="preserve"> </w:t>
      </w:r>
      <w:r w:rsidRPr="00F23463">
        <w:rPr>
          <w:rFonts w:ascii="Times New Roman" w:hAnsi="Times New Roman" w:cs="Times New Roman"/>
        </w:rPr>
        <w:t xml:space="preserve">substance use. Importantly, these transitions can occur at any point in a person’s life </w:t>
      </w:r>
      <w:r w:rsidR="00BD248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{"citationID":"a751cAjc","properties":{"formattedCitation":"(Verg\\uc0\\u233{}s et al., 2013)","plainCitation":"(Vergés et al., 2013)","noteIndex":0},"citationItems":[{"id":1278,"uris":["http://zotero.org/users/7873587/items/2RWZRU2K"],"itemData":{"id":1278,"type":"article-journal","abstract":"Objectives. Our aim was to determine if the decrease in drug use disorders with age is attributable to changes in persistence, as implied by the notion of maturing out. Also, we examined the association between role transitions and persistence, recurrence, and new onset of drug use disorders., Methods. We performed secondary analysis of the 2 waves of the National Epidemiologic Survey on Alcohol and Related Conditions data (baseline assessment 2001–2002, follow-up conducted 2004–2005). We conducted logistic regressions and multinomial logistic regression to determine the effect of age on wave 2 diagnosis status, as well as the interaction between age and role transitions., Results. Rates of persistence were stable over the life span, whereas rates of new onset and recurrence decreased with age. Changes in parenthood, marital, and employment status were associated with persistence, new onset, and recurrence. We found an interaction between marital status and age., Conclusions. Our findings challenge commonly held notions that the age-related decrease in drug use disorders is attributable to an increase in persistence, and that the effects of role transitions are stronger during young, compared with middle and older, adulthood.","container-title":"American Journal of Public Health","DOI":"10.2105/AJPH.2013.301358","ISSN":"0090-0036","issue":"12","journalAbbreviation":"Am J Public Health","note":"PMID: 24134383\nPMCID: PMC3828971","page":"e67-e73","source":"PubMed Central","title":"Refining the Notion of Maturing Out: Results From the National Epidemiologic Survey on Alcohol and Related Conditions","title-short":"Refining the Notion of Maturing Out","volume":"103","author":[{"family":"Vergés","given":"Alvaro"},{"family":"Haeny","given":"Angela M."},{"family":"Jackson","given":"Kristina M."},{"family":"Bucholz","given":"Kathleen K."},{"family":"Grant","given":"Julia D."},{"family":"Trull","given":"Timothy J."},{"family":"Wood","given":"Phillip K."},{"family":"Sher","given":"Kenneth J."}],"issued":{"date-parts":[["2013",12]]}}}],"schema":"https://github.com/citation-style-language/schema/raw/master/csl-citation.json"} </w:instrText>
      </w:r>
      <w:r w:rsidR="00BD2484">
        <w:rPr>
          <w:rFonts w:ascii="Times New Roman" w:hAnsi="Times New Roman" w:cs="Times New Roman"/>
        </w:rPr>
        <w:fldChar w:fldCharType="separate"/>
      </w:r>
      <w:r w:rsidR="00BD2484" w:rsidRPr="00BD2484">
        <w:rPr>
          <w:rFonts w:ascii="Times New Roman" w:hAnsi="Times New Roman" w:cs="Times New Roman"/>
        </w:rPr>
        <w:t>(Vergés et al., 2013)</w:t>
      </w:r>
      <w:r w:rsidR="00BD2484">
        <w:rPr>
          <w:rFonts w:ascii="Times New Roman" w:hAnsi="Times New Roman" w:cs="Times New Roman"/>
        </w:rPr>
        <w:fldChar w:fldCharType="end"/>
      </w:r>
      <w:r w:rsidR="00BD2484">
        <w:rPr>
          <w:rFonts w:ascii="Times New Roman" w:hAnsi="Times New Roman" w:cs="Times New Roman"/>
        </w:rPr>
        <w:t>.</w:t>
      </w:r>
      <w:r w:rsidRPr="00F23463">
        <w:rPr>
          <w:rFonts w:ascii="Times New Roman" w:hAnsi="Times New Roman" w:cs="Times New Roman"/>
        </w:rPr>
        <w:t xml:space="preserve"> Acquiring adult roles is related to establishing a sense of ‘meaning’ in life </w:t>
      </w:r>
      <w:r w:rsidR="00BD248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{"citationID":"HwEhA4MO","properties":{"formattedCitation":"(Negru-Subtirica et al., 2016)","plainCitation":"(Negru-Subtirica et al., 2016)","noteIndex":0},"citationItems":[{"id":1277,"uris":["http://zotero.org/users/7873587/items/IKNNGPRM"],"itemData":{"id":1277,"type":"article-journal","abstract":"Identity formation in adolescence is closely linked to searching for and acquiring meaning in one’s life. To date little is known about the manner in which these 2 constructs may be related in this developmental stage. In order to shed more light on their longitudinal links, we conducted a 3-wave longitudinal study, investigating how identity processes and meaning in life dimensions are interconnected across time, testing the moderating effects of gender and age. Participants were 1,062 adolescents (59.4% female), who filled in measures of identity and meaning in life at 3 measurement waves during 1 school year. Cross-lagged models highlighted positive reciprocal associations between (a) commitment processes and presence of meaning and (b) exploration processes and search for meaning. These results were not moderated by adolescents’ gender or age. Strong identification with present commitments and reduced ruminative exploration helped adolescents in having a clear sense of meaning in their lives. We also highlighted the dual nature of search for meaning. This dimension was sustained by exploration in breadth and ruminative exploration, and it positively predicted all exploration processes. We clarified the potential for a strong sense of meaning to support identity commitments and that the process of seeking life meaning sustains identity exploration across time. (PsycInfo Database Record (c) 2020 APA, all rights reserved)","container-title":"Developmental Psychology","DOI":"10.1037/dev0000176","ISSN":"1939-0599","issue":"11","note":"publisher-place: US\npublisher: American Psychological Association","page":"1926-1936","source":"APA PsycNet","title":"The meaningful identity: A longitudinal look at the interplay between identity and meaning in life in adolescence","title-short":"The meaningful identity","volume":"52","author":[{"family":"Negru-Subtirica","given":"Oana"},{"family":"Pop","given":"Eleonora Ioana"},{"family":"Luyckx","given":"Koen"},{"family":"Dezutter","given":"Jessie"},{"family":"Steger","given":"Michael F."}],"issued":{"date-parts":[["2016"]]}}}],"schema":"https://github.com/citation-style-language/schema/raw/master/csl-citation.json"} </w:instrText>
      </w:r>
      <w:r w:rsidR="00BD2484">
        <w:rPr>
          <w:rFonts w:ascii="Times New Roman" w:hAnsi="Times New Roman" w:cs="Times New Roman"/>
        </w:rPr>
        <w:fldChar w:fldCharType="separate"/>
      </w:r>
      <w:r w:rsidR="00BD2484">
        <w:rPr>
          <w:rFonts w:ascii="Times New Roman" w:hAnsi="Times New Roman" w:cs="Times New Roman"/>
          <w:noProof/>
        </w:rPr>
        <w:t>(Negru-Subtirica et al., 2016)</w:t>
      </w:r>
      <w:r w:rsidR="00BD2484">
        <w:rPr>
          <w:rFonts w:ascii="Times New Roman" w:hAnsi="Times New Roman" w:cs="Times New Roman"/>
        </w:rPr>
        <w:fldChar w:fldCharType="end"/>
      </w:r>
      <w:r w:rsidRPr="00F23463">
        <w:rPr>
          <w:rFonts w:ascii="Times New Roman" w:hAnsi="Times New Roman" w:cs="Times New Roman"/>
        </w:rPr>
        <w:t xml:space="preserve">, </w:t>
      </w:r>
      <w:r w:rsidRPr="00F23463">
        <w:rPr>
          <w:rFonts w:ascii="Times New Roman" w:hAnsi="Times New Roman" w:cs="Times New Roman"/>
        </w:rPr>
        <w:lastRenderedPageBreak/>
        <w:t xml:space="preserve">which is negatively associated with alcohol consumption </w:t>
      </w:r>
      <w:r w:rsidR="00BD2484">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{"citationID":"AVxibs3m","properties":{"formattedCitation":"(Copeland et al., 2020; Csabonyi &amp; Phillips, 2017)","plainCitation":"(Copeland et al., 2020; Csabonyi &amp; Phillips, 2017)","noteIndex":0},"citationItems":[{"id":1273,"uris":["http://zotero.org/users/7873587/items/R5Q63SAR"],"itemData":{"id":1273,"type":"article-journal","abstract":"Introduction\nThe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page"},{"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J."}],"issued":{"date-parts":[["2017"]]}},"label":"page"}],"schema":"https://github.com/citation-style-language/schema/raw/master/csl-citation.json"} </w:instrText>
      </w:r>
      <w:r w:rsidR="00BD2484">
        <w:rPr>
          <w:rFonts w:ascii="Times New Roman" w:hAnsi="Times New Roman" w:cs="Times New Roman"/>
        </w:rPr>
        <w:fldChar w:fldCharType="separate"/>
      </w:r>
      <w:r w:rsidR="00BD2484">
        <w:rPr>
          <w:rFonts w:ascii="Times New Roman" w:hAnsi="Times New Roman" w:cs="Times New Roman"/>
          <w:noProof/>
        </w:rPr>
        <w:t>(Copeland et al., 2020; Csabonyi &amp; Phillips, 2017)</w:t>
      </w:r>
      <w:r w:rsidR="00BD2484">
        <w:rPr>
          <w:rFonts w:ascii="Times New Roman" w:hAnsi="Times New Roman" w:cs="Times New Roman"/>
        </w:rPr>
        <w:fldChar w:fldCharType="end"/>
      </w:r>
      <w:r w:rsidRPr="00F23463">
        <w:rPr>
          <w:rFonts w:ascii="Times New Roman" w:hAnsi="Times New Roman" w:cs="Times New Roman"/>
        </w:rPr>
        <w:t xml:space="preserve"> and positively associated with remission from AUD </w:t>
      </w:r>
      <w:r w:rsidR="00511635">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{"citationID":"CGaN0JEE","properties":{"formattedCitation":"(A. R. Krentzman et al., 2015)","plainCitation":"(A. R. Krentzman et al., 2015)","dontUpdate":true,"noteIndex":0},"citationItems":[{"id":1271,"uris":["http://zotero.org/users/7873587/items/EPW8544T"],"itemData":{"id":1271,"type":"article-journal","abstract":"This study examined whether increases in purpose in life (PIL) over 2.5 years were associated with Diagnostic and Statistical Manual of Mental Disorders (4th ed.) remission among 364 individuals with alcohol dependence. Remission from alcohol dependence at final follow-up was associated with significantly greater increases in PIL over time, compared to those without remission or with partial remission. The strong relationship between increases in PIL and remitted status at final follow-up indicates the importance of existential issues to recovery, and the value of incorporating these concerns into treatment and further investigating their role in initiating and supporting recovery.","container-title":"Alcoholism Treatment Quarterly","DOI":"10.1080/07347324.2015.1050924","journalAbbreviation":"Alcoholism Treatment Quarterly","page":"252-269","source":"ResearchGate","title":"Long-term increases in purpose in life are associated with remission from alcohol dependence","volume":"33","author":[{"family":"Krentzman","given":"Amy R."},{"family":"Cranford","given":"James"},{"family":"Robinson","given":"Elizabeth"}],"issued":{"date-parts":[["2015",7,3]]}}}],"schema":"https://github.com/citation-style-language/schema/raw/master/csl-citation.json"} </w:instrText>
      </w:r>
      <w:r w:rsidR="00511635">
        <w:rPr>
          <w:rFonts w:ascii="Times New Roman" w:hAnsi="Times New Roman" w:cs="Times New Roman"/>
        </w:rPr>
        <w:fldChar w:fldCharType="separate"/>
      </w:r>
      <w:r w:rsidR="000A2E8B" w:rsidRPr="000A2E8B">
        <w:rPr>
          <w:rFonts w:ascii="Times New Roman" w:hAnsi="Times New Roman" w:cs="Times New Roman"/>
        </w:rPr>
        <w:t>(Krentzman et al., 2015)</w:t>
      </w:r>
      <w:r w:rsidR="00511635">
        <w:rPr>
          <w:rFonts w:ascii="Times New Roman" w:hAnsi="Times New Roman" w:cs="Times New Roman"/>
        </w:rPr>
        <w:fldChar w:fldCharType="end"/>
      </w:r>
      <w:r w:rsidR="00511635">
        <w:rPr>
          <w:rFonts w:ascii="Times New Roman" w:hAnsi="Times New Roman" w:cs="Times New Roman"/>
        </w:rPr>
        <w:t>.</w:t>
      </w:r>
    </w:p>
    <w:p w14:paraId="7EA07ACD" w14:textId="77777777" w:rsidR="008A4FF5" w:rsidRPr="00F23463" w:rsidRDefault="008A4FF5" w:rsidP="00AC0B06">
      <w:pPr>
        <w:pStyle w:val="NoSpacing"/>
        <w:spacing w:line="480" w:lineRule="auto"/>
        <w:rPr>
          <w:rFonts w:ascii="Times New Roman" w:hAnsi="Times New Roman" w:cs="Times New Roman"/>
        </w:rPr>
      </w:pPr>
    </w:p>
    <w:p w14:paraId="6D93F492" w14:textId="2FE8C4FA" w:rsidR="008A4FF5" w:rsidRPr="00F23463" w:rsidRDefault="00511635" w:rsidP="00AC0B06">
      <w:pPr>
        <w:pStyle w:val="NoSpacing"/>
        <w:spacing w:line="480" w:lineRule="auto"/>
        <w:rPr>
          <w:rFonts w:ascii="Times New Roman" w:hAnsi="Times New Roman" w:cs="Times New Roman"/>
        </w:rPr>
      </w:pP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{"citationID":"mnWUZLfj","properties":{"formattedCitation":"(Johannessen et al., 2019)","plainCitation":"(Johannessen et al., 2019)","dontUpdate":true,"noteIndex":0},"citationItems":[{"id":1270,"uris":["http://zotero.org/users/7873587/items/VX25XIX8"],"itemData":{"id":1270,"type":"article-journal","abstract":"Among the adult population worldwide, about 0.5% has illicit drug use disorder (DUD) and about 5% has alcohol use disorder (AUD). Dependency on alcohol, medication or illicit drugs are recognised as risk factors for disabling disease and early death. Treatment for substance use disorders (SUD) is important in promoting persistent abstinence and may be perceived as a valuable public health measure. The current systematic review aims at exploring how psychosocial factors connected to recovery capital and coping behaviour, change after inpatient SUD treatment.","container-title":"Substance Abuse Treatment, Prevention, and Policy","DOI":"10.1186/s13011-019-0210-9","ISSN":"1747-597X","issue":"1","journalAbbreviation":"Substance Abuse Treatment, Prevention, and Policy","page":"16","source":"BioMed Central","title":"Change in psychosocial factors connected to coping after inpatient treatment for substance use disorder: a systematic review","title-short":"Change in psychosocial factors connected to coping after inpatient treatment for substance use disorder","volume":"14","author":[{"family":"Johannessen","given":"Dagny Adriaenssen"},{"family":"Nordfjærn","given":"Trond"},{"family":"Geirdal","given":"Amy Østertun"}],"issued":{"date-parts":[["2019",5,3]]}}}],"schema":"https://github.com/citation-style-language/schema/raw/master/csl-citation.json"}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Johannessen et al. (2019)</w:t>
      </w:r>
      <w:r>
        <w:rPr>
          <w:rFonts w:ascii="Times New Roman" w:hAnsi="Times New Roman" w:cs="Times New Roman"/>
        </w:rPr>
        <w:fldChar w:fldCharType="end"/>
      </w:r>
      <w:r w:rsidR="008A4FF5" w:rsidRPr="00F23463">
        <w:rPr>
          <w:rFonts w:ascii="Times New Roman" w:hAnsi="Times New Roman" w:cs="Times New Roman"/>
        </w:rPr>
        <w:t xml:space="preserve"> conducted a systematic review of psychosocial factors connected to recovery after SUD treatment and found that perceived social support, employment, and improvements in mental health facilitated coping behaviours. These findings are interesting because they demonstrate the diverse pathways to recovery; treatments and life changes facilitate recovery from addiction in different ways. For example, AA facilitates changes in social support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{"citationID":"8ChMfsdS","properties":{"formattedCitation":"(Kelly, 2017)","plainCitation":"(Kelly, 2017)","noteIndex":0},"citationItems":[{"id":1226,"uris":["http://zotero.org/users/7873587/items/XBGYYH22"],"itemData":{"id":1226,"type":"article-journal","abstract":"Background Alcoholics Anonymous (AA) is a world-wide recovery mutual-help organization that continues to arouse controversy. In large part, concerns persist because of AA's ostensibly quasi-religious/spiritual orientation and emphasis. In 1990 the United States’ Institute of Medicine called for more studies on AA's effectiveness and its mechanisms of behavior change (MOBC) stimulating a flurry of federally funded research. This paper reviews the religious/spiritual origins of AA and its program and contrasts its theory with findings from this latest research. Method Literature review, summary and synthesis of studies examining AA's MOBC. Results While AA's original main text (‘the Big Book’, 1939) purports that recovery is achieved through quasi-religious/spiritual means (‘spiritual awakening’), findings from studies on MOBC suggest this may be true only for a minority of participants with high addiction severity. AA's beneficial effects seem to be carried predominantly by social, cognitive and affective mechanisms. These mechanisms are more aligned with the experiences reported by AA's own larger and more diverse membership as detailed in its later social, cognitive and behaviorally oriented publications (e.g. Living Sober, 1975) written when AA membership numbered more than a million men and women. Conclusions Alcoholics Anonymous appears to be an effective clinical and public health ally that aids addiction recovery through its ability to mobilize therapeutic mechanisms similar to those mobilized in formal treatment, but is able to do this for free over the long term in the communities in which people live.","container-title":"Addiction","DOI":"10.1111/add.13590","ISSN":"1360-0443","issue":"6","language":"en","note":"_eprint: https://onlinelibrary.wiley.com/doi/pdf/10.1111/add.13590","page":"929-936","source":"Wiley Online Library","title":"Is Alcoholics Anonymous religious, spiritual, neither? Findings from 25 years of mechanisms of behavior change research","title-short":"Is Alcoholics Anonymous religious, spiritual, neither?","volume":"112","author":[{"family":"Kelly","given":"John F."}],"issued":{"date-parts":[["2017"]]}}}],"schema":"https://github.com/citation-style-language/schema/raw/master/csl-citation.json"}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(Kelly, 2017)</w:t>
      </w:r>
      <w:r>
        <w:rPr>
          <w:rFonts w:ascii="Times New Roman" w:hAnsi="Times New Roman" w:cs="Times New Roman"/>
        </w:rPr>
        <w:fldChar w:fldCharType="end"/>
      </w:r>
      <w:r w:rsidR="008A4FF5" w:rsidRPr="00F23463">
        <w:rPr>
          <w:rFonts w:ascii="Times New Roman" w:hAnsi="Times New Roman" w:cs="Times New Roman"/>
        </w:rPr>
        <w:t xml:space="preserve">, employment is a social role that may give a person meaning in life through a clear sense of structure and order </w:t>
      </w:r>
      <w:r w:rsidR="0056046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{"citationID":"CQ02t8e8","properties":{"formattedCitation":"(Stavrova et al., 2018)","plainCitation":"(Stavrova et al., 2018)","noteIndex":0},"citationItems":[{"id":1269,"uris":["http://zotero.org/users/7873587/items/MV2ZCZW6"],"itemData":{"id":1269,"type":"article-journal","abstract":"The present research explored whether self-control is associated with the perception of meaning in life. A week-long daily diary study (Study 1) showed trait self-control (but not daily experiences of self-control failure) to be positively associated with a general sense of meaning in life and daily experiences of meaning. This association was robust against controlling for life satisfaction, positive and negative affect. Study 2 tested two potential mechanisms underlying the association between trait self-control and meaning in life: Successful goal progress and experience of structure in life. While self-control was positively associated with both, only the experience of structure predicted meaning: Self-control was positively related to the perception of one’s life as having a clear sense of structure and order, which in turn predicted a stronger perception of meaning. Study 3 replicated the mediation path via the experience of structure and showed it to be stronger for individuals high (vs. low) in the personal need for structure. The present findings add to the emerging literature on trait (and state) self-control and dispositional determinants of meaning in life.","container-title":"Self and Identity","DOI":"10.1080/15298868.2018.1558107","ISSN":"1529-8868","issue":"2","note":"publisher: Routledge\n_eprint: https://doi.org/10.1080/15298868.2018.1558107","page":"201-218","source":"Taylor and Francis+NEJM","title":"Finding meaning in self-control: The effect of self-control on the perception of meaning in life","title-short":"Finding meaning in self-control","volume":"19","author":[{"family":"Stavrova","given":"Olga"},{"family":"Pronk","given":"Tila"},{"family":"Kokkoris","given":"Michail D."}],"issued":{"date-parts":[["2018"]]}}}],"schema":"https://github.com/citation-style-language/schema/raw/master/csl-citation.json"} </w:instrText>
      </w:r>
      <w:r w:rsidR="00560465">
        <w:rPr>
          <w:rFonts w:ascii="Times New Roman" w:hAnsi="Times New Roman" w:cs="Times New Roman"/>
        </w:rPr>
        <w:fldChar w:fldCharType="separate"/>
      </w:r>
      <w:r w:rsidR="00560465">
        <w:rPr>
          <w:rFonts w:ascii="Times New Roman" w:hAnsi="Times New Roman" w:cs="Times New Roman"/>
          <w:noProof/>
        </w:rPr>
        <w:t>(Stavrova et al., 2018)</w:t>
      </w:r>
      <w:r w:rsidR="00560465">
        <w:rPr>
          <w:rFonts w:ascii="Times New Roman" w:hAnsi="Times New Roman" w:cs="Times New Roman"/>
        </w:rPr>
        <w:fldChar w:fldCharType="end"/>
      </w:r>
      <w:r w:rsidR="008A4FF5" w:rsidRPr="00F23463">
        <w:rPr>
          <w:rFonts w:ascii="Times New Roman" w:hAnsi="Times New Roman" w:cs="Times New Roman"/>
        </w:rPr>
        <w:t xml:space="preserve">, and these have been found to both facilitate coping behaviours which is a primary aim of CBT </w:t>
      </w:r>
      <w:r w:rsidR="0056046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{"citationID":"765x7TU0","properties":{"formattedCitation":"(Sudhir, 2018)","plainCitation":"(Sudhir, 2018)","noteIndex":0},"citationItems":[{"id":1240,"uris":["http://zotero.org/users/7873587/items/LY4ICV6E"],"itemData":{"id":1240,"type":"article-journal","abstract":"Cognitive behaviour therapy is a structured, time limited, psychological intervention that has is empirically supported across a wide variety of psychological disorders. CBT for addictive behaviours can be traced back to the application of learning theories in understanding addiction and subsequently to social cognitive theories. The focus of CBT is manifold and the focus is on targeting maintaining factors of addictive behaviours and preventing relapse. Relapse prevention programmes are based on social cognitive and cognitive behavioural principles. Interventions for preventing relapse include, behavioural strategies to decrease the valence of addictive behaviours, coping skills to deal with craving, arousal, negative mood states, assertiveness skills to manage social pressures, family psychoeducation and environmental manipulation and cognitive strategies to enhance self-efficacy beliefs and modification of outcome expectancies related to addictive behaviours. More recent developments in the area of managing addictions include third wave behaviour therapies. Third wave behaviour therapies are focused on improving building awareness, and distress tolerance skills using mindfulness practices. These approaches have shown promise, and more recently the neurobiological underpinnings of mindfulness strategies have been studied. The article provides an overview of cognitive behavioural approaches to managing addictions.","container-title":"Indian Journal of Psychiatry","DOI":"10.4103/psychiatry.IndianJPsychiatry_15_18","ISSN":"0019-5545","issue":"Suppl 4","journalAbbreviation":"Indian J Psychiatry","note":"PMID: 29540917\nPMCID: PMC5844158","page":"S479-S484","source":"PubMed Central","title":"Cognitive behavioural interventions in addictive disorders","volume":"60","author":[{"family":"Sudhir","given":"Paulomi M."}],"issued":{"date-parts":[["2018",2]]}}}],"schema":"https://github.com/citation-style-language/schema/raw/master/csl-citation.json"} </w:instrText>
      </w:r>
      <w:r w:rsidR="00560465">
        <w:rPr>
          <w:rFonts w:ascii="Times New Roman" w:hAnsi="Times New Roman" w:cs="Times New Roman"/>
        </w:rPr>
        <w:fldChar w:fldCharType="separate"/>
      </w:r>
      <w:r w:rsidR="00560465">
        <w:rPr>
          <w:rFonts w:ascii="Times New Roman" w:hAnsi="Times New Roman" w:cs="Times New Roman"/>
          <w:noProof/>
        </w:rPr>
        <w:t>(Sudhir, 2018)</w:t>
      </w:r>
      <w:r w:rsidR="00560465">
        <w:rPr>
          <w:rFonts w:ascii="Times New Roman" w:hAnsi="Times New Roman" w:cs="Times New Roman"/>
        </w:rPr>
        <w:fldChar w:fldCharType="end"/>
      </w:r>
      <w:r w:rsidR="008A4FF5" w:rsidRPr="00F23463">
        <w:rPr>
          <w:rFonts w:ascii="Times New Roman" w:hAnsi="Times New Roman" w:cs="Times New Roman"/>
        </w:rPr>
        <w:t>.</w:t>
      </w:r>
      <w:r w:rsidR="00894A65">
        <w:rPr>
          <w:rFonts w:ascii="Times New Roman" w:hAnsi="Times New Roman" w:cs="Times New Roman"/>
        </w:rPr>
        <w:t xml:space="preserve"> </w:t>
      </w:r>
      <w:r w:rsidR="008A4FF5" w:rsidRPr="00F23463">
        <w:rPr>
          <w:rFonts w:ascii="Times New Roman" w:hAnsi="Times New Roman" w:cs="Times New Roman"/>
        </w:rPr>
        <w:t xml:space="preserve">Therefore, treatments and life transitions both facilitate psychosocial changes that play an important role in sustaining recovery from addiction, such as self-efficacy, social support, responsibility, and structure in life </w:t>
      </w:r>
      <w:r w:rsidR="00700FFA">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{"citationID":"NBYtQu2q","properties":{"formattedCitation":"(Moos, 2007)","plainCitation":"(Moos, 2007)","noteIndex":0},"citationItems":[{"id":1267,"uris":["http://zotero.org/users/7873587/items/IUIBM4RY"],"itemData":{"id":1267,"type":"article-journal","abstract":"This paper describes four related theories that specify common social processes that protect individuals from developing substance use disorders and may underlie effective psychosocial treatments for these disorders: social control theory, behavioral economics and behavioral choice theory, social learning theory, and stress and coping theory. It then provides an overview of the rationale and evidence for four effective psychosocial treatments for substance use disorders: motivational interviewing and motivational enhancement therapy, 12-step facilitation treatment, cognitive-behavioral treatment and behavioral family counseling, and contingency management and community reinforcement approaches. The presumed active ingredients of these treatments are described in terms of how they exemplify the social processes highlighted by the four theories. The identified common components of effective treatment include support, goal direction, and structure; an emphasis on rewards that compete with substance use, a focus on abstinence-oriented norms and models, and attempts to develop self-efficacy and coping skills. Several issues that need to be addressed to enhance our understanding of the active ingredients involved in effective treatment are discussed, including how to develop measures of these ingredients, how well the ingredients predict outcomes and influence conceptually comparable aspects of clients’ life contexts, and how much their influence varies depending upon clients’ demographic and personal characteristics.","container-title":"Drug and alcohol dependence","DOI":"10.1016/j.drugalcdep.2006.10.010","ISSN":"0376-8716","issue":"2-3","journalAbbreviation":"Drug Alcohol Depend","note":"PMID: 17129682\nPMCID: PMC1896183","page":"109-121","source":"PubMed Central","title":"Theory-based active ingredients of effective treatments for substance use disorders","volume":"88","author":[{"family":"Moos","given":"Rudolf H."}],"issued":{"date-parts":[["2007",5,11]]}}}],"schema":"https://github.com/citation-style-language/schema/raw/master/csl-citation.json"} </w:instrText>
      </w:r>
      <w:r w:rsidR="00700FFA">
        <w:rPr>
          <w:rFonts w:ascii="Times New Roman" w:hAnsi="Times New Roman" w:cs="Times New Roman"/>
        </w:rPr>
        <w:fldChar w:fldCharType="separate"/>
      </w:r>
      <w:r w:rsidR="00700FFA">
        <w:rPr>
          <w:rFonts w:ascii="Times New Roman" w:hAnsi="Times New Roman" w:cs="Times New Roman"/>
          <w:noProof/>
        </w:rPr>
        <w:t>(Moos, 2007)</w:t>
      </w:r>
      <w:r w:rsidR="00700FFA">
        <w:rPr>
          <w:rFonts w:ascii="Times New Roman" w:hAnsi="Times New Roman" w:cs="Times New Roman"/>
        </w:rPr>
        <w:fldChar w:fldCharType="end"/>
      </w:r>
      <w:r w:rsidR="008A4FF5" w:rsidRPr="00F23463">
        <w:rPr>
          <w:rFonts w:ascii="Times New Roman" w:hAnsi="Times New Roman" w:cs="Times New Roman"/>
        </w:rPr>
        <w:t xml:space="preserve">. This was indeed important during the UK Drug Policy Commission consensus meeting in that although they could not define recovery, </w:t>
      </w:r>
      <w:r w:rsidR="00700FFA">
        <w:rPr>
          <w:rFonts w:ascii="Times New Roman" w:hAnsi="Times New Roman" w:cs="Times New Roman"/>
        </w:rPr>
        <w:t xml:space="preserve">interestingly </w:t>
      </w:r>
      <w:r w:rsidR="008A4FF5" w:rsidRPr="00F23463">
        <w:rPr>
          <w:rFonts w:ascii="Times New Roman" w:hAnsi="Times New Roman" w:cs="Times New Roman"/>
        </w:rPr>
        <w:t xml:space="preserve">they did agree that </w:t>
      </w:r>
      <w:r w:rsidR="00894A65">
        <w:rPr>
          <w:rFonts w:ascii="Times New Roman" w:hAnsi="Times New Roman" w:cs="Times New Roman"/>
        </w:rPr>
        <w:t>being</w:t>
      </w:r>
      <w:r w:rsidR="008A4FF5" w:rsidRPr="00F23463">
        <w:rPr>
          <w:rFonts w:ascii="Times New Roman" w:hAnsi="Times New Roman" w:cs="Times New Roman"/>
        </w:rPr>
        <w:t xml:space="preserve"> </w:t>
      </w:r>
      <w:r w:rsidR="00894A65">
        <w:rPr>
          <w:rFonts w:ascii="Times New Roman" w:hAnsi="Times New Roman" w:cs="Times New Roman"/>
        </w:rPr>
        <w:t>in recovery</w:t>
      </w:r>
      <w:r w:rsidR="008A4FF5" w:rsidRPr="00F23463">
        <w:rPr>
          <w:rFonts w:ascii="Times New Roman" w:hAnsi="Times New Roman" w:cs="Times New Roman"/>
        </w:rPr>
        <w:t xml:space="preserve"> is “characterised by voluntarily-sustained control over substance use which maximises health and wellbeing and participation in the rights, roles and responsibilities of society” </w:t>
      </w:r>
      <w:r w:rsidR="00700FF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{"citationID":"w0ldGNRY","properties":{"formattedCitation":"(UK Drug Policy Commission, 2008)","plainCitation":"(UK Drug Policy Commission, 2008)","dontUpdate":true,"noteIndex":0},"citationItems":[{"id":1206,"uris":["http://zotero.org/users/7873587/items/TED3CHZK"],"itemData":{"id":1206,"type":"report","event-place":"London","publisher-place":"London","title":"The UK drug policy commission recovery consensus group: A vision of recovery","URL":"https://www.ukdpc.org.uk/wp-content/uploads/Policy%20report%20-%20A%20vision%20of%20recovery_%20UKDPC%20recovery%20consensus%20group.pdf","author":[{"literal":"UK Drug Policy Commission"}],"issued":{"date-parts":[["2008"]]}}}],"schema":"https://github.com/citation-style-language/schema/raw/master/csl-citation.json"} </w:instrText>
      </w:r>
      <w:r w:rsidR="00700FFA">
        <w:rPr>
          <w:rFonts w:ascii="Times New Roman" w:hAnsi="Times New Roman" w:cs="Times New Roman"/>
        </w:rPr>
        <w:fldChar w:fldCharType="separate"/>
      </w:r>
      <w:r w:rsidR="00700FFA">
        <w:rPr>
          <w:rFonts w:ascii="Times New Roman" w:hAnsi="Times New Roman" w:cs="Times New Roman"/>
          <w:noProof/>
        </w:rPr>
        <w:t>(UK Drug Policy Commission, 2008; p.6)</w:t>
      </w:r>
      <w:r w:rsidR="00700FFA">
        <w:rPr>
          <w:rFonts w:ascii="Times New Roman" w:hAnsi="Times New Roman" w:cs="Times New Roman"/>
        </w:rPr>
        <w:fldChar w:fldCharType="end"/>
      </w:r>
      <w:r w:rsidR="00700FFA">
        <w:rPr>
          <w:rFonts w:ascii="Times New Roman" w:hAnsi="Times New Roman" w:cs="Times New Roman"/>
        </w:rPr>
        <w:t xml:space="preserve">. </w:t>
      </w:r>
      <w:r w:rsidR="008A4FF5" w:rsidRPr="00F23463">
        <w:rPr>
          <w:rFonts w:ascii="Times New Roman" w:hAnsi="Times New Roman" w:cs="Times New Roman"/>
        </w:rPr>
        <w:t xml:space="preserve">Therefore, the overall effect may be to increase the value of alcohol-free alternatives and place emphasis on the capacity a person has to change </w:t>
      </w:r>
      <w:r w:rsidR="00700FF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{"citationID":"JE6njLtQ","properties":{"formattedCitation":"(Heyman, 2013)","plainCitation":"(Heyman, 2013)","noteIndex":0},"citationItems":[{"id":1194,"uris":["http://zotero.org/users/7873587/items/EVK5TMZB"],"itemData":{"id":1194,"type":"article-journal","abstract":"Addiction’s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M."}],"accessed":{"date-parts":[["2022",8,1]]},"issued":{"date-parts":[["2013"]]}}}],"schema":"https://github.com/citation-style-language/schema/raw/master/csl-citation.json"} </w:instrText>
      </w:r>
      <w:r w:rsidR="00700FFA">
        <w:rPr>
          <w:rFonts w:ascii="Times New Roman" w:hAnsi="Times New Roman" w:cs="Times New Roman"/>
        </w:rPr>
        <w:fldChar w:fldCharType="separate"/>
      </w:r>
      <w:r w:rsidR="00700FFA">
        <w:rPr>
          <w:rFonts w:ascii="Times New Roman" w:hAnsi="Times New Roman" w:cs="Times New Roman"/>
          <w:noProof/>
        </w:rPr>
        <w:t>(Heyman, 2013)</w:t>
      </w:r>
      <w:r w:rsidR="00700FFA">
        <w:rPr>
          <w:rFonts w:ascii="Times New Roman" w:hAnsi="Times New Roman" w:cs="Times New Roman"/>
        </w:rPr>
        <w:fldChar w:fldCharType="end"/>
      </w:r>
      <w:r w:rsidR="008A4FF5" w:rsidRPr="00F23463">
        <w:rPr>
          <w:rFonts w:ascii="Times New Roman" w:hAnsi="Times New Roman" w:cs="Times New Roman"/>
        </w:rPr>
        <w:t xml:space="preserve">. This point is </w:t>
      </w:r>
      <w:r w:rsidR="005F0FC4">
        <w:rPr>
          <w:rFonts w:ascii="Times New Roman" w:hAnsi="Times New Roman" w:cs="Times New Roman"/>
        </w:rPr>
        <w:t xml:space="preserve">discussed </w:t>
      </w:r>
      <w:r w:rsidR="008A4FF5" w:rsidRPr="00F23463">
        <w:rPr>
          <w:rFonts w:ascii="Times New Roman" w:hAnsi="Times New Roman" w:cs="Times New Roman"/>
        </w:rPr>
        <w:t xml:space="preserve">later </w:t>
      </w:r>
      <w:r w:rsidR="005F0FC4">
        <w:rPr>
          <w:rFonts w:ascii="Times New Roman" w:hAnsi="Times New Roman" w:cs="Times New Roman"/>
        </w:rPr>
        <w:t xml:space="preserve">in the </w:t>
      </w:r>
      <w:r w:rsidR="008A4FF5" w:rsidRPr="00F23463">
        <w:rPr>
          <w:rFonts w:ascii="Times New Roman" w:hAnsi="Times New Roman" w:cs="Times New Roman"/>
        </w:rPr>
        <w:t>discussion o</w:t>
      </w:r>
      <w:r w:rsidR="005F0FC4">
        <w:rPr>
          <w:rFonts w:ascii="Times New Roman" w:hAnsi="Times New Roman" w:cs="Times New Roman"/>
        </w:rPr>
        <w:t>n</w:t>
      </w:r>
      <w:r w:rsidR="008A4FF5" w:rsidRPr="00F23463">
        <w:rPr>
          <w:rFonts w:ascii="Times New Roman" w:hAnsi="Times New Roman" w:cs="Times New Roman"/>
        </w:rPr>
        <w:t xml:space="preserve"> behavioural economics (Section 1.5).</w:t>
      </w:r>
    </w:p>
    <w:p w14:paraId="601A66AB" w14:textId="77777777" w:rsidR="008A4FF5" w:rsidRPr="00F23463" w:rsidRDefault="008A4FF5" w:rsidP="00AC0B06">
      <w:pPr>
        <w:pStyle w:val="NoSpacing"/>
        <w:spacing w:line="480" w:lineRule="auto"/>
        <w:rPr>
          <w:rFonts w:ascii="Times New Roman" w:hAnsi="Times New Roman" w:cs="Times New Roman"/>
        </w:rPr>
      </w:pPr>
    </w:p>
    <w:p w14:paraId="6FE1A208" w14:textId="4448CEA7" w:rsidR="008A4FF5" w:rsidRPr="00F23463" w:rsidRDefault="008A4FF5" w:rsidP="00573078">
      <w:pPr>
        <w:pStyle w:val="Heading2"/>
      </w:pPr>
      <w:bookmarkStart w:id="69" w:name="_Toc109901458"/>
      <w:bookmarkStart w:id="70" w:name="_Toc109901931"/>
      <w:bookmarkStart w:id="71" w:name="_Toc109911324"/>
      <w:bookmarkStart w:id="72" w:name="_Toc110612727"/>
      <w:bookmarkStart w:id="73" w:name="_Toc110629037"/>
      <w:bookmarkStart w:id="74" w:name="_Toc110870945"/>
      <w:r w:rsidRPr="00F23463">
        <w:t>1.4</w:t>
      </w:r>
      <w:r w:rsidR="00174DF4" w:rsidRPr="00F23463">
        <w:t>.</w:t>
      </w:r>
      <w:r w:rsidRPr="00F23463">
        <w:t xml:space="preserve"> Substance use is goal-directed, even in people who are ‘addicted’</w:t>
      </w:r>
      <w:bookmarkEnd w:id="69"/>
      <w:bookmarkEnd w:id="70"/>
      <w:bookmarkEnd w:id="71"/>
      <w:bookmarkEnd w:id="72"/>
      <w:bookmarkEnd w:id="73"/>
      <w:bookmarkEnd w:id="74"/>
    </w:p>
    <w:p w14:paraId="3E120D09" w14:textId="25C59F9E" w:rsidR="008A4FF5" w:rsidRPr="00F23463" w:rsidRDefault="008A4FF5" w:rsidP="00AC0B06">
      <w:pPr>
        <w:pStyle w:val="NoSpacing"/>
        <w:spacing w:line="480" w:lineRule="auto"/>
        <w:rPr>
          <w:rFonts w:ascii="Times New Roman" w:hAnsi="Times New Roman" w:cs="Times New Roman"/>
        </w:rPr>
      </w:pPr>
      <w:r w:rsidRPr="00F23463">
        <w:rPr>
          <w:rFonts w:ascii="Times New Roman" w:hAnsi="Times New Roman" w:cs="Times New Roman"/>
        </w:rPr>
        <w:t xml:space="preserve">Addiction is often characterised by maladaptive or dysregulated decision-making </w:t>
      </w:r>
      <w:r w:rsidR="000E599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{"citationID":"CI2naZ3G","properties":{"formattedCitation":"(Ekhtiari et al., 2017)","plainCitation":"(Ekhtiari et al., 2017)","noteIndex":0},"citationItems":[{"id":1265,"uris":["http://zotero.org/users/7873587/items/AP79JQPJ"],"itemData":{"id":1265,"type":"article-journal","abstract":"There are a growing number of studies with different substance use populations that show evidence for aberrant decision-making, which involves but is not limited to increased temporal discounting, increased risk-taking, and inability to mediate between immediate large gains and long-term larger losses. However, the current literature is inconsistent on how these dysfunctions manifest across different substance use disorders and whether they contribute to the initiation, progression and recovery from these disorders. Moreover, there is an incomplete understanding of the neurocognitive processes that underlie these deficits, the best methods to measure them, and ways to improve dysfunction. Here, recently published literature on aberrant decision-making is reviewed to address these questions using four domains: self-report measures, behavioral tasks, computational modeling, and functional neuroimaging. In conclusion, we provide suggestions to improve the consistency, validity and applicability of these measures to the reduction of decision-making dysfunction as a core component of prevention and recovery for the future of addiction medicine.","collection-title":"Addiction","container-title":"Current Opinion in Behavioral Sciences","DOI":"10.1016/j.cobeha.2016.09.002","ISSN":"2352-1546","journalAbbreviation":"Current Opinion in Behavioral Sciences","language":"en","page":"25-33","source":"ScienceDirect","title":"Aberrant decision-making and drug addiction—how strong is the evidence?","volume":"13","author":[{"family":"Ekhtiari","given":"Hamed"},{"family":"Victor","given":"Teresa A"},{"family":"Paulus","given":"Martin P"}],"issued":{"date-parts":[["2017",2,1]]}}}],"schema":"https://github.com/citation-style-language/schema/raw/master/csl-citation.json"} </w:instrText>
      </w:r>
      <w:r w:rsidR="000E5996">
        <w:rPr>
          <w:rFonts w:ascii="Times New Roman" w:hAnsi="Times New Roman" w:cs="Times New Roman"/>
        </w:rPr>
        <w:fldChar w:fldCharType="separate"/>
      </w:r>
      <w:r w:rsidR="000E5996">
        <w:rPr>
          <w:rFonts w:ascii="Times New Roman" w:hAnsi="Times New Roman" w:cs="Times New Roman"/>
          <w:noProof/>
        </w:rPr>
        <w:t>(Ekhtiari et al., 2017)</w:t>
      </w:r>
      <w:r w:rsidR="000E5996">
        <w:rPr>
          <w:rFonts w:ascii="Times New Roman" w:hAnsi="Times New Roman" w:cs="Times New Roman"/>
        </w:rPr>
        <w:fldChar w:fldCharType="end"/>
      </w:r>
      <w:r w:rsidRPr="00F23463">
        <w:rPr>
          <w:rFonts w:ascii="Times New Roman" w:hAnsi="Times New Roman" w:cs="Times New Roman"/>
        </w:rPr>
        <w:t xml:space="preserve">. When investigating why people make the decision to use drugs, there are two </w:t>
      </w:r>
      <w:r w:rsidRPr="00F23463">
        <w:rPr>
          <w:rFonts w:ascii="Times New Roman" w:hAnsi="Times New Roman" w:cs="Times New Roman"/>
        </w:rPr>
        <w:lastRenderedPageBreak/>
        <w:t xml:space="preserve">dissociable learning processes that might underlie such behaviour; habitual behaviour (i.e., behaviour elicited directly by antecedent stimuli), and goal-directed behaviour (i.e., behaviour mediated by knowledge of the outcome, combined with knowledge about the incentive value of the outcome). Habitual behaviour includes automaticity and inflexibility whilst goal-directed behaviour includes active deliberation and adaptive flexibility </w:t>
      </w:r>
      <w:r w:rsidR="000E5996">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{"citationID":"I3ItPtuQ","properties":{"formattedCitation":"(Dolan &amp; Dayan, 2013)","plainCitation":"(Dolan &amp; Dayan, 2013)","noteIndex":0},"citationItems":[{"id":1264,"uris":["http://zotero.org/users/7873587/items/RE6B92CV"],"itemData":{"id":1264,"type":"article-journal","abstract":"An enduring and richly elaborated dichotomy in cognitive neuroscience is that of reflective versus reflexive decision making and choice. Other literatures refer to the two ends of what is likely to be a spectrum with terms such as goal-directed versus habitual, model-based versus model-free or prospective versus retrospective. One of the most rigorous traditions of experimental work in the field started with studies in rodents and graduated via human versions and enrichments of those experiments to a current state in which new paradigms are probing and challenging the very heart of the distinction. We review four generations of work in this tradition and provide pointers to the forefront of the field’s fifth generation., Dolan and Dayan provide a computational perspective on two fundamental forms of control, goal directed and habitual. They discuss how these forms of control are expressed in the human brain and how dominance of one or other of these systems may contribute to psychopathology.","container-title":"Neuron","DOI":"10.1016/j.neuron.2013.09.007","ISSN":"0896-6273","issue":"2","journalAbbreviation":"Neuron","note":"PMID: 24139036\nPMCID: PMC3807793","page":"312-325","source":"PubMed Central","title":"Goals and habits in the brain","volume":"80","author":[{"family":"Dolan","given":"Ray J."},{"family":"Dayan","given":"Peter"}],"issued":{"date-parts":[["2013",10,16]]}}}],"schema":"https://github.com/citation-style-language/schema/raw/master/csl-citation.json"} </w:instrText>
      </w:r>
      <w:r w:rsidR="000E5996">
        <w:rPr>
          <w:rFonts w:ascii="Times New Roman" w:hAnsi="Times New Roman" w:cs="Times New Roman"/>
        </w:rPr>
        <w:fldChar w:fldCharType="separate"/>
      </w:r>
      <w:r w:rsidR="000E5996">
        <w:rPr>
          <w:rFonts w:ascii="Times New Roman" w:hAnsi="Times New Roman" w:cs="Times New Roman"/>
          <w:noProof/>
        </w:rPr>
        <w:t>(Dolan &amp; Dayan, 2013)</w:t>
      </w:r>
      <w:r w:rsidR="000E5996">
        <w:rPr>
          <w:rFonts w:ascii="Times New Roman" w:hAnsi="Times New Roman" w:cs="Times New Roman"/>
        </w:rPr>
        <w:fldChar w:fldCharType="end"/>
      </w:r>
      <w:r w:rsidR="000E5996">
        <w:rPr>
          <w:rFonts w:ascii="Times New Roman" w:hAnsi="Times New Roman" w:cs="Times New Roman"/>
        </w:rPr>
        <w:t>.</w:t>
      </w:r>
      <w:r w:rsidRPr="00F23463">
        <w:rPr>
          <w:rFonts w:ascii="Times New Roman" w:hAnsi="Times New Roman" w:cs="Times New Roman"/>
        </w:rPr>
        <w:t xml:space="preserve"> </w:t>
      </w:r>
    </w:p>
    <w:p w14:paraId="22165B7B" w14:textId="77777777" w:rsidR="00413E6D" w:rsidRPr="00F23463" w:rsidRDefault="00413E6D" w:rsidP="00AC0B06">
      <w:pPr>
        <w:pStyle w:val="NoSpacing"/>
        <w:spacing w:line="480" w:lineRule="auto"/>
        <w:rPr>
          <w:rFonts w:ascii="Times New Roman" w:hAnsi="Times New Roman" w:cs="Times New Roman"/>
        </w:rPr>
      </w:pPr>
    </w:p>
    <w:p w14:paraId="1E19E0BA" w14:textId="4F0D022D" w:rsidR="008A4FF5" w:rsidRDefault="008A4FF5" w:rsidP="003C1591">
      <w:pPr>
        <w:pStyle w:val="NoSpacing"/>
        <w:spacing w:line="480" w:lineRule="auto"/>
        <w:rPr>
          <w:rFonts w:ascii="Times New Roman" w:hAnsi="Times New Roman" w:cs="Times New Roman"/>
        </w:rPr>
      </w:pPr>
      <w:r w:rsidRPr="00F23463">
        <w:rPr>
          <w:rFonts w:ascii="Times New Roman" w:hAnsi="Times New Roman" w:cs="Times New Roman"/>
        </w:rPr>
        <w:t xml:space="preserve">The widely accepted scientific view of addiction (SUD) is that initial substance use is a goal-directed voluntary act, but that addiction occurs through a transition into habitual and compulsive behaviour </w:t>
      </w:r>
      <w:r w:rsidR="000E5996">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{"citationID":"i2xNumgZ","properties":{"formattedCitation":"(Clemens et al., 2014; Everitt &amp; Robbins, 2005)","plainCitation":"(Clemens et al., 2014; Everitt &amp; Robbins, 2005)","noteIndex":0},"citationItems":[{"id":1263,"uris":["http://zotero.org/users/7873587/items/WE6UZB55"],"itemData":{"id":1263,"type":"article-journal","abstract":"Tobacco addiction involves a transition from occasional, voluntary smoking towards habitual behavior that becomes increasingly resistant to quitting. The development of smoking habits may reflect a loss of behavioral control that can be modeled in rats. This study investigated the behavioral and neural substrates of habit formation in rats exposed to either brief (10 days) or extended (47 days) intravenous (IV) nicotine self-administration training. Following training, the first cohort of rats were exposed to a nicotine devaluation treatment, which involved repeated pairings of IV nicotine with lithium injection. They were then tested for sensitivity of responding to nicotine devaluation under extinction and reinstatement conditions. The second cohort of rats received equivalent self-administration training followed by processing of brain tissue for c-Fos immunohistochemistry. After brief training, devaluation suppressed nicotine-seeking during tests of extinction and reinstatement, confirming that responding is initially sensitive to current nicotine value, and therefore, goal directed. In contrast, after extended training, devaluation had no effect on extinction or reinstatement of responding, indicating that responding had become habitual. Complementary neuroanalysis revealed that extended nicotine self-administration was associated with increased c-Fos expression in brain regions implicated in habitual control of reward seeking, including activation of the dorsolateral striatum and substantia nigra pars compacta. These findings provide evidence of direct devaluation of an IV drug reward, that nicotine self-administration is initially goal-directed but becomes habitual with extended training, and that this behavioral transition involves activation of brain areas associated with the nigrostriatal system.","container-title":"Neuropsychopharmacology","DOI":"10.1038/npp.2014.111","ISSN":"0893-133X","issue":"11","journalAbbreviation":"Neuropsychopharmacology","note":"PMID: 24823947\nPMCID: PMC4207338","page":"2584-2593","source":"PubMed Central","title":"Behavioral and neural substrates of habit formation in rats intravenously self-administering nicotine","volume":"39","author":[{"family":"Clemens","given":"Kelly J"},{"family":"Castino","given":"Matthew R"},{"family":"Cornish","given":"Jennifer L"},{"family":"Goodchild","given":"Ann K"},{"family":"Holmes","given":"Nathan M"}],"issued":{"date-parts":[["2014",10]]}},"label":"page"},{"id":1262,"uris":["http://zotero.org/users/7873587/items/GB9DPE7F"],"itemData":{"id":1262,"type":"article-journal","abstract":"Drug addiction is increasingly viewed as the endpoint of a series of transitions from initial drug use--when a drug is voluntarily taken because it has reinforcing, often hedonic, effects--through loss of control over this behavior, such that it becomes habitual and ultimately compulsive. Here we discuss evidence that these transitions depend on interactions between pavlovian and instrumental learning processes. We hypothesize that the change from voluntary drug use to more habitual and compulsive drug use represents a transition at the neural level from prefrontal cortical to striatal control over drug seeking and drug taking behavior as well as a progression from ventral to more dorsal domains of the striatum, involving its dopaminergic innervation. These neural transitions may themselves depend on the neuroplasticity in both cortical and striatal structures that is induced by chronic self-administration of drugs.","container-title":"Nature Neuroscience","DOI":"10.1038/nn1579","ISSN":"1097-6256","issue":"11","journalAbbreviation":"Nat Neurosci","language":"eng","note":"PMID: 16251991","page":"1481-1489","source":"PubMed","title":"Neural systems of reinforcement for drug addiction: from actions to habits to compulsion","title-short":"Neural systems of reinforcement for drug addiction","volume":"8","author":[{"family":"Everitt","given":"Barry J."},{"family":"Robbins","given":"Trevor W."}],"issued":{"date-parts":[["2005",11]]}},"label":"page"}],"schema":"https://github.com/citation-style-language/schema/raw/master/csl-citation.json"} </w:instrText>
      </w:r>
      <w:r w:rsidR="000E5996">
        <w:rPr>
          <w:rFonts w:ascii="Times New Roman" w:hAnsi="Times New Roman" w:cs="Times New Roman"/>
        </w:rPr>
        <w:fldChar w:fldCharType="separate"/>
      </w:r>
      <w:r w:rsidR="00604F11">
        <w:rPr>
          <w:rFonts w:ascii="Times New Roman" w:hAnsi="Times New Roman" w:cs="Times New Roman"/>
          <w:noProof/>
        </w:rPr>
        <w:t>(Clemens et al., 2014; Everitt &amp; Robbins, 2005)</w:t>
      </w:r>
      <w:r w:rsidR="000E5996">
        <w:rPr>
          <w:rFonts w:ascii="Times New Roman" w:hAnsi="Times New Roman" w:cs="Times New Roman"/>
        </w:rPr>
        <w:fldChar w:fldCharType="end"/>
      </w:r>
      <w:r w:rsidR="00604F11">
        <w:rPr>
          <w:rFonts w:ascii="Times New Roman" w:hAnsi="Times New Roman" w:cs="Times New Roman"/>
        </w:rPr>
        <w:t>.</w:t>
      </w:r>
      <w:r w:rsidRPr="00F23463">
        <w:rPr>
          <w:rFonts w:ascii="Times New Roman" w:hAnsi="Times New Roman" w:cs="Times New Roman"/>
        </w:rPr>
        <w:t xml:space="preserve"> This viewpoint therefore proposes that people with addiction are compulsive and experience loss of control over their behaviour </w:t>
      </w:r>
      <w:r w:rsidR="00604F1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{"citationID":"GEATXkos","properties":{"formattedCitation":"(Everitt &amp; Robbins, 2016)","plainCitation":"(Everitt &amp; Robbins, 2016)","noteIndex":0},"citationItems":[{"id":1261,"uris":["http://zotero.org/users/7873587/items/BSW5KW5L"],"itemData":{"id":1261,"type":"article-journal","abstract":"A decade ago, we hypothesized that drug addiction can be viewed as a transition from voluntary, recreational drug use to compulsive drug-seeking habits, neurally underpinned by a transition from prefrontal cortical to striatal control over drug seeking and taking as well as a progression from the ventral to the dorsal striatum. Here, in the light of burgeoning, supportive evidence, we reconsider and elaborate this hypothesis, in particular the refinements in our understanding of ventral and dorsal striatal mechanisms underlying goal-directed and habitual drug seeking, the influence of drug-associated Pavlovian-conditioned stimuli on drug seeking and relapse, and evidence for impairments in top-down prefrontal cortical inhibitory control over this behavior. We further review animal and human studies that have begun to define etiological factors and individual differences in the propensity to become addicted to drugs, leading to the description of addiction endophenotypes, especially for cocaine addiction. We consider the prospect of novel treatments for addiction that promote abstinence from and relapse to drug use.","container-title":"Annual Review of Psychology","DOI":"10.1146/annurev-psych-122414-033457","ISSN":"1545-2085","journalAbbreviation":"Annu Rev Psychol","language":"eng","note":"PMID: 26253543","page":"23-50","source":"PubMed","title":"Drug addiction: Updating actions to habits to compulsions ten years on","title-short":"Drug Addiction","volume":"67","author":[{"family":"Everitt","given":"Barry J."},{"family":"Robbins","given":"Trevor W."}],"issued":{"date-parts":[["2016"]]}}}],"schema":"https://github.com/citation-style-language/schema/raw/master/csl-citation.json"} </w:instrText>
      </w:r>
      <w:r w:rsidR="00604F11">
        <w:rPr>
          <w:rFonts w:ascii="Times New Roman" w:hAnsi="Times New Roman" w:cs="Times New Roman"/>
        </w:rPr>
        <w:fldChar w:fldCharType="separate"/>
      </w:r>
      <w:r w:rsidR="00604F11">
        <w:rPr>
          <w:rFonts w:ascii="Times New Roman" w:hAnsi="Times New Roman" w:cs="Times New Roman"/>
          <w:noProof/>
        </w:rPr>
        <w:t>(Everitt &amp; Robbins, 2016)</w:t>
      </w:r>
      <w:r w:rsidR="00604F11">
        <w:rPr>
          <w:rFonts w:ascii="Times New Roman" w:hAnsi="Times New Roman" w:cs="Times New Roman"/>
        </w:rPr>
        <w:fldChar w:fldCharType="end"/>
      </w:r>
      <w:r w:rsidRPr="00F23463">
        <w:rPr>
          <w:rFonts w:ascii="Times New Roman" w:hAnsi="Times New Roman" w:cs="Times New Roman"/>
        </w:rPr>
        <w:t xml:space="preserve"> in accordance with the dominating brain disease model of addiction </w:t>
      </w:r>
      <w:r w:rsidR="00604F1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{"citationID":"nZKydanY","properties":{"formattedCitation":"(Volkow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604F11">
        <w:rPr>
          <w:rFonts w:ascii="Times New Roman" w:hAnsi="Times New Roman" w:cs="Times New Roman"/>
        </w:rPr>
        <w:fldChar w:fldCharType="separate"/>
      </w:r>
      <w:r w:rsidR="00604F11">
        <w:rPr>
          <w:rFonts w:ascii="Times New Roman" w:hAnsi="Times New Roman" w:cs="Times New Roman"/>
          <w:noProof/>
        </w:rPr>
        <w:t>(Volkow et al., 2016)</w:t>
      </w:r>
      <w:r w:rsidR="00604F11">
        <w:rPr>
          <w:rFonts w:ascii="Times New Roman" w:hAnsi="Times New Roman" w:cs="Times New Roman"/>
        </w:rPr>
        <w:fldChar w:fldCharType="end"/>
      </w:r>
      <w:r w:rsidRPr="00F23463">
        <w:rPr>
          <w:rFonts w:ascii="Times New Roman" w:hAnsi="Times New Roman" w:cs="Times New Roman"/>
        </w:rPr>
        <w:t xml:space="preserve">. However, theories of addiction that emphasise the role of habit and compulsion have been challenged </w:t>
      </w:r>
      <w:r w:rsidR="008409EA">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{"citationID":"O3FSmHin","properties":{"formattedCitation":"(Hogarth, 2020, 2022)","plainCitation":"(Hogarth, 2020, 2022)","noteIndex":0},"citationItems":[{"id":1258,"uris":["http://zotero.org/users/7873587/items/9DVNYNDZ"],"itemData":{"id":1258,"type":"article-journal","abstract":"Drug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affect","volume":"45","author":[{"family":"Hogarth","given":"Lee"}],"issued":{"date-parts":[["2020",4]]}},"label":"page"},{"id":879,"uris":["http://zotero.org/users/7873587/items/HAB8IICP"],"itemData":{"id":879,"type":"chapter","abstract":"Since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C."},{"family":"Satel","given":"Sally"}],"issued":{"date-parts":[["2022"]]}},"label":"page"}],"schema":"https://github.com/citation-style-language/schema/raw/master/csl-citation.json"} </w:instrText>
      </w:r>
      <w:r w:rsidR="008409EA">
        <w:rPr>
          <w:rFonts w:ascii="Times New Roman" w:hAnsi="Times New Roman" w:cs="Times New Roman"/>
        </w:rPr>
        <w:fldChar w:fldCharType="separate"/>
      </w:r>
      <w:r w:rsidR="004A0CBE">
        <w:rPr>
          <w:rFonts w:ascii="Times New Roman" w:hAnsi="Times New Roman" w:cs="Times New Roman"/>
          <w:noProof/>
        </w:rPr>
        <w:t>(Hogarth, 2020, 2022)</w:t>
      </w:r>
      <w:r w:rsidR="008409EA">
        <w:rPr>
          <w:rFonts w:ascii="Times New Roman" w:hAnsi="Times New Roman" w:cs="Times New Roman"/>
        </w:rPr>
        <w:fldChar w:fldCharType="end"/>
      </w:r>
      <w:r w:rsidRPr="00F23463">
        <w:rPr>
          <w:rFonts w:ascii="Times New Roman" w:hAnsi="Times New Roman" w:cs="Times New Roman"/>
        </w:rPr>
        <w:t xml:space="preserve">: evidence of habitual behaviour in addiction relies heavily upon animal research, whilst there is only weak evidence for impaired goal-directed control in humans </w:t>
      </w:r>
      <w:r w:rsidR="004A0CB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{"citationID":"S5RE0XTK","properties":{"formattedCitation":"(Hogarth et al., 2019)","plainCitation":"(Hogarth et al., 2019)","noteIndex":0},"citationItems":[{"id":1257,"uris":["http://zotero.org/users/7873587/items/ZEZAQKY6"],"itemData":{"id":1257,"type":"article-journal","abstract":"Animal studies have demonstrated that chronic exposure to drugs of abuse impairs goal-directed control over action selection indexed by the outcome-devaluation and specific Pavlovian to instrumental transfer procedures, suggesting this impairment might underpin addiction. However, there is currently only weak evidence for impaired goal-directed control in human drug users. Two experiments were undertaken in which treatment-seeking drug users and non-matched normative reference samples (controls) completed outcome-devaluation and specific Pavlovian to instrumental transfer procedures notionally translatable to animal procedures (Experiment 2 used a more challenging biconditional schedule). The two experiments found significant outcome-devaluation and specific Pavlovian to instrumental transfer effects overall and there was no significant difference between groups in the magnitude of these effects. Moreover, Bayes factor supported the null hypothesis for these group comparisons. Although limited by non-matched group comparisons and small sample sizes, the two studies suggest that treatment-seeking drug users have intact goal-directed control over action selection, adding uncertainty to already mixed evidence concerning the role of habit learning in human drug dependence. Neuro-interventions might seek to tackle goal-directed drug-seeking rather than habit formation in drug users.","container-title":"The European Journal of Neuroscience","DOI":"10.1111/ejn.13961","ISSN":"1460-9568","issue":"3","journalAbbreviation":"Eur J Neurosci","language":"eng","note":"PMID: 29787620","page":"2513-2525","source":"PubMed","title":"Intact goal-directed control in treatment-seeking drug users indexed by outcome-devaluation and Pavlovian to instrumental transfer: critique of habit theory","title-short":"Intact goal-directed control in treatment-seeking drug users indexed by outcome-devaluation and Pavlovian to instrumental transfer","volume":"50","author":[{"family":"Hogarth","given":"Lee"},{"family":"Lam-Cassettari","given":"Christa"},{"family":"Pacitti","given":"Helena"},{"family":"Currah","given":"Tara"},{"family":"Mahlberg","given":"Justin"},{"family":"Hartley","given":"Lucie"},{"family":"Moustafa","given":"Ahmed"}],"issued":{"date-parts":[["2019",8]]}}}],"schema":"https://github.com/citation-style-language/schema/raw/master/csl-citation.json"} </w:instrText>
      </w:r>
      <w:r w:rsidR="004A0CBE">
        <w:rPr>
          <w:rFonts w:ascii="Times New Roman" w:hAnsi="Times New Roman" w:cs="Times New Roman"/>
        </w:rPr>
        <w:fldChar w:fldCharType="separate"/>
      </w:r>
      <w:r w:rsidR="004A0CBE">
        <w:rPr>
          <w:rFonts w:ascii="Times New Roman" w:hAnsi="Times New Roman" w:cs="Times New Roman"/>
          <w:noProof/>
        </w:rPr>
        <w:t>(Hogarth et al., 2019)</w:t>
      </w:r>
      <w:r w:rsidR="004A0CBE">
        <w:rPr>
          <w:rFonts w:ascii="Times New Roman" w:hAnsi="Times New Roman" w:cs="Times New Roman"/>
        </w:rPr>
        <w:fldChar w:fldCharType="end"/>
      </w:r>
      <w:r w:rsidRPr="00F23463">
        <w:rPr>
          <w:rFonts w:ascii="Times New Roman" w:hAnsi="Times New Roman" w:cs="Times New Roman"/>
        </w:rPr>
        <w:t xml:space="preserve">. This point is further exacerbated by the increasing scepticism in the extent to which findings from animal research are </w:t>
      </w:r>
      <w:r w:rsidR="00E850DD">
        <w:rPr>
          <w:rFonts w:ascii="Times New Roman" w:hAnsi="Times New Roman" w:cs="Times New Roman"/>
        </w:rPr>
        <w:t xml:space="preserve">fully </w:t>
      </w:r>
      <w:r w:rsidRPr="00F23463">
        <w:rPr>
          <w:rFonts w:ascii="Times New Roman" w:hAnsi="Times New Roman" w:cs="Times New Roman"/>
        </w:rPr>
        <w:t>transferrable to understanding</w:t>
      </w:r>
      <w:r w:rsidR="00E850DD">
        <w:rPr>
          <w:rFonts w:ascii="Times New Roman" w:hAnsi="Times New Roman" w:cs="Times New Roman"/>
        </w:rPr>
        <w:t xml:space="preserve"> and treating</w:t>
      </w:r>
      <w:r w:rsidRPr="00F23463">
        <w:rPr>
          <w:rFonts w:ascii="Times New Roman" w:hAnsi="Times New Roman" w:cs="Times New Roman"/>
        </w:rPr>
        <w:t xml:space="preserve"> addiction in humans </w:t>
      </w:r>
      <w:r w:rsidR="00604F1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{"citationID":"jrENkYm1","properties":{"formattedCitation":"(Field &amp; Kersbergen, 2019)","plainCitation":"(Field &amp; Kersbergen, 2019)","noteIndex":0},"citationItems":[{"id":1260,"uris":["http://zotero.org/users/7873587/items/9D6CKJY4"],"itemData":{"id":1260,"type":"article-journal","abstract":"Background Pre-clinical research involving non-human animals has made important contributions to our understanding of risk factors for addiction, neuroadaptations that follow chronic drug exposure and to the development of some efficacious pharmacotherapies for addiction. Despite these contributions, we argue that animal models of addiction have impeded progress in our understanding of addiction and its treatment in humans. Argument First, the majority of pharmacological treatments that were initially developed using animal models have failed to prove effective for the treatment of addiction in humans, resulting in a huge waste of resources. Secondly, we demonstrate that prevailing animal models that portray addiction as a disorder of compulsion and habit cannot be reconciled with observations that psychoactive drug use in humans is a goal-directed operant behaviour that remains under the control of its consequences, even in people who are addicted. Thirdly, addiction may be a uniquely human phenomenon that is dependent on language, which necessarily limits the validity of animal models. Finally, we argue that addicted brains must be understood as one component of broader networks of symptoms and environmental and social factors that are impossible to model in laboratory animals. Conclusions A case can be made that animal models of addiction have not served us well in understanding and treating addiction in humans. It is important to reconsider some widely held beliefs about the nature of addictive behaviour in humans that have arisen from the zeal to translate observations of laboratory animals.","container-title":"Addiction","DOI":"10.1111/add.14764","ISSN":"1360-0443","issue":"1","language":"en","note":"_eprint: https://onlinelibrary.wiley.com/doi/pdf/10.1111/add.14764","page":"6-12","source":"Wiley Online Library","title":"Are animal models of addiction useful?","volume":"115","author":[{"family":"Field","given":"Matt"},{"family":"Kersbergen","given":"Inge"}],"issued":{"date-parts":[["2019"]]}}}],"schema":"https://github.com/citation-style-language/schema/raw/master/csl-citation.json"} </w:instrText>
      </w:r>
      <w:r w:rsidR="00604F11">
        <w:rPr>
          <w:rFonts w:ascii="Times New Roman" w:hAnsi="Times New Roman" w:cs="Times New Roman"/>
        </w:rPr>
        <w:fldChar w:fldCharType="separate"/>
      </w:r>
      <w:r w:rsidR="00604F11">
        <w:rPr>
          <w:rFonts w:ascii="Times New Roman" w:hAnsi="Times New Roman" w:cs="Times New Roman"/>
          <w:noProof/>
        </w:rPr>
        <w:t>(Field &amp; Kersbergen, 2019)</w:t>
      </w:r>
      <w:r w:rsidR="00604F11">
        <w:rPr>
          <w:rFonts w:ascii="Times New Roman" w:hAnsi="Times New Roman" w:cs="Times New Roman"/>
        </w:rPr>
        <w:fldChar w:fldCharType="end"/>
      </w:r>
      <w:r w:rsidRPr="00F23463">
        <w:rPr>
          <w:rFonts w:ascii="Times New Roman" w:hAnsi="Times New Roman" w:cs="Times New Roman"/>
        </w:rPr>
        <w:t xml:space="preserve">. Instead, a growing body of literature on humans provides compelling evidence that dependence is driven by excessive goal-directed drug choice </w:t>
      </w:r>
      <w:r w:rsidR="006D59A1">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{"citationID":"e6ii076I","properties":{"formattedCitation":"(Hogarth, 2020, 2022; Hogarth et al., 2019; Hogarth &amp; Field, 2020; Pickard, 2020b)","plainCitation":"(Hogarth, 2020, 2022; Hogarth et al., 2019; Hogarth &amp; Field, 2020; Pickard, 2020b)","noteIndex":0},"citationItems":[{"id":1258,"uris":["http://zotero.org/users/7873587/items/9DVNYNDZ"],"itemData":{"id":1258,"type":"article-journal","abstract":"Drug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affect","volume":"45","author":[{"family":"Hogarth","given":"Lee"}],"issued":{"date-parts":[["2020",4]]}},"label":"page"},{"id":879,"uris":["http://zotero.org/users/7873587/items/HAB8IICP"],"itemData":{"id":879,"type":"chapter","abstract":"Since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C."},{"family":"Satel","given":"Sally"}],"issued":{"date-parts":[["2022"]]}},"label":"page"},{"id":1257,"uris":["http://zotero.org/users/7873587/items/ZEZAQKY6"],"itemData":{"id":1257,"type":"article-journal","abstract":"Animal studies have demonstrated that chronic exposure to drugs of abuse impairs goal-directed control over action selection indexed by the outcome-devaluation and specific Pavlovian to instrumental transfer procedures, suggesting this impairment might underpin addiction. However, there is currently only weak evidence for impaired goal-directed control in human drug users. Two experiments were undertaken in which treatment-seeking drug users and non-matched normative reference samples (controls) completed outcome-devaluation and specific Pavlovian to instrumental transfer procedures notionally translatable to animal procedures (Experiment 2 used a more challenging biconditional schedule). The two experiments found significant outcome-devaluation and specific Pavlovian to instrumental transfer effects overall and there was no significant difference between groups in the magnitude of these effects. Moreover, Bayes factor supported the null hypothesis for these group comparisons. Although limited by non-matched group comparisons and small sample sizes, the two studies suggest that treatment-seeking drug users have intact goal-directed control over action selection, adding uncertainty to already mixed evidence concerning the role of habit learning in human drug dependence. Neuro-interventions might seek to tackle goal-directed drug-seeking rather than habit formation in drug users.","container-title":"The European Journal of Neuroscience","DOI":"10.1111/ejn.13961","ISSN":"1460-9568","issue":"3","journalAbbreviation":"Eur J Neurosci","language":"eng","note":"PMID: 29787620","page":"2513-2525","source":"PubMed","title":"Intact goal-directed control in treatment-seeking drug users indexed by outcome-devaluation and Pavlovian to instrumental transfer: critique of habit theory","title-short":"Intact goal-directed control in treatment-seeking drug users indexed by outcome-devaluation and Pavlovian to instrumental transfer","volume":"50","author":[{"family":"Hogarth","given":"Lee"},{"family":"Lam-Cassettari","given":"Christa"},{"family":"Pacitti","given":"Helena"},{"family":"Currah","given":"Tara"},{"family":"Mahlberg","given":"Justin"},{"family":"Hartley","given":"Lucie"},{"family":"Moustafa","given":"Ahmed"}],"issued":{"date-parts":[["2019",8]]}},"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id":1256,"uris":["http://zotero.org/users/7873587/items/HIM538VR"],"itemData":{"id":1256,"type":"article-journal","abstract":"The landscape of addiction is dominated by two rival models: a moral model and a model that characterizes addiction as a neurobiological disease of compulsion. Against both, I offer a scientifically and clinically informed alternative. Addiction is a highly heterogenous condition that is ill-characterized as involving compulsive use. On the whole, drug consumption in addiction remains goal directed: people take drugs because drugs have tremendous value. This view has potential implications for the claim that addiction is, in all cases, a brain disease. But more importantly, it has implications for clinical and policy interventions. To help someone overcome addiction, you need to understand and address why they persist in using drugs despite negative consequences. If they are not compelled, then the explanation must advert to the value of drugs for them as an individual. What blocks us from acknowledging this reality is not science but fear: that it will ignite moralism about drugs and condemnation of drug users. The solution is not to cleave to the concept of compulsion but to fight moralism directly.","container-title":"Hastings Center Report","DOI":"10.1002/hast.1172","ISSN":"1552-146X","issue":"4","language":"en","note":"_eprint: https://onlinelibrary.wiley.com/doi/pdf/10.1002/hast.1172","page":"37-46","source":"Wiley Online Library","title":"What we're not talking about when we talk about addiction","volume":"50","author":[{"family":"Pickard","given":"Hanna"}],"issued":{"date-parts":[["2020"]]}},"label":"page"}],"schema":"https://github.com/citation-style-language/schema/raw/master/csl-citation.json"} </w:instrText>
      </w:r>
      <w:r w:rsidR="006D59A1">
        <w:rPr>
          <w:rFonts w:ascii="Times New Roman" w:hAnsi="Times New Roman" w:cs="Times New Roman"/>
        </w:rPr>
        <w:fldChar w:fldCharType="separate"/>
      </w:r>
      <w:r w:rsidR="003C1591" w:rsidRPr="003C1591">
        <w:rPr>
          <w:rFonts w:ascii="Times New Roman" w:hAnsi="Times New Roman" w:cs="Times New Roman"/>
        </w:rPr>
        <w:t>(Hogarth, 2020, 2022; Hogarth et al., 2019; Hogarth &amp; Field, 2020; Pickard, 2020b)</w:t>
      </w:r>
      <w:r w:rsidR="006D59A1">
        <w:rPr>
          <w:rFonts w:ascii="Times New Roman" w:hAnsi="Times New Roman" w:cs="Times New Roman"/>
        </w:rPr>
        <w:fldChar w:fldCharType="end"/>
      </w:r>
      <w:r w:rsidR="00214FE3">
        <w:rPr>
          <w:rFonts w:ascii="Times New Roman" w:hAnsi="Times New Roman" w:cs="Times New Roman"/>
        </w:rPr>
        <w:t>.</w:t>
      </w:r>
    </w:p>
    <w:p w14:paraId="17E4C495" w14:textId="77777777" w:rsidR="00214FE3" w:rsidRPr="00F23463" w:rsidRDefault="00214FE3" w:rsidP="00AC0B06">
      <w:pPr>
        <w:pStyle w:val="NoSpacing"/>
        <w:spacing w:line="480" w:lineRule="auto"/>
        <w:rPr>
          <w:rFonts w:ascii="Times New Roman" w:hAnsi="Times New Roman" w:cs="Times New Roman"/>
        </w:rPr>
      </w:pPr>
    </w:p>
    <w:p w14:paraId="61CF0F98" w14:textId="70EEC393" w:rsidR="008A4FF5" w:rsidRDefault="008A4FF5" w:rsidP="00574B38">
      <w:pPr>
        <w:pStyle w:val="NoSpacing"/>
        <w:spacing w:line="480" w:lineRule="auto"/>
        <w:rPr>
          <w:rFonts w:ascii="Times New Roman" w:hAnsi="Times New Roman" w:cs="Times New Roman"/>
        </w:rPr>
      </w:pPr>
      <w:r w:rsidRPr="00F23463">
        <w:rPr>
          <w:rFonts w:ascii="Times New Roman" w:hAnsi="Times New Roman" w:cs="Times New Roman"/>
        </w:rPr>
        <w:t xml:space="preserve">To explore goal-directed processes, research typically uses concurrent choice training tasks whereby a substance-related image (e.g., tobacco) and a control image (e.g., chocolate) are presented simultaneously on a screen and participants select one of the images to earn a </w:t>
      </w:r>
      <w:r w:rsidRPr="00F23463">
        <w:rPr>
          <w:rFonts w:ascii="Times New Roman" w:hAnsi="Times New Roman" w:cs="Times New Roman"/>
        </w:rPr>
        <w:lastRenderedPageBreak/>
        <w:t xml:space="preserve">reward by pressing one of two keys. </w:t>
      </w:r>
      <w:r w:rsidR="006A5AB5">
        <w:rPr>
          <w:rFonts w:ascii="Times New Roman" w:hAnsi="Times New Roman" w:cs="Times New Roman"/>
        </w:rPr>
        <w:t>R</w:t>
      </w:r>
      <w:r w:rsidRPr="00F23463">
        <w:rPr>
          <w:rFonts w:ascii="Times New Roman" w:hAnsi="Times New Roman" w:cs="Times New Roman"/>
        </w:rPr>
        <w:t>ewards vary from things such as points</w:t>
      </w:r>
      <w:r w:rsidR="00E850DD">
        <w:rPr>
          <w:rFonts w:ascii="Times New Roman" w:hAnsi="Times New Roman" w:cs="Times New Roman"/>
        </w:rPr>
        <w:t>, consumption, or enlargement of images</w:t>
      </w:r>
      <w:r w:rsidRPr="00F23463">
        <w:rPr>
          <w:rFonts w:ascii="Times New Roman" w:hAnsi="Times New Roman" w:cs="Times New Roman"/>
        </w:rPr>
        <w:t xml:space="preserve"> </w:t>
      </w:r>
      <w:r w:rsidR="00E850D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{"citationID":"2Jk0ToM2","properties":{"formattedCitation":"(Hardy et al., 2018; Hogarth &amp; Chase, 2011; Stoops et al., 2012)","plainCitation":"(Hardy et al., 2018; Hogarth &amp; Chase, 2011; Stoops et al., 2012)","noteIndex":0},"citationItems":[{"id":830,"uris":["http://zotero.org/users/7873587/items/NPLX5NWL"],"itemData":{"id":830,"type":"article-journal","abstract":"Concurrent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W."}],"issued":{"date-parts":[["2011",7]]}},"label":"act"},{"id":1254,"uris":["http://zotero.org/users/7873587/items/4ZPM7BMB"],"itemData":{"id":1254,"type":"article-journal","abstract":"Aims The aim of this experiment was to determine the influence of acute bupropion pre-treatment on subject-rated effects and choice of intranasal cocaine versus money. Design A randomized, within-subject, placebo-controlled, double-blind experiment. Setting An out-patient research unit. Participants Eight cocaine-using adults. Measurements Subjects completed nine experimental sessions in which they were pre-treated with 0, 100 or 200 mg oral immediate release bupropion. Ninety minutes later they sampled an intranasal cocaine dose [4 (placebo), 15 or 45 mg] and made six choices between that dose and an alternative reinforcer (US$0.25), available on independent, concurrent progressive ratio schedules. Subjects also completed a battery of subject-rated, performance and physiological measures following the sample doses of cocaine. Findings After 0 mg bupropion, the high dose of cocaine (45 mg) was chosen five of six times on average compared to 2.25 of six choices for placebo cocaine (4 mg) (P &lt; 0.05). Active bupropion reduced choice of 45 mg cocaine to 3.13 (100 mg) or 4.00 (200 mg) out of six drug choices on average. Bupropion also consistently enhanced positive subject-rated effects of cocaine (e.g. good effects; willing to take again) while having no effects of its own. Conclusions The atypical antidepressant, bupropion, acutely appears to reduce preference for intranasal cocaine versus a small amount of money but to increase reported positive experiences of the drug.","container-title":"Addiction","DOI":"10.1111/j.1360-0443.2011.03766.x","ISSN":"1360-0443","issue":"6","language":"en","note":"_eprint: https://onlinelibrary.wiley.com/doi/pdf/10.1111/j.1360-0443.2011.03766.x","page":"1140-1147","source":"Wiley Online Library","title":"Influence of acute bupropion pre-treatment on the effects of intranasal cocaine","volume":"107","author":[{"family":"Stoops","given":"William W."},{"family":"Lile","given":"Joshua A."},{"family":"Glaser","given":"Paul E. A."},{"family":"Hays","given":"Lon R."},{"family":"Rush","given":"Craig R."}],"issued":{"date-parts":[["2012"]]}},"label":"act"}],"schema":"https://github.com/citation-style-language/schema/raw/master/csl-citation.json"} </w:instrText>
      </w:r>
      <w:r w:rsidR="00E850DD">
        <w:rPr>
          <w:rFonts w:ascii="Times New Roman" w:hAnsi="Times New Roman" w:cs="Times New Roman"/>
        </w:rPr>
        <w:fldChar w:fldCharType="separate"/>
      </w:r>
      <w:r w:rsidR="00DF13D2" w:rsidRPr="00DF13D2">
        <w:rPr>
          <w:rFonts w:ascii="Times New Roman" w:hAnsi="Times New Roman" w:cs="Times New Roman"/>
        </w:rPr>
        <w:t>(Hardy et al., 2018; Hogarth &amp; Chase, 2011; Stoops et al., 2012)</w:t>
      </w:r>
      <w:r w:rsidR="00E850DD">
        <w:rPr>
          <w:rFonts w:ascii="Times New Roman" w:hAnsi="Times New Roman" w:cs="Times New Roman"/>
        </w:rPr>
        <w:fldChar w:fldCharType="end"/>
      </w:r>
      <w:r w:rsidR="00DF13D2">
        <w:rPr>
          <w:rFonts w:ascii="Times New Roman" w:hAnsi="Times New Roman" w:cs="Times New Roman"/>
        </w:rPr>
        <w:t xml:space="preserve">. </w:t>
      </w:r>
      <w:r w:rsidRPr="00F23463">
        <w:rPr>
          <w:rFonts w:ascii="Times New Roman" w:hAnsi="Times New Roman" w:cs="Times New Roman"/>
        </w:rPr>
        <w:t xml:space="preserve">Within these tasks, the percentage of substance choice is used as an index of the relative value that is ascribed to the substance-related reward versus the control reward: greater preference for the substance reward is reflective of a greater value ascribed to the substance. Previous research has demonstrated that substance value increases with the severity of dependence, including alcohol </w:t>
      </w:r>
      <w:r w:rsidR="00433C5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{"citationID":"Vl8kRS4f","properties":{"formattedCitation":"(Hardy et al., 2017, 2018; Hardy &amp; Hogarth, 2017; Hogarth &amp; Hardy, 2018b)","plainCitation":"(Hardy et al., 2017, 2018; Hardy &amp; Hogarth, 2017; Hogarth &amp; Hardy, 2018b)","noteIndex":0},"citationItems":[{"id":1250,"uris":["http://zotero.org/users/7873587/items/4XNBMZDP"],"itemData":{"id":1250,"type":"article-journal","abstract":"Rationale\nDrug cue reactivity plays a crucial role in addiction, yet the underlying mechanisms are poorly understood. According to the binary associative account, drug stimuli retrieve an expectation of the drug outcome, which, in turn, elicits the associated drug-seeking response (S-O-R). By contrast, according to the hierarchical account, drug stimuli retrieve an expectation that the contingency between the drug-seeking response and the drug outcome is currently more effective, promoting performance of the drug-seeking response (S:R-O).\n\nMethods\nThe current study discriminated between these two accounts using a biconditional Pavlovian-to-instrumental transfer (PIT) task with 128 alcohol drinkers. A biconditional discrimination was first trained in which two responses produced alcohol and food outcomes, respectively, and these response-outcome contingencies were reversed across two discriminative stimuli (SDs). In the PIT test, alcohol and food cues were compounded with the two SDs to examine their impact on percent alcohol choice in extinction.\n\nResults\nIt was found that alcohol and food cues selectively primed choice of the response that earned that outcome in each SD (p &lt; .001), and this effect was associated with participants’ belief that cues signalled greater effectiveness of that response (p &lt; .0001).\n\nConclusions\nThe alcohol stimulus could not have selectively primed the alcohol-seeking response through binary S-O-R associations because the drug outcome was equally associated with both responses. Rather, the alcohol stimulus must have retrieved an expectation that the response-alcohol contingency available in the current context was more likely to be effective (S:R-O), which primed performance of the alcohol-seeking response.","container-title":"Psychopharmacology","DOI":"10.1007/s00213-017-4605-x","ISSN":"0033-3158","issue":"13","journalAbbreviation":"Psychopharmacology (Berl)","note":"PMID: 28412771\nPMCID: PMC5486939","page":"1977-1984","source":"PubMed Central","title":"Drug cue reactivity involves hierarchical instrumental learning: evidence from a biconditional Pavlovian to instrumental transfer task","title-short":"Drug cue reactivity involves hierarchical instrumental learning","volume":"234","author":[{"family":"Hardy","given":"Lorna"},{"family":"Mitchell","given":"Chris"},{"family":"Seabrooke","given":"Tina"},{"family":"Hogarth","given":"Lee"}],"issued":{"date-parts":[["2017"]]}},"label":"page"},{"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label":"page"},{"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page"},{"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alcohol","volume":"235","author":[{"family":"Hogarth","given":"Lee"},{"family":"Hardy","given":"Lorna"}],"issued":{"date-parts":[["2018",8]]}},"label":"page"}],"schema":"https://github.com/citation-style-language/schema/raw/master/csl-citation.json"} </w:instrText>
      </w:r>
      <w:r w:rsidR="00433C5C">
        <w:rPr>
          <w:rFonts w:ascii="Times New Roman" w:hAnsi="Times New Roman" w:cs="Times New Roman"/>
        </w:rPr>
        <w:fldChar w:fldCharType="separate"/>
      </w:r>
      <w:r w:rsidR="007C2B95" w:rsidRPr="007C2B95">
        <w:rPr>
          <w:rFonts w:ascii="Times New Roman" w:hAnsi="Times New Roman" w:cs="Times New Roman"/>
        </w:rPr>
        <w:t>(Hardy et al., 2017, 2018; Hardy &amp; Hogarth, 2017; Hogarth &amp; Hardy, 2018b)</w:t>
      </w:r>
      <w:r w:rsidR="00433C5C">
        <w:rPr>
          <w:rFonts w:ascii="Times New Roman" w:hAnsi="Times New Roman" w:cs="Times New Roman"/>
        </w:rPr>
        <w:fldChar w:fldCharType="end"/>
      </w:r>
      <w:r w:rsidR="00433C5C">
        <w:rPr>
          <w:rFonts w:ascii="Times New Roman" w:hAnsi="Times New Roman" w:cs="Times New Roman"/>
        </w:rPr>
        <w:t xml:space="preserve">, </w:t>
      </w:r>
      <w:r w:rsidRPr="00F23463">
        <w:rPr>
          <w:rFonts w:ascii="Times New Roman" w:hAnsi="Times New Roman" w:cs="Times New Roman"/>
        </w:rPr>
        <w:t xml:space="preserve">tobacco </w:t>
      </w:r>
      <w:r w:rsidR="00150FC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{"citationID":"ZlKlyzra","properties":{"formattedCitation":"(Chase et al., 2013; Hardy et al., 2018; Hogarth &amp; Chase, 2011; Lawn et al., 2015, 2018; Miele et al., 2018)","plainCitation":"(Chase et al., 2013; Hardy et al., 2018; Hogarth &amp; Chase, 2011; Lawn et al., 2015, 2018; Miele et al., 2018)","noteIndex":0},"citationItems":[{"id":832,"uris":["http://zotero.org/users/7873587/items/JSTZ3BAT"],"itemData":{"id":832,"type":"article-journal","abstract":"RATIONALE: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W."},{"family":"Mackillop","given":"James"},{"family":"Hogarth","given":"Lee"}],"issued":{"date-parts":[["2013",3]]}},"label":"page"},{"id":830,"uris":["http://zotero.org/users/7873587/items/NPLX5NWL"],"itemData":{"id":830,"type":"article-journal","abstract":"Concurrent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label":"page"},{"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W."}],"issued":{"date-parts":[["2011",7]]}},"label":"page"},{"id":858,"uris":["http://zotero.org/users/7873587/items/AZB9K6WG"],"itemData":{"id":858,"type":"article-journal","abstract":"RATIONALE: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V."}],"issued":{"date-parts":[["2015",7]]}},"label":"page"},{"id":834,"uris":["http://zotero.org/users/7873587/items/EBXENG4P"],"itemData":{"id":834,"type":"article-journal","abstract":"Background\nDopaminergic functioning is thought to play critical roles in both motivation and addiction. There is preliminary evidence that dopamine agonists reduce the motivation for cigarettes in smokers. However, the effects of pramipexole, a dopamine D3 receptor preferring agonist, have not been investigated., The aim of this study was to examine the effects of an acute dose of pramipexole on the motivation to earn cigarettes and nondrug rewards.\n\nMethods\nTwenty dependent and 20 occasional smokers received 0.5 mg pramipexole using a double-blind, placebo-controlled crossover design. Motivation for cigarettes and consummatory nondrug rewards was measured using the DReaM-Choice task, in which participants earned, and later “consumed,” cigarettes, music, and chocolate. Demand for cigarettes was measured using the Cigarette Purchase Task (CPT). Self-reported craving, withdrawal, and drug effects were also recorded.\n\nResults\nDependent smokers chose (p &lt; .001) and button-pressed for (p &lt; .001) cigarettes more, and chose chocolate less (p &lt; .001), than occasional smokers. Pramipexole did not affect the number of choices for or amount of button-pressing for any reward including cigarettes, which was supported by a Bayesian analysis. The dependent smokers had greater demand for cigarettes than occasional smokers across all CPT outcomes (ps &lt; .021), apart from elasticity. Pramipexole did not affect demand for cigarettes, and this was supported by Bayesian analyses. Pramipexole produced greater subjective “feel drug” and “dislike drug” effects than placebo.\n\nConclusions\nDependent and occasional cigarette smokers differed in their motivation for cigarettes but not for the nondrug rewards. Pramipexole did not acutely alter motivation for cigarettes. These findings question the role of dopamine D3 receptors in cigarette-seeking behavior in dependent and occasional smokers.\n\nImplications\nThis study adds to the growing literature about cigarette versus nondrug reward processing in nicotine dependence and the role of dopamine in cigarette-seeking behavior. Our results suggest nicotine dependence is associated with a hypersensitivity to cigarette rewards but not a hyposensitivity to nondrug rewards. Furthermore, our results question the importance of dopamine D3 receptors in motivational processing of cigarettes in occasional and dependent smokers.","container-title":"Nicotine &amp; Tobacco Research","DOI":"10.1093/ntr/ntx159","ISSN":"1462-2203","issue":"7","journalAbbreviation":"Nicotine Tob Res","note":"PMID: 29065193\nPMCID: PMC5991206","page":"800-809","source":"PubMed Central","title":"The acute effects of a dopamine D3 receptor preferring agonist on motivation for cigarettes in dependent and occasional cigarette smokers","volume":"20","author":[{"family":"Lawn","given":"Will"},{"family":"Freeman","given":"Tom P"},{"family":"East","given":"Katie"},{"family":"Gaule","given":"Annie"},{"family":"Aston","given":"Elizabeth R"},{"family":"Bloomfield","given":"Michael A P"},{"family":"Das","given":"Ravi K"},{"family":"Morgan","given":"Celia J A"},{"family":"Curran","given":"H Valerie"}],"issued":{"date-parts":[["2018",7]]}},"label":"page"},{"id":837,"uris":["http://zotero.org/users/7873587/items/LPTMVLQ6"],"itemData":{"id":837,"type":"article-journal","abstract":"Introduction: A substantial proportion of cancer patients continue to smoke after their diagnosis but few studies have evaluated correlates of nicotine dependence and smoking rate in this population, which could help guide smoking cessation interventions.\nAim: This study evaluated correlates of smoking rate and nicotine dependence among 207 cancer patients.\nMethods: A cross-sectional analysis using multiple linear regression evaluated disease, demographic, affective, and tobacco-seeking correlates of smoking rate and nicotine dependence. Smoking rate was assessed using a timeline follow-back method. The Fagerström Test for Nicotine Dependence measured levels of nicotine dependence.\nResults: A multiple linear regression predicting nicotine dependence showed an association with smoking to alleviate a sense of addiction from the Reasons for Smoking scale and tobacco-seeking behavior from the concurrent choice task (p &lt; .05), but not with affect measured by the HADS and PANAS (p &gt; .05). Multiple linear regression predicting prequit showed an association with smoking to alleviate addiction (p &lt; .05). ANOVA showed that Caucasian participants reported greater rates of smoking compared to other races.\nConclusions: The results suggest that behavioral smoking cessation interventions that focus on helping patients to manage tobacco-seeking behavior, rather than mood management interventions, could help cancer patients quit smoking.","container-title":"Journal of Addiction","DOI":"10.1155/2018/2438161","ISSN":"2090-7834","journalAbbreviation":"J Addict","language":"eng","note":"PMID: 29682394\nPMCID: PMC5846375","page":"2438161","source":"PubMed","title":"Cancer patients enrolled in a smoking cessation clinical trial: Characteristics and correlates of smoking rate and nicotine dependence","title-short":"Cancer Patients Enrolled in a Smoking Cessation Clinical Trial","volume":"2018","author":[{"family":"Miele","given":"Andrew"},{"family":"Thompson","given":"Morgan"},{"family":"Jao","given":"Nancy C."},{"family":"Kalhan","given":"Ravi"},{"family":"Leone","given":"Frank"},{"family":"Hogarth","given":"Lee"},{"family":"Hitsman","given":"Brian"},{"family":"Schnoll","given":"Robert"}],"issued":{"date-parts":[["2018"]]}},"label":"page"}],"schema":"https://github.com/citation-style-language/schema/raw/master/csl-citation.json"} </w:instrText>
      </w:r>
      <w:r w:rsidR="00150FCF">
        <w:rPr>
          <w:rFonts w:ascii="Times New Roman" w:hAnsi="Times New Roman" w:cs="Times New Roman"/>
        </w:rPr>
        <w:fldChar w:fldCharType="separate"/>
      </w:r>
      <w:r w:rsidR="00150FCF">
        <w:rPr>
          <w:rFonts w:ascii="Times New Roman" w:hAnsi="Times New Roman" w:cs="Times New Roman"/>
          <w:noProof/>
        </w:rPr>
        <w:t>(Chase et al., 2013; Hardy et al., 2018; Hogarth &amp; Chase, 2011; Lawn et al., 2015, 2018; Miele et al., 2018)</w:t>
      </w:r>
      <w:r w:rsidR="00150FCF">
        <w:rPr>
          <w:rFonts w:ascii="Times New Roman" w:hAnsi="Times New Roman" w:cs="Times New Roman"/>
        </w:rPr>
        <w:fldChar w:fldCharType="end"/>
      </w:r>
      <w:r w:rsidR="00433C5C">
        <w:rPr>
          <w:rFonts w:ascii="Times New Roman" w:hAnsi="Times New Roman" w:cs="Times New Roman"/>
        </w:rPr>
        <w:t>,</w:t>
      </w:r>
      <w:r w:rsidR="00150FCF">
        <w:rPr>
          <w:rFonts w:ascii="Times New Roman" w:hAnsi="Times New Roman" w:cs="Times New Roman"/>
        </w:rPr>
        <w:t xml:space="preserve"> </w:t>
      </w:r>
      <w:r w:rsidRPr="00F23463">
        <w:rPr>
          <w:rFonts w:ascii="Times New Roman" w:hAnsi="Times New Roman" w:cs="Times New Roman"/>
        </w:rPr>
        <w:t xml:space="preserve">and cocaine </w:t>
      </w:r>
      <w:r w:rsidR="006A26E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{"citationID":"fzVhp0tp","properties":{"formattedCitation":"(Moeller et al., 2009, 2013, 2018)","plainCitation":"(Moeller et al., 2009, 2013, 2018)","noteIndex":0},"citationItems":[{"id":958,"uris":["http://zotero.org/users/7873587/items/YR7WLYET"],"itemData":{"id":958,"type":"article-journal","abstract":"Individuals with cocaine use disorder (CUD) chose cocaine over non-drug rewards. In two newly designed laboratory tasks with pictures, we document this modified choice outside of a cocaine administration paradigm.Choice for viewing cocaine, pleasant, ...","container-title":"Biological psychiatry","DOI":"10.1016/j.biopsych.2009.02.015","issue":"2","language":"en","note":"publisher: NIH Public Access\nPMID: 19358975","page":"169","source":"www.ncbi.nlm.nih.gov","title":"Enhanced choice for viewing cocaine pictures in cocaine addiction","volume":"66","author":[{"family":"Moeller","given":"Scott J."},{"family":"Maloney","given":"Thomas"},{"family":"Parvaz","given":"Muhammad A."},{"family":"Dunning","given":"Jonathan P."},{"family":"Alia-Klein","given":"Nelly"},{"family":"Woicik","given":"Patricia A."},{"family":"Hajcak","given":"Greg"},{"family":"Telang","given":"Frank"},{"family":"Wang","given":"Gene-Jack"},{"family":"Volkow","given":"Nora D."},{"family":"Goldstein","given":"Rita Z."}],"issued":{"date-parts":[["2009",7,7]]}},"label":"page"},{"id":961,"uris":["http://zotero.org/users/7873587/items/8GKGICR8"],"itemData":{"id":961,"type":"article-journal","abstract":"Background\nIdentifying variables that predict drug use in treatment-seeking drug addicted individuals is a crucial research and therapeutic goal. This study tested the hypothesis that choice to view cocaine images is associated with concurrent and prospective drug use in cocaine addiction. \n\nMethods\nTo establish choice-concurrent drug use associations, 71 cocaine addicted subjects (43 current users and 28 treatment seekers) provided data on (A) choice to view cocaine images and affectively pleasant, unpleasant, and neutral images [collected under explicit contingencies (when choice was made between two fully visible side-by-side images) and under more probabilistic contingencies (when choice was made between pictures hidden under flipped-over cards)]; and (B) past-month cocaine and other drug use. To establish choice-prospective drug use associations, 20 of these treatment-seeking subjects were followed over the next six months.\n\nResults\nBaseline cocaine-related picture choice as measured by both tasks positively correlated with subjects’ concurrent cocaine and other drug use as driven by the actively-using subjects. In a subsequent multiple regression analysis, choice to view cocaine images as compared with affectively pleasant images (under probabilistic contingencies) was the only predictor that continued to be significantly associated with drug use. Importantly, this same baseline cocaine&gt;pleasant probabilistic choice also predicted the number of days drugs were used (cocaine, alcohol, and marijuana) over the next six months.\n\nConclusions\nSimulated cocaine choice – especially when probabilistic and when compared with other positive reinforcers – may provide a valid laboratory marker of current and future drug use in cocaine addiction.","container-title":"Drug and alcohol dependence","DOI":"10.1016/j.drugalcdep.2012.11.001","ISSN":"0376-8716","issue":"0","journalAbbreviation":"Drug Alcohol Depend","note":"PMID: 23218913\nPMCID: PMC3609942","page":"178-185","source":"PubMed Central","title":"Choice to view cocaine images predicts concurrent and prospective drug use in cocaine addiction","volume":"130","author":[{"family":"Moeller","given":"Scott J."},{"family":"Beebe-Wang","given":"Nicasia"},{"family":"Woicik","given":"Patricia A."},{"family":"Konova","given":"Anna B."},{"family":"Maloney","given":"Thomas"},{"family":"Goldstein","given":"Rita Z."}],"issued":{"date-parts":[["2013",6,1]]}},"label":"page"},{"id":1252,"uris":["http://zotero.org/users/7873587/items/Q8DEYSLQ"],"itemData":{"id":1252,"type":"article-journal","abstract":"Background\nThe choice for drugs over alternative reinforcers is a translational\nhallmark feature of drug addiction. The neural basis of such drug-biased\nchoice is not well-understood, particularly in individuals with protracted\ndrug abstinence who cannot ethically participate in studies that offer\ndrug-using opportunities.\n\nMethods\nWe developed an fMRI drug-choice task to examine the choice for\nviewing drug-related images, rather than for actually consuming a drug.\nActively-using (N=18) and abstaining (N=19) individuals with\na history of cocaine use disorder (CUD: dependence or abuse), and matched\nhealthy controls (N=26), participated.\n\nResults\nThe individuals with CUD, especially those actively using cocaine\noutside the laboratory, made more choices than controls to view images\ndepicting cocaine [especially when directly compared against images\ndepicting an alternative appetitive reinforcer (food)]. The fMRI\ndata revealed that, in individuals with CUD, the act of making drug-related\nchoices engaged brain regions implicated in choice difficulty or ambivalence\n(i.e., dorsal anterior cingulate cortex, which was higher in all CUD\nindividuals than controls). Drug-related choices in CUD also engaged brain\nregions implicated in reward (e.g., midbrain/ventral tegmental area, which\nwas most activated in active users, although this region was not\nhypothesized a priori).\n\nConclusions\nThese results help clarify the neural mechanisms underlying\ndrug-biased choice in human addiction, which, beyond those involved in value\nassignment or reward, may critically involve those that contribute to\nresolving difficult decisions. Future studies can validate these behavioral\nand neural abnormalities as markers of drug-seeking and relapse in treatment\ncontexts.","container-title":"Biological psychiatry. Cognitive neuroscience and neuroimaging","DOI":"10.1016/j.bpsc.2017.11.001","ISSN":"2451-9030","issue":"5","journalAbbreviation":"Biol Psychiatry Cogn Neurosci Neuroimaging","note":"PMID: 29735157\nPMCID: PMC5944613","page":"485-494","source":"PubMed Central","title":"Neural correlates of drug-biased choice in currently-using and abstinent individuals with cocaine use disorder","volume":"3","author":[{"family":"Moeller","given":"Scott J."},{"family":"Zilverstand","given":"Anna"},{"family":"Konova","given":"Anna B."},{"family":"Kundu","given":"Prantik"},{"family":"Parvaz","given":"Muhammad A."},{"family":"Preston-Campbell","given":"Rebecca"},{"family":"Bachi","given":"Keren"},{"family":"Alia-Klein","given":"Nelly"},{"family":"Goldstein","given":"Rita Z."}],"issued":{"date-parts":[["2018",5]]}},"label":"page"}],"schema":"https://github.com/citation-style-language/schema/raw/master/csl-citation.json"} </w:instrText>
      </w:r>
      <w:r w:rsidR="006A26E2">
        <w:rPr>
          <w:rFonts w:ascii="Times New Roman" w:hAnsi="Times New Roman" w:cs="Times New Roman"/>
        </w:rPr>
        <w:fldChar w:fldCharType="separate"/>
      </w:r>
      <w:r w:rsidR="006A26E2">
        <w:rPr>
          <w:rFonts w:ascii="Times New Roman" w:hAnsi="Times New Roman" w:cs="Times New Roman"/>
          <w:noProof/>
        </w:rPr>
        <w:t>(Moeller et al., 2009, 2013, 2018)</w:t>
      </w:r>
      <w:r w:rsidR="006A26E2">
        <w:rPr>
          <w:rFonts w:ascii="Times New Roman" w:hAnsi="Times New Roman" w:cs="Times New Roman"/>
        </w:rPr>
        <w:fldChar w:fldCharType="end"/>
      </w:r>
      <w:r w:rsidRPr="00F23463">
        <w:rPr>
          <w:rFonts w:ascii="Times New Roman" w:hAnsi="Times New Roman" w:cs="Times New Roman"/>
        </w:rPr>
        <w:t xml:space="preserve">. In addition, research has demonstrated that the relative value of substances is sensitive to manipulations that alter motivation for consumption </w:t>
      </w:r>
      <w:r w:rsidR="006A5AB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{"citationID":"uIG0Nj73","properties":{"formattedCitation":"(Acuff,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006A5AB5">
        <w:rPr>
          <w:rFonts w:ascii="Times New Roman" w:hAnsi="Times New Roman" w:cs="Times New Roman"/>
        </w:rPr>
        <w:fldChar w:fldCharType="separate"/>
      </w:r>
      <w:r w:rsidR="00AE0B75">
        <w:rPr>
          <w:rFonts w:ascii="Times New Roman" w:hAnsi="Times New Roman" w:cs="Times New Roman"/>
        </w:rPr>
        <w:t>(Acuff, Amlung, et al., 2020)</w:t>
      </w:r>
      <w:r w:rsidR="006A5AB5">
        <w:rPr>
          <w:rFonts w:ascii="Times New Roman" w:hAnsi="Times New Roman" w:cs="Times New Roman"/>
        </w:rPr>
        <w:fldChar w:fldCharType="end"/>
      </w:r>
      <w:r w:rsidRPr="00F23463">
        <w:rPr>
          <w:rFonts w:ascii="Times New Roman" w:hAnsi="Times New Roman" w:cs="Times New Roman"/>
        </w:rPr>
        <w:t xml:space="preserve">. For example, when dependent smokers are deprived of nicotine for 12 hours, they demonstrate increased preference for cigarettes </w:t>
      </w:r>
      <w:r w:rsidR="00DF13D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{"citationID":"BNIckGA7","properties":{"formattedCitation":"(Lawn et al., 2015)","plainCitation":"(Lawn et al., 2015)","noteIndex":0},"citationItems":[{"id":858,"uris":["http://zotero.org/users/7873587/items/AZB9K6WG"],"itemData":{"id":858,"type":"article-journal","abstract":"RATIONALE: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V."}],"issued":{"date-parts":[["2015",7]]}}}],"schema":"https://github.com/citation-style-language/schema/raw/master/csl-citation.json"} </w:instrText>
      </w:r>
      <w:r w:rsidR="00DF13D2">
        <w:rPr>
          <w:rFonts w:ascii="Times New Roman" w:hAnsi="Times New Roman" w:cs="Times New Roman"/>
        </w:rPr>
        <w:fldChar w:fldCharType="separate"/>
      </w:r>
      <w:r w:rsidR="00FC1810" w:rsidRPr="00FC1810">
        <w:rPr>
          <w:rFonts w:ascii="Times New Roman" w:hAnsi="Times New Roman" w:cs="Times New Roman"/>
        </w:rPr>
        <w:t>(Lawn et al., 2015)</w:t>
      </w:r>
      <w:r w:rsidR="00DF13D2">
        <w:rPr>
          <w:rFonts w:ascii="Times New Roman" w:hAnsi="Times New Roman" w:cs="Times New Roman"/>
        </w:rPr>
        <w:fldChar w:fldCharType="end"/>
      </w:r>
      <w:r w:rsidRPr="00F23463">
        <w:rPr>
          <w:rFonts w:ascii="Times New Roman" w:hAnsi="Times New Roman" w:cs="Times New Roman"/>
        </w:rPr>
        <w:t>, and when tobacco is devalued through</w:t>
      </w:r>
      <w:r w:rsidR="00AA0F3C">
        <w:rPr>
          <w:rFonts w:ascii="Times New Roman" w:hAnsi="Times New Roman" w:cs="Times New Roman"/>
        </w:rPr>
        <w:t xml:space="preserve"> health warnings and</w:t>
      </w:r>
      <w:r w:rsidRPr="00F23463">
        <w:rPr>
          <w:rFonts w:ascii="Times New Roman" w:hAnsi="Times New Roman" w:cs="Times New Roman"/>
        </w:rPr>
        <w:t xml:space="preserve"> nicotine satiety</w:t>
      </w:r>
      <w:r w:rsidR="00AA0F3C">
        <w:rPr>
          <w:rFonts w:ascii="Times New Roman" w:hAnsi="Times New Roman" w:cs="Times New Roman"/>
        </w:rPr>
        <w:t xml:space="preserve">, </w:t>
      </w:r>
      <w:r w:rsidRPr="00F23463">
        <w:rPr>
          <w:rFonts w:ascii="Times New Roman" w:hAnsi="Times New Roman" w:cs="Times New Roman"/>
        </w:rPr>
        <w:t xml:space="preserve">preference for tobacco is reduced </w:t>
      </w:r>
      <w:r w:rsidR="00AA0F3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{"citationID":"3efPyI85","properties":{"formattedCitation":"(Hogarth, 2012; Hogarth &amp; Chase, 2011)","plainCitation":"(Hogarth, 2012; Hogarth &amp; Chase, 2011)","noteIndex":0},"citationItems":[{"id":1344,"uris":["http://zotero.org/users/7873587/items/VDKRUUGQ"],"itemData":{"id":1344,"type":"article-journal","abstract":"According to contemporary learning theory, drug-seeking behavior reflects the summation of 2 dissociable controllers. Whereas goal-directed drug-seeking is determined by the expected current incentive value of the drug, stimulus-elicited drug-seeking is determined by the expected probability of the drug independently of its current incentive value, and these 2 controllers contribute additively to observed drug-seeking. One applied prediction of this model is that smoking cessation pharmacotherapies selectively attenuate tonic but not cue-elicited craving because they downgrade the expected incentive value of the drug but leave expected probability intact. To test this, the current study examined whether nicotine replacement therapy (NRT) nasal spray would modify goal-directed tobacco choice in a human outcome devaluation procedure, but leave cue-elicited tobacco choice in a Pavlovian to instrumental transfer (PIT) procedure intact. Smokers (N= 96) first underwent concurrent choice training in which 2 responses earned tobacco or chocolate points, respectively. Participants then ingested either NRT nasal spray (1 mg) or chocolate (147 g) to devalue 1 outcome. Concurrent choice was then tested again in extinction to measure goal-directed control of choice, and in a PIT test to measure the extent to which tobacco and chocolate stimuli enhanced choice of the same outcome. It was found that NRT modified tobacco choice in the extinction test but not the extent to which the tobacco stimulus enhanced choice of the tobacco outcome in the PIT test. This dissociation suggests that the propensity to engage in drug-seeking is determined independently by the expected value and probability of the drug, and that pharmacotherapy has partial efficacy because it selectively effects expected drug value.","container-title":"Journal of Experimental Psychology. Animal Behavior Processes","DOI":"10.1037/a0028914","ISSN":"1939-2184","issue":"3","journalAbbreviation":"J Exp Psychol Anim Behav Process","language":"eng","note":"PMID: 22823420","page":"266-278","source":"PubMed","title":"Goal-directed and transfer-cue-elicited drug-seeking are dissociated by pharmacotherapy: evidence for independent additive controllers","title-short":"Goal-directed and transfer-cue-elicited drug-seeking are dissociated by pharmacotherapy","volume":"38","author":[{"family":"Hogarth","given":"Lee"}],"issued":{"date-parts":[["2012",7]]}},"label":"act"},{"id":860,"uris":["http://zotero.org/users/7873587/items/AEE43PBX"],"itemData":{"id":860,"type":"article-journal","abstract":"Dual-process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W."}],"issued":{"date-parts":[["2011",7]]}},"label":"page"}],"schema":"https://github.com/citation-style-language/schema/raw/master/csl-citation.json"} </w:instrText>
      </w:r>
      <w:r w:rsidR="00AA0F3C">
        <w:rPr>
          <w:rFonts w:ascii="Times New Roman" w:hAnsi="Times New Roman" w:cs="Times New Roman"/>
        </w:rPr>
        <w:fldChar w:fldCharType="separate"/>
      </w:r>
      <w:r w:rsidR="00F25F50" w:rsidRPr="00F25F50">
        <w:rPr>
          <w:rFonts w:ascii="Times New Roman" w:hAnsi="Times New Roman" w:cs="Times New Roman"/>
        </w:rPr>
        <w:t>(Hogarth, 2012; Hogarth &amp; Chase, 2011)</w:t>
      </w:r>
      <w:r w:rsidR="00AA0F3C">
        <w:rPr>
          <w:rFonts w:ascii="Times New Roman" w:hAnsi="Times New Roman" w:cs="Times New Roman"/>
        </w:rPr>
        <w:fldChar w:fldCharType="end"/>
      </w:r>
      <w:r w:rsidR="00F25F50">
        <w:rPr>
          <w:rFonts w:ascii="Times New Roman" w:hAnsi="Times New Roman" w:cs="Times New Roman"/>
        </w:rPr>
        <w:t xml:space="preserve">. </w:t>
      </w:r>
      <w:r w:rsidRPr="00F23463">
        <w:rPr>
          <w:rFonts w:ascii="Times New Roman" w:hAnsi="Times New Roman" w:cs="Times New Roman"/>
        </w:rPr>
        <w:t xml:space="preserve">Furthermore, even when satiated, the induction of negative mood reverses this effect on preference, highlighting the sensitivity of tobacco </w:t>
      </w:r>
      <w:r w:rsidR="00F25F50">
        <w:rPr>
          <w:rFonts w:ascii="Times New Roman" w:hAnsi="Times New Roman" w:cs="Times New Roman"/>
        </w:rPr>
        <w:t>preference</w:t>
      </w:r>
      <w:r w:rsidRPr="00F23463">
        <w:rPr>
          <w:rFonts w:ascii="Times New Roman" w:hAnsi="Times New Roman" w:cs="Times New Roman"/>
        </w:rPr>
        <w:t xml:space="preserve"> to mood </w:t>
      </w:r>
      <w:r w:rsidR="00F25F50">
        <w:rPr>
          <w:rFonts w:ascii="Times New Roman" w:hAnsi="Times New Roman" w:cs="Times New Roman"/>
        </w:rPr>
        <w:t>manipulation</w:t>
      </w:r>
      <w:r w:rsidRPr="00F23463">
        <w:rPr>
          <w:rFonts w:ascii="Times New Roman" w:hAnsi="Times New Roman" w:cs="Times New Roman"/>
        </w:rPr>
        <w:t xml:space="preserve"> </w:t>
      </w:r>
      <w:r w:rsidR="00F25F50">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{"citationID":"Q8tkLGbc","properties":{"formattedCitation":"(Hogarth et al., 2015)","plainCitation":"(Hogarth et al., 2015)","noteIndex":0},"citationItems":[{"id":708,"uris":["http://zotero.org/users/7873587/items/XHY9EL6E"],"itemData":{"id":708,"type":"article-journal","abstract":"Background\nTwo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00F25F50">
        <w:rPr>
          <w:rFonts w:ascii="Times New Roman" w:hAnsi="Times New Roman" w:cs="Times New Roman"/>
        </w:rPr>
        <w:fldChar w:fldCharType="separate"/>
      </w:r>
      <w:r w:rsidR="00F25F50" w:rsidRPr="00F25F50">
        <w:rPr>
          <w:rFonts w:ascii="Times New Roman" w:hAnsi="Times New Roman" w:cs="Times New Roman"/>
        </w:rPr>
        <w:t>(Hogarth et al., 2015)</w:t>
      </w:r>
      <w:r w:rsidR="00F25F50">
        <w:rPr>
          <w:rFonts w:ascii="Times New Roman" w:hAnsi="Times New Roman" w:cs="Times New Roman"/>
        </w:rPr>
        <w:fldChar w:fldCharType="end"/>
      </w:r>
      <w:r w:rsidR="00F25F50">
        <w:rPr>
          <w:rFonts w:ascii="Times New Roman" w:hAnsi="Times New Roman" w:cs="Times New Roman"/>
        </w:rPr>
        <w:t>.</w:t>
      </w:r>
      <w:r w:rsidR="00827DC1">
        <w:rPr>
          <w:rFonts w:ascii="Times New Roman" w:hAnsi="Times New Roman" w:cs="Times New Roman"/>
        </w:rPr>
        <w:t xml:space="preserve"> </w:t>
      </w:r>
      <w:r w:rsidRPr="00F23463">
        <w:rPr>
          <w:rFonts w:ascii="Times New Roman" w:hAnsi="Times New Roman" w:cs="Times New Roman"/>
        </w:rPr>
        <w:t xml:space="preserve">The effect of negative mood on valuation processes have also been demonstrated in </w:t>
      </w:r>
      <w:r w:rsidR="009D1F68">
        <w:rPr>
          <w:rFonts w:ascii="Times New Roman" w:hAnsi="Times New Roman" w:cs="Times New Roman"/>
        </w:rPr>
        <w:t>studies with</w:t>
      </w:r>
      <w:r w:rsidRPr="00F23463">
        <w:rPr>
          <w:rFonts w:ascii="Times New Roman" w:hAnsi="Times New Roman" w:cs="Times New Roman"/>
        </w:rPr>
        <w:t xml:space="preserve"> alcohol</w:t>
      </w:r>
      <w:r w:rsidR="009D1F68">
        <w:rPr>
          <w:rFonts w:ascii="Times New Roman" w:hAnsi="Times New Roman" w:cs="Times New Roman"/>
        </w:rPr>
        <w:t xml:space="preserve"> </w:t>
      </w:r>
      <w:r w:rsidR="007C2B9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{"citationID":"Tq7fXchG","properties":{"formattedCitation":"(Hogarth et al., 2018; Hogarth &amp; Hardy, 2018a)","plainCitation":"(Hogarth et al., 2018; Hogarth &amp; Hardy, 2018a)","noteIndex":0},"citationItems":[{"id":872,"uris":["http://zotero.org/users/7873587/items/MVRX9KV6"],"itemData":{"id":872,"type":"article-journal","abstract":"Acute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R."},{"family":"Hitsman","given":"Brian"}],"issued":{"date-parts":[["2018",4]]}},"label":"act"},{"id":1357,"uris":["http://zotero.org/users/7873587/items/QCWLZRQS"],"itemData":{"id":1357,"type":"article-journal","abstract":"BACKGROUND: Most variants of negative reinforcement theory predict that acute depressed mood can promote alcohol-seeking behaviour, but the precise mechanisms underpinning this effect remain contested. One possibility is that mood-induced alcohol-seeking is due to the formation of a stimulus-response (S-R) association, enabling depressed mood to elicit alcohol-seeking automatically. A second possibility is that depressed mood undergoes incentive learning, enabling it to enhance the expected value of alcohol and thus promote goal-directed alcohol-seeking.\nOBJECTIVES: These two explanations were distinguished using a human outcome-revaluation procedure.\nMETHODS: One hundred and twenty-eight alcohol drinkers completed questionnaires of alcohol use disorder, drinking to cope with negative affect and depression symptoms. Participants then learned that two responses earned alcohol and food points respectively (baseline) in two alternative forced choice trials. At test, participants rated the valence of randomly sampled negative and positive mood statements and, after each statement, chose between the alcohol- and food-seeking responses in extinction.\nRESULTS: The percentage of alcohol- versus food-seeking responses was increased significantly in trials containing negative statements compared to baseline and positive statement trials, in individuals who reported drinking to cope with negative affect (p = .004), but there was no such interaction with indices of alcohol use disorder (p = .87) or depression symptoms (p = .58).\nCONCLUSIONS: Individuals who drink to cope with negative affect are more sensitive to the motivational impact of acute depressed mood statements priming goal-directed alcohol-seeking. Negative copers' vulnerability to alcohol dependence may be better explained by excessive affective incentive learning than by S-R habit formation.","container-title":"Psychopharmacology","DOI":"10.1007/s00213-017-4765-8","ISSN":"1432-2072","issue":"1","journalAbbreviation":"Psychopharmacology (Berl)","language":"eng","note":"PMID: 29082424\nPMCID: PMC5748391","page":"269-279","source":"PubMed","title":"Depressive statements prime goal-directed alcohol-seeking in individuals who report drinking to cope with negative affect","volume":"235","author":[{"family":"Hogarth","given":"Lee"},{"family":"Hardy","given":"Lorna"}],"issued":{"date-parts":[["2018",1]]}},"label":"page"}],"schema":"https://github.com/citation-style-language/schema/raw/master/csl-citation.json"} </w:instrText>
      </w:r>
      <w:r w:rsidR="007C2B95">
        <w:rPr>
          <w:rFonts w:ascii="Times New Roman" w:hAnsi="Times New Roman" w:cs="Times New Roman"/>
        </w:rPr>
        <w:fldChar w:fldCharType="separate"/>
      </w:r>
      <w:r w:rsidR="007C2B95" w:rsidRPr="007C2B95">
        <w:rPr>
          <w:rFonts w:ascii="Times New Roman" w:hAnsi="Times New Roman" w:cs="Times New Roman"/>
        </w:rPr>
        <w:t>(Hogarth et al., 2018; Hogarth &amp; Hardy, 2018a)</w:t>
      </w:r>
      <w:r w:rsidR="007C2B95">
        <w:rPr>
          <w:rFonts w:ascii="Times New Roman" w:hAnsi="Times New Roman" w:cs="Times New Roman"/>
        </w:rPr>
        <w:fldChar w:fldCharType="end"/>
      </w:r>
      <w:r w:rsidR="009D1F68">
        <w:rPr>
          <w:rFonts w:ascii="Times New Roman" w:hAnsi="Times New Roman" w:cs="Times New Roman"/>
        </w:rPr>
        <w:t xml:space="preserve">. </w:t>
      </w:r>
      <w:r w:rsidRPr="00F23463">
        <w:rPr>
          <w:rFonts w:ascii="Times New Roman" w:hAnsi="Times New Roman" w:cs="Times New Roman"/>
        </w:rPr>
        <w:t xml:space="preserve">Furthermore, when the taste of alcohol is manipulated to be aversive to humans, preference for alcohol is reduced </w:t>
      </w:r>
      <w:r w:rsidR="007C2B9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{"citationID":"XUuaClSA","properties":{"formattedCitation":"(Rose et al., 2013)","plainCitation":"(Rose et al., 2013)","noteIndex":0},"citationItems":[{"id":880,"uris":["http://zotero.org/users/7873587/items/XAJJ69YQ"],"itemData":{"id":880,"type":"article-journal","abstract":"Aims\nTo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K"},{"family":"Brown","given":"Kyle"},{"family":"Field","given":"Matt"},{"family":"Hogarth","given":"Lee"}],"issued":{"date-parts":[["2013",7]]}},"label":"act"}],"schema":"https://github.com/citation-style-language/schema/raw/master/csl-citation.json"} </w:instrText>
      </w:r>
      <w:r w:rsidR="007C2B95">
        <w:rPr>
          <w:rFonts w:ascii="Times New Roman" w:hAnsi="Times New Roman" w:cs="Times New Roman"/>
        </w:rPr>
        <w:fldChar w:fldCharType="separate"/>
      </w:r>
      <w:r w:rsidR="007C2B95" w:rsidRPr="007C2B95">
        <w:rPr>
          <w:rFonts w:ascii="Times New Roman" w:hAnsi="Times New Roman" w:cs="Times New Roman"/>
        </w:rPr>
        <w:t>(Rose et al., 2013)</w:t>
      </w:r>
      <w:r w:rsidR="007C2B95">
        <w:rPr>
          <w:rFonts w:ascii="Times New Roman" w:hAnsi="Times New Roman" w:cs="Times New Roman"/>
        </w:rPr>
        <w:fldChar w:fldCharType="end"/>
      </w:r>
      <w:r w:rsidRPr="00F23463">
        <w:rPr>
          <w:rFonts w:ascii="Times New Roman" w:hAnsi="Times New Roman" w:cs="Times New Roman"/>
        </w:rPr>
        <w:t xml:space="preserve"> </w:t>
      </w:r>
      <w:r w:rsidR="00827DC1">
        <w:rPr>
          <w:rFonts w:ascii="Times New Roman" w:hAnsi="Times New Roman" w:cs="Times New Roman"/>
        </w:rPr>
        <w:t>as well as</w:t>
      </w:r>
      <w:r w:rsidRPr="00F23463">
        <w:rPr>
          <w:rFonts w:ascii="Times New Roman" w:hAnsi="Times New Roman" w:cs="Times New Roman"/>
        </w:rPr>
        <w:t xml:space="preserve"> actual consumption of alcohol</w:t>
      </w:r>
      <w:r w:rsidR="007C2B95">
        <w:rPr>
          <w:rFonts w:ascii="Times New Roman" w:hAnsi="Times New Roman" w:cs="Times New Roman"/>
        </w:rPr>
        <w:t xml:space="preserve"> </w:t>
      </w:r>
      <w:r w:rsidR="007C2B9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{"citationID":"VwC9rAqz","properties":{"formattedCitation":"(Rose et al., 2018)","plainCitation":"(Rose et al., 2018)","noteIndex":0},"citationItems":[{"id":1352,"uris":["http://zotero.org/users/7873587/items/C77DAMBX"],"itemData":{"id":1352,"type":"article-journal","abstract":"RATIONALE: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K."},{"family":"Brown","given":"Kyle"},{"family":"MacKillop","given":"James"},{"family":"Field","given":"Matt"},{"family":"Hogarth","given":"Lee"}],"issued":{"date-parts":[["2018",4]]}}}],"schema":"https://github.com/citation-style-language/schema/raw/master/csl-citation.json"} </w:instrText>
      </w:r>
      <w:r w:rsidR="007C2B95">
        <w:rPr>
          <w:rFonts w:ascii="Times New Roman" w:hAnsi="Times New Roman" w:cs="Times New Roman"/>
        </w:rPr>
        <w:fldChar w:fldCharType="separate"/>
      </w:r>
      <w:r w:rsidR="007C2B95" w:rsidRPr="007C2B95">
        <w:rPr>
          <w:rFonts w:ascii="Times New Roman" w:hAnsi="Times New Roman" w:cs="Times New Roman"/>
        </w:rPr>
        <w:t>(Rose et al., 2018)</w:t>
      </w:r>
      <w:r w:rsidR="007C2B95">
        <w:rPr>
          <w:rFonts w:ascii="Times New Roman" w:hAnsi="Times New Roman" w:cs="Times New Roman"/>
        </w:rPr>
        <w:fldChar w:fldCharType="end"/>
      </w:r>
      <w:r w:rsidR="007C2B95">
        <w:rPr>
          <w:rFonts w:ascii="Times New Roman" w:hAnsi="Times New Roman" w:cs="Times New Roman"/>
        </w:rPr>
        <w:t>.</w:t>
      </w:r>
      <w:r w:rsidR="00B51E29">
        <w:rPr>
          <w:rFonts w:ascii="Times New Roman" w:hAnsi="Times New Roman" w:cs="Times New Roman"/>
        </w:rPr>
        <w:t xml:space="preserve"> </w:t>
      </w:r>
      <w:r w:rsidRPr="00F23463">
        <w:rPr>
          <w:rFonts w:ascii="Times New Roman" w:hAnsi="Times New Roman" w:cs="Times New Roman"/>
        </w:rPr>
        <w:t xml:space="preserve">Therefore, </w:t>
      </w:r>
      <w:r w:rsidR="00B51E29">
        <w:rPr>
          <w:rFonts w:ascii="Times New Roman" w:hAnsi="Times New Roman" w:cs="Times New Roman"/>
        </w:rPr>
        <w:t>substance use is</w:t>
      </w:r>
      <w:r w:rsidR="00B51E29" w:rsidRPr="00B51E29">
        <w:t xml:space="preserve"> </w:t>
      </w:r>
      <w:r w:rsidRPr="00F23463">
        <w:rPr>
          <w:rFonts w:ascii="Times New Roman" w:hAnsi="Times New Roman" w:cs="Times New Roman"/>
        </w:rPr>
        <w:t xml:space="preserve">goal-directed rather than compulsive or habitual, even in people </w:t>
      </w:r>
      <w:r w:rsidR="00B51E29">
        <w:rPr>
          <w:rFonts w:ascii="Times New Roman" w:hAnsi="Times New Roman" w:cs="Times New Roman"/>
        </w:rPr>
        <w:t>w</w:t>
      </w:r>
      <w:r w:rsidR="00413E6D">
        <w:rPr>
          <w:rFonts w:ascii="Times New Roman" w:hAnsi="Times New Roman" w:cs="Times New Roman"/>
        </w:rPr>
        <w:t>ho are ‘addicted’</w:t>
      </w:r>
      <w:r w:rsidR="00B51E29">
        <w:rPr>
          <w:rFonts w:ascii="Times New Roman" w:hAnsi="Times New Roman" w:cs="Times New Roman"/>
        </w:rPr>
        <w:t xml:space="preserve"> </w:t>
      </w:r>
      <w:r w:rsidR="00B51E2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{"citationID":"5q3hv3ut","properties":{"formattedCitation":"(Hogarth, 2020)","plainCitation":"(Hogarth, 2020)","noteIndex":0},"citationItems":[{"id":1258,"uris":["http://zotero.org/users/7873587/items/9DVNYNDZ"],"itemData":{"id":1258,"type":"article-journal","abstract":"Drug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affect","volume":"45","author":[{"family":"Hogarth","given":"Lee"}],"issued":{"date-parts":[["2020",4]]}}}],"schema":"https://github.com/citation-style-language/schema/raw/master/csl-citation.json"} </w:instrText>
      </w:r>
      <w:r w:rsidR="00B51E29">
        <w:rPr>
          <w:rFonts w:ascii="Times New Roman" w:hAnsi="Times New Roman" w:cs="Times New Roman"/>
        </w:rPr>
        <w:fldChar w:fldCharType="separate"/>
      </w:r>
      <w:r w:rsidR="00413E6D" w:rsidRPr="00413E6D">
        <w:rPr>
          <w:rFonts w:ascii="Times New Roman" w:hAnsi="Times New Roman" w:cs="Times New Roman"/>
        </w:rPr>
        <w:t>(Hogarth, 2020)</w:t>
      </w:r>
      <w:r w:rsidR="00B51E29">
        <w:rPr>
          <w:rFonts w:ascii="Times New Roman" w:hAnsi="Times New Roman" w:cs="Times New Roman"/>
        </w:rPr>
        <w:fldChar w:fldCharType="end"/>
      </w:r>
      <w:r w:rsidR="00B51E29">
        <w:rPr>
          <w:rFonts w:ascii="Times New Roman" w:hAnsi="Times New Roman" w:cs="Times New Roman"/>
        </w:rPr>
        <w:t>.</w:t>
      </w:r>
    </w:p>
    <w:p w14:paraId="5F9613C2" w14:textId="77777777" w:rsidR="008A4FF5" w:rsidRPr="00F23463" w:rsidRDefault="008A4FF5" w:rsidP="00AC0B06">
      <w:pPr>
        <w:pStyle w:val="NoSpacing"/>
        <w:spacing w:line="480" w:lineRule="auto"/>
        <w:rPr>
          <w:rFonts w:ascii="Times New Roman" w:hAnsi="Times New Roman" w:cs="Times New Roman"/>
        </w:rPr>
      </w:pPr>
    </w:p>
    <w:p w14:paraId="1B80D5A4" w14:textId="7097F101" w:rsidR="008A4FF5" w:rsidRPr="00F23463" w:rsidRDefault="008A4FF5" w:rsidP="00B05C6B">
      <w:pPr>
        <w:pStyle w:val="NoSpacing"/>
        <w:spacing w:line="480" w:lineRule="auto"/>
        <w:rPr>
          <w:rFonts w:ascii="Times New Roman" w:hAnsi="Times New Roman" w:cs="Times New Roman"/>
        </w:rPr>
      </w:pPr>
      <w:r w:rsidRPr="00F23463">
        <w:rPr>
          <w:rFonts w:ascii="Times New Roman" w:hAnsi="Times New Roman" w:cs="Times New Roman"/>
        </w:rPr>
        <w:t>Anhedonia is a common consequence of addiction</w:t>
      </w:r>
      <w:r w:rsidR="00413E6D">
        <w:rPr>
          <w:rFonts w:ascii="Times New Roman" w:hAnsi="Times New Roman" w:cs="Times New Roman"/>
        </w:rPr>
        <w:t xml:space="preserve"> </w:t>
      </w:r>
      <w:r w:rsidR="00413E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{"citationID":"K7QohLjE","properties":{"formattedCitation":"(Garfield et al., 2014)","plainCitation":"(Garfield et al., 2014)","noteIndex":0},"citationItems":[{"id":1360,"uris":["http://zotero.org/users/7873587/items/H5LFTCRX"],"itemData":{"id":1360,"type":"article-journal","abstract":"OBJECTIVE: There is growing evidence that anhedonia is a commonly experienced symptom among substance-using populations. This systematic review synthesises findings across a range of substances to address questions regarding the time course of anhedonia, how anhedonia relates to other symptoms of substance dependence and whether it is similarly prevalent across all addictive drugs.\nMETHOD: A literature search was conducted on PubMed, PsycINFO and MEDLINE, yielding 32 studies that used self-report measures of anhedonia among participants with a history of a substance abuse, dependence or long-term daily use of addictive substances.\nRESULTS: Findings from these studies indicate that anhedonia (1) is elevated in samples dependent on a range of substances; (2) typically appears as a consequence of substance abuse or dependence, and diminishes with abstinence; and (3) predicts increased drug cravings and the likelihood of relapse in those attempting abstinence.\nCONCLUSIONS: The common experience of anhedonia in substance-dependent populations, and its relationship to relapse, emphasises the importance of developing therapeutic interventions that specifically target anhedonia in the treatment of all substance use disorders.","container-title":"The Australian and New Zealand Journal of Psychiatry","DOI":"10.1177/0004867413508455","ISSN":"1440-1614","issue":"1","journalAbbreviation":"Aust N Z J Psychiatry","language":"eng","note":"PMID: 24270310","page":"36-51","source":"PubMed","title":"Anhedonia in substance use disorders: a systematic review of its nature, course and clinical correlates","title-short":"Anhedonia in substance use disorders","volume":"48","author":[{"family":"Garfield","given":"Joshua B. B."},{"family":"Lubman","given":"Dan I."},{"family":"Yücel","given":"Murat"}],"issued":{"date-parts":[["2014",1]]}}}],"schema":"https://github.com/citation-style-language/schema/raw/master/csl-citation.json"} </w:instrText>
      </w:r>
      <w:r w:rsidR="00413E6D">
        <w:rPr>
          <w:rFonts w:ascii="Times New Roman" w:hAnsi="Times New Roman" w:cs="Times New Roman"/>
        </w:rPr>
        <w:fldChar w:fldCharType="separate"/>
      </w:r>
      <w:r w:rsidR="00413E6D" w:rsidRPr="00413E6D">
        <w:rPr>
          <w:rFonts w:ascii="Times New Roman" w:hAnsi="Times New Roman" w:cs="Times New Roman"/>
        </w:rPr>
        <w:t>(Garfield et al., 2014)</w:t>
      </w:r>
      <w:r w:rsidR="00413E6D">
        <w:rPr>
          <w:rFonts w:ascii="Times New Roman" w:hAnsi="Times New Roman" w:cs="Times New Roman"/>
        </w:rPr>
        <w:fldChar w:fldCharType="end"/>
      </w:r>
      <w:r w:rsidRPr="00F23463">
        <w:rPr>
          <w:rFonts w:ascii="Times New Roman" w:hAnsi="Times New Roman" w:cs="Times New Roman"/>
        </w:rPr>
        <w:t xml:space="preserve"> and is characterised by the diminished interest, pleasure, or enjoyment from substance-free activities or events </w:t>
      </w:r>
      <w:r w:rsidRPr="00F23463">
        <w:rPr>
          <w:rFonts w:ascii="Times New Roman" w:hAnsi="Times New Roman" w:cs="Times New Roman"/>
        </w:rPr>
        <w:lastRenderedPageBreak/>
        <w:t>that would typically be enjoyed</w:t>
      </w:r>
      <w:r w:rsidR="00413E6D">
        <w:rPr>
          <w:rFonts w:ascii="Times New Roman" w:hAnsi="Times New Roman" w:cs="Times New Roman"/>
        </w:rPr>
        <w:t xml:space="preserve"> </w:t>
      </w:r>
      <w:r w:rsidR="00413E6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{"citationID":"NahZiPPN","properties":{"formattedCitation":"(Sussman &amp; Leventhal, 2014)","plainCitation":"(Sussman &amp; Leventhal, 2014)","noteIndex":0},"citationItems":[{"id":1364,"uris":["http://zotero.org/users/7873587/items/R2HIWQKG"],"itemData":{"id":1364,"type":"article-journal","abstract":"Anhedonia refers to the inability of experiencing pleasure in positive life events. It has been conceptualized as a stable yet malleable characteristic and is associated with hypoactivity in the mesolimbic and mesocortical dopaminergic systems. Very recently, it has been posited as an etiologic factor associated with drug addiction onset, escalation, and relapse. Prevention programming could be developed to counteract the harmful impact of anhedonia, so as to minimize its impact on drug misuse. Remedial efforts are those that either (1) permit the individual to tolerate low levels of pleasure without resorting to drug misuse or other maladaptive behaviors that may unhealthily besot pleasure (for example, through normalization, structuring time, or meditation) or (2) counteract anhedonia by enhancing ones capability to experience pleasure (for example, behavioral activation, positive psychology, pharmacotherapy, or pursuit of positive addictions). School-based activities could be developed that can be completed by individuals, small workgroups, or the whole classroom. The concept of anhedonia is described in this chapter, and possible prevention strategies that might be utilized in schools as well as other contexts are discussed.","container-title":"New Directions for Youth Development","DOI":"10.1002/yd.20085","ISSN":"1537-5781","issue":"141","journalAbbreviation":"New Dir Youth Dev","language":"eng","note":"PMID: 24753277\nPMCID: PMC4181563","page":"45-56, 10","source":"PubMed","title":"Substance misuse prevention: addressing anhedonia","title-short":"Substance misuse prevention","volume":"2014","author":[{"family":"Sussman","given":"Steve"},{"family":"Leventhal","given":"Adam"}],"issued":{"date-parts":[["2014"]]}}}],"schema":"https://github.com/citation-style-language/schema/raw/master/csl-citation.json"} </w:instrText>
      </w:r>
      <w:r w:rsidR="00413E6D">
        <w:rPr>
          <w:rFonts w:ascii="Times New Roman" w:hAnsi="Times New Roman" w:cs="Times New Roman"/>
        </w:rPr>
        <w:fldChar w:fldCharType="separate"/>
      </w:r>
      <w:r w:rsidR="00413E6D" w:rsidRPr="00413E6D">
        <w:rPr>
          <w:rFonts w:ascii="Times New Roman" w:hAnsi="Times New Roman" w:cs="Times New Roman"/>
        </w:rPr>
        <w:t>(Sussman &amp; Leventhal, 2014)</w:t>
      </w:r>
      <w:r w:rsidR="00413E6D">
        <w:rPr>
          <w:rFonts w:ascii="Times New Roman" w:hAnsi="Times New Roman" w:cs="Times New Roman"/>
        </w:rPr>
        <w:fldChar w:fldCharType="end"/>
      </w:r>
      <w:r w:rsidRPr="00F23463">
        <w:rPr>
          <w:rFonts w:ascii="Times New Roman" w:hAnsi="Times New Roman" w:cs="Times New Roman"/>
        </w:rPr>
        <w:t xml:space="preserve">. Anhedonia may contribute to the overvaluation of substances through the undervaluation of alternative </w:t>
      </w:r>
      <w:r w:rsidR="00413E6D">
        <w:rPr>
          <w:rFonts w:ascii="Times New Roman" w:hAnsi="Times New Roman" w:cs="Times New Roman"/>
        </w:rPr>
        <w:t>substance</w:t>
      </w:r>
      <w:r w:rsidRPr="00F23463">
        <w:rPr>
          <w:rFonts w:ascii="Times New Roman" w:hAnsi="Times New Roman" w:cs="Times New Roman"/>
        </w:rPr>
        <w:t xml:space="preserve">-free rewards </w:t>
      </w:r>
      <w:r w:rsidR="00C72EE6">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{"citationID":"114KLJEk","properties":{"formattedCitation":"(Leventhal, Trujillo, et al., 2014; Meyer et al., 2016)","plainCitation":"(Leventhal, Trujillo, et al., 2014; Meyer et al., 2016)","noteIndex":0},"citationItems":[{"id":846,"uris":["http://zotero.org/users/7873587/items/IU9A4IU4"],"itemData":{"id":846,"type":"article-journal","abstract":"Anhedonia—a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W."}],"issued":{"date-parts":[["2014",5]]}},"label":"act"},{"id":1367,"uris":["http://zotero.org/users/7873587/items/HPH422E8"],"itemData":{"id":1367,"type":"article-journal","abstract":"Drug addiction is a syndrome of dysregulated motivation, evidenced by intense drug craving and compulsive drug-seeking behavior. In the search for 'common neurobiological substrates of addiction to different classes of drugs, behavioral neuroscientists have attempted to determine the neural basis for a number of motivational concepts and describe how they are changed by repeated drug use. Here, we describe these concepts and summarize previous work describing three major neural systems that play distinct roles in different conceptual aspects of motivation: (1) a nigrostriatal system that is involved in two forms of instrumental learning, (2) a ventral striatal system that is involved in Pavlovian incentive motivation and negative reinforcement, and (3) frontal cortical areas that regulate decision making and motivational processes. Within striatal systems, drug addiction can involve a transition from goal-oriented, incentive processes to automatic, habit-based responding. In the cortex, weak inhibitory control is a predisposing factor to, as well as a consequence of, repeated drug intake. However, these transitions are not absolute, and addiction can occur without a transition to habit-based responding, occurring as a result of the overvaluation of drug outcomes and hypersensitivity to incentive properties of drug-associated cues. Finally, we point out that addiction is not monolithic and can depend not only on individual differences between addicts, but also on the neurochernical action of specific drug classes.","container-title":"Current Topics in Behavioral Neurosciences","DOI":"10.1007/7854_2015_391","ISSN":"1866-3370","journalAbbreviation":"Curr Top Behav Neurosci","language":"eng","note":"PMID: 26475159\nPMCID: PMC4851611","page":"473-506","source":"PubMed","title":"Motivational processes underlying   substance abuse disorder","volume":"27","author":[{"family":"Meyer","given":"Paul J."},{"family":"King","given":"Christopher P."},{"family":"Ferrario","given":"Carrie R."}],"issued":{"date-parts":[["2016"]]}},"label":"act"}],"schema":"https://github.com/citation-style-language/schema/raw/master/csl-citation.json"} </w:instrText>
      </w:r>
      <w:r w:rsidR="00C72EE6">
        <w:rPr>
          <w:rFonts w:ascii="Times New Roman" w:hAnsi="Times New Roman" w:cs="Times New Roman"/>
        </w:rPr>
        <w:fldChar w:fldCharType="separate"/>
      </w:r>
      <w:r w:rsidR="005530C6" w:rsidRPr="005530C6">
        <w:rPr>
          <w:rFonts w:ascii="Times New Roman" w:hAnsi="Times New Roman" w:cs="Times New Roman"/>
        </w:rPr>
        <w:t>(Leventhal, Trujillo, et al., 2014; Meyer et al., 2016)</w:t>
      </w:r>
      <w:r w:rsidR="00C72EE6">
        <w:rPr>
          <w:rFonts w:ascii="Times New Roman" w:hAnsi="Times New Roman" w:cs="Times New Roman"/>
        </w:rPr>
        <w:fldChar w:fldCharType="end"/>
      </w:r>
      <w:r w:rsidRPr="00F23463">
        <w:rPr>
          <w:rFonts w:ascii="Times New Roman" w:hAnsi="Times New Roman" w:cs="Times New Roman"/>
        </w:rPr>
        <w:t xml:space="preserve">. This imbalance is indeed reflected within the unified framework for addiction proposed by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{"citationID":"5VSmrf6u","properties":{"formattedCitation":"(Redish et al., 2008)","plainCitation":"(Redish et al., 2008)","dontUpdate":true,"noteIndex":0},"citationItems":[{"id":1371,"uris":["http://zotero.org/users/7873587/items/5I6AVVFG"],"itemData":{"id":1371,"type":"article-journal","abstract":"The understanding of decision-making systems has come together in recent years to form a unified theory of decision-making in the mammalian brain as arising from multiple, interacting systems (a planning system, a habit system, and a situation-recognition system). This unified decision-making system has multiple potential access points through which it can be driven to make maladaptive choices, particularly choices that entail seeking of certain drugs or behaviors. We identify 10 key vulnerabilities in the system: (1) moving away from homeostasis, (2) changing allostatic set points, (3) euphorigenic “reward-like” signals, (4) overvaluation in the planning system, (5) incorrect search of situation-action-outcome relationships, (6) misclassification of situations, (7) overvaluation in the habit system, (8) a mismatch in the balance of the two decision systems, (9) over-fast discounting processes, and (10) changed learning rates. These vulnerabilities provide a taxonomy of potential problems with decision-making systems. Although each vulnerability can drive an agent to return to the addictive choice, each vulnerability also implies a characteristic symptomology. Different drugs, different behaviors, and different individuals are likely to access different vulnerabilities. This has implications for an individual’s susceptibility to addiction and the transition to addiction, for the potential for relapse, and for the potential for treatment.","container-title":"The Behavioral and brain sciences","DOI":"10.1017/S0140525X0800472X","ISSN":"0140-525X","issue":"4","journalAbbreviation":"Behav Brain Sci","note":"PMID: 18662461\nPMCID: PMC3774323","page":"415-487","source":"PubMed Central","title":"A unified framework for addiction: Vulnerabilities in the decision process","title-short":"A unified framework for addiction","volume":"31","author":[{"family":"Redish","given":"A. David"},{"family":"Jensen","given":"Steve"},{"family":"Johnson","given":"Adam"}],"issued":{"date-parts":[["2008",8]]}}}],"schema":"https://github.com/citation-style-language/schema/raw/master/csl-citation.json"} </w:instrText>
      </w:r>
      <w:r w:rsidR="005530C6">
        <w:rPr>
          <w:rFonts w:ascii="Times New Roman" w:hAnsi="Times New Roman" w:cs="Times New Roman"/>
        </w:rPr>
        <w:fldChar w:fldCharType="separate"/>
      </w:r>
      <w:r w:rsidR="005530C6" w:rsidRPr="005530C6">
        <w:rPr>
          <w:rFonts w:ascii="Times New Roman" w:hAnsi="Times New Roman" w:cs="Times New Roman"/>
        </w:rPr>
        <w:t xml:space="preserve">Redish et al. </w:t>
      </w:r>
      <w:r w:rsidR="005530C6">
        <w:rPr>
          <w:rFonts w:ascii="Times New Roman" w:hAnsi="Times New Roman" w:cs="Times New Roman"/>
        </w:rPr>
        <w:t>(</w:t>
      </w:r>
      <w:r w:rsidR="005530C6" w:rsidRPr="005530C6">
        <w:rPr>
          <w:rFonts w:ascii="Times New Roman" w:hAnsi="Times New Roman" w:cs="Times New Roman"/>
        </w:rPr>
        <w:t>2008)</w:t>
      </w:r>
      <w:r w:rsidR="005530C6">
        <w:rPr>
          <w:rFonts w:ascii="Times New Roman" w:hAnsi="Times New Roman" w:cs="Times New Roman"/>
        </w:rPr>
        <w:fldChar w:fldCharType="end"/>
      </w:r>
      <w:r w:rsidRPr="00F23463">
        <w:rPr>
          <w:rFonts w:ascii="Times New Roman" w:hAnsi="Times New Roman" w:cs="Times New Roman"/>
        </w:rPr>
        <w:t xml:space="preserve">, whereby various “vulnerabilities” within the decision-making process refer to distortions in valuation processes. For example, excess positive value-error signals lead to an overvaluation of substance-seeking (non-compensable dopamine) and sensitisation of motivational signals drives excess motivation for substances and substance-related cues (incentive-salience;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{"citationID":"fLXm2Fv7","properties":{"formattedCitation":"(Redish et al., 2008)","plainCitation":"(Redish et al., 2008)","dontUpdate":true,"noteIndex":0},"citationItems":[{"id":1371,"uris":["http://zotero.org/users/7873587/items/5I6AVVFG"],"itemData":{"id":1371,"type":"article-journal","abstract":"The understanding of decision-making systems has come together in recent years to form a unified theory of decision-making in the mammalian brain as arising from multiple, interacting systems (a planning system, a habit system, and a situation-recognition system). This unified decision-making system has multiple potential access points through which it can be driven to make maladaptive choices, particularly choices that entail seeking of certain drugs or behaviors. We identify 10 key vulnerabilities in the system: (1) moving away from homeostasis, (2) changing allostatic set points, (3) euphorigenic “reward-like” signals, (4) overvaluation in the planning system, (5) incorrect search of situation-action-outcome relationships, (6) misclassification of situations, (7) overvaluation in the habit system, (8) a mismatch in the balance of the two decision systems, (9) over-fast discounting processes, and (10) changed learning rates. These vulnerabilities provide a taxonomy of potential problems with decision-making systems. Although each vulnerability can drive an agent to return to the addictive choice, each vulnerability also implies a characteristic symptomology. Different drugs, different behaviors, and different individuals are likely to access different vulnerabilities. This has implications for an individual’s susceptibility to addiction and the transition to addiction, for the potential for relapse, and for the potential for treatment.","container-title":"The Behavioral and brain sciences","DOI":"10.1017/S0140525X0800472X","ISSN":"0140-525X","issue":"4","journalAbbreviation":"Behav Brain Sci","note":"PMID: 18662461\nPMCID: PMC3774323","page":"415-487","source":"PubMed Central","title":"A unified framework for addiction: Vulnerabilities in the decision process","title-short":"A unified framework for addiction","volume":"31","author":[{"family":"Redish","given":"A. David"},{"family":"Jensen","given":"Steve"},{"family":"Johnson","given":"Adam"}],"issued":{"date-parts":[["2008",8]]}}}],"schema":"https://github.com/citation-style-language/schema/raw/master/csl-citation.json"} </w:instrText>
      </w:r>
      <w:r w:rsidR="005530C6">
        <w:rPr>
          <w:rFonts w:ascii="Times New Roman" w:hAnsi="Times New Roman" w:cs="Times New Roman"/>
        </w:rPr>
        <w:fldChar w:fldCharType="separate"/>
      </w:r>
      <w:r w:rsidR="005530C6" w:rsidRPr="005530C6">
        <w:rPr>
          <w:rFonts w:ascii="Times New Roman" w:hAnsi="Times New Roman" w:cs="Times New Roman"/>
        </w:rPr>
        <w:t>Redish et al., 2008)</w:t>
      </w:r>
      <w:r w:rsidR="005530C6">
        <w:rPr>
          <w:rFonts w:ascii="Times New Roman" w:hAnsi="Times New Roman" w:cs="Times New Roman"/>
        </w:rPr>
        <w:fldChar w:fldCharType="end"/>
      </w:r>
      <w:r w:rsidRPr="00F23463">
        <w:rPr>
          <w:rFonts w:ascii="Times New Roman" w:hAnsi="Times New Roman" w:cs="Times New Roman"/>
        </w:rPr>
        <w:t xml:space="preserve">. Consequently, people with addiction are sensitized to the motivational effects of substances and substance-related stimuli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{"citationID":"sAXXXmop","properties":{"formattedCitation":"(T. E. Robinson &amp; Berridge, 1993)","plainCitation":"(T. E. Robinson &amp; Berridge, 1993)","dontUpdate":true,"noteIndex":0},"citationItems":[{"id":1376,"uris":["http://zotero.org/users/7873587/items/CEIV3G9G"],"itemData":{"id":1376,"type":"article-journal","abstract":"This paper presents a biopsychological theory of drug addiction, the 'Incentive-Sensitization Theory'. The theory addresses three fundamental questions. The first is: why do addicts crave drugs? That is, what is the psychological and neurobiological basis of drug craving? The second is: why does drug craving persist even after long periods of abstinence? The third is whether 'wanting' drugs (drug craving) is attributable to 'liking' drugs (to the subjective pleasurable effects of drugs)? The theory posits the following. (1) Addictive drugs share the ability to enhance mesotelencephalic dopamine neurotransmission. (2) One psychological function of this neural system is to attribute 'incentive salience' to the perception and mental representation of events associated with activation of the system. Incentive salience is a psychological process that transforms the perception of stimuli, imbuing them with salience, making them attractive, 'wanted', incentive stimuli. (3) In some individuals the repeated use of addictive drugs produces incremental neuroadaptations in this neural system, rendering it increasingly and perhaps permanently, hypersensitive ('sensitized') to drugs and drug-associated stimuli. The sensitization of dopamine systems is gated by associative learning, which causes excessive incentive salience to be attributed to the act of drug taking and to stimuli associated with drug taking. It is specifically the sensitization of incentive salience, therefore, that transforms ordinary 'wanting' into excessive drug craving. (4) It is further proposed that sensitization of the neural systems responsible for incentive salience ('for wanting') can occur independently of changes in neural systems that mediate the subjective pleasurable effects of drugs (drug 'liking') and of neural systems that mediate withdrawal. Thus, sensitization of incentive salience can produce addictive behavior (compulsive drug seeking and drug taking) even if the expectation of drug pleasure or the aversive properties of withdrawal are diminished and even in the face of strong disincentives, including the loss of reputation, job, home and family. We review evidence for this view of addiction and discuss its implications for understanding the psychology and neurobiology of addiction.","container-title":"Brain Research. Brain Research Reviews","DOI":"10.1016/0165-0173(93)90013-p","issue":"3","journalAbbreviation":"Brain Res Brain Res Rev","language":"eng","note":"PMID: 8401595","page":"247-291","source":"PubMed","title":"The neural basis of drug craving: an incentive-sensitization theory of addiction","title-short":"The neural basis of drug craving","volume":"18","author":[{"family":"Robinson","given":"T. E."},{"family":"Berridge","given":"K. C."}],"issued":{"date-parts":[["1993",12]]}}}],"schema":"https://github.com/citation-style-language/schema/raw/master/csl-citation.json"} </w:instrText>
      </w:r>
      <w:r w:rsidR="005530C6">
        <w:rPr>
          <w:rFonts w:ascii="Times New Roman" w:hAnsi="Times New Roman" w:cs="Times New Roman"/>
        </w:rPr>
        <w:fldChar w:fldCharType="separate"/>
      </w:r>
      <w:r w:rsidR="00B05C6B" w:rsidRPr="00B05C6B">
        <w:rPr>
          <w:rFonts w:ascii="Times New Roman" w:hAnsi="Times New Roman" w:cs="Times New Roman"/>
        </w:rPr>
        <w:t>(Robinson &amp; Berridge, 1993)</w:t>
      </w:r>
      <w:r w:rsidR="005530C6">
        <w:rPr>
          <w:rFonts w:ascii="Times New Roman" w:hAnsi="Times New Roman" w:cs="Times New Roman"/>
        </w:rPr>
        <w:fldChar w:fldCharType="end"/>
      </w:r>
      <w:r w:rsidRPr="00F23463">
        <w:rPr>
          <w:rFonts w:ascii="Times New Roman" w:hAnsi="Times New Roman" w:cs="Times New Roman"/>
        </w:rPr>
        <w:t xml:space="preserve"> and desensitised to other non-substance alternative reinforcers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{"citationID":"8m1eTNxE","properties":{"formattedCitation":"(Volkow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5530C6">
        <w:rPr>
          <w:rFonts w:ascii="Times New Roman" w:hAnsi="Times New Roman" w:cs="Times New Roman"/>
        </w:rPr>
        <w:fldChar w:fldCharType="separate"/>
      </w:r>
      <w:r w:rsidR="005530C6" w:rsidRPr="005530C6">
        <w:rPr>
          <w:rFonts w:ascii="Times New Roman" w:hAnsi="Times New Roman" w:cs="Times New Roman"/>
        </w:rPr>
        <w:t>(Volkow et al., 2016)</w:t>
      </w:r>
      <w:r w:rsidR="005530C6">
        <w:rPr>
          <w:rFonts w:ascii="Times New Roman" w:hAnsi="Times New Roman" w:cs="Times New Roman"/>
        </w:rPr>
        <w:fldChar w:fldCharType="end"/>
      </w:r>
      <w:r w:rsidRPr="00F23463">
        <w:rPr>
          <w:rFonts w:ascii="Times New Roman" w:hAnsi="Times New Roman" w:cs="Times New Roman"/>
        </w:rPr>
        <w:t xml:space="preserve">. This is evident within the DSM-5 criteria for </w:t>
      </w:r>
      <w:r w:rsidR="005530C6">
        <w:rPr>
          <w:rFonts w:ascii="Times New Roman" w:hAnsi="Times New Roman" w:cs="Times New Roman"/>
        </w:rPr>
        <w:t>various SUDs</w:t>
      </w:r>
      <w:r w:rsidRPr="00F23463">
        <w:rPr>
          <w:rFonts w:ascii="Times New Roman" w:hAnsi="Times New Roman" w:cs="Times New Roman"/>
        </w:rPr>
        <w:t xml:space="preserve">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{"citationID":"0iR3Bwjp","properties":{"formattedCitation":"(American Psychiatric Association, 2013)","plainCitation":"(American Psychiatric Association, 2013)","noteIndex":0},"citationItems":[{"id":1080,"uris":["http://zotero.org/users/7873587/items/G5ULK25B"],"itemData":{"id":1080,"type":"book","abstract":"The American Psychiatric Association's Diagnostic and Statistical Manual of Mental Disorders (DSM) is a classification of mental disorders with associated criteria designed to facilitate more reliable diagnoses of these disorders. Since a complete description of the underlying pathological processes is not possible for most mental disorders, it is important to emphasize that the current diagnostic criteria are the best available description of how mental disorders are expressed and can be recognized by trained clinicians. DSM is intended to serve as a practical, functional, and flexible guide for organizing information that can aid in the accurate diagnosis and treatment of mental disorders. It is a tool for clinicians, an essential educational resource for students and practitioners, and a reference for researchers in the field. (PsycINFO Database Record (c) 2019 APA, all rights reserved)","collection-title":"Diagnostic and statistical manual of mental disorders: DSM-5™, 5th ed","edition":"5th","event-place":"Arlington, VA, US","ISBN":"978-0-89042-554-1","note":"DOI: 10.1176/appi.books.9780890425596","number-of-pages":"xliv, 947","publisher":"American Psychiatric Publishing, Inc.","publisher-place":"Arlington, VA, US","source":"APA PsycNet","title":"Diagnostic and statistical manual of mental disorders","title-short":"Diagnostic and statistical manual of mental disorders","author":[{"literal":"American Psychiatric Association"}],"issued":{"date-parts":[["2013"]]}}}],"schema":"https://github.com/citation-style-language/schema/raw/master/csl-citation.json"} </w:instrText>
      </w:r>
      <w:r w:rsidR="005530C6">
        <w:rPr>
          <w:rFonts w:ascii="Times New Roman" w:hAnsi="Times New Roman" w:cs="Times New Roman"/>
        </w:rPr>
        <w:fldChar w:fldCharType="separate"/>
      </w:r>
      <w:r w:rsidR="005530C6" w:rsidRPr="005530C6">
        <w:rPr>
          <w:rFonts w:ascii="Times New Roman" w:hAnsi="Times New Roman" w:cs="Times New Roman"/>
        </w:rPr>
        <w:t>(American Psychiatric Association, 2013)</w:t>
      </w:r>
      <w:r w:rsidR="005530C6">
        <w:rPr>
          <w:rFonts w:ascii="Times New Roman" w:hAnsi="Times New Roman" w:cs="Times New Roman"/>
        </w:rPr>
        <w:fldChar w:fldCharType="end"/>
      </w:r>
      <w:r w:rsidRPr="00F23463">
        <w:rPr>
          <w:rFonts w:ascii="Times New Roman" w:hAnsi="Times New Roman" w:cs="Times New Roman"/>
        </w:rPr>
        <w:t xml:space="preserve">, for example, </w:t>
      </w:r>
      <w:r w:rsidR="005530C6">
        <w:rPr>
          <w:rFonts w:ascii="Times New Roman" w:hAnsi="Times New Roman" w:cs="Times New Roman"/>
        </w:rPr>
        <w:t xml:space="preserve">overvaluation </w:t>
      </w:r>
      <w:r w:rsidRPr="00F23463">
        <w:rPr>
          <w:rFonts w:ascii="Times New Roman" w:hAnsi="Times New Roman" w:cs="Times New Roman"/>
        </w:rPr>
        <w:t xml:space="preserve">of substances may be represented through increased “craving” and “continued </w:t>
      </w:r>
      <w:r w:rsidR="005530C6">
        <w:rPr>
          <w:rFonts w:ascii="Times New Roman" w:hAnsi="Times New Roman" w:cs="Times New Roman"/>
        </w:rPr>
        <w:t>drug</w:t>
      </w:r>
      <w:r w:rsidRPr="00F23463">
        <w:rPr>
          <w:rFonts w:ascii="Times New Roman" w:hAnsi="Times New Roman" w:cs="Times New Roman"/>
        </w:rPr>
        <w:t xml:space="preserve"> use despite having persistent or recurrent social or interpersonal problems caused or exacerbated by the drug”; whilst devaluation of alternative </w:t>
      </w:r>
      <w:r w:rsidR="005530C6">
        <w:rPr>
          <w:rFonts w:ascii="Times New Roman" w:hAnsi="Times New Roman" w:cs="Times New Roman"/>
        </w:rPr>
        <w:t>substance-free</w:t>
      </w:r>
      <w:r w:rsidRPr="00F23463">
        <w:rPr>
          <w:rFonts w:ascii="Times New Roman" w:hAnsi="Times New Roman" w:cs="Times New Roman"/>
        </w:rPr>
        <w:t xml:space="preserve"> reinforcers may be represented through “important social, occupational, or recreational activities are given up or reduced because of drug use”. Therefore, a distortion in valuation processes for substances and substance-free alternative reinforcers may be an important mechanism through which addiction is maintained </w:t>
      </w:r>
      <w:r w:rsidR="005530C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{"citationID":"hvZnIFsI","properties":{"formattedCitation":"(Leventhal, Trujillo, et al., 2014)","plainCitation":"(Leventhal, Trujillo, et al., 2014)","noteIndex":0},"citationItems":[{"id":846,"uris":["http://zotero.org/users/7873587/items/IU9A4IU4"],"itemData":{"id":846,"type":"article-journal","abstract":"Anhedonia—a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W."}],"issued":{"date-parts":[["2014",5]]}}}],"schema":"https://github.com/citation-style-language/schema/raw/master/csl-citation.json"} </w:instrText>
      </w:r>
      <w:r w:rsidR="005530C6">
        <w:rPr>
          <w:rFonts w:ascii="Times New Roman" w:hAnsi="Times New Roman" w:cs="Times New Roman"/>
        </w:rPr>
        <w:fldChar w:fldCharType="separate"/>
      </w:r>
      <w:r w:rsidR="00BA5916" w:rsidRPr="00BA5916">
        <w:rPr>
          <w:rFonts w:ascii="Times New Roman" w:hAnsi="Times New Roman" w:cs="Times New Roman"/>
        </w:rPr>
        <w:t>(Leventhal, Trujillo, et al., 2014)</w:t>
      </w:r>
      <w:r w:rsidR="005530C6">
        <w:rPr>
          <w:rFonts w:ascii="Times New Roman" w:hAnsi="Times New Roman" w:cs="Times New Roman"/>
        </w:rPr>
        <w:fldChar w:fldCharType="end"/>
      </w:r>
      <w:r w:rsidR="00BA5916">
        <w:rPr>
          <w:rFonts w:ascii="Times New Roman" w:hAnsi="Times New Roman" w:cs="Times New Roman"/>
        </w:rPr>
        <w:t>.</w:t>
      </w:r>
    </w:p>
    <w:p w14:paraId="3890B817" w14:textId="77777777" w:rsidR="008A4FF5" w:rsidRPr="00F23463" w:rsidRDefault="008A4FF5" w:rsidP="00950BEF">
      <w:pPr>
        <w:pStyle w:val="NoSpacing"/>
        <w:spacing w:line="480" w:lineRule="auto"/>
        <w:rPr>
          <w:rFonts w:ascii="Times New Roman" w:hAnsi="Times New Roman" w:cs="Times New Roman"/>
        </w:rPr>
      </w:pPr>
    </w:p>
    <w:p w14:paraId="22F31716" w14:textId="24D8CE63" w:rsidR="008A4FF5" w:rsidRPr="00F23463" w:rsidRDefault="008A4FF5" w:rsidP="00573078">
      <w:pPr>
        <w:pStyle w:val="Heading2"/>
      </w:pPr>
      <w:bookmarkStart w:id="75" w:name="_Toc109911325"/>
      <w:bookmarkStart w:id="76" w:name="_Toc110612728"/>
      <w:bookmarkStart w:id="77" w:name="_Toc110629038"/>
      <w:bookmarkStart w:id="78" w:name="_Toc110870946"/>
      <w:r w:rsidRPr="00F23463">
        <w:t>1.5</w:t>
      </w:r>
      <w:r w:rsidR="00174DF4" w:rsidRPr="00F23463">
        <w:t>.</w:t>
      </w:r>
      <w:r w:rsidRPr="00F23463">
        <w:t xml:space="preserve"> Behavioural economic theories of addiction</w:t>
      </w:r>
      <w:bookmarkEnd w:id="75"/>
      <w:bookmarkEnd w:id="76"/>
      <w:bookmarkEnd w:id="77"/>
      <w:bookmarkEnd w:id="78"/>
      <w:r w:rsidRPr="00F23463">
        <w:t xml:space="preserve"> </w:t>
      </w:r>
    </w:p>
    <w:p w14:paraId="167ABD9B" w14:textId="5EE9AA5E" w:rsidR="00E06FC0" w:rsidRDefault="008A4FF5" w:rsidP="003D0079">
      <w:pPr>
        <w:pStyle w:val="NoSpacing"/>
        <w:spacing w:line="480" w:lineRule="auto"/>
        <w:rPr>
          <w:rFonts w:ascii="Times New Roman" w:hAnsi="Times New Roman" w:cs="Times New Roman"/>
        </w:rPr>
      </w:pPr>
      <w:r w:rsidRPr="00F23463">
        <w:rPr>
          <w:rFonts w:ascii="Times New Roman" w:hAnsi="Times New Roman" w:cs="Times New Roman"/>
        </w:rPr>
        <w:t xml:space="preserve">“Behavioural economics” is a discipline in which principles and concepts from economics and psychology are combined in </w:t>
      </w:r>
      <w:r w:rsidR="00BA5916">
        <w:rPr>
          <w:rFonts w:ascii="Times New Roman" w:hAnsi="Times New Roman" w:cs="Times New Roman"/>
        </w:rPr>
        <w:t xml:space="preserve">an </w:t>
      </w:r>
      <w:r w:rsidRPr="00F23463">
        <w:rPr>
          <w:rFonts w:ascii="Times New Roman" w:hAnsi="Times New Roman" w:cs="Times New Roman"/>
        </w:rPr>
        <w:t xml:space="preserve">attempt to better understand the choices that people make </w:t>
      </w:r>
      <w:r w:rsidR="003E584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{"citationID":"uwstorIl","properties":{"formattedCitation":"(MacKillop, 2016)","plainCitation":"(MacKillop, 2016)","noteIndex":0},"citationItems":[{"id":1381,"uris":["http://zotero.org/users/7873587/items/DZN7TQ43"],"itemData":{"id":1381,"type":"article-journal","abstract":"Background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disorders","volume":"40","author":[{"family":"MacKillop","given":"James"}],"issued":{"date-parts":[["2016"]]}}}],"schema":"https://github.com/citation-style-language/schema/raw/master/csl-citation.json"} </w:instrText>
      </w:r>
      <w:r w:rsidR="003E584D">
        <w:rPr>
          <w:rFonts w:ascii="Times New Roman" w:hAnsi="Times New Roman" w:cs="Times New Roman"/>
        </w:rPr>
        <w:fldChar w:fldCharType="separate"/>
      </w:r>
      <w:r w:rsidR="003E584D" w:rsidRPr="003E584D">
        <w:rPr>
          <w:rFonts w:ascii="Times New Roman" w:hAnsi="Times New Roman" w:cs="Times New Roman"/>
        </w:rPr>
        <w:t>(MacKillop, 2016)</w:t>
      </w:r>
      <w:r w:rsidR="003E584D">
        <w:rPr>
          <w:rFonts w:ascii="Times New Roman" w:hAnsi="Times New Roman" w:cs="Times New Roman"/>
        </w:rPr>
        <w:fldChar w:fldCharType="end"/>
      </w:r>
      <w:r w:rsidRPr="00F23463">
        <w:rPr>
          <w:rFonts w:ascii="Times New Roman" w:hAnsi="Times New Roman" w:cs="Times New Roman"/>
        </w:rPr>
        <w:t xml:space="preserve">. </w:t>
      </w:r>
      <w:r w:rsidR="00BA5916">
        <w:rPr>
          <w:rFonts w:ascii="Times New Roman" w:hAnsi="Times New Roman" w:cs="Times New Roman"/>
        </w:rPr>
        <w:t>Behavioural economic</w:t>
      </w:r>
      <w:r w:rsidRPr="00F23463">
        <w:rPr>
          <w:rFonts w:ascii="Times New Roman" w:hAnsi="Times New Roman" w:cs="Times New Roman"/>
        </w:rPr>
        <w:t xml:space="preserve"> theories are </w:t>
      </w:r>
      <w:r w:rsidRPr="003E584D">
        <w:rPr>
          <w:rFonts w:ascii="Times New Roman" w:hAnsi="Times New Roman" w:cs="Times New Roman"/>
          <w:i/>
          <w:iCs/>
        </w:rPr>
        <w:t>molar</w:t>
      </w:r>
      <w:r w:rsidRPr="00F23463">
        <w:rPr>
          <w:rFonts w:ascii="Times New Roman" w:hAnsi="Times New Roman" w:cs="Times New Roman"/>
        </w:rPr>
        <w:t xml:space="preserve"> in nature: they attempt to </w:t>
      </w:r>
      <w:r w:rsidRPr="00F23463">
        <w:rPr>
          <w:rFonts w:ascii="Times New Roman" w:hAnsi="Times New Roman" w:cs="Times New Roman"/>
        </w:rPr>
        <w:lastRenderedPageBreak/>
        <w:t>understand the distribution of behaviour to response alternatives by looking at patterns of behaviours to patterns of reinforcement over time</w:t>
      </w:r>
      <w:r w:rsidR="003D0079">
        <w:rPr>
          <w:rFonts w:ascii="Times New Roman" w:hAnsi="Times New Roman" w:cs="Times New Roman"/>
        </w:rPr>
        <w:t xml:space="preserve"> </w:t>
      </w:r>
      <w:r w:rsidR="003D007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{"citationID":"DjdpAG3G","properties":{"formattedCitation":"(Murphy, MacKillop, et al., 2012; Tucker &amp; Vuchinich, 2015)","plainCitation":"(Murphy, MacKillop, et al., 2012; Tucker &amp; Vuchinich, 2015)","noteIndex":0},"citationItems":[{"id":1383,"uris":["http://zotero.org/users/7873587/items/3LEMY2LR"],"itemData":{"id":1383,"type":"chapter","abstract":"This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T."},{"family":"Rotgers.","given":"Frederick"}],"issued":{"date-parts":[["2012"]]}},"label":"act"},{"id":1387,"uris":["http://zotero.org/users/7873587/items/SR6AQKE7"],"itemData":{"id":1387,"type":"article-journal","abstract":"Comments on an article by M. Amlung et al. (see record 2015-15671-001). Amlung et al. truncated the Alcohol Purchase Task (APT) by asking only one question for each of three demand curve measures. As with the k parameter in discounting research, the demand curve measures from the APT and from Amlung et al. can be given either an efficient cause or a final cause interpretation. The authors clearly favor the efficient cause interpretation that 'alcohol demand could represent an intermediate step between craving and consumption, such that dynamic increases in craving produce a corresponding increase in the relative value of alcohol that, in turn, influences drinking decisions.' This efficient cause interpretation of the demand curve measures is consistent with mainstream psychological science, but it is counter to the historical development and current status of BE. The authors also noted that: 'An advantage of behavioral economics is that it quantifies a construct such as alcohol motivation into externally relevant metrics such as number of drinks and money spent.' (PsycINFO Database Record (c) 2016 APA, all rights reserved)","container-title":"Addiction","DOI":"10.1111/add.12983","ISSN":"1360-0443","issue":"9","note":"publisher-place: United Kingdom\npublisher: Wiley-Blackwell Publishing Ltd.","page":"1429-1430","source":"APA PsycNet","title":"Efficient and final causes of alcohol consumption","volume":"110","author":[{"family":"Tucker","given":"Jalie A."},{"family":"Vuchinich","given":"Rudy E."}],"issued":{"date-parts":[["2015"]]}},"label":"page"}],"schema":"https://github.com/citation-style-language/schema/raw/master/csl-citation.json"} </w:instrText>
      </w:r>
      <w:r w:rsidR="003D0079">
        <w:rPr>
          <w:rFonts w:ascii="Times New Roman" w:hAnsi="Times New Roman" w:cs="Times New Roman"/>
        </w:rPr>
        <w:fldChar w:fldCharType="separate"/>
      </w:r>
      <w:r w:rsidR="003D0079" w:rsidRPr="003D0079">
        <w:rPr>
          <w:rFonts w:ascii="Times New Roman" w:hAnsi="Times New Roman" w:cs="Times New Roman"/>
        </w:rPr>
        <w:t>(Murphy, MacKillop, et al., 2012; Tucker &amp; Vuchinich, 2015)</w:t>
      </w:r>
      <w:r w:rsidR="003D0079">
        <w:rPr>
          <w:rFonts w:ascii="Times New Roman" w:hAnsi="Times New Roman" w:cs="Times New Roman"/>
        </w:rPr>
        <w:fldChar w:fldCharType="end"/>
      </w:r>
      <w:r w:rsidR="00682900">
        <w:rPr>
          <w:rFonts w:ascii="Times New Roman" w:hAnsi="Times New Roman" w:cs="Times New Roman"/>
        </w:rPr>
        <w:t xml:space="preserve">. </w:t>
      </w:r>
      <w:r w:rsidR="00B605CA">
        <w:rPr>
          <w:rFonts w:ascii="Times New Roman" w:hAnsi="Times New Roman" w:cs="Times New Roman"/>
        </w:rPr>
        <w:t>Applied to</w:t>
      </w:r>
      <w:r w:rsidRPr="00F23463">
        <w:rPr>
          <w:rFonts w:ascii="Times New Roman" w:hAnsi="Times New Roman" w:cs="Times New Roman"/>
        </w:rPr>
        <w:t xml:space="preserve"> addiction, behavioural economic theories explore patterns of substance use in the context of changes in access (e.g., availability and price) to substance use and to alternative sources of substance-free reinforcement </w:t>
      </w:r>
      <w:r w:rsidR="00B605CA">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{"citationID":"V9sfeTrU","properties":{"formattedCitation":"(Bickel et al., 2014)","plainCitation":"(Bickel et al., 2014)","noteIndex":0},"citationItems":[{"id":816,"uris":["http://zotero.org/users/7873587/items/R9KVGRWU"],"itemData":{"id":816,"type":"article-journal","abstract":"The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G."}],"issued":{"date-parts":[["2014"]]}}}],"schema":"https://github.com/citation-style-language/schema/raw/master/csl-citation.json"} </w:instrText>
      </w:r>
      <w:r w:rsidR="00B605CA">
        <w:rPr>
          <w:rFonts w:ascii="Times New Roman" w:hAnsi="Times New Roman" w:cs="Times New Roman"/>
        </w:rPr>
        <w:fldChar w:fldCharType="separate"/>
      </w:r>
      <w:r w:rsidR="00B605CA" w:rsidRPr="00B605CA">
        <w:rPr>
          <w:rFonts w:ascii="Times New Roman" w:hAnsi="Times New Roman" w:cs="Times New Roman"/>
        </w:rPr>
        <w:t>(Bickel et al., 2014)</w:t>
      </w:r>
      <w:r w:rsidR="00B605CA">
        <w:rPr>
          <w:rFonts w:ascii="Times New Roman" w:hAnsi="Times New Roman" w:cs="Times New Roman"/>
        </w:rPr>
        <w:fldChar w:fldCharType="end"/>
      </w:r>
      <w:r w:rsidR="00B605CA">
        <w:rPr>
          <w:rFonts w:ascii="Times New Roman" w:hAnsi="Times New Roman" w:cs="Times New Roman"/>
        </w:rPr>
        <w:t xml:space="preserve">. </w:t>
      </w:r>
      <w:r w:rsidRPr="00F23463">
        <w:rPr>
          <w:rFonts w:ascii="Times New Roman" w:hAnsi="Times New Roman" w:cs="Times New Roman"/>
        </w:rPr>
        <w:t xml:space="preserve">Therefore, </w:t>
      </w:r>
      <w:r w:rsidR="00B605CA">
        <w:rPr>
          <w:rFonts w:ascii="Times New Roman" w:hAnsi="Times New Roman" w:cs="Times New Roman"/>
        </w:rPr>
        <w:t>behavioural economic accounts incorporate wider environmental contexts</w:t>
      </w:r>
      <w:r w:rsidR="00E06FC0">
        <w:rPr>
          <w:rFonts w:ascii="Times New Roman" w:hAnsi="Times New Roman" w:cs="Times New Roman"/>
        </w:rPr>
        <w:t>,</w:t>
      </w:r>
      <w:r w:rsidR="00B605CA">
        <w:rPr>
          <w:rFonts w:ascii="Times New Roman" w:hAnsi="Times New Roman" w:cs="Times New Roman"/>
        </w:rPr>
        <w:t xml:space="preserve"> and in doing so</w:t>
      </w:r>
      <w:r w:rsidR="00E06FC0">
        <w:rPr>
          <w:rFonts w:ascii="Times New Roman" w:hAnsi="Times New Roman" w:cs="Times New Roman"/>
        </w:rPr>
        <w:t>,</w:t>
      </w:r>
      <w:r w:rsidR="00B605CA">
        <w:rPr>
          <w:rFonts w:ascii="Times New Roman" w:hAnsi="Times New Roman" w:cs="Times New Roman"/>
        </w:rPr>
        <w:t xml:space="preserve"> emphasise </w:t>
      </w:r>
      <w:r w:rsidR="00E06FC0">
        <w:rPr>
          <w:rFonts w:ascii="Times New Roman" w:hAnsi="Times New Roman" w:cs="Times New Roman"/>
        </w:rPr>
        <w:t xml:space="preserve">the importance of reinforcement derived from </w:t>
      </w:r>
      <w:r w:rsidRPr="00F23463">
        <w:rPr>
          <w:rFonts w:ascii="Times New Roman" w:hAnsi="Times New Roman" w:cs="Times New Roman"/>
        </w:rPr>
        <w:t>substance-free alternatives within the development and maintenance of addiction</w:t>
      </w:r>
      <w:r w:rsidR="00E06FC0">
        <w:rPr>
          <w:rFonts w:ascii="Times New Roman" w:hAnsi="Times New Roman" w:cs="Times New Roman"/>
        </w:rPr>
        <w:t xml:space="preserve"> </w:t>
      </w:r>
      <w:r w:rsidR="00E06FC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{"citationID":"7sc3LJrk","properties":{"formattedCitation":"(Bickel et al., 2014; Khoddam &amp; Leventhal, 2016)","plainCitation":"(Bickel et al., 2014; Khoddam &amp; Leventhal,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G."}],"issued":{"date-parts":[["2014"]]}},"label":"act"},{"id":1389,"uris":["http://zotero.org/users/7873587/items/9L72QUUU"],"itemData":{"id":1389,"type":"article-journal","abstract":"The present study tested the hypothesis that teens who engage in conduct problems are more likely to use substances because they engage in fewer alternative reinforcing (i.e., pleasurable) substance-free activities and more complementary reinforcing substance-associated activities. In a cross-sectional, correlational design, ninth grade students (N=3,396; mean age=14.6 years) in Los Angeles, California, USA completed surveys in 2013 measuring conduct problems (e.g., stealing, lying, getting in fights), alternative and complementary reinforcement, use of a number of licit, illicit, and prescription drugs, and other co-factors. Conduct problems were positively associated with past six-month use of any substance (yes/no) among the overall sample and past 30-day use frequency on a composite index that included six substances among past six-month users. These associations were statistically mediated by diminished alternative reinforcement and increased complementary reinforcement when adjusting for relevant covariates. Conduct problems were associated with lower engagement in alternative reinforcers and increased engagement in complementary reinforcers, which, in turn, was associated with greater likelihood and frequency of substance use. Most mediational relations persisted adjusting for demographic, environmental, and intrapersonal co-factors and generalized to alcohol, cigarette, and marijuana use; though, complementary reinforcers did not significantly mediate the relation of CPs with alcohol use frequency. These results point to diminished alternative reinforcement and increased complementary reinforcement as mechanisms linking conduct problems and adolescent substance use. Interventions that increase access to and engagement in a diverse set of alternative substance-free activities and deter activities that complement use may prevent substance use in adolescents who engage in conduct problems.","container-title":"Experimental and clinical psychopharmacology","DOI":"10.1037/pha0000088","ISSN":"1064-1297","issue":"5","journalAbbreviation":"Exp Clin Psychopharmacol","note":"PMID: 27690501\nPMCID: PMC5054745","page":"376-389","source":"PubMed Central","title":"Alternative and complementary reinforcers as mechanisms linking adolescent conduct problems and substance use","volume":"24","author":[{"family":"Khoddam","given":"Rubin"},{"family":"Leventhal","given":"Adam M."}],"issued":{"date-parts":[["2016",10]]}},"label":"act"}],"schema":"https://github.com/citation-style-language/schema/raw/master/csl-citation.json"} </w:instrText>
      </w:r>
      <w:r w:rsidR="00E06FC0">
        <w:rPr>
          <w:rFonts w:ascii="Times New Roman" w:hAnsi="Times New Roman" w:cs="Times New Roman"/>
        </w:rPr>
        <w:fldChar w:fldCharType="separate"/>
      </w:r>
      <w:r w:rsidR="00E06FC0" w:rsidRPr="00E06FC0">
        <w:rPr>
          <w:rFonts w:ascii="Times New Roman" w:hAnsi="Times New Roman" w:cs="Times New Roman"/>
        </w:rPr>
        <w:t>(Bickel et al., 2014; Khoddam &amp; Leventhal, 2016)</w:t>
      </w:r>
      <w:r w:rsidR="00E06FC0">
        <w:rPr>
          <w:rFonts w:ascii="Times New Roman" w:hAnsi="Times New Roman" w:cs="Times New Roman"/>
        </w:rPr>
        <w:fldChar w:fldCharType="end"/>
      </w:r>
      <w:r w:rsidR="00E06FC0">
        <w:rPr>
          <w:rFonts w:ascii="Times New Roman" w:hAnsi="Times New Roman" w:cs="Times New Roman"/>
        </w:rPr>
        <w:t>.</w:t>
      </w:r>
    </w:p>
    <w:p w14:paraId="5B8CDD50" w14:textId="77777777" w:rsidR="00B605CA" w:rsidRPr="00F23463" w:rsidRDefault="00B605CA" w:rsidP="00AC0B06">
      <w:pPr>
        <w:pStyle w:val="NoSpacing"/>
        <w:spacing w:line="480" w:lineRule="auto"/>
        <w:rPr>
          <w:rFonts w:ascii="Times New Roman" w:hAnsi="Times New Roman" w:cs="Times New Roman"/>
        </w:rPr>
      </w:pPr>
    </w:p>
    <w:p w14:paraId="653F2D17" w14:textId="0B7E74E4" w:rsidR="008A4FF5" w:rsidRDefault="008A4FF5" w:rsidP="004C4B23">
      <w:pPr>
        <w:pStyle w:val="NoSpacing"/>
        <w:spacing w:line="480" w:lineRule="auto"/>
        <w:rPr>
          <w:rFonts w:ascii="Times New Roman" w:hAnsi="Times New Roman" w:cs="Times New Roman"/>
        </w:rPr>
      </w:pPr>
      <w:r w:rsidRPr="00F23463">
        <w:rPr>
          <w:rFonts w:ascii="Times New Roman" w:hAnsi="Times New Roman" w:cs="Times New Roman"/>
        </w:rPr>
        <w:t xml:space="preserve">Behavioural economic methodology comprises different constructs that are useful in understanding addiction, in particular; </w:t>
      </w:r>
      <w:r w:rsidRPr="00B605CA">
        <w:rPr>
          <w:rFonts w:ascii="Times New Roman" w:hAnsi="Times New Roman" w:cs="Times New Roman"/>
        </w:rPr>
        <w:t>demand</w:t>
      </w:r>
      <w:r w:rsidRPr="00F23463">
        <w:rPr>
          <w:rFonts w:ascii="Times New Roman" w:hAnsi="Times New Roman" w:cs="Times New Roman"/>
        </w:rPr>
        <w:t xml:space="preserve"> and </w:t>
      </w:r>
      <w:r w:rsidRPr="00B605CA">
        <w:rPr>
          <w:rFonts w:ascii="Times New Roman" w:hAnsi="Times New Roman" w:cs="Times New Roman"/>
        </w:rPr>
        <w:t>delay-discounting</w:t>
      </w:r>
      <w:r w:rsidRPr="00F23463">
        <w:rPr>
          <w:rFonts w:ascii="Times New Roman" w:hAnsi="Times New Roman" w:cs="Times New Roman"/>
        </w:rPr>
        <w:t xml:space="preserve"> </w:t>
      </w:r>
      <w:r w:rsidR="00E06FC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{"citationID":"s64UHHQ4","properties":{"formattedCitation":"(Bickel et al., 2014; MacKillop, 2016)","plainCitation":"(Bickel et al., 2014; MacKillop,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G."}],"issued":{"date-parts":[["2014"]]}},"label":"page"},{"id":1381,"uris":["http://zotero.org/users/7873587/items/DZN7TQ43"],"itemData":{"id":1381,"type":"article-journal","abstract":"Background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disorders","volume":"40","author":[{"family":"MacKillop","given":"James"}],"issued":{"date-parts":[["2016"]]}},"label":"act"}],"schema":"https://github.com/citation-style-language/schema/raw/master/csl-citation.json"} </w:instrText>
      </w:r>
      <w:r w:rsidR="00E06FC0">
        <w:rPr>
          <w:rFonts w:ascii="Times New Roman" w:hAnsi="Times New Roman" w:cs="Times New Roman"/>
        </w:rPr>
        <w:fldChar w:fldCharType="separate"/>
      </w:r>
      <w:r w:rsidR="00E06FC0" w:rsidRPr="00E06FC0">
        <w:rPr>
          <w:rFonts w:ascii="Times New Roman" w:hAnsi="Times New Roman" w:cs="Times New Roman"/>
        </w:rPr>
        <w:t>(Bickel et al., 2014; MacKillop, 2016)</w:t>
      </w:r>
      <w:r w:rsidR="00E06FC0">
        <w:rPr>
          <w:rFonts w:ascii="Times New Roman" w:hAnsi="Times New Roman" w:cs="Times New Roman"/>
        </w:rPr>
        <w:fldChar w:fldCharType="end"/>
      </w:r>
      <w:r w:rsidR="00E06FC0">
        <w:rPr>
          <w:rFonts w:ascii="Times New Roman" w:hAnsi="Times New Roman" w:cs="Times New Roman"/>
        </w:rPr>
        <w:t xml:space="preserve">. </w:t>
      </w:r>
      <w:r w:rsidRPr="00F23463">
        <w:rPr>
          <w:rFonts w:ascii="Times New Roman" w:hAnsi="Times New Roman" w:cs="Times New Roman"/>
        </w:rPr>
        <w:t xml:space="preserve">Demand is a quantitative measure of the relationship between cost and </w:t>
      </w:r>
      <w:r w:rsidR="000766C3">
        <w:rPr>
          <w:rFonts w:ascii="Times New Roman" w:hAnsi="Times New Roman" w:cs="Times New Roman"/>
        </w:rPr>
        <w:t>attainment</w:t>
      </w:r>
      <w:r w:rsidRPr="00F23463">
        <w:rPr>
          <w:rFonts w:ascii="Times New Roman" w:hAnsi="Times New Roman" w:cs="Times New Roman"/>
        </w:rPr>
        <w:t xml:space="preserve"> of a commodity (e.g.,</w:t>
      </w:r>
      <w:r w:rsidR="000766C3">
        <w:rPr>
          <w:rFonts w:ascii="Times New Roman" w:hAnsi="Times New Roman" w:cs="Times New Roman"/>
        </w:rPr>
        <w:t xml:space="preserve"> </w:t>
      </w:r>
      <w:r w:rsidRPr="00F23463">
        <w:rPr>
          <w:rFonts w:ascii="Times New Roman" w:hAnsi="Times New Roman" w:cs="Times New Roman"/>
        </w:rPr>
        <w:t>alcohol</w:t>
      </w:r>
      <w:r w:rsidR="005F1026">
        <w:rPr>
          <w:rFonts w:ascii="Times New Roman" w:hAnsi="Times New Roman" w:cs="Times New Roman"/>
        </w:rPr>
        <w:t xml:space="preserve"> </w:t>
      </w:r>
      <w:r w:rsidR="000766C3">
        <w:rPr>
          <w:rFonts w:ascii="Times New Roman" w:hAnsi="Times New Roman" w:cs="Times New Roman"/>
        </w:rPr>
        <w:t>or nicotine</w:t>
      </w:r>
      <w:r w:rsidRPr="00F23463">
        <w:rPr>
          <w:rFonts w:ascii="Times New Roman" w:hAnsi="Times New Roman" w:cs="Times New Roman"/>
        </w:rPr>
        <w:t xml:space="preserve">), and is used to index the reinforcing value of a substance </w:t>
      </w:r>
      <w:r w:rsidR="00504202">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{"citationID":"S3zyxvGA","properties":{"formattedCitation":"(Mart\\uc0\\u237{}nez-Loredo et al., 2021)","plainCitation":"(Martínez-Loredo et al., 2021)","noteIndex":0},"citationItems":[{"id":1392,"uris":["http://zotero.org/users/7873587/items/93TGD9F7"],"itemData":{"id":1392,"type":"article-journal","abstract":"BACKGROUND AND AIMS: An early meta-analysis testing the concurrent validity of the Alcohol Purchase Task (APT), a measure of alcohol's relative reinforcing value, reported mixed associations, but predated a large number of studies. This systematic review and meta-analysis sought to: (1) estimate the relationships between trait-based alcohol demand indices from the APT and multiple alcohol indicators, (2) test several moderators and (3) analyze small study effects.\nMETHODS: A meta-analysis of 50 cross-sectional studies in four databases (n = 18 466, females = 43.32%). Sex, year of publication, number of APT prices and index transformations (logarithmic, square root or none) were considered as moderators. Small study effects were examined by using the Begg-Mazumdar, Egger's and Duval &amp; Tweedie's trim-and-fill tests. Alcohol indicators were quantity of alcohol use, number of heavy drinking episodes, alcohol-related problems and hazardous drinking. APT indices were intensity (i.e. consumption at zero cost), elasticity (i.e. sensitivity to increases in costs), Omax (i.e. maximum expenditure), Pmax (i.e. price associated to Omax ) and breakpoint (i.e. price at which consumption ceases).\nRESULTS: All alcohol demand indices were significantly associated with all alcohol-related outcomes (r = 0.132-0.494), except Pmax , which was significantly associated with alcohol-related problems only (r = 0.064). The greatest associations were evinced between intensity in relation to alcohol use, hazardous drinking and heavy drinking and between Omax and alcohol use. All the tested moderators emerged as significant moderators. Evidence of small-study effects was limited.\nCONCLUSIONS: The Alcohol Purchase Task appears to have concurrent validity in alcohol research. Intensity and Omax are the most relevant indices to account for alcohol involvement.","container-title":"Addiction","DOI":"10.1111/add.15379","ISSN":"1360-0443","issue":"10","journalAbbreviation":"Addiction","language":"eng","note":"PMID: 33338263\nPMCID: PMC9186155","page":"2635-2650","source":"PubMed","title":"Concurrent validity of the Alcohol Purchase Task for measuring the reinforcing efficacy of alcohol: an updated systematic review and meta-analysis","title-short":"Concurrent validity of the Alcohol Purchase Task for measuring the reinforcing efficacy of alcohol","volume":"116","author":[{"family":"Martínez-Loredo","given":"Victor"},{"family":"González-Roz","given":"Alba"},{"family":"Secades-Villa","given":"Roberto"},{"family":"Fernández-Hermida","given":"José R."},{"family":"MacKillop","given":"James"}],"issued":{"date-parts":[["2021",10]]}}}],"schema":"https://github.com/citation-style-language/schema/raw/master/csl-citation.json"} </w:instrText>
      </w:r>
      <w:r w:rsidR="00504202">
        <w:rPr>
          <w:rFonts w:ascii="Times New Roman" w:hAnsi="Times New Roman" w:cs="Times New Roman"/>
        </w:rPr>
        <w:fldChar w:fldCharType="separate"/>
      </w:r>
      <w:r w:rsidR="00504202" w:rsidRPr="00504202">
        <w:rPr>
          <w:rFonts w:ascii="Times New Roman" w:hAnsi="Times New Roman" w:cs="Times New Roman"/>
        </w:rPr>
        <w:t>(Martínez-Loredo et al., 2021)</w:t>
      </w:r>
      <w:r w:rsidR="00504202">
        <w:rPr>
          <w:rFonts w:ascii="Times New Roman" w:hAnsi="Times New Roman" w:cs="Times New Roman"/>
        </w:rPr>
        <w:fldChar w:fldCharType="end"/>
      </w:r>
      <w:r w:rsidR="00504202">
        <w:rPr>
          <w:rFonts w:ascii="Times New Roman" w:hAnsi="Times New Roman" w:cs="Times New Roman"/>
        </w:rPr>
        <w:t xml:space="preserve">. </w:t>
      </w:r>
      <w:r w:rsidRPr="00F23463">
        <w:rPr>
          <w:rFonts w:ascii="Times New Roman" w:hAnsi="Times New Roman" w:cs="Times New Roman"/>
        </w:rPr>
        <w:t xml:space="preserve">Demand is typically assessed using self-report purchase tasks, such as the </w:t>
      </w:r>
      <w:r w:rsidR="003377F6">
        <w:rPr>
          <w:rFonts w:ascii="Times New Roman" w:hAnsi="Times New Roman" w:cs="Times New Roman"/>
        </w:rPr>
        <w:t>a</w:t>
      </w:r>
      <w:r w:rsidRPr="00F23463">
        <w:rPr>
          <w:rFonts w:ascii="Times New Roman" w:hAnsi="Times New Roman" w:cs="Times New Roman"/>
        </w:rPr>
        <w:t xml:space="preserve">lcohol </w:t>
      </w:r>
      <w:r w:rsidR="003377F6">
        <w:rPr>
          <w:rFonts w:ascii="Times New Roman" w:hAnsi="Times New Roman" w:cs="Times New Roman"/>
        </w:rPr>
        <w:t>p</w:t>
      </w:r>
      <w:r w:rsidRPr="00F23463">
        <w:rPr>
          <w:rFonts w:ascii="Times New Roman" w:hAnsi="Times New Roman" w:cs="Times New Roman"/>
        </w:rPr>
        <w:t xml:space="preserve">urchase </w:t>
      </w:r>
      <w:r w:rsidR="003377F6">
        <w:rPr>
          <w:rFonts w:ascii="Times New Roman" w:hAnsi="Times New Roman" w:cs="Times New Roman"/>
        </w:rPr>
        <w:t>t</w:t>
      </w:r>
      <w:r w:rsidRPr="00F23463">
        <w:rPr>
          <w:rFonts w:ascii="Times New Roman" w:hAnsi="Times New Roman" w:cs="Times New Roman"/>
        </w:rPr>
        <w:t xml:space="preserve">ask (APT; </w:t>
      </w:r>
      <w:r w:rsidR="0050420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{"citationID":"D4NzSAcR","properties":{"formattedCitation":"(Murphy &amp; MacKillop, 2006)","plainCitation":"(Murphy &amp; MacKillop, 2006)","dontUpdate":true,"noteIndex":0},"citationItems":[{"id":1395,"uris":["http://zotero.org/users/7873587/items/RL3F96YW"],"itemData":{"id":1395,"type":"article-journal","abstract":"The construct of relative reinforcing efficacy (RRE) is central to many laboratory and theoretical models of drug abuse, but it has not been widely measured in applied clinical research contexts. The authors used a simulated alcohol purchase task to measure RRE in a sample of 267 college student drinkers. Participants reported their alcohol consumption across a range of prices, and their responses were well-described by a regression equation that has been used to construct demand curves in drug self-administration studies. Several measures of relative reinforcing efficacy were generated, including breakpoint, intensity of demand, elasticity, P-sub(max) (price at which response output is maximized), and O-sub(max) (maximum alcohol expenditures). Demand for alcohol was inelastic across the initial range of prices but became elastic as price increased. Students who reported recent heavy drinking reported significantly greater intensity of demand, O-sub(max), and breakpoint. These results provide initial support for the validity of the RRE indices generated with the alcohol purchase task. These results also provide empirical support for programs that attempt to reduce alcohol abuse by eliminating low-cost access to alcohol.","container-title":"Experimental and Clinical Psychopharmacology","DOI":"10.1037/1064-1297.14.2.219","ISSN":"1064-1297","issue":"2","journalAbbreviation":"Exp Clin Psychopharmacol","language":"eng","note":"PMID: 16756426","page":"219-227","source":"PubMed","title":"Relative reinforcing efficacy of alcohol among college student drinkers","volume":"14","author":[{"family":"Murphy","given":"James G."},{"family":"MacKillop","given":"James"}],"issued":{"date-parts":[["2006",5]]}}}],"schema":"https://github.com/citation-style-language/schema/raw/master/csl-citation.json"} </w:instrText>
      </w:r>
      <w:r w:rsidR="00504202">
        <w:rPr>
          <w:rFonts w:ascii="Times New Roman" w:hAnsi="Times New Roman" w:cs="Times New Roman"/>
        </w:rPr>
        <w:fldChar w:fldCharType="separate"/>
      </w:r>
      <w:r w:rsidR="00504202" w:rsidRPr="00504202">
        <w:rPr>
          <w:rFonts w:ascii="Times New Roman" w:hAnsi="Times New Roman" w:cs="Times New Roman"/>
        </w:rPr>
        <w:t>Murphy &amp; MacKillop, 2006)</w:t>
      </w:r>
      <w:r w:rsidR="00504202">
        <w:rPr>
          <w:rFonts w:ascii="Times New Roman" w:hAnsi="Times New Roman" w:cs="Times New Roman"/>
        </w:rPr>
        <w:fldChar w:fldCharType="end"/>
      </w:r>
      <w:r w:rsidRPr="00F23463">
        <w:rPr>
          <w:rFonts w:ascii="Times New Roman" w:hAnsi="Times New Roman" w:cs="Times New Roman"/>
        </w:rPr>
        <w:t xml:space="preserve"> and the </w:t>
      </w:r>
      <w:r w:rsidR="003377F6">
        <w:rPr>
          <w:rFonts w:ascii="Times New Roman" w:hAnsi="Times New Roman" w:cs="Times New Roman"/>
        </w:rPr>
        <w:t>c</w:t>
      </w:r>
      <w:r w:rsidRPr="00F23463">
        <w:rPr>
          <w:rFonts w:ascii="Times New Roman" w:hAnsi="Times New Roman" w:cs="Times New Roman"/>
        </w:rPr>
        <w:t xml:space="preserve">igarette </w:t>
      </w:r>
      <w:r w:rsidR="003377F6">
        <w:rPr>
          <w:rFonts w:ascii="Times New Roman" w:hAnsi="Times New Roman" w:cs="Times New Roman"/>
        </w:rPr>
        <w:t>p</w:t>
      </w:r>
      <w:r w:rsidRPr="00F23463">
        <w:rPr>
          <w:rFonts w:ascii="Times New Roman" w:hAnsi="Times New Roman" w:cs="Times New Roman"/>
        </w:rPr>
        <w:t xml:space="preserve">urchase </w:t>
      </w:r>
      <w:r w:rsidR="003377F6">
        <w:rPr>
          <w:rFonts w:ascii="Times New Roman" w:hAnsi="Times New Roman" w:cs="Times New Roman"/>
        </w:rPr>
        <w:t>t</w:t>
      </w:r>
      <w:r w:rsidRPr="00F23463">
        <w:rPr>
          <w:rFonts w:ascii="Times New Roman" w:hAnsi="Times New Roman" w:cs="Times New Roman"/>
        </w:rPr>
        <w:t xml:space="preserve">ask (CPT; </w:t>
      </w:r>
      <w:r w:rsidR="009103E0">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{"citationID":"zBvKtcd7","properties":{"formattedCitation":"(Jacobs &amp; Bickel, 1999; MacKillop et al., 2008)","plainCitation":"(Jacobs &amp; Bickel, 1999; MacKillop et al., 2008)","dontUpdate":true,"noteIndex":0},"citationItems":[{"id":1397,"uris":["http://zotero.org/users/7873587/items/NPPPDVQG"],"itemData":{"id":1397,"type":"article-journal","abstract":"Use of a time- and cost-efficient simulation procedure to assess reinforcement efficacy in humans was explored in the present study. Opioid-dependent outpatients completed questionnaires asking how many cigarettes or bags of heroin they would purchase across a range of prices. Reported consumption patterns conformed to a quantitative model that has been successful in accounting for data obtained in studies using real rather than hypothetical consequences, suggesting the self-report data may have been a valid proxy for observations of actual consumption patterns. Simulation procedures may thus be a useful supplement to traditional operant methods for the assessment of reinforcement efficacy in humans, particularly in situations where the use of operant methods is logistically difficult or ethically questionable. The relationship between behavioral-economic and traditional measures of reinforcement efficacy is also discussed. (PsycINFO Database Record (c) 2016 APA, all rights reserved)","container-title":"Experimental and Clinical Psychopharmacology","DOI":"10.1037/1064-1297.7.4.412","ISSN":"1936-2293","issue":"4","note":"publisher-place: US\npublisher: American Psychological Association","page":"412-426","source":"APA PsycNet","title":"Modeling drug consumption in the clinic using simulation procedures: Demand for heroin and cigarettes in opioid-dependent outpatients","title-short":"Modeling drug consumption in the clinic using simulation procedures","volume":"7","author":[{"family":"Jacobs","given":"Eric A."},{"family":"Bickel","given":"Warren K."}],"issued":{"date-parts":[["1999"]]}},"label":"act"},{"id":825,"uris":["http://zotero.org/users/7873587/items/HPVPY5R2"],"itemData":{"id":825,"type":"article-journal","abstract":"The authors sought to further validate a cigarette purchase task (CPT), a self-report analogue of a progressive-ratio operant schedule, for the assessment of the relative reinforcing efficacy (RRE) of nicotine in smokers. The measure was assessed in terms of its correspondence to typically observed operant behavior, convergent validity, and divergent validity. Participants were 33 individuals (58% male, age M = 19.30 years) who smoked at least weekly (M = 5.31 cigarettes/day) and underwent a single assessment session. Data from the CPT exhibited the predicted inverse relationship between consumption and price, the predicted relationship between consumption and expenditure, and a heterogeneous pattern of interrelationships among the indices of reinforcement. In addition, 2 indices from the measure, intensity of demand and maximum expenditure for cigarettes, exhibited robust convergent and divergent validity. Although this is an incipient research area and the current study used a relatively small sample, these findings support the validity of a CPT as a time- and cost-efficient method for assessing nicotine reinforcement. Theoretical implications of the findings, limitations, and future directions are also discussed. (PsycINFO Database Record (c) 2016 APA, all rights reserved)","container-title":"Experimental and Clinical Psychopharmacology","DOI":"10.1037/1064-1297.16.1.57","ISSN":"1936-2293","issue":"1","note":"publisher-place: US\npublisher: American Psychological Association","page":"57-65","source":"APA PsycNet","title":"Further validation of a cigarette purchase task for assessing the relative reinforcing efficacy of nicotine in college smokers","volume":"16","author":[{"family":"MacKillop","given":"James"},{"family":"Murphy","given":"James G."},{"family":"Ray","given":"Lara A."},{"family":"Eisenberg","given":"Daniel T. A."},{"family":"Lisman","given":"Stephen A."},{"family":"Lum","given":"J. Koji"},{"family":"Wilson","given":"David S."}],"issued":{"date-parts":[["2008"]]}},"label":"act"}],"schema":"https://github.com/citation-style-language/schema/raw/master/csl-citation.json"} </w:instrText>
      </w:r>
      <w:r w:rsidR="009103E0">
        <w:rPr>
          <w:rFonts w:ascii="Times New Roman" w:hAnsi="Times New Roman" w:cs="Times New Roman"/>
        </w:rPr>
        <w:fldChar w:fldCharType="separate"/>
      </w:r>
      <w:r w:rsidR="009103E0" w:rsidRPr="009103E0">
        <w:rPr>
          <w:rFonts w:ascii="Times New Roman" w:hAnsi="Times New Roman" w:cs="Times New Roman"/>
        </w:rPr>
        <w:t>Jacobs &amp; Bickel, 1999; MacKillop et al., 2008)</w:t>
      </w:r>
      <w:r w:rsidR="009103E0">
        <w:rPr>
          <w:rFonts w:ascii="Times New Roman" w:hAnsi="Times New Roman" w:cs="Times New Roman"/>
        </w:rPr>
        <w:fldChar w:fldCharType="end"/>
      </w:r>
      <w:r w:rsidRPr="00F23463">
        <w:rPr>
          <w:rFonts w:ascii="Times New Roman" w:hAnsi="Times New Roman" w:cs="Times New Roman"/>
        </w:rPr>
        <w:t xml:space="preserve"> which assess a person’s estimated hypothetical consumption across a set of prices that gradually increase. By plotting consumption of a commodity as a function of its price, numerous indices of value </w:t>
      </w:r>
      <w:r w:rsidR="003377F6">
        <w:rPr>
          <w:rFonts w:ascii="Times New Roman" w:hAnsi="Times New Roman" w:cs="Times New Roman"/>
        </w:rPr>
        <w:t>can be calculated</w:t>
      </w:r>
      <w:r w:rsidRPr="00F23463">
        <w:rPr>
          <w:rFonts w:ascii="Times New Roman" w:hAnsi="Times New Roman" w:cs="Times New Roman"/>
        </w:rPr>
        <w:t>: intensity (</w:t>
      </w:r>
      <w:r w:rsidR="003377F6">
        <w:rPr>
          <w:rFonts w:ascii="Times New Roman" w:hAnsi="Times New Roman" w:cs="Times New Roman"/>
        </w:rPr>
        <w:t xml:space="preserve">i.e., </w:t>
      </w:r>
      <w:r w:rsidRPr="00F23463">
        <w:rPr>
          <w:rFonts w:ascii="Times New Roman" w:hAnsi="Times New Roman" w:cs="Times New Roman"/>
        </w:rPr>
        <w:t xml:space="preserve">consumption when price is at zero), </w:t>
      </w:r>
      <w:proofErr w:type="spellStart"/>
      <w:r w:rsidRPr="00F23463">
        <w:rPr>
          <w:rFonts w:ascii="Times New Roman" w:hAnsi="Times New Roman" w:cs="Times New Roman"/>
        </w:rPr>
        <w:t>O</w:t>
      </w:r>
      <w:r w:rsidRPr="00B605CA">
        <w:rPr>
          <w:rFonts w:ascii="Times New Roman" w:hAnsi="Times New Roman" w:cs="Times New Roman"/>
          <w:vertAlign w:val="subscript"/>
        </w:rPr>
        <w:t>max</w:t>
      </w:r>
      <w:proofErr w:type="spellEnd"/>
      <w:r w:rsidRPr="00F23463">
        <w:rPr>
          <w:rFonts w:ascii="Times New Roman" w:hAnsi="Times New Roman" w:cs="Times New Roman"/>
        </w:rPr>
        <w:t xml:space="preserve"> (</w:t>
      </w:r>
      <w:r w:rsidR="003377F6">
        <w:rPr>
          <w:rFonts w:ascii="Times New Roman" w:hAnsi="Times New Roman" w:cs="Times New Roman"/>
        </w:rPr>
        <w:t xml:space="preserve">i.e., </w:t>
      </w:r>
      <w:r w:rsidRPr="00F23463">
        <w:rPr>
          <w:rFonts w:ascii="Times New Roman" w:hAnsi="Times New Roman" w:cs="Times New Roman"/>
        </w:rPr>
        <w:t>maximum expenditure across prices), P</w:t>
      </w:r>
      <w:r w:rsidRPr="00B605CA">
        <w:rPr>
          <w:rFonts w:ascii="Times New Roman" w:hAnsi="Times New Roman" w:cs="Times New Roman"/>
          <w:vertAlign w:val="subscript"/>
        </w:rPr>
        <w:t>max</w:t>
      </w:r>
      <w:r w:rsidRPr="00F23463">
        <w:rPr>
          <w:rFonts w:ascii="Times New Roman" w:hAnsi="Times New Roman" w:cs="Times New Roman"/>
        </w:rPr>
        <w:t xml:space="preserve"> (</w:t>
      </w:r>
      <w:r w:rsidR="003377F6">
        <w:rPr>
          <w:rFonts w:ascii="Times New Roman" w:hAnsi="Times New Roman" w:cs="Times New Roman"/>
        </w:rPr>
        <w:t xml:space="preserve">i.e., </w:t>
      </w:r>
      <w:r w:rsidRPr="00F23463">
        <w:rPr>
          <w:rFonts w:ascii="Times New Roman" w:hAnsi="Times New Roman" w:cs="Times New Roman"/>
        </w:rPr>
        <w:t>the price by which demand becomes elastic), breakpoint (</w:t>
      </w:r>
      <w:r w:rsidR="003377F6">
        <w:rPr>
          <w:rFonts w:ascii="Times New Roman" w:hAnsi="Times New Roman" w:cs="Times New Roman"/>
        </w:rPr>
        <w:t xml:space="preserve">i.e., </w:t>
      </w:r>
      <w:r w:rsidRPr="00F23463">
        <w:rPr>
          <w:rFonts w:ascii="Times New Roman" w:hAnsi="Times New Roman" w:cs="Times New Roman"/>
        </w:rPr>
        <w:t>first price that suppresses consumption to zero), and elasticity (</w:t>
      </w:r>
      <w:r w:rsidR="003377F6">
        <w:rPr>
          <w:rFonts w:ascii="Times New Roman" w:hAnsi="Times New Roman" w:cs="Times New Roman"/>
        </w:rPr>
        <w:t xml:space="preserve">i.e., </w:t>
      </w:r>
      <w:r w:rsidRPr="00F23463">
        <w:rPr>
          <w:rFonts w:ascii="Times New Roman" w:hAnsi="Times New Roman" w:cs="Times New Roman"/>
        </w:rPr>
        <w:t xml:space="preserve">rate at which consumption becomes dependent upon price; </w:t>
      </w:r>
      <w:r w:rsidR="003377F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{"citationID":"te3Zaf7P","properties":{"formattedCitation":"(Hursh &amp; Silberberg, 2008; Murphy &amp; MacKillop, 2006)","plainCitation":"(Hursh &amp; Silberberg, 2008; Murphy &amp; MacKillop, 2006)","dontUpdate":true,"noteIndex":0},"citationItems":[{"id":1401,"uris":["http://zotero.org/users/7873587/items/CJJLEVA7"],"itemData":{"id":1401,"type":"article-journal","abstract":"The strength of a rat's eating reflex correlates with hunger level when strength is measured by the response frequency that precedes eating (B. F. Skinner, 1932a, 1932b). On the basis of this finding, Skinner argued response frequency could index reflex strength. Subsequent work documented difficulties with this notion because responding was affected not only by the strengthening properties of the reinforcer but also by the rate-shaping effects of the schedule. This article obviates this problem by measuring strength via methods from behavioral economics. This approach uses demand curves to map how reinforcer consumption changes with changes in the \"price\" different ratio schedules impose. An exponential equation is used to model these demand curves. The value of this exponential's rate constant is used to scale the strength or essential value of a reinforcer, independent of the scalar dimensions of the reinforcer. Essential value determines the consumption level to be expected at particular prices and the response level that will occur to support that consumption. This approach permits comparing reinforcers that differ in kind, contributing toward the goal of scaling reinforcer value. (PsycINFO Database Record (c) 2016 APA, all rights reserved)","container-title":"Psychological Review","DOI":"10.1037/0033-295X.115.1.186","ISSN":"1939-1471","issue":"1","note":"publisher-place: US\npublisher: American Psychological Association","page":"186-198","source":"APA PsycNet","title":"Economic demand and essential value","volume":"115","author":[{"family":"Hursh","given":"Steven R."},{"family":"Silberberg","given":"Alan"}],"issued":{"date-parts":[["2008"]]}},"label":"page"},{"id":1395,"uris":["http://zotero.org/users/7873587/items/RL3F96YW"],"itemData":{"id":1395,"type":"article-journal","abstract":"The construct of relative reinforcing efficacy (RRE) is central to many laboratory and theoretical models of drug abuse, but it has not been widely measured in applied clinical research contexts. The authors used a simulated alcohol purchase task to measure RRE in a sample of 267 college student drinkers. Participants reported their alcohol consumption across a range of prices, and their responses were well-described by a regression equation that has been used to construct demand curves in drug self-administration studies. Several measures of relative reinforcing efficacy were generated, including breakpoint, intensity of demand, elasticity, P-sub(max) (price at which response output is maximized), and O-sub(max) (maximum alcohol expenditures). Demand for alcohol was inelastic across the initial range of prices but became elastic as price increased. Students who reported recent heavy drinking reported significantly greater intensity of demand, O-sub(max), and breakpoint. These results provide initial support for the validity of the RRE indices generated with the alcohol purchase task. These results also provide empirical support for programs that attempt to reduce alcohol abuse by eliminating low-cost access to alcohol.","container-title":"Experimental and Clinical Psychopharmacology","DOI":"10.1037/1064-1297.14.2.219","ISSN":"1064-1297","issue":"2","journalAbbreviation":"Exp Clin Psychopharmacol","language":"eng","note":"PMID: 16756426","page":"219-227","source":"PubMed","title":"Relative reinforcing efficacy of alcohol among college student drinkers","volume":"14","author":[{"family":"Murphy","given":"James G."},{"family":"MacKillop","given":"James"}],"issued":{"date-parts":[["2006",5]]}},"label":"act"}],"schema":"https://github.com/citation-style-language/schema/raw/master/csl-citation.json"} </w:instrText>
      </w:r>
      <w:r w:rsidR="003377F6">
        <w:rPr>
          <w:rFonts w:ascii="Times New Roman" w:hAnsi="Times New Roman" w:cs="Times New Roman"/>
        </w:rPr>
        <w:fldChar w:fldCharType="separate"/>
      </w:r>
      <w:r w:rsidR="003377F6" w:rsidRPr="003377F6">
        <w:rPr>
          <w:rFonts w:ascii="Times New Roman" w:hAnsi="Times New Roman" w:cs="Times New Roman"/>
        </w:rPr>
        <w:t>Hursh &amp; Silberberg, 2008; Murphy &amp; MacKillop, 2006)</w:t>
      </w:r>
      <w:r w:rsidR="003377F6">
        <w:rPr>
          <w:rFonts w:ascii="Times New Roman" w:hAnsi="Times New Roman" w:cs="Times New Roman"/>
        </w:rPr>
        <w:fldChar w:fldCharType="end"/>
      </w:r>
      <w:r w:rsidR="003377F6">
        <w:rPr>
          <w:rFonts w:ascii="Times New Roman" w:hAnsi="Times New Roman" w:cs="Times New Roman"/>
        </w:rPr>
        <w:t xml:space="preserve">. </w:t>
      </w:r>
      <w:r w:rsidRPr="00F23463">
        <w:rPr>
          <w:rFonts w:ascii="Times New Roman" w:hAnsi="Times New Roman" w:cs="Times New Roman"/>
        </w:rPr>
        <w:t xml:space="preserve">A brief assessment of alcohol demand (BAAD; </w:t>
      </w:r>
      <w:r w:rsidR="003377F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{"citationID":"RyaFc9yT","properties":{"formattedCitation":"(Owens et al., 2015)","plainCitation":"(Owens et al., 2015)","dontUpdate":true,"noteIndex":0},"citationItems":[{"id":1403,"uris":["http://zotero.org/users/7873587/items/BTEE922L"],"itemData":{"id":1403,"type":"article-journal","abstract":"Because of difficulties with definition and measurement, the role of conscious craving in substance use disorders remains contentious. To address this, behavioral economics is increasingly being used to quantify aspects of an individual’s acute motivation to use a substance. Doing so typically involves the use of a purchase task, in which participants make choices about consuming alcohol or other substances at various prices and multiple indices of alcohol demand are generated. However, purchase tasks can be limited by the time required to administer and score them. In the current study, a brief 3-item measure, designed to capture 3 important indices of demand that are derived from demand curve modeling (intensity, Omax, and breakpoint), was investigated in a group of 84 heavy drinkers. Participants underwent a cue-reactivity paradigm that is established to increase both conscious craving and alcohol demand on traditional purchase tasks. All 3 indices of demand for alcohol measured using the abbreviated measure increased significantly in response to alcohol cues, analogous to what has been observed using a traditional purchase task. Additionally, the correlations between these indices and subjective craving were modest to moderate, as has been found in studies comparing craving to the indices derived from purchase tasks. These findings suggest that this abbreviated measure may be a useful and efficient way to capture important and distinct aspects of motivation for alcohol. If these results are confirmed, this measure may be able to help increase the portability of behavioral economic indices of demand into novel research and clinical contexts. (PsycInfo Database Record (c) 2020 APA, all rights reserved)","container-title":"Psychology of Consciousness: Theory, Research, and Practice","DOI":"10.1037/cns0000056","ISSN":"2326-5531","issue":"2","note":"publisher-place: US\npublisher: Educational Publishing Foundation","page":"144-152","source":"APA PsycNet","title":"Initial development of a brief behavioral economic assessment of alcohol demand","volume":"2","author":[{"family":"Owens","given":"Max M."},{"family":"Murphy","given":"Cara M."},{"family":"MacKillop","given":"James"}],"issued":{"date-parts":[["2015"]]}}}],"schema":"https://github.com/citation-style-language/schema/raw/master/csl-citation.json"} </w:instrText>
      </w:r>
      <w:r w:rsidR="003377F6">
        <w:rPr>
          <w:rFonts w:ascii="Times New Roman" w:hAnsi="Times New Roman" w:cs="Times New Roman"/>
        </w:rPr>
        <w:fldChar w:fldCharType="separate"/>
      </w:r>
      <w:r w:rsidR="003377F6" w:rsidRPr="003377F6">
        <w:rPr>
          <w:rFonts w:ascii="Times New Roman" w:hAnsi="Times New Roman" w:cs="Times New Roman"/>
        </w:rPr>
        <w:t>Owens et al., 2015)</w:t>
      </w:r>
      <w:r w:rsidR="003377F6">
        <w:rPr>
          <w:rFonts w:ascii="Times New Roman" w:hAnsi="Times New Roman" w:cs="Times New Roman"/>
        </w:rPr>
        <w:fldChar w:fldCharType="end"/>
      </w:r>
      <w:r w:rsidR="003377F6">
        <w:rPr>
          <w:rFonts w:ascii="Times New Roman" w:hAnsi="Times New Roman" w:cs="Times New Roman"/>
        </w:rPr>
        <w:t xml:space="preserve"> </w:t>
      </w:r>
      <w:r w:rsidRPr="00F23463">
        <w:rPr>
          <w:rFonts w:ascii="Times New Roman" w:hAnsi="Times New Roman" w:cs="Times New Roman"/>
        </w:rPr>
        <w:t>was developed as a shorter</w:t>
      </w:r>
      <w:r w:rsidR="000C15D7">
        <w:rPr>
          <w:rFonts w:ascii="Times New Roman" w:hAnsi="Times New Roman" w:cs="Times New Roman"/>
        </w:rPr>
        <w:t xml:space="preserve"> and </w:t>
      </w:r>
      <w:r w:rsidRPr="00F23463">
        <w:rPr>
          <w:rFonts w:ascii="Times New Roman" w:hAnsi="Times New Roman" w:cs="Times New Roman"/>
        </w:rPr>
        <w:t>more convenient</w:t>
      </w:r>
      <w:r w:rsidR="000C15D7">
        <w:rPr>
          <w:rFonts w:ascii="Times New Roman" w:hAnsi="Times New Roman" w:cs="Times New Roman"/>
        </w:rPr>
        <w:t xml:space="preserve"> way to capture core indices of </w:t>
      </w:r>
      <w:r w:rsidR="000C15D7">
        <w:rPr>
          <w:rFonts w:ascii="Times New Roman" w:hAnsi="Times New Roman" w:cs="Times New Roman"/>
        </w:rPr>
        <w:lastRenderedPageBreak/>
        <w:t xml:space="preserve">demand (intensity, </w:t>
      </w:r>
      <w:proofErr w:type="spellStart"/>
      <w:r w:rsidR="000C15D7">
        <w:rPr>
          <w:rFonts w:ascii="Times New Roman" w:hAnsi="Times New Roman" w:cs="Times New Roman"/>
        </w:rPr>
        <w:t>O</w:t>
      </w:r>
      <w:r w:rsidR="000C15D7" w:rsidRPr="000C15D7">
        <w:rPr>
          <w:rFonts w:ascii="Times New Roman" w:hAnsi="Times New Roman" w:cs="Times New Roman"/>
          <w:vertAlign w:val="subscript"/>
        </w:rPr>
        <w:t>max</w:t>
      </w:r>
      <w:proofErr w:type="spellEnd"/>
      <w:r w:rsidR="000C15D7">
        <w:rPr>
          <w:rFonts w:ascii="Times New Roman" w:hAnsi="Times New Roman" w:cs="Times New Roman"/>
        </w:rPr>
        <w:t xml:space="preserve">, breakpoint). </w:t>
      </w:r>
      <w:r w:rsidRPr="00F23463">
        <w:rPr>
          <w:rFonts w:ascii="Times New Roman" w:hAnsi="Times New Roman" w:cs="Times New Roman"/>
        </w:rPr>
        <w:t>Importantly, the BAAD has been found to produce comparable results to those obtained with the full APT</w:t>
      </w:r>
      <w:r w:rsidR="004C4B23">
        <w:rPr>
          <w:rFonts w:ascii="Times New Roman" w:hAnsi="Times New Roman" w:cs="Times New Roman"/>
        </w:rPr>
        <w:t xml:space="preserve"> </w:t>
      </w:r>
      <w:r w:rsidR="004C4B2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{"citationID":"aOMBGXZR","properties":{"formattedCitation":"(Merrill &amp; Aston, 2020; Owens et al., 2015)","plainCitation":"(Merrill &amp; Aston, 2020; Owens et al., 2015)","noteIndex":0},"citationItems":[{"id":1406,"uris":["http://zotero.org/users/7873587/items/FWAJTDYS"],"itemData":{"id":1406,"type":"article-journal","abstract":"Background\nAlcohol demand, typically assessed at the trait-level, via single administration, reflects individualized alcohol value. We examined correspondence between baseline trait-level and daily brief measures of alcohol demand, and whether demand changes day-to-day in response to recent drinking-related consequences. Understanding whether consequences influence demand fluctuations may provide insight into when demand can be reduced in the context of intervention.\nMethods\nHeavy drinking college students (n = 95, age 18–20, 52% female) completed a baseline 14-item alcohol purchase task (APT). Observed demand indices were: intensity (consumption at zero cost), Omax (maximum expenditure), and breakpoint (cost whereby consumption is suppressed to zero). Participants subsequently completed 28 daily reports including a 3-item APT (one item corresponding to each baseline index) and prior day drinking and consequences.\nResults\nIntraclass correlations revealed within-person variability (i.e., day-to-day change) across daily demand indices. In hierarchical linear models (HLM), each daily demand index was significantly predicted by its corresponding baseline full APT index, when all three baseline indices were entered, suggesting convergent validity of the daily measure. Lower day-level intensity was predicted by more prior day negative consequences, controlling for several day- and person-level variables in HLM. Recent positive consequences did not impact intensity, and daily Omax and breakpoint were not predicted by any tested day- or person-level variables.\nConclusions\nAPT indices collected daily map on well to traditional single-administration APT metrics and change in response to recent consequences. Intensity demonstrated the greatest within-person variability, the strongest association with its corresponding full APT index, and theoretically-consistent prediction by negative consequences of drinking.","container-title":"Drug and Alcohol Dependence","DOI":"10.1016/j.drugalcdep.2020.107838","ISSN":"0376-8716","journalAbbreviation":"Drug and Alcohol Dependence","language":"en","page":"107838","source":"ScienceDirect","title":"Alcohol demand assessed daily: Validity, variability, and the influence of drinking-related consequences","title-short":"Alcohol demand assessed daily","volume":"208","author":[{"family":"Merrill","given":"Jennifer E."},{"family":"Aston","given":"Elizabeth R."}],"issued":{"date-parts":[["2020",3,1]]}},"label":"act"},{"id":1403,"uris":["http://zotero.org/users/7873587/items/BTEE922L"],"itemData":{"id":1403,"type":"article-journal","abstract":"Because of difficulties with definition and measurement, the role of conscious craving in substance use disorders remains contentious. To address this, behavioral economics is increasingly being used to quantify aspects of an individual’s acute motivation to use a substance. Doing so typically involves the use of a purchase task, in which participants make choices about consuming alcohol or other substances at various prices and multiple indices of alcohol demand are generated. However, purchase tasks can be limited by the time required to administer and score them. In the current study, a brief 3-item measure, designed to capture 3 important indices of demand that are derived from demand curve modeling (intensity, Omax, and breakpoint), was investigated in a group of 84 heavy drinkers. Participants underwent a cue-reactivity paradigm that is established to increase both conscious craving and alcohol demand on traditional purchase tasks. All 3 indices of demand for alcohol measured using the abbreviated measure increased significantly in response to alcohol cues, analogous to what has been observed using a traditional purchase task. Additionally, the correlations between these indices and subjective craving were modest to moderate, as has been found in studies comparing craving to the indices derived from purchase tasks. These findings suggest that this abbreviated measure may be a useful and efficient way to capture important and distinct aspects of motivation for alcohol. If these results are confirmed, this measure may be able to help increase the portability of behavioral economic indices of demand into novel research and clinical contexts. (PsycInfo Database Record (c) 2020 APA, all rights reserved)","container-title":"Psychology of Consciousness: Theory, Research, and Practice","DOI":"10.1037/cns0000056","ISSN":"2326-5531","issue":"2","note":"publisher-place: US\npublisher: Educational Publishing Foundation","page":"144-152","source":"APA PsycNet","title":"Initial development of a brief behavioral economic assessment of alcohol demand","volume":"2","author":[{"family":"Owens","given":"Max M."},{"family":"Murphy","given":"Cara M."},{"family":"MacKillop","given":"James"}],"issued":{"date-parts":[["2015"]]}},"label":"page"}],"schema":"https://github.com/citation-style-language/schema/raw/master/csl-citation.json"} </w:instrText>
      </w:r>
      <w:r w:rsidR="004C4B23">
        <w:rPr>
          <w:rFonts w:ascii="Times New Roman" w:hAnsi="Times New Roman" w:cs="Times New Roman"/>
        </w:rPr>
        <w:fldChar w:fldCharType="separate"/>
      </w:r>
      <w:r w:rsidR="004C4B23" w:rsidRPr="004C4B23">
        <w:rPr>
          <w:rFonts w:ascii="Times New Roman" w:hAnsi="Times New Roman" w:cs="Times New Roman"/>
        </w:rPr>
        <w:t>(Merrill &amp; Aston, 2020; Owens et al., 2015)</w:t>
      </w:r>
      <w:r w:rsidR="004C4B23">
        <w:rPr>
          <w:rFonts w:ascii="Times New Roman" w:hAnsi="Times New Roman" w:cs="Times New Roman"/>
        </w:rPr>
        <w:fldChar w:fldCharType="end"/>
      </w:r>
      <w:r w:rsidRPr="00F23463">
        <w:rPr>
          <w:rFonts w:ascii="Times New Roman" w:hAnsi="Times New Roman" w:cs="Times New Roman"/>
        </w:rPr>
        <w:t>. There is currently no validated brief version of the CPT.</w:t>
      </w:r>
    </w:p>
    <w:p w14:paraId="04DD5E02" w14:textId="77777777" w:rsidR="00CF334C" w:rsidRPr="00F23463" w:rsidRDefault="00CF334C" w:rsidP="00AC0B06">
      <w:pPr>
        <w:pStyle w:val="NoSpacing"/>
        <w:spacing w:line="480" w:lineRule="auto"/>
        <w:rPr>
          <w:rFonts w:ascii="Times New Roman" w:hAnsi="Times New Roman" w:cs="Times New Roman"/>
        </w:rPr>
      </w:pPr>
    </w:p>
    <w:p w14:paraId="480341B8" w14:textId="340AF053" w:rsidR="00D8030D" w:rsidRDefault="008A4FF5" w:rsidP="002624F0">
      <w:pPr>
        <w:pStyle w:val="NoSpacing"/>
        <w:spacing w:line="480" w:lineRule="auto"/>
        <w:rPr>
          <w:rFonts w:ascii="Times New Roman" w:hAnsi="Times New Roman" w:cs="Times New Roman"/>
        </w:rPr>
      </w:pPr>
      <w:r w:rsidRPr="00F23463">
        <w:rPr>
          <w:rFonts w:ascii="Times New Roman" w:hAnsi="Times New Roman" w:cs="Times New Roman"/>
        </w:rPr>
        <w:t>Research using the APT has demonstrated that alcohol demand is associated with the quantity and frequency of alcohol consumption</w:t>
      </w:r>
      <w:r w:rsidR="005F0FC4">
        <w:rPr>
          <w:rFonts w:ascii="Times New Roman" w:hAnsi="Times New Roman" w:cs="Times New Roman"/>
        </w:rPr>
        <w:t xml:space="preserve"> </w:t>
      </w:r>
      <w:r w:rsidR="005F0FC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{"citationID":"sHvv7AEK","properties":{"formattedCitation":"(Murphy &amp; MacKillop, 2006)","plainCitation":"(Murphy &amp; MacKillop, 2006)","noteIndex":0},"citationItems":[{"id":1395,"uris":["http://zotero.org/users/7873587/items/RL3F96YW"],"itemData":{"id":1395,"type":"article-journal","abstract":"The construct of relative reinforcing efficacy (RRE) is central to many laboratory and theoretical models of drug abuse, but it has not been widely measured in applied clinical research contexts. The authors used a simulated alcohol purchase task to measure RRE in a sample of 267 college student drinkers. Participants reported their alcohol consumption across a range of prices, and their responses were well-described by a regression equation that has been used to construct demand curves in drug self-administration studies. Several measures of relative reinforcing efficacy were generated, including breakpoint, intensity of demand, elasticity, P-sub(max) (price at which response output is maximized), and O-sub(max) (maximum alcohol expenditures). Demand for alcohol was inelastic across the initial range of prices but became elastic as price increased. Students who reported recent heavy drinking reported significantly greater intensity of demand, O-sub(max), and breakpoint. These results provide initial support for the validity of the RRE indices generated with the alcohol purchase task. These results also provide empirical support for programs that attempt to reduce alcohol abuse by eliminating low-cost access to alcohol.","container-title":"Experimental and Clinical Psychopharmacology","DOI":"10.1037/1064-1297.14.2.219","ISSN":"1064-1297","issue":"2","journalAbbreviation":"Exp Clin Psychopharmacol","language":"eng","note":"PMID: 16756426","page":"219-227","source":"PubMed","title":"Relative reinforcing efficacy of alcohol among college student drinkers","volume":"14","author":[{"family":"Murphy","given":"James G."},{"family":"MacKillop","given":"James"}],"issued":{"date-parts":[["2006",5]]}}}],"schema":"https://github.com/citation-style-language/schema/raw/master/csl-citation.json"} </w:instrText>
      </w:r>
      <w:r w:rsidR="005F0FC4">
        <w:rPr>
          <w:rFonts w:ascii="Times New Roman" w:hAnsi="Times New Roman" w:cs="Times New Roman"/>
        </w:rPr>
        <w:fldChar w:fldCharType="separate"/>
      </w:r>
      <w:r w:rsidR="005F0FC4" w:rsidRPr="005F0FC4">
        <w:rPr>
          <w:rFonts w:ascii="Times New Roman" w:hAnsi="Times New Roman" w:cs="Times New Roman"/>
        </w:rPr>
        <w:t>(Murphy &amp; MacKillop, 2006)</w:t>
      </w:r>
      <w:r w:rsidR="005F0FC4">
        <w:rPr>
          <w:rFonts w:ascii="Times New Roman" w:hAnsi="Times New Roman" w:cs="Times New Roman"/>
        </w:rPr>
        <w:fldChar w:fldCharType="end"/>
      </w:r>
      <w:r w:rsidRPr="00F23463">
        <w:rPr>
          <w:rFonts w:ascii="Times New Roman" w:hAnsi="Times New Roman" w:cs="Times New Roman"/>
        </w:rPr>
        <w:t xml:space="preserve">, AUD severity </w:t>
      </w:r>
      <w:r w:rsidR="005F0FC4">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{"citationID":"DWeXhHAR","properties":{"formattedCitation":"(MacKillop et al., 2010)","plainCitation":"(MacKillop et al., 2010)","noteIndex":0},"citationItems":[{"id":1408,"uris":["http://zotero.org/users/7873587/items/ANPALGR9"],"itemData":{"id":1408,"type":"article-journal","abstract":"A behavioral economic approach to alcohol use disorders (AUDs) emphasizes both individual and environmental determinants of alcohol use. The current study examined individual differences in alcohol demand (i.e., motivation for alcohol under escalating conditions of price) and delayed reward discounting (i.e., preference for immediate small rewards compared to delayed larger rewards) in 61 heavy drinkers (62% with an AUD). In addition, based on theoretical accounts that emphasize the role of craving in reward valuation and preferences for immediate rewards, craving for alcohol was also examined in relation to these behavioral economic variables and the alcohol-related variables. Intensity of alcohol demand and delayed reward discounting were significantly associated with AUD symptoms, but not with quantitative measures of alcohol use, and were also moderately correlated with each other. Likewise, craving was significantly associated with AUD symptoms, but not with alcohol use, and was also significantly correlated with both intensity of demand and delayed reward discounting. These findings further emphasize the relevance of behavioral economic indices of motivation to alcohol use disorders and the potential importance of craving for alcohol in this relationship.","container-title":"Journal of abnormal psychology","DOI":"10.1037/a0017513","ISSN":"0021-843X","issue":"1","journalAbbreviation":"J Abnorm Psychol","note":"PMID: 20141247\nPMCID: PMC2862264","page":"106-114","source":"PubMed Central","title":"Alcohol demand, delayed reward discounting, and craving in relation to drinking and alcohol use disorders","volume":"119","author":[{"family":"MacKillop","given":"James"},{"family":"Miranda","given":"Robert"},{"family":"Monti","given":"Peter M."},{"family":"Ray","given":"Lara A."},{"family":"Murphy","given":"James G."},{"family":"Rohsenow","given":"Damaris J."},{"family":"McGeary","given":"John E."},{"family":"Swift","given":"Robert M."},{"family":"Tidey","given":"Jennifer W."},{"family":"Gwaltney","given":"Chad J."}],"issued":{"date-parts":[["2010",2]]}}}],"schema":"https://github.com/citation-style-language/schema/raw/master/csl-citation.json"} </w:instrText>
      </w:r>
      <w:r w:rsidR="005F0FC4">
        <w:rPr>
          <w:rFonts w:ascii="Times New Roman" w:hAnsi="Times New Roman" w:cs="Times New Roman"/>
        </w:rPr>
        <w:fldChar w:fldCharType="separate"/>
      </w:r>
      <w:r w:rsidR="005F0FC4" w:rsidRPr="005F0FC4">
        <w:rPr>
          <w:rFonts w:ascii="Times New Roman" w:hAnsi="Times New Roman" w:cs="Times New Roman"/>
        </w:rPr>
        <w:t>(MacKillop et al., 2010)</w:t>
      </w:r>
      <w:r w:rsidR="005F0FC4">
        <w:rPr>
          <w:rFonts w:ascii="Times New Roman" w:hAnsi="Times New Roman" w:cs="Times New Roman"/>
        </w:rPr>
        <w:fldChar w:fldCharType="end"/>
      </w:r>
      <w:r w:rsidRPr="00F23463">
        <w:rPr>
          <w:rFonts w:ascii="Times New Roman" w:hAnsi="Times New Roman" w:cs="Times New Roman"/>
        </w:rPr>
        <w:t xml:space="preserve">, and is predictive of brief treatment outcomes </w:t>
      </w:r>
      <w:r w:rsidR="00E53B16">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{"citationID":"Z4OpZkh1","properties":{"formattedCitation":"(MacKillop &amp; Murphy, 2007; Murphy et al., 2015)","plainCitation":"(MacKillop &amp; Murphy, 2007; Murphy et al., 2015)","noteIndex":0},"citationItems":[{"id":1413,"uris":["http://zotero.org/users/7873587/items/Q6P8WFLL"],"itemData":{"id":1413,"type":"article-journal","abstract":"Considerable basic and clinical research supports a behavioral economic conceptualization of alcohol and drug dependence. One behavioral economic approach to assess motivation for a drug is the use of demand curves, or quantitative representations of drug consumption and drug-reinforced responding across a range of prices. This study used a hypothetical alcohol purchase task to generate demand curves, and examined whether the resulting demand curve parameters predicted drinking outcomes following a brief intervention. Participants were 51 college student drinkers (67% female; 94% Caucasian; drinks/week: M=24.57, S.D.=8.77) who completed a brief alcohol intervention. Consistent with predictions, a number of demand curve indices significantly predicted post-intervention alcohol use and frequency of heavy drinking episodes, even after controlling for baseline drinking and other pertinent covariates. Most prominently, O(max) (i.e., maximum alcohol expenditure) and breakpoint (i.e., sensitivity of consumption to increasing price) predicted greater drinking at 6-month post-intervention follow-up. These results indicate that a behavioral economic measure of alcohol demand may have utility in characterizing the malleability of alcohol consumption. Moreover, these results support the utility of translating experimental assays of reinforcement into clinical research.","container-title":"Drug and Alcohol Dependence","DOI":"10.1016/j.drugalcdep.2007.01.002","ISSN":"0376-8716","issue":"2-3","journalAbbreviation":"Drug Alcohol Depend","language":"eng","note":"PMID: 17289297","page":"227-233","source":"PubMed","title":"A behavioral economic measure of demand for alcohol predicts brief intervention outcomes","volume":"89","author":[{"family":"MacKillop","given":"James"},{"family":"Murphy","given":"James G."}],"issued":{"date-parts":[["2007",7,10]]}},"label":"page"},{"id":1415,"uris":["http://zotero.org/users/7873587/items/CN5S7X7F"],"itemData":{"id":1415,"type":"article-journal","abstract":"Objective\nThe present study attempted to determine if behavioral economic indices of elevated alcohol reward value, measured before and immediately after a brief alcohol intervention, predict treatment response.\n\nMethod\nParticipants were 133 heavy drinking college students (49.6% female, 51.4% male; 64.3% Caucasian, 29.5% African American) who were randomized to one of three conditions: motivational interviewing plus personalized feedback (BMI), computerized personalized feedback intervention (e-CHUG), and assessment only.\n\nResults\nBaseline levels of alcohol demand significantly predicted drinks per week and alcohol problems at 1-month (demand intensity= maximum expenditure) and 6-month (relative discretionary expenditures on alcohol) follow-up. BMI and e-CHUG were associated with an immediate post-session reduction in alcohol demand (p &lt; .001, ηρ2 = .29) that persisted at the 1-month follow-up, with greater post-session reductions in the BMI condition (p = .02, ηρ2 = .06). Reductions in demand intensity and Omax (maximum expenditure) immediately post-intervention significantly predicted drinking reductions at one-month follow up (p = .04, ΔR2 = .02 &amp; p = .01, ΔR2 = .03, respectively). Reductions in relative discretionary expenditures on alcohol at 1-month significantly predicted drinking (p = .002, ΔR2 = .06,) and alcohol problem (p &lt; .001, ΔR2 = .13) reductions at the 6-month follow-up.\n\nConclusions\nThese results suggest that behavioral economic reward value indices may function as risk factors for poor intervention response and as clinically-relevant markers of change in heavy drinkers.","container-title":"Journal of consulting and clinical psychology","DOI":"10.1037/ccp0000032","ISSN":"0022-006X","issue":"6","journalAbbreviation":"J Consult Clin Psychol","note":"PMID: 26167945\nPMCID: PMC4658255","page":"1033-1043","source":"PubMed Central","title":"Behavioral economic predictors of brief alcohol intervention outcomes","volume":"83","author":[{"family":"Murphy","given":"James G."},{"family":"Dennhardt","given":"Ashley A."},{"family":"Martens","given":"Matthew P."},{"family":"Yurasek","given":"Ali M."},{"family":"Skidmore","given":"Jessica R."},{"family":"MacKillop","given":"James"},{"family":"McDevitt-Murphy","given":"Meghan E."}],"issued":{"date-parts":[["2015",12]]}},"label":"act"}],"schema":"https://github.com/citation-style-language/schema/raw/master/csl-citation.json"} </w:instrText>
      </w:r>
      <w:r w:rsidR="00E53B16">
        <w:rPr>
          <w:rFonts w:ascii="Times New Roman" w:hAnsi="Times New Roman" w:cs="Times New Roman"/>
        </w:rPr>
        <w:fldChar w:fldCharType="separate"/>
      </w:r>
      <w:r w:rsidR="00E53B16" w:rsidRPr="00E53B16">
        <w:rPr>
          <w:rFonts w:ascii="Times New Roman" w:hAnsi="Times New Roman" w:cs="Times New Roman"/>
        </w:rPr>
        <w:t>(MacKillop &amp; Murphy, 2007; Murphy et al., 2015)</w:t>
      </w:r>
      <w:r w:rsidR="00E53B16">
        <w:rPr>
          <w:rFonts w:ascii="Times New Roman" w:hAnsi="Times New Roman" w:cs="Times New Roman"/>
        </w:rPr>
        <w:fldChar w:fldCharType="end"/>
      </w:r>
      <w:r w:rsidR="00E53B16">
        <w:rPr>
          <w:rFonts w:ascii="Times New Roman" w:hAnsi="Times New Roman" w:cs="Times New Roman"/>
        </w:rPr>
        <w:t xml:space="preserve">. Despite choices being hypothetical in nature, responses on the APT </w:t>
      </w:r>
      <w:r w:rsidRPr="00F23463">
        <w:rPr>
          <w:rFonts w:ascii="Times New Roman" w:hAnsi="Times New Roman" w:cs="Times New Roman"/>
        </w:rPr>
        <w:t>have been found to be highly correlated with consumption</w:t>
      </w:r>
      <w:r w:rsidR="00E53B16">
        <w:rPr>
          <w:rFonts w:ascii="Times New Roman" w:hAnsi="Times New Roman" w:cs="Times New Roman"/>
        </w:rPr>
        <w:t xml:space="preserve"> of alcohol</w:t>
      </w:r>
      <w:r w:rsidRPr="00F23463">
        <w:rPr>
          <w:rFonts w:ascii="Times New Roman" w:hAnsi="Times New Roman" w:cs="Times New Roman"/>
        </w:rPr>
        <w:t xml:space="preserve"> in the laboratory </w:t>
      </w:r>
      <w:r w:rsidR="00AE524C">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{"citationID":"4lwpnyis","properties":{"formattedCitation":"(Amlung et al., 2012; Amlung &amp; MacKillop, 2015)","plainCitation":"(Amlung et al., 2012; Amlung &amp; MacKillop, 2015)","noteIndex":0},"citationItems":[{"id":1425,"uris":["http://zotero.org/users/7873587/items/4VSXX986"],"itemData":{"id":1425,"type":"article-journal","abstract":"Background\nBehavioral economic alcohol purchase tasks (APTs) are self-report measures of alcohol demand that assess estimated consumption at escalating levels of price. However, the relationship between estimated performance for hypothetical outcomes and choices for actual outcomes has not been determined. The present study examined both the correspondence between choices for hypothetical and actual outcomes, and the correspondence between estimated alcohol consumption and actual drinking behavior. A collateral goal of the study was to examine the effects of alcohol cues on APT performance.\n\nMethods\nForty one heavy-drinking adults (56% male) participated in a human laboratory protocol comprising APTs for hypothetical and actual alcohol and money, an alcohol cue reactivity paradigm, an alcohol self-administration period, and a recovery period.\n\nResults\nPearson correlations revealed very high correspondence between APT performance for hypothetical and actual alcohol (ps &lt; .001). Estimated consumption on the APT was similarly strongly associated with actual consumption during the self-administration period (r = .87, p &lt;.001). Exposure to alcohol cues significantly increased subjective craving and arousal, and had a trend-level effect on intensity of demand, in spite of notable ceiling effects. Associations among motivational indices were highly variable, suggesting multidimensionality.\n\nConclusions\nThese results suggest there may be close correspondence both between value preferences for hypothetical alcohol and actual alcohol, and between estimated consumption and actual consumption. Methodological considerations and priorities for future studies are discussed.","container-title":"Alcoholism, Clinical and Experimental Research","DOI":"10.1111/j.1530-0277.2011.01656.x","ISSN":"0145-6008","issue":"4","journalAbbreviation":"Alcohol Clin Exp Res","note":"PMID: 22017303\nPMCID: PMC3266442","page":"716-724","source":"PubMed Central","title":"Is talk ‘cheap’? An initial investigation of the equivalence of Alcohol Purchase Task performance for hypothetical and actual rewards","title-short":"Is Talk ‘Cheap’?","volume":"36","author":[{"family":"Amlung","given":"Michael"},{"family":"Acker","given":"John"},{"family":"Stojek","given":"Monika"},{"family":"Murphy","given":"James G."},{"family":"MacKillop","given":"James"}],"issued":{"date-parts":[["2012",4]]}},"label":"page"},{"id":1421,"uris":["http://zotero.org/users/7873587/items/L893L6WE"],"itemData":{"id":1421,"type":"article-journal","abstract":"Alcohol purchase tasks (APTs) are increasingly being used to assess behavioral economic demand for alcohol. Prior studies utilizing APTs have typically assessed demand for hypothetical outcomes, making the extent to which these hypothetical measures reflect ...","container-title":"Behavioural processes","DOI":"10.1016/j.beproc.2015.02.012","language":"en","note":"publisher: NIH Public Access\nPMID: 25712039","page":"187-191","source":"www.ncbi.nlm.nih.gov","title":"Further evidence of close correspondence for alcohol demand decision making for hypothetical and incentivized rewards","volume":"113","author":[{"family":"Amlung","given":"Michael"},{"family":"MacKillop","given":"James"}],"issued":{"date-parts":[["2015",4]]}},"label":"act"}],"schema":"https://github.com/citation-style-language/schema/raw/master/csl-citation.json"} </w:instrText>
      </w:r>
      <w:r w:rsidR="00AE524C">
        <w:rPr>
          <w:rFonts w:ascii="Times New Roman" w:hAnsi="Times New Roman" w:cs="Times New Roman"/>
        </w:rPr>
        <w:fldChar w:fldCharType="separate"/>
      </w:r>
      <w:r w:rsidR="00AE524C" w:rsidRPr="00AE524C">
        <w:rPr>
          <w:rFonts w:ascii="Times New Roman" w:hAnsi="Times New Roman" w:cs="Times New Roman"/>
        </w:rPr>
        <w:t>(Amlung et al., 2012; Amlung &amp; MacKillop, 2015)</w:t>
      </w:r>
      <w:r w:rsidR="00AE524C">
        <w:rPr>
          <w:rFonts w:ascii="Times New Roman" w:hAnsi="Times New Roman" w:cs="Times New Roman"/>
        </w:rPr>
        <w:fldChar w:fldCharType="end"/>
      </w:r>
      <w:r w:rsidRPr="00F23463">
        <w:rPr>
          <w:rFonts w:ascii="Times New Roman" w:hAnsi="Times New Roman" w:cs="Times New Roman"/>
        </w:rPr>
        <w:t xml:space="preserve"> demonstrating that indices of demand are </w:t>
      </w:r>
      <w:r w:rsidR="00E53B16">
        <w:rPr>
          <w:rFonts w:ascii="Times New Roman" w:hAnsi="Times New Roman" w:cs="Times New Roman"/>
        </w:rPr>
        <w:t xml:space="preserve">indicative </w:t>
      </w:r>
      <w:r w:rsidRPr="00F23463">
        <w:rPr>
          <w:rFonts w:ascii="Times New Roman" w:hAnsi="Times New Roman" w:cs="Times New Roman"/>
        </w:rPr>
        <w:t xml:space="preserve">of actual drinking behaviour. Similarly, research using the CPT has demonstrated that </w:t>
      </w:r>
      <w:r w:rsidR="004A7333">
        <w:rPr>
          <w:rFonts w:ascii="Times New Roman" w:hAnsi="Times New Roman" w:cs="Times New Roman"/>
        </w:rPr>
        <w:t xml:space="preserve">cigarette </w:t>
      </w:r>
      <w:r w:rsidRPr="004A7333">
        <w:rPr>
          <w:rFonts w:ascii="Times New Roman" w:hAnsi="Times New Roman" w:cs="Times New Roman"/>
        </w:rPr>
        <w:t>demand</w:t>
      </w:r>
      <w:r w:rsidR="000766C3" w:rsidRPr="004A7333">
        <w:rPr>
          <w:rFonts w:ascii="Times New Roman" w:hAnsi="Times New Roman" w:cs="Times New Roman"/>
        </w:rPr>
        <w:t xml:space="preserve"> </w:t>
      </w:r>
      <w:r w:rsidRPr="00F23463">
        <w:rPr>
          <w:rFonts w:ascii="Times New Roman" w:hAnsi="Times New Roman" w:cs="Times New Roman"/>
        </w:rPr>
        <w:t xml:space="preserve">is associated with consumption of cigarettes </w:t>
      </w:r>
      <w:r w:rsidR="00BD47D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{"citationID":"4Rpkkdqq","properties":{"formattedCitation":"(Gonz\\uc0\\u225{}lez-Roz et al., 2019)","plainCitation":"(González-Roz et al., 2019)","noteIndex":0},"citationItems":[{"id":813,"uris":["http://zotero.org/users/7873587/items/LZYTS2PP"],"itemData":{"id":813,"type":"article-journal","abstract":"Background and Aims A cigarette purchase task (CPT) aims to characterize individual variation in the reinforcing value of tobacco. This meta-analysis estimated the associations between cigarette demand, tobacco consumption and nicotine dependence using this task. Design A meta-analysis of cross-sectional studies identified by PubMed and PsycINFO databases was conducted. Fixed- and random-effects models were used. The study also examined the model used to derive elasticity of demand (exponential or exponentiated) as a potential moderator. Publication bias was assessed using ‘fail-safe N', Begg–Mazumdar test, Egger's test, Tweedie's trim-and-fill approach and meta-regression of publication year with effect size. Setting Studies from any setting that reported coefficient correlations on the tested associations. Participants Daily cigarette users (i.e. 5 to 38 cigarettes per day; n = 7649). Measurements Cigarette consumption, nicotine dependence and five tobacco demand indicators: intensity (i.e. consumption at no cost), elasticity (i.e. sensitivity to rises in costs), Omax (maximum expenditure), Pmax (i.e. price at which consumption becomes elastic) and breakpoint (i.e. price at which consumption ceases). Findings Twenty-three studies met inclusion criteria. All the CPT indices were significantly correlated with smoking behavior (rs = 0.044–0.572, Ps = 0.012–10−8). Medium-to-large effect size associations were present for intensity, Omax, and elasticity, whereas small effects were obtained for breakpoint and Pmax. Evidence of a moderating effect of the different elasticity modeling approaches was not present. There was limited evidence of publication bias. Conclusions All five demand indices derived from the cigarette purchase task by (CPT) were robustly associated with cigarette consumption and tobacco dependence. Of the demand indices, maximum expenditure, intensity and elasticity exhibited the largest magnitude associations.","container-title":"Addiction","DOI":"10.1111/add.14736","ISSN":"1360-0443","issue":"11","language":"en","note":"_eprint: https://onlinelibrary.wiley.com/doi/pdf/10.1111/add.14736","page":"1926-1940","source":"Wiley Online Library","title":"Behavioral economic tobacco demand in relation to cigarette consumption and nicotine dependence: a meta-analysis of cross-sectional relationships","title-short":"Behavioral economic tobacco demand in relation to cigarette consumption and nicotine dependence","volume":"114","author":[{"family":"González-Roz","given":"Alba"},{"family":"Jackson","given":"Jacob"},{"family":"Murphy","given":"Cara"},{"family":"Rohsenow","given":"Damaris J."},{"family":"MacKillop","given":"James"}],"issued":{"date-parts":[["2019"]]}}}],"schema":"https://github.com/citation-style-language/schema/raw/master/csl-citation.json"} </w:instrText>
      </w:r>
      <w:r w:rsidR="00BD47D3">
        <w:rPr>
          <w:rFonts w:ascii="Times New Roman" w:hAnsi="Times New Roman" w:cs="Times New Roman"/>
        </w:rPr>
        <w:fldChar w:fldCharType="separate"/>
      </w:r>
      <w:r w:rsidR="00BD47D3" w:rsidRPr="00BD47D3">
        <w:rPr>
          <w:rFonts w:ascii="Times New Roman" w:hAnsi="Times New Roman" w:cs="Times New Roman"/>
        </w:rPr>
        <w:t>(González-Roz et al., 2019)</w:t>
      </w:r>
      <w:r w:rsidR="00BD47D3">
        <w:rPr>
          <w:rFonts w:ascii="Times New Roman" w:hAnsi="Times New Roman" w:cs="Times New Roman"/>
        </w:rPr>
        <w:fldChar w:fldCharType="end"/>
      </w:r>
      <w:r w:rsidRPr="00F23463">
        <w:rPr>
          <w:rFonts w:ascii="Times New Roman" w:hAnsi="Times New Roman" w:cs="Times New Roman"/>
        </w:rPr>
        <w:t xml:space="preserve">, nicotine dependence </w:t>
      </w:r>
      <w:r w:rsidR="00BD47D3">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{"citationID":"Z3F4ISSd","properties":{"formattedCitation":"(MacKillop et al., 2008; Murphy et al., 2011)","plainCitation":"(MacKillop et al., 2008; Murphy et al., 2011)","noteIndex":0},"citationItems":[{"id":825,"uris":["http://zotero.org/users/7873587/items/HPVPY5R2"],"itemData":{"id":825,"type":"article-journal","abstract":"The authors sought to further validate a cigarette purchase task (CPT), a self-report analogue of a progressive-ratio operant schedule, for the assessment of the relative reinforcing efficacy (RRE) of nicotine in smokers. The measure was assessed in terms of its correspondence to typically observed operant behavior, convergent validity, and divergent validity. Participants were 33 individuals (58% male, age M = 19.30 years) who smoked at least weekly (M = 5.31 cigarettes/day) and underwent a single assessment session. Data from the CPT exhibited the predicted inverse relationship between consumption and price, the predicted relationship between consumption and expenditure, and a heterogeneous pattern of interrelationships among the indices of reinforcement. In addition, 2 indices from the measure, intensity of demand and maximum expenditure for cigarettes, exhibited robust convergent and divergent validity. Although this is an incipient research area and the current study used a relatively small sample, these findings support the validity of a CPT as a time- and cost-efficient method for assessing nicotine reinforcement. Theoretical implications of the findings, limitations, and future directions are also discussed. (PsycINFO Database Record (c) 2016 APA, all rights reserved)","container-title":"Experimental and Clinical Psychopharmacology","DOI":"10.1037/1064-1297.16.1.57","ISSN":"1936-2293","issue":"1","note":"publisher-place: US\npublisher: American Psychological Association","page":"57-65","source":"APA PsycNet","title":"Further validation of a cigarette purchase task for assessing the relative reinforcing efficacy of nicotine in college smokers","volume":"16","author":[{"family":"MacKillop","given":"James"},{"family":"Murphy","given":"James G."},{"family":"Ray","given":"Lara A."},{"family":"Eisenberg","given":"Daniel T. A."},{"family":"Lisman","given":"Stephen A."},{"family":"Lum","given":"J. Koji"},{"family":"Wilson","given":"David S."}],"issued":{"date-parts":[["2008"]]}},"label":"page"},{"id":1430,"uris":["http://zotero.org/users/7873587/items/6ZPCDAFH"],"itemData":{"id":1430,"type":"article-journal","abstract":"High or inelastic demand for drugs is central to many laboratory and theoretical models of drug abuse, but it has not been widely measured with human substance abusers. The authors used a simulated cigarette purchase task to generate a demand curve measure of nicotine reinforcement in a sample of 138 adolescent smokers. Participants reported the number of cigarettes they would purchase and smoke in a hypothetical day across a range of prices, and their responses were well-described by a regression equation that has been used to construct demand curves in drug self-administration studies. Several demand curve measures were generated, including breakpoint, intensity, elasticity, Pmax, and Omax. Although simulated cigarette smoking was price sensitive, smoking levels were high (8+ cigarettes/day) at prices up to 50¢ per cigarette, and the majority of the sample reported that they would purchase at least 1 cigarette at prices as high as $2.50 per cigarette. Higher scores on the demand indices Omax (maximum cigarette purchase expenditure), intensity (reported smoking level when cigarettes were free), and breakpoint (the first price to completely suppress consumption), and lower elasticity (sensitivity of cigarette consumption to increases in cost), were associated with greater levels of naturalistic smoking and nicotine dependence. Greater demand intensity was associated with lower motivation to change smoking. These results provide initial support for the validity of a self-report cigarette purchase task as a measure of economic demand for nicotine with adolescent smokers.","container-title":"Drug and alcohol dependence","DOI":"10.1016/j.drugalcdep.2010.08.004","ISSN":"0376-8716","issue":"2-3","journalAbbreviation":"Drug Alcohol Depend","note":"PMID: 20832200\nPMCID: PMC3025087","page":"207-214","source":"PubMed Central","title":"Validity of a demand curve measure of nicotine reinforcement with adolescent smokers","volume":"113","author":[{"family":"Murphy","given":"James G."},{"family":"MacKillop","given":"James"},{"family":"Tidey","given":"Jennifer W."},{"family":"Brazil","given":"Linda A."},{"family":"Colby","given":"Suzanne M."}],"issued":{"date-parts":[["2011",1,15]]}},"label":"act"}],"schema":"https://github.com/citation-style-language/schema/raw/master/csl-citation.json"} </w:instrText>
      </w:r>
      <w:r w:rsidR="00BD47D3">
        <w:rPr>
          <w:rFonts w:ascii="Times New Roman" w:hAnsi="Times New Roman" w:cs="Times New Roman"/>
        </w:rPr>
        <w:fldChar w:fldCharType="separate"/>
      </w:r>
      <w:r w:rsidR="00BD47D3" w:rsidRPr="00BD47D3">
        <w:rPr>
          <w:rFonts w:ascii="Times New Roman" w:hAnsi="Times New Roman" w:cs="Times New Roman"/>
        </w:rPr>
        <w:t>(MacKillop et al., 2008; Murphy et al., 2011)</w:t>
      </w:r>
      <w:r w:rsidR="00BD47D3">
        <w:rPr>
          <w:rFonts w:ascii="Times New Roman" w:hAnsi="Times New Roman" w:cs="Times New Roman"/>
        </w:rPr>
        <w:fldChar w:fldCharType="end"/>
      </w:r>
      <w:r w:rsidR="00BD47D3">
        <w:rPr>
          <w:rFonts w:ascii="Times New Roman" w:hAnsi="Times New Roman" w:cs="Times New Roman"/>
        </w:rPr>
        <w:t xml:space="preserve">, </w:t>
      </w:r>
      <w:r w:rsidRPr="00F23463">
        <w:rPr>
          <w:rFonts w:ascii="Times New Roman" w:hAnsi="Times New Roman" w:cs="Times New Roman"/>
        </w:rPr>
        <w:t xml:space="preserve">and predicts future smoking behaviour in those attempting to quit </w:t>
      </w:r>
      <w:r w:rsidR="000766C3">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{"citationID":"T3ENEMUo","properties":{"formattedCitation":"(MacKillop et al., 2016)","plainCitation":"(MacKillop et al., 2016)","noteIndex":0},"citationItems":[{"id":1433,"uris":["http://zotero.org/users/7873587/items/WP4FR3FW"],"itemData":{"id":1433,"type":"article-journal","abstract":"INTRODUCTION: A cigarette purchase task (CPT) is a behavioral economic measure of the reinforcing value of smoking in monetary terms (ie, cigarette demand). This study investigated whether cigarette demand predicted response to contingent monetary rewards for abstinence among individuals with substance use disorders. It also sought to replicate evidence for greater price sensitivity at whole-dollar pack price transitions (ie, left-digit effects).\nMETHODS: Participants (N = 338) were individuals in residential substance use disorder treatment who participated in a randomized controlled trial that compared contingent vouchers to noncontingent vouchers for smoking abstinence. Baseline demand indices were used to predict number of abstinent days during the 14-day voucher period (after the reduction lead-in) and at 1 and 3 months afterward.\nRESULTS: Demand indices correlated with measures of smoking and nicotine dependence. As measured by elasticity, intensity and O max, higher demand significantly predicted fewer abstinent exhaled carbon monoxide readings during voucher period for individuals in the noncontingent vouchers condition. Breakpoint exhibited a trend-level association with abstinent exhaled carbon monoxide readings. Demand indices did not predict abstinence in the contingent vouchers group, and did not predict abstinence at 1- and 3-month follow-ups. Left-digit price transitions were associated with significantly greater reductions in consumption.\nCONCLUSIONS: The association of cigarette demand with smoking behavior only in the group for whom abstinence was not incentivized indicates that CPT assesses the value of smoking more than the value of money per se and that vouchers counteract the effects of the intrinsic reinforcing value of cigarettes. Results provide initial short-term evidence of predictive validity for the CPT indices.\nIMPLICATIONS: This study provides the first evidence of the validity of the CPT for predicting early response to brief advice for smoking cessation plus nicotine replacement in smokers with substance dependence. However, demand for cigarettes did not predict voucher-based treatment response, indicating that incentives serve as a powerful motivator not to smoke that acts in opposition to the intrinsic reinforcing value of cigarettes and that the indices reflect the value of smoking more than the value of money per se.","container-title":"Nicotine &amp; Tobacco Research","DOI":"10.1093/ntr/ntv233","ISSN":"1469-994X","issue":"5","journalAbbreviation":"Nicotine Tob Res","language":"eng","note":"PMID: 26498173\nPMCID: PMC5896828","page":"531-537","source":"PubMed","title":"Predictive validity of a Cigarette Purchase Task in a randomized controlled trial of contingent vouchers for smoking in individuals with substance use disorders","volume":"18","author":[{"family":"MacKillop","given":"James"},{"family":"Murphy","given":"Cara M."},{"family":"Martin","given":"Rosemarie A."},{"family":"Stojek","given":"Monika"},{"family":"Tidey","given":"Jennifer W."},{"family":"Colby","given":"Suzanne M."},{"family":"Rohsenow","given":"Damaris J."}],"issued":{"date-parts":[["2016",5]]}}}],"schema":"https://github.com/citation-style-language/schema/raw/master/csl-citation.json"} </w:instrText>
      </w:r>
      <w:r w:rsidR="000766C3">
        <w:rPr>
          <w:rFonts w:ascii="Times New Roman" w:hAnsi="Times New Roman" w:cs="Times New Roman"/>
        </w:rPr>
        <w:fldChar w:fldCharType="separate"/>
      </w:r>
      <w:r w:rsidR="002624F0" w:rsidRPr="002624F0">
        <w:rPr>
          <w:rFonts w:ascii="Times New Roman" w:hAnsi="Times New Roman" w:cs="Times New Roman"/>
        </w:rPr>
        <w:t>(MacKillop et al., 2016)</w:t>
      </w:r>
      <w:r w:rsidR="000766C3">
        <w:rPr>
          <w:rFonts w:ascii="Times New Roman" w:hAnsi="Times New Roman" w:cs="Times New Roman"/>
        </w:rPr>
        <w:fldChar w:fldCharType="end"/>
      </w:r>
      <w:r w:rsidR="000766C3">
        <w:rPr>
          <w:rFonts w:ascii="Times New Roman" w:hAnsi="Times New Roman" w:cs="Times New Roman"/>
        </w:rPr>
        <w:t>.</w:t>
      </w:r>
      <w:r w:rsidRPr="00F23463">
        <w:rPr>
          <w:rFonts w:ascii="Times New Roman" w:hAnsi="Times New Roman" w:cs="Times New Roman"/>
        </w:rPr>
        <w:t xml:space="preserve"> Responses on hypothetical purchase tasks and concurrent choice tasks </w:t>
      </w:r>
      <w:r w:rsidR="000766C3">
        <w:rPr>
          <w:rFonts w:ascii="Times New Roman" w:hAnsi="Times New Roman" w:cs="Times New Roman"/>
        </w:rPr>
        <w:t>have been found to be</w:t>
      </w:r>
      <w:r w:rsidRPr="00F23463">
        <w:rPr>
          <w:rFonts w:ascii="Times New Roman" w:hAnsi="Times New Roman" w:cs="Times New Roman"/>
        </w:rPr>
        <w:t xml:space="preserve"> correlated with one another </w:t>
      </w:r>
      <w:r w:rsidR="000766C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{"citationID":"w4P9998Z","properties":{"formattedCitation":"(Chase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000766C3">
        <w:rPr>
          <w:rFonts w:ascii="Times New Roman" w:hAnsi="Times New Roman" w:cs="Times New Roman"/>
        </w:rPr>
        <w:fldChar w:fldCharType="separate"/>
      </w:r>
      <w:r w:rsidR="00D8030D" w:rsidRPr="00D8030D">
        <w:rPr>
          <w:rFonts w:ascii="Times New Roman" w:hAnsi="Times New Roman" w:cs="Times New Roman"/>
        </w:rPr>
        <w:t>(Chase et al., 2013)</w:t>
      </w:r>
      <w:r w:rsidR="000766C3">
        <w:rPr>
          <w:rFonts w:ascii="Times New Roman" w:hAnsi="Times New Roman" w:cs="Times New Roman"/>
        </w:rPr>
        <w:fldChar w:fldCharType="end"/>
      </w:r>
      <w:r w:rsidRPr="00F23463">
        <w:rPr>
          <w:rFonts w:ascii="Times New Roman" w:hAnsi="Times New Roman" w:cs="Times New Roman"/>
        </w:rPr>
        <w:t xml:space="preserve"> demonstrating that they tap into some common construct of </w:t>
      </w:r>
      <w:r w:rsidR="005F0FC4">
        <w:rPr>
          <w:rFonts w:ascii="Times New Roman" w:hAnsi="Times New Roman" w:cs="Times New Roman"/>
        </w:rPr>
        <w:t>value</w:t>
      </w:r>
      <w:r w:rsidRPr="00F23463">
        <w:rPr>
          <w:rFonts w:ascii="Times New Roman" w:hAnsi="Times New Roman" w:cs="Times New Roman"/>
        </w:rPr>
        <w:t xml:space="preserve">. </w:t>
      </w:r>
      <w:r w:rsidR="005F0FC4">
        <w:rPr>
          <w:rFonts w:ascii="Times New Roman" w:hAnsi="Times New Roman" w:cs="Times New Roman"/>
        </w:rPr>
        <w:t>D</w:t>
      </w:r>
      <w:r w:rsidRPr="00F23463">
        <w:rPr>
          <w:rFonts w:ascii="Times New Roman" w:hAnsi="Times New Roman" w:cs="Times New Roman"/>
        </w:rPr>
        <w:t xml:space="preserve">emand indices from self-report hypothetical purchase tasks are </w:t>
      </w:r>
      <w:r w:rsidR="005F0FC4">
        <w:rPr>
          <w:rFonts w:ascii="Times New Roman" w:hAnsi="Times New Roman" w:cs="Times New Roman"/>
        </w:rPr>
        <w:t xml:space="preserve">also </w:t>
      </w:r>
      <w:r w:rsidRPr="00F23463">
        <w:rPr>
          <w:rFonts w:ascii="Times New Roman" w:hAnsi="Times New Roman" w:cs="Times New Roman"/>
        </w:rPr>
        <w:t>sensitive to experimental manipulation</w:t>
      </w:r>
      <w:r w:rsidR="00D8030D">
        <w:rPr>
          <w:rFonts w:ascii="Times New Roman" w:hAnsi="Times New Roman" w:cs="Times New Roman"/>
        </w:rPr>
        <w:t xml:space="preserve"> </w:t>
      </w:r>
      <w:r w:rsidR="00D8030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{"citationID":"k2Xl3WVL","properties":{"formattedCitation":"(Acuff,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00D8030D">
        <w:rPr>
          <w:rFonts w:ascii="Times New Roman" w:hAnsi="Times New Roman" w:cs="Times New Roman"/>
        </w:rPr>
        <w:fldChar w:fldCharType="separate"/>
      </w:r>
      <w:r w:rsidR="00AE0B75">
        <w:rPr>
          <w:rFonts w:ascii="Times New Roman" w:hAnsi="Times New Roman" w:cs="Times New Roman"/>
        </w:rPr>
        <w:t>(Acuff, Amlung, et al., 2020)</w:t>
      </w:r>
      <w:r w:rsidR="00D8030D">
        <w:rPr>
          <w:rFonts w:ascii="Times New Roman" w:hAnsi="Times New Roman" w:cs="Times New Roman"/>
        </w:rPr>
        <w:fldChar w:fldCharType="end"/>
      </w:r>
      <w:r w:rsidR="00D8030D">
        <w:rPr>
          <w:rFonts w:ascii="Times New Roman" w:hAnsi="Times New Roman" w:cs="Times New Roman"/>
        </w:rPr>
        <w:t xml:space="preserve"> </w:t>
      </w:r>
      <w:r w:rsidRPr="00F23463">
        <w:rPr>
          <w:rFonts w:ascii="Times New Roman" w:hAnsi="Times New Roman" w:cs="Times New Roman"/>
        </w:rPr>
        <w:t>such as exposure to substance</w:t>
      </w:r>
      <w:r w:rsidR="00D8030D">
        <w:rPr>
          <w:rFonts w:ascii="Times New Roman" w:hAnsi="Times New Roman" w:cs="Times New Roman"/>
        </w:rPr>
        <w:t>-</w:t>
      </w:r>
      <w:r w:rsidRPr="00F23463">
        <w:rPr>
          <w:rFonts w:ascii="Times New Roman" w:hAnsi="Times New Roman" w:cs="Times New Roman"/>
        </w:rPr>
        <w:t xml:space="preserve">related cues, withdrawal, and </w:t>
      </w:r>
      <w:r w:rsidR="00D8030D">
        <w:rPr>
          <w:rFonts w:ascii="Times New Roman" w:hAnsi="Times New Roman" w:cs="Times New Roman"/>
        </w:rPr>
        <w:t>the</w:t>
      </w:r>
      <w:r w:rsidRPr="00F23463">
        <w:rPr>
          <w:rFonts w:ascii="Times New Roman" w:hAnsi="Times New Roman" w:cs="Times New Roman"/>
        </w:rPr>
        <w:t xml:space="preserve"> induction</w:t>
      </w:r>
      <w:r w:rsidR="00D8030D">
        <w:rPr>
          <w:rFonts w:ascii="Times New Roman" w:hAnsi="Times New Roman" w:cs="Times New Roman"/>
        </w:rPr>
        <w:t xml:space="preserve"> of stress </w:t>
      </w:r>
      <w:r w:rsidR="00D8030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{"citationID":"Lux6RX4x","properties":{"formattedCitation":"(Amlung &amp; MacKillop, 2014; Aston et al., 2021; MacKillop et al., 2012)","plainCitation":"(Amlung &amp; MacKillop, 2014; Aston et al., 2021; MacKillop et al., 2012)","noteIndex":0},"citationItems":[{"id":1436,"uris":["http://zotero.org/users/7873587/items/R93JE4Z6"],"itemData":{"id":1436,"type":"article-journal","abstract":"Background\nPsychological stress and alcohol cues are common antecedents of both ongoing drinking and relapse. One candidate mechanism of risk from these factors is acute increases in craving, but experimental support for this hypothesis is mixed. Furthermore, the combination of stress and cues has been largely unstudied. The current study employed a behavioral economic approach to investigate the combined roles of psychosocial stress and alcohol cues on motivation for alcohol.\n\nMethods\nIn a sample of 84 adult heavy drinkers, we examined the effects of an acute laboratory stress induction and an alcohol cue exposure on subjective craving and stress, arousal, and behavioral economic decision-making. Primary dependent measures included an intertemporal cross-commodity multiple choice procedure (ICCMCP), incorporating both price and delay elements; an alcohol purchase task (APT), measuring alcohol demand; and a monetary delay discounting task (DDT), measuring intertemporal choice.\n\nResults\nThe stress induction significantly increased stress, craving, and the incentive value of alcohol on the ICCMCP and APT. Stress-related increases in value on the ICCMCP were mediated by increased alcohol demand. Exposure to alcohol cues only significantly affected craving, APT breakpoint, and arousal. Delay discounting was not affected by either stress or cues.\n\nConclusions\nThese results reveal unique behavioral economic dimensions of motivation for alcohol following acute stress and an alcohol cue exposure. More broadly, as the first application of this approach to understanding the role of stress in drug motivation, these findings support its utility and potential in future applications.","container-title":"Alcoholism, clinical and experimental research","DOI":"10.1111/acer.12423","ISSN":"0145-6008","issue":"6","journalAbbreviation":"Alcohol Clin Exp Res","note":"PMID: 24890323\nPMCID: PMC4049358","page":"1780-1789","source":"PubMed Central","title":"Understanding the effects of stress and alcohol cues on motivation for alcohol via behavioral economics","volume":"38","author":[{"family":"Amlung","given":"Michael"},{"family":"MacKillop","given":"James"}],"issued":{"date-parts":[["2014",6]]}},"label":"act"},{"id":853,"uris":["http://zotero.org/users/7873587/items/6NHAL78N"],"itemData":{"id":853,"type":"article-journal","abstract":"Introduction\nCigarette demand, or relative value, can be assessed via analysis of performance on a hypothetical behavioral economic cigarette purchase task (CPT). Substance purchase tasks are highly amenable to manipulation, namely, external stimuli, instructional changes, or acute stressors. In this regard, the current secondary analysis evaluates the role a novel, computerized stress induction paradigm, the Contextual-Frustration Intolerance Typing Task (C-FiTT), plays in eliciting varying levels of stress and resulting demand.\nMethod\nDaily smokers (n = 484) completed the C-FiTT wherein they were randomly assigned to one of five distress conditions: combination of task difficulty (low or high difficulty) with neutral or withdrawal cues, and a neutral control group. Tobacco demand was assessed immediately following the distress task using the hypothetical CPT.\nResults\nThe C-FiTT distress-induction task significantly increased key cigarette demand indices, including price at maximum expenditure (Pmax) and first price where consumption was suppressed to zero (breakpoint). Moreover, demand increased with severity of C-FiTT condition, with the high-difficulty condition resulting in significantly higher breakpoint and Pmax, compared to other conditions. C-FiTT condition was not related to a significant increase in Omax, intensity, or elasticity.\nDiscussion\nThe novel C-FiTT paradigm produced comparable effects on tobacco demand relative to in vivo withdrawal induction, indicating that the C-FiTT is a viable procedure by which to influence demand. Reduction of internal and external stressors may be effective in lowering motivation for tobacco. These results highlight the importance of state distress in tobacco demand, and offer a potential avenue for intervention.","container-title":"Drug and Alcohol Dependence","DOI":"10.1016/j.drugalcdep.2021.108522","ISSN":"0376-8716","journalAbbreviation":"Drug and Alcohol Dependence","language":"en","page":"108522","source":"ScienceDirect","title":"Effects of acute distress and tobacco cues on tobacco demand","volume":"221","author":[{"family":"Aston","given":"Elizabeth R."},{"family":"Smith","given":"Jacqueline E."},{"family":"DiBello","given":"Angelo M."},{"family":"Farris","given":"Samantha G."}],"issued":{"date-parts":[["2021",4,1]]}},"label":"page"},{"id":720,"uris":["http://zotero.org/users/7873587/items/45GIHJ8Q"],"itemData":{"id":720,"type":"article-journal","abstract":"INTRODUCTION: The role of craving in nicotine dependence remains controversial and may be a function of measurement challenges. The current study used behavioral economic approach to test the hypotheses that subjective craving from acute withdrawal and exposure to tobacco cues dynamically increases the relative value of cigarettes.\nMETHODS: Using a 2 (1-hr/12-hr deprivation) × 2 (neutral/tobacco cues) within-subjects design, 33 nicotine dependent adults completed 2 laboratory sessions. Assessment included subjective craving and behavioral economic indices of cigarette demand, namely Intensity (i.e., cigarette consumption at zero cost), O(max) (i.e., maximum total expenditure), Breakpoint (i.e., highest acceptable price for cigarettes), P(max) (i.e., price at which consumption becomes sensitive to price), and elasticity (i.e., price sensitivity). Behavioral economic indices were generated using a Cigarette Purchase Task in which participants selected between cigarettes for a subsequent 2-hr self-administration period and money.\nRESULTS: Main effects of deprivation and tobacco cues were present for subjective craving and multiple behavioral economic indices of cigarette demand. Interestingly, deprivation significantly increased Breakpoint (p ≤ .01) and P(max) (p ≤ .05) and had trend-level effects on Intensity and O(max) (p ≤ .10); whereas cues significantly reduced elasticity (p ≤ .01), reflecting lower sensitivity to increasing prices. Heterogeneous associations were evident among the motivational variables but with aggregations suggesting variably overlapping motivational channels.\nCONCLUSIONS: These findings further support a behavioral economic approach to craving and a multidimensional conception of acute motivation for addictive drugs. Methodological considerations, including potential order effects, and the need for further refinement of these findings are discussed.","container-title":"Nicotine &amp; Tobacco Research","DOI":"10.1093/ntr/nts006","ISSN":"1469-994X","issue":"12","journalAbbreviation":"Nicotine Tob Res","language":"eng","note":"PMID: 22416117\nPMCID: PMC3509008","page":"1426-1434","source":"PubMed","title":"Behavioral economic analysis of withdrawal- and cue-elicited craving for tobacco: an initial investigation","title-short":"Behavioral economic analysis of withdrawal- and cue-elicited craving for tobacco","volume":"14","author":[{"family":"MacKillop","given":"James"},{"family":"Brown","given":"Courtney L."},{"family":"Stojek","given":"Monika K."},{"family":"Murphy","given":"Cara M."},{"family":"Sweet","given":"Lawrence"},{"family":"Niaura","given":"Ray S."}],"issued":{"date-parts":[["2012",12]]}},"label":"act"}],"schema":"https://github.com/citation-style-language/schema/raw/master/csl-citation.json"} </w:instrText>
      </w:r>
      <w:r w:rsidR="00D8030D">
        <w:rPr>
          <w:rFonts w:ascii="Times New Roman" w:hAnsi="Times New Roman" w:cs="Times New Roman"/>
        </w:rPr>
        <w:fldChar w:fldCharType="separate"/>
      </w:r>
      <w:r w:rsidR="00D8030D" w:rsidRPr="00D8030D">
        <w:rPr>
          <w:rFonts w:ascii="Times New Roman" w:hAnsi="Times New Roman" w:cs="Times New Roman"/>
        </w:rPr>
        <w:t>(Amlung &amp; MacKillop, 2014; Aston et al., 2021; MacKillop et al., 2012)</w:t>
      </w:r>
      <w:r w:rsidR="00D8030D">
        <w:rPr>
          <w:rFonts w:ascii="Times New Roman" w:hAnsi="Times New Roman" w:cs="Times New Roman"/>
        </w:rPr>
        <w:fldChar w:fldCharType="end"/>
      </w:r>
      <w:r w:rsidR="00D8030D">
        <w:rPr>
          <w:rFonts w:ascii="Times New Roman" w:hAnsi="Times New Roman" w:cs="Times New Roman"/>
        </w:rPr>
        <w:t xml:space="preserve"> </w:t>
      </w:r>
      <w:r w:rsidRPr="00F23463">
        <w:rPr>
          <w:rFonts w:ascii="Times New Roman" w:hAnsi="Times New Roman" w:cs="Times New Roman"/>
        </w:rPr>
        <w:t xml:space="preserve">further </w:t>
      </w:r>
      <w:r w:rsidR="00D8030D">
        <w:rPr>
          <w:rFonts w:ascii="Times New Roman" w:hAnsi="Times New Roman" w:cs="Times New Roman"/>
        </w:rPr>
        <w:t xml:space="preserve">supporting the notion that </w:t>
      </w:r>
      <w:r w:rsidRPr="00F23463">
        <w:rPr>
          <w:rFonts w:ascii="Times New Roman" w:hAnsi="Times New Roman" w:cs="Times New Roman"/>
        </w:rPr>
        <w:t xml:space="preserve">substance-related decisions are goal-directed </w:t>
      </w:r>
      <w:r w:rsidR="00D8030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{"citationID":"Z64Ay2Ck","properties":{"formattedCitation":"(Hogarth, 2020)","plainCitation":"(Hogarth, 2020)","noteIndex":0},"citationItems":[{"id":1258,"uris":["http://zotero.org/users/7873587/items/9DVNYNDZ"],"itemData":{"id":1258,"type":"article-journal","abstract":"Drug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affect","volume":"45","author":[{"family":"Hogarth","given":"Lee"}],"issued":{"date-parts":[["2020",4]]}}}],"schema":"https://github.com/citation-style-language/schema/raw/master/csl-citation.json"} </w:instrText>
      </w:r>
      <w:r w:rsidR="00D8030D">
        <w:rPr>
          <w:rFonts w:ascii="Times New Roman" w:hAnsi="Times New Roman" w:cs="Times New Roman"/>
        </w:rPr>
        <w:fldChar w:fldCharType="separate"/>
      </w:r>
      <w:r w:rsidR="00D32F30" w:rsidRPr="00D32F30">
        <w:rPr>
          <w:rFonts w:ascii="Times New Roman" w:hAnsi="Times New Roman" w:cs="Times New Roman"/>
        </w:rPr>
        <w:t>(Hogarth, 2020)</w:t>
      </w:r>
      <w:r w:rsidR="00D8030D">
        <w:rPr>
          <w:rFonts w:ascii="Times New Roman" w:hAnsi="Times New Roman" w:cs="Times New Roman"/>
        </w:rPr>
        <w:fldChar w:fldCharType="end"/>
      </w:r>
      <w:r w:rsidRPr="00F23463">
        <w:rPr>
          <w:rFonts w:ascii="Times New Roman" w:hAnsi="Times New Roman" w:cs="Times New Roman"/>
        </w:rPr>
        <w:t>.</w:t>
      </w:r>
    </w:p>
    <w:p w14:paraId="25C4D61A" w14:textId="77777777" w:rsidR="008A4FF5" w:rsidRPr="00F23463" w:rsidRDefault="008A4FF5" w:rsidP="00AC0B06">
      <w:pPr>
        <w:pStyle w:val="NoSpacing"/>
        <w:spacing w:line="480" w:lineRule="auto"/>
        <w:rPr>
          <w:rFonts w:ascii="Times New Roman" w:hAnsi="Times New Roman" w:cs="Times New Roman"/>
        </w:rPr>
      </w:pPr>
    </w:p>
    <w:p w14:paraId="481C6F11" w14:textId="5D64BEB9" w:rsidR="008C2026" w:rsidRDefault="008A4FF5" w:rsidP="008C2026">
      <w:pPr>
        <w:pStyle w:val="NoSpacing"/>
        <w:spacing w:line="480" w:lineRule="auto"/>
        <w:rPr>
          <w:rFonts w:ascii="Times New Roman" w:hAnsi="Times New Roman" w:cs="Times New Roman"/>
        </w:rPr>
      </w:pPr>
      <w:r w:rsidRPr="00F23463">
        <w:rPr>
          <w:rFonts w:ascii="Times New Roman" w:hAnsi="Times New Roman" w:cs="Times New Roman"/>
        </w:rPr>
        <w:t xml:space="preserve">Delay discounting (DD) refers to the subjective devaluation of rewards based on their delay </w:t>
      </w:r>
      <w:r w:rsidR="000766C3">
        <w:rPr>
          <w:rFonts w:ascii="Times New Roman" w:hAnsi="Times New Roman" w:cs="Times New Roman"/>
        </w:rPr>
        <w:t>to receipt</w:t>
      </w:r>
      <w:r w:rsidRPr="00F23463">
        <w:rPr>
          <w:rFonts w:ascii="Times New Roman" w:hAnsi="Times New Roman" w:cs="Times New Roman"/>
        </w:rPr>
        <w:t xml:space="preserve">, and therefore reflects the process of how rapidly a reward loses its value based on its temporal distance </w:t>
      </w:r>
      <w:r w:rsidR="002F779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{"citationID":"2oNfQWP9","properties":{"formattedCitation":"(MacKillop et al., 2011)","plainCitation":"(MacKillop et al., 2011)","noteIndex":0},"citationItems":[{"id":1439,"uris":["http://zotero.org/users/7873587/items/BPBCF6UY"],"itemData":{"id":1439,"type":"article-journal","abstract":"RATIONALE: Delayed reward discounting (DRD) is a behavioral economic index of impulsivity and numerous studies have examined DRD in relation to addictive behavior. To synthesize the findings across the literature, the current review is a meta-analysis of studies comparing DRD between criterion groups exhibiting addictive behavior and control groups.\nOBJECTIVES: The meta-analysis sought to characterize the overall patterns of findings, systematic variability by sample and study type, and possible small study (publication) bias.\nMETHODS: Literature reviews identified 310 candidate articles from which 46 studies reporting 64 comparisons were identified (total N=56,013).\nRESULTS: From the total comparisons identified, a small magnitude effect was evident (d= .15; p&lt; .00001) with very high heterogeneity of effect size. Based on systematic observed differences, large studies assessing DRD with a small number of self-report items were removed and an analysis of 57 comparisons (n=3,329) using equivalent methods and exhibiting acceptable heterogeneity revealed a medium magnitude effect (d= .58; p&lt; .00001). Further analyses revealed significantly larger effect sizes for studies using clinical samples (d= .61) compared with studies using nonclinical samples (d=.45). Indices of small study bias among the various comparisons suggested varying levels of influence by unpublished findings, ranging from minimal to moderate.\nCONCLUSIONS: These results provide strong evidence of greater DRD in individuals exhibiting addictive behavior in general and particularly in individuals who meet criteria for an addictive disorder. Implications for the assessment of DRD and research priorities are discussed.","container-title":"Psychopharmacology","DOI":"10.1007/s00213-011-2229-0","ISSN":"1432-2072","issue":"3","journalAbbreviation":"Psychopharmacology (Berl)","language":"eng","note":"PMID: 21373791\nPMCID: PMC3201846","page":"305-321","source":"PubMed","title":"Delayed reward discounting and addictive behavior: a meta-analysis","title-short":"Delayed reward discounting and addictive behavior","volume":"216","author":[{"family":"MacKillop","given":"James"},{"family":"Amlung","given":"Michael T."},{"family":"Few","given":"Lauren R."},{"family":"Ray","given":"Lara A."},{"family":"Sweet","given":"Lawrence H."},{"family":"Munafò","given":"Marcus R."}],"issued":{"date-parts":[["2011",8]]}}}],"schema":"https://github.com/citation-style-language/schema/raw/master/csl-citation.json"} </w:instrText>
      </w:r>
      <w:r w:rsidR="002F779C">
        <w:rPr>
          <w:rFonts w:ascii="Times New Roman" w:hAnsi="Times New Roman" w:cs="Times New Roman"/>
        </w:rPr>
        <w:fldChar w:fldCharType="separate"/>
      </w:r>
      <w:r w:rsidR="002F779C" w:rsidRPr="002F779C">
        <w:rPr>
          <w:rFonts w:ascii="Times New Roman" w:hAnsi="Times New Roman" w:cs="Times New Roman"/>
        </w:rPr>
        <w:t>(MacKillop et al., 2011)</w:t>
      </w:r>
      <w:r w:rsidR="002F779C">
        <w:rPr>
          <w:rFonts w:ascii="Times New Roman" w:hAnsi="Times New Roman" w:cs="Times New Roman"/>
        </w:rPr>
        <w:fldChar w:fldCharType="end"/>
      </w:r>
      <w:r w:rsidRPr="00F23463">
        <w:rPr>
          <w:rFonts w:ascii="Times New Roman" w:hAnsi="Times New Roman" w:cs="Times New Roman"/>
        </w:rPr>
        <w:t xml:space="preserve">. In other words, DD is a measure of </w:t>
      </w:r>
      <w:r w:rsidRPr="00F23463">
        <w:rPr>
          <w:rFonts w:ascii="Times New Roman" w:hAnsi="Times New Roman" w:cs="Times New Roman"/>
        </w:rPr>
        <w:lastRenderedPageBreak/>
        <w:t xml:space="preserve">intertemporal choice that symbolises a person’s excessive preferences for smaller, sooner rewards over larger long-term rewards </w:t>
      </w:r>
      <w:r w:rsidR="002F779C">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{"citationID":"4QXgxD83","properties":{"formattedCitation":"(Bickel et al., 2014; MacKillop, 2016)","plainCitation":"(Bickel et al., 2014; MacKillop,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disorders","volume":"40","author":[{"family":"MacKillop","given":"James"}],"issued":{"date-parts":[["2016"]]}},"label":"act"}],"schema":"https://github.com/citation-style-language/schema/raw/master/csl-citation.json"} </w:instrText>
      </w:r>
      <w:r w:rsidR="002F779C">
        <w:rPr>
          <w:rFonts w:ascii="Times New Roman" w:hAnsi="Times New Roman" w:cs="Times New Roman"/>
        </w:rPr>
        <w:fldChar w:fldCharType="separate"/>
      </w:r>
      <w:r w:rsidR="002F779C" w:rsidRPr="002F779C">
        <w:rPr>
          <w:rFonts w:ascii="Times New Roman" w:hAnsi="Times New Roman" w:cs="Times New Roman"/>
        </w:rPr>
        <w:t>(Bickel et al., 2014; MacKillop, 2016)</w:t>
      </w:r>
      <w:r w:rsidR="002F779C">
        <w:rPr>
          <w:rFonts w:ascii="Times New Roman" w:hAnsi="Times New Roman" w:cs="Times New Roman"/>
        </w:rPr>
        <w:fldChar w:fldCharType="end"/>
      </w:r>
      <w:r w:rsidR="002F779C">
        <w:rPr>
          <w:rFonts w:ascii="Times New Roman" w:hAnsi="Times New Roman" w:cs="Times New Roman"/>
        </w:rPr>
        <w:t>.</w:t>
      </w:r>
      <w:r w:rsidRPr="00F23463">
        <w:rPr>
          <w:rFonts w:ascii="Times New Roman" w:hAnsi="Times New Roman" w:cs="Times New Roman"/>
        </w:rPr>
        <w:t xml:space="preserve"> In the context of addiction, excessive preference for </w:t>
      </w:r>
      <w:r w:rsidR="002F779C">
        <w:rPr>
          <w:rFonts w:ascii="Times New Roman" w:hAnsi="Times New Roman" w:cs="Times New Roman"/>
        </w:rPr>
        <w:t>substance</w:t>
      </w:r>
      <w:r w:rsidRPr="00F23463">
        <w:rPr>
          <w:rFonts w:ascii="Times New Roman" w:hAnsi="Times New Roman" w:cs="Times New Roman"/>
        </w:rPr>
        <w:t xml:space="preserve">-related rewards </w:t>
      </w:r>
      <w:r w:rsidR="004917D5">
        <w:rPr>
          <w:rFonts w:ascii="Times New Roman" w:hAnsi="Times New Roman" w:cs="Times New Roman"/>
        </w:rPr>
        <w:t>may</w:t>
      </w:r>
      <w:r w:rsidRPr="00F23463">
        <w:rPr>
          <w:rFonts w:ascii="Times New Roman" w:hAnsi="Times New Roman" w:cs="Times New Roman"/>
        </w:rPr>
        <w:t xml:space="preserve"> be related to a more general tendency to devalue future outcomes or rewards (e.g.,</w:t>
      </w:r>
      <w:r w:rsidR="004917D5">
        <w:rPr>
          <w:rFonts w:ascii="Times New Roman" w:hAnsi="Times New Roman" w:cs="Times New Roman"/>
        </w:rPr>
        <w:t xml:space="preserve"> improvements in health</w:t>
      </w:r>
      <w:r w:rsidRPr="00F23463">
        <w:rPr>
          <w:rFonts w:ascii="Times New Roman" w:hAnsi="Times New Roman" w:cs="Times New Roman"/>
        </w:rPr>
        <w:t xml:space="preserve">) relative to immediately </w:t>
      </w:r>
      <w:r w:rsidR="004917D5">
        <w:rPr>
          <w:rFonts w:ascii="Times New Roman" w:hAnsi="Times New Roman" w:cs="Times New Roman"/>
        </w:rPr>
        <w:t>available rewards</w:t>
      </w:r>
      <w:r w:rsidRPr="00F23463">
        <w:rPr>
          <w:rFonts w:ascii="Times New Roman" w:hAnsi="Times New Roman" w:cs="Times New Roman"/>
        </w:rPr>
        <w:t xml:space="preserve"> (e.g., </w:t>
      </w:r>
      <w:r w:rsidR="004917D5">
        <w:rPr>
          <w:rFonts w:ascii="Times New Roman" w:hAnsi="Times New Roman" w:cs="Times New Roman"/>
        </w:rPr>
        <w:t>intoxication</w:t>
      </w:r>
      <w:r w:rsidRPr="00F23463">
        <w:rPr>
          <w:rFonts w:ascii="Times New Roman" w:hAnsi="Times New Roman" w:cs="Times New Roman"/>
        </w:rPr>
        <w:t xml:space="preserve">). </w:t>
      </w:r>
      <w:r w:rsidR="004917D5">
        <w:rPr>
          <w:rFonts w:ascii="Times New Roman" w:hAnsi="Times New Roman" w:cs="Times New Roman"/>
        </w:rPr>
        <w:t>Indeed</w:t>
      </w:r>
      <w:r w:rsidRPr="00F23463">
        <w:rPr>
          <w:rFonts w:ascii="Times New Roman" w:hAnsi="Times New Roman" w:cs="Times New Roman"/>
        </w:rPr>
        <w:t xml:space="preserve">, a previous meta-analysis found a significant difference </w:t>
      </w:r>
      <w:r w:rsidR="004917D5">
        <w:rPr>
          <w:rFonts w:ascii="Times New Roman" w:hAnsi="Times New Roman" w:cs="Times New Roman"/>
        </w:rPr>
        <w:t xml:space="preserve">in DD </w:t>
      </w:r>
      <w:r w:rsidRPr="00F23463">
        <w:rPr>
          <w:rFonts w:ascii="Times New Roman" w:hAnsi="Times New Roman" w:cs="Times New Roman"/>
        </w:rPr>
        <w:t>with a medium effect size (</w:t>
      </w:r>
      <w:r w:rsidRPr="004C4B23">
        <w:rPr>
          <w:rFonts w:ascii="Times New Roman" w:hAnsi="Times New Roman" w:cs="Times New Roman"/>
          <w:i/>
          <w:iCs/>
        </w:rPr>
        <w:t>d</w:t>
      </w:r>
      <w:r w:rsidRPr="00F23463">
        <w:rPr>
          <w:rFonts w:ascii="Times New Roman" w:hAnsi="Times New Roman" w:cs="Times New Roman"/>
        </w:rPr>
        <w:t xml:space="preserve"> = 0.62) between people with addiction versus controls without addiction </w:t>
      </w:r>
      <w:r w:rsidR="004917D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{"citationID":"eZWRclUC","properties":{"formattedCitation":"(MacKillop et al., 2011)","plainCitation":"(MacKillop et al., 2011)","noteIndex":0},"citationItems":[{"id":1439,"uris":["http://zotero.org/users/7873587/items/BPBCF6UY"],"itemData":{"id":1439,"type":"article-journal","abstract":"RATIONALE: Delayed reward discounting (DRD) is a behavioral economic index of impulsivity and numerous studies have examined DRD in relation to addictive behavior. To synthesize the findings across the literature, the current review is a meta-analysis of studies comparing DRD between criterion groups exhibiting addictive behavior and control groups.\nOBJECTIVES: The meta-analysis sought to characterize the overall patterns of findings, systematic variability by sample and study type, and possible small study (publication) bias.\nMETHODS: Literature reviews identified 310 candidate articles from which 46 studies reporting 64 comparisons were identified (total N=56,013).\nRESULTS: From the total comparisons identified, a small magnitude effect was evident (d= .15; p&lt; .00001) with very high heterogeneity of effect size. Based on systematic observed differences, large studies assessing DRD with a small number of self-report items were removed and an analysis of 57 comparisons (n=3,329) using equivalent methods and exhibiting acceptable heterogeneity revealed a medium magnitude effect (d= .58; p&lt; .00001). Further analyses revealed significantly larger effect sizes for studies using clinical samples (d= .61) compared with studies using nonclinical samples (d=.45). Indices of small study bias among the various comparisons suggested varying levels of influence by unpublished findings, ranging from minimal to moderate.\nCONCLUSIONS: These results provide strong evidence of greater DRD in individuals exhibiting addictive behavior in general and particularly in individuals who meet criteria for an addictive disorder. Implications for the assessment of DRD and research priorities are discussed.","container-title":"Psychopharmacology","DOI":"10.1007/s00213-011-2229-0","ISSN":"1432-2072","issue":"3","journalAbbreviation":"Psychopharmacology (Berl)","language":"eng","note":"PMID: 21373791\nPMCID: PMC3201846","page":"305-321","source":"PubMed","title":"Delayed reward discounting and addictive behavior: a meta-analysis","title-short":"Delayed reward discounting and addictive behavior","volume":"216","author":[{"family":"MacKillop","given":"James"},{"family":"Amlung","given":"Michael T."},{"family":"Few","given":"Lauren R."},{"family":"Ray","given":"Lara A."},{"family":"Sweet","given":"Lawrence H."},{"family":"Munafò","given":"Marcus R."}],"issued":{"date-parts":[["2011",8]]}}}],"schema":"https://github.com/citation-style-language/schema/raw/master/csl-citation.json"} </w:instrText>
      </w:r>
      <w:r w:rsidR="004917D5">
        <w:rPr>
          <w:rFonts w:ascii="Times New Roman" w:hAnsi="Times New Roman" w:cs="Times New Roman"/>
        </w:rPr>
        <w:fldChar w:fldCharType="separate"/>
      </w:r>
      <w:r w:rsidR="004917D5" w:rsidRPr="004917D5">
        <w:rPr>
          <w:rFonts w:ascii="Times New Roman" w:hAnsi="Times New Roman" w:cs="Times New Roman"/>
        </w:rPr>
        <w:t>(MacKillop et al., 2011)</w:t>
      </w:r>
      <w:r w:rsidR="004917D5">
        <w:rPr>
          <w:rFonts w:ascii="Times New Roman" w:hAnsi="Times New Roman" w:cs="Times New Roman"/>
        </w:rPr>
        <w:fldChar w:fldCharType="end"/>
      </w:r>
      <w:r w:rsidRPr="00F23463">
        <w:rPr>
          <w:rFonts w:ascii="Times New Roman" w:hAnsi="Times New Roman" w:cs="Times New Roman"/>
        </w:rPr>
        <w:t xml:space="preserve">. This is complemented by another </w:t>
      </w:r>
      <w:r w:rsidR="004917D5">
        <w:rPr>
          <w:rFonts w:ascii="Times New Roman" w:hAnsi="Times New Roman" w:cs="Times New Roman"/>
        </w:rPr>
        <w:t xml:space="preserve">more recent </w:t>
      </w:r>
      <w:r w:rsidRPr="00F23463">
        <w:rPr>
          <w:rFonts w:ascii="Times New Roman" w:hAnsi="Times New Roman" w:cs="Times New Roman"/>
        </w:rPr>
        <w:t xml:space="preserve">meta-analysis </w:t>
      </w:r>
      <w:r w:rsidR="004917D5">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{"citationID":"xjJEKd3z","properties":{"formattedCitation":"(Amlung et al., 2017)","plainCitation":"(Amlung et al., 2017)","noteIndex":0},"citationItems":[{"id":1442,"uris":["http://zotero.org/users/7873587/items/J8CU6N2V"],"itemData":{"id":1442,"type":"article-journal","abstract":"AIMS: To synthesize continuous associations between delayed reward discounting (DRD) and both addiction severity and quantity-frequency (QF); to examine moderators of these relationships; and to investigate publication bias.\nMETHODS: Meta-analysis of published studies examining continuous associations between DRD and addictive behaviors. Published, peer-reviewed studies on addictive behaviors (alcohol, tobacco, cannabis, stimulants, opiates and gambling) were identified via PubMed, MEDLINE and PsycInfo. Studies were restricted to DRD measures of monetary gains. Random-effects meta-analysis was conducted using Pearson's r as the effect size. Publication bias was evaluated using fail-safe N, Begg-Mazumdar and Egger's tests, meta-regression of publication year and effect size and imputation of missing studies.\nRESULTS: The primary meta-analysis revealed a small magnitude effect size that was highly significant (r = 0.14, P &lt; 10-14 ). Significantly larger effect sizes were observed for studies examining severity compared with QF (P = 0.01), but not between the type of addictive behavior (P = 0.30) or DRD assessment (P = 0.90). Indices of publication bias suggested a modest impact of unpublished findings.\nCONCLUSIONS: Delayed reward discounting is associated robustly with continuous measures of addiction severity and quantity-frequency. This relation is generally robust across type of addictive behavior and delayed reward discounting assessment modality.","container-title":"Addiction","DOI":"10.1111/add.13535","ISSN":"1360-0443","issue":"1","journalAbbreviation":"Addiction","language":"eng","note":"PMID: 27450931\nPMCID: PMC5148639","page":"51-62","source":"PubMed","title":"Steep delay discounting and addictive behavior: a meta-analysis of continuous associations","title-short":"Steep delay discounting and addictive behavior","volume":"112","author":[{"family":"Amlung","given":"Michael"},{"family":"Vedelago","given":"Lana"},{"family":"Acker","given":"John"},{"family":"Balodis","given":"Iris"},{"family":"MacKillop","given":"James"}],"issued":{"date-parts":[["2017",1]]}}}],"schema":"https://github.com/citation-style-language/schema/raw/master/csl-citation.json"} </w:instrText>
      </w:r>
      <w:r w:rsidR="004917D5">
        <w:rPr>
          <w:rFonts w:ascii="Times New Roman" w:hAnsi="Times New Roman" w:cs="Times New Roman"/>
        </w:rPr>
        <w:fldChar w:fldCharType="separate"/>
      </w:r>
      <w:r w:rsidR="004917D5" w:rsidRPr="004917D5">
        <w:rPr>
          <w:rFonts w:ascii="Times New Roman" w:hAnsi="Times New Roman" w:cs="Times New Roman"/>
        </w:rPr>
        <w:t>(Amlung et al., 2017)</w:t>
      </w:r>
      <w:r w:rsidR="004917D5">
        <w:rPr>
          <w:rFonts w:ascii="Times New Roman" w:hAnsi="Times New Roman" w:cs="Times New Roman"/>
        </w:rPr>
        <w:fldChar w:fldCharType="end"/>
      </w:r>
      <w:r w:rsidR="004917D5">
        <w:rPr>
          <w:rFonts w:ascii="Times New Roman" w:hAnsi="Times New Roman" w:cs="Times New Roman"/>
        </w:rPr>
        <w:t xml:space="preserve"> </w:t>
      </w:r>
      <w:r w:rsidRPr="00F23463">
        <w:rPr>
          <w:rFonts w:ascii="Times New Roman" w:hAnsi="Times New Roman" w:cs="Times New Roman"/>
        </w:rPr>
        <w:t xml:space="preserve">which demonstrated robust associations between DD and addiction severity across different types of addictive behaviours, including </w:t>
      </w:r>
      <w:r w:rsidR="004917D5">
        <w:rPr>
          <w:rFonts w:ascii="Times New Roman" w:hAnsi="Times New Roman" w:cs="Times New Roman"/>
        </w:rPr>
        <w:t xml:space="preserve">both </w:t>
      </w:r>
      <w:r w:rsidRPr="00F23463">
        <w:rPr>
          <w:rFonts w:ascii="Times New Roman" w:hAnsi="Times New Roman" w:cs="Times New Roman"/>
        </w:rPr>
        <w:t xml:space="preserve">alcohol and tobacco use. Substance use and addiction may in part develop as a result of </w:t>
      </w:r>
      <w:r w:rsidR="009415BC">
        <w:rPr>
          <w:rFonts w:ascii="Times New Roman" w:hAnsi="Times New Roman" w:cs="Times New Roman"/>
        </w:rPr>
        <w:t xml:space="preserve">lower </w:t>
      </w:r>
      <w:r w:rsidRPr="00F23463">
        <w:rPr>
          <w:rFonts w:ascii="Times New Roman" w:hAnsi="Times New Roman" w:cs="Times New Roman"/>
        </w:rPr>
        <w:t xml:space="preserve">engagement </w:t>
      </w:r>
      <w:r w:rsidR="009415BC">
        <w:rPr>
          <w:rFonts w:ascii="Times New Roman" w:hAnsi="Times New Roman" w:cs="Times New Roman"/>
        </w:rPr>
        <w:t>in</w:t>
      </w:r>
      <w:r w:rsidRPr="00F23463">
        <w:rPr>
          <w:rFonts w:ascii="Times New Roman" w:hAnsi="Times New Roman" w:cs="Times New Roman"/>
        </w:rPr>
        <w:t xml:space="preserve"> alternative behaviours because the benefits of other constructive behaviours </w:t>
      </w:r>
      <w:r w:rsidR="009415BC">
        <w:rPr>
          <w:rFonts w:ascii="Times New Roman" w:hAnsi="Times New Roman" w:cs="Times New Roman"/>
        </w:rPr>
        <w:t xml:space="preserve">to substance use </w:t>
      </w:r>
      <w:r w:rsidRPr="00F23463">
        <w:rPr>
          <w:rFonts w:ascii="Times New Roman" w:hAnsi="Times New Roman" w:cs="Times New Roman"/>
        </w:rPr>
        <w:t xml:space="preserve">are generally delayed and </w:t>
      </w:r>
      <w:r w:rsidR="009415BC">
        <w:rPr>
          <w:rFonts w:ascii="Times New Roman" w:hAnsi="Times New Roman" w:cs="Times New Roman"/>
        </w:rPr>
        <w:t xml:space="preserve">therefore lose value </w:t>
      </w:r>
      <w:r w:rsidRPr="00F23463">
        <w:rPr>
          <w:rFonts w:ascii="Times New Roman" w:hAnsi="Times New Roman" w:cs="Times New Roman"/>
        </w:rPr>
        <w:t>(e.g., studying typically lead</w:t>
      </w:r>
      <w:r w:rsidR="009415BC">
        <w:rPr>
          <w:rFonts w:ascii="Times New Roman" w:hAnsi="Times New Roman" w:cs="Times New Roman"/>
        </w:rPr>
        <w:t>s</w:t>
      </w:r>
      <w:r w:rsidRPr="00F23463">
        <w:rPr>
          <w:rFonts w:ascii="Times New Roman" w:hAnsi="Times New Roman" w:cs="Times New Roman"/>
        </w:rPr>
        <w:t xml:space="preserve"> to the award of a qualification in the long-term).</w:t>
      </w:r>
      <w:r w:rsidR="009415BC">
        <w:rPr>
          <w:rFonts w:ascii="Times New Roman" w:hAnsi="Times New Roman" w:cs="Times New Roman"/>
        </w:rPr>
        <w:t xml:space="preserve"> </w:t>
      </w:r>
      <w:r w:rsidRPr="00F23463">
        <w:rPr>
          <w:rFonts w:ascii="Times New Roman" w:hAnsi="Times New Roman" w:cs="Times New Roman"/>
        </w:rPr>
        <w:t xml:space="preserve">SUDs can </w:t>
      </w:r>
      <w:r w:rsidR="009415BC">
        <w:rPr>
          <w:rFonts w:ascii="Times New Roman" w:hAnsi="Times New Roman" w:cs="Times New Roman"/>
        </w:rPr>
        <w:t xml:space="preserve">therefore </w:t>
      </w:r>
      <w:r w:rsidRPr="00F23463">
        <w:rPr>
          <w:rFonts w:ascii="Times New Roman" w:hAnsi="Times New Roman" w:cs="Times New Roman"/>
        </w:rPr>
        <w:t xml:space="preserve">be conceptualised within a behavioural economic framework whereby there is persistently high valuation of a substance and devaluation of larger long-term rewards </w:t>
      </w:r>
      <w:r w:rsidR="009415BC">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{"citationID":"FjU2o4OY","properties":{"formattedCitation":"(Bickel et al., 2014)","plainCitation":"(Bickel et al., 2014)","noteIndex":0},"citationItems":[{"id":816,"uris":["http://zotero.org/users/7873587/items/R9KVGRWU"],"itemData":{"id":816,"type":"article-journal","abstract":"The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G."}],"issued":{"date-parts":[["2014"]]}}}],"schema":"https://github.com/citation-style-language/schema/raw/master/csl-citation.json"} </w:instrText>
      </w:r>
      <w:r w:rsidR="009415BC">
        <w:rPr>
          <w:rFonts w:ascii="Times New Roman" w:hAnsi="Times New Roman" w:cs="Times New Roman"/>
        </w:rPr>
        <w:fldChar w:fldCharType="separate"/>
      </w:r>
      <w:r w:rsidR="00417E01" w:rsidRPr="00417E01">
        <w:rPr>
          <w:rFonts w:ascii="Times New Roman" w:hAnsi="Times New Roman" w:cs="Times New Roman"/>
        </w:rPr>
        <w:t>(Bickel et al., 2014)</w:t>
      </w:r>
      <w:r w:rsidR="009415BC">
        <w:rPr>
          <w:rFonts w:ascii="Times New Roman" w:hAnsi="Times New Roman" w:cs="Times New Roman"/>
        </w:rPr>
        <w:fldChar w:fldCharType="end"/>
      </w:r>
      <w:r w:rsidR="00417E01">
        <w:rPr>
          <w:rFonts w:ascii="Times New Roman" w:hAnsi="Times New Roman" w:cs="Times New Roman"/>
        </w:rPr>
        <w:t>.</w:t>
      </w:r>
      <w:r w:rsidRPr="00F23463">
        <w:rPr>
          <w:rFonts w:ascii="Times New Roman" w:hAnsi="Times New Roman" w:cs="Times New Roman"/>
        </w:rPr>
        <w:t xml:space="preserve"> </w:t>
      </w:r>
    </w:p>
    <w:p w14:paraId="27996E69" w14:textId="77777777" w:rsidR="008C2026" w:rsidRDefault="008C2026" w:rsidP="008C2026">
      <w:pPr>
        <w:pStyle w:val="NoSpacing"/>
        <w:spacing w:line="480" w:lineRule="auto"/>
        <w:rPr>
          <w:rFonts w:ascii="Times New Roman" w:hAnsi="Times New Roman" w:cs="Times New Roman"/>
        </w:rPr>
      </w:pPr>
    </w:p>
    <w:p w14:paraId="6EB9E9E4" w14:textId="68B2CD3A" w:rsidR="008A4FF5" w:rsidRPr="00F23463" w:rsidRDefault="008A4FF5" w:rsidP="00BA5D4A">
      <w:pPr>
        <w:pStyle w:val="NoSpacing"/>
        <w:spacing w:line="480" w:lineRule="auto"/>
        <w:rPr>
          <w:rFonts w:ascii="Times New Roman" w:hAnsi="Times New Roman" w:cs="Times New Roman"/>
        </w:rPr>
      </w:pPr>
      <w:r w:rsidRPr="00F23463">
        <w:rPr>
          <w:rFonts w:ascii="Times New Roman" w:hAnsi="Times New Roman" w:cs="Times New Roman"/>
        </w:rPr>
        <w:t>Behavioural economics can also be applied to behaviour change and recovery from addiction</w:t>
      </w:r>
      <w:r w:rsidR="00417E01">
        <w:rPr>
          <w:rFonts w:ascii="Times New Roman" w:hAnsi="Times New Roman" w:cs="Times New Roman"/>
        </w:rPr>
        <w:t xml:space="preserve"> </w:t>
      </w:r>
      <w:r w:rsidR="00CE0B69">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{"citationID":"5sAZpDxy","properties":{"formattedCitation":"(Bickel et al., 2014; Bickel &amp; Athamneh, 2020; Field, Heather, et al., 2020a; Hogarth &amp; Field, 2020; Tucker et al., 2021)","plainCitation":"(Bickel et al., 2014; Bickel &amp; Athamneh, 2020; Field, Heather, et al., 2020a; Hogarth &amp; Field, 2020; Tucker et al., 2021)","dontUpdate":true,"noteIndex":0},"citationItems":[{"id":816,"uris":["http://zotero.org/users/7873587/items/R9KVGRWU"],"itemData":{"id":816,"type":"article-journal","abstract":"The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act"},{"id":1450,"uris":["http://zotero.org/users/7873587/items/86V94KBV"],"itemData":{"id":1450,"type":"article-journal","abstract":"Background Behavioral economics predicts that recovery from Alcohol Use Disorder involves shifts in resource allocation away from drinking, toward valuable nondrinking rewards that reinforce and stabilize recovery behavior patterns. Further, these shifts should distinguish nonproblem drinking (moderation) outcomes from outcomes involving abstinence or relapse. To evaluate these hypotheses, 5 prospective studies of recent natural recovery attempts were integrated to examine changes in monetary spending during the year following the initial cessation of heavy drinking as a function of 1-year drinking outcomes. Methods Problem drinkers from Southeastern U.S. communities (N = 493, 67% male, 65% white, mean age = 46.5 years) were enrolled soon after stopping heavy drinking without treatment and followed prospectively for a year. An expanded Timeline Followback interview assessed daily drinking and monetary spending on alcohol and nondrinking commodities during the year before and after recovery initiation. Results Longitudinal associations between postresolution drinking and spending were evaluated using MPlus v.8. Initial models evaluated whether changes in spending at 4-month intervals predicted drinking outcomes at 1 year and showed significant associations in 6 commodity categories (alcohol, consumable goods, gifts, entertainment, financial/legal affairs, housing/durable goods/insurance; ps &lt; 0.05). Cross-lagged models showed that the moderation outcome group shifted spending mid-year to obtain large rewards with enduring benefits (e.g., housing), whereas the abstinent and relapsed groups spent less overall and purchased smaller rewards (e.g., consumable goods, entertainment, and gifts) throughout the year. Conclusions Dynamic changes in monetary allocation occurred during the postresolution year. As hypothesized, compared to the groups who abstained or relapsed, the moderation group shifted spending in ways that, overall, yielded higher value alcohol-free reinforcement that should reinforce recovery while they enjoyed some limited nonproblem drinking below heavy drinking thresholds. These findings add to evidence that moderation entails different behavioral regulation processes than abstinent and relapse outcomes, which were more similar to one another.","container-title":"Alcoholism: Clinical and Experimental Research","DOI":"10.1111/acer.14620","ISSN":"1530-0277","issue":"6","language":"en","note":"_eprint: https://onlinelibrary.wiley.com/doi/pdf/10.1111/acer.14620","page":"1304-1316","source":"Wiley Online Library","title":"Shifts in behavioral allocation patterns as a natural recovery mechanism: Postresolution expenditure patterns","title-short":"Shifts in behavioral allocation patterns as a natural recovery mechanism","volume":"45","author":[{"family":"Tucker","given":"Jalie A."},{"family":"Cheong","given":"JeeWon"},{"family":"Chandler","given":"Susan D."}],"issued":{"date-parts":[["2021"]]}},"label":"act"}],"schema":"https://github.com/citation-style-language/schema/raw/master/csl-citation.json"} </w:instrText>
      </w:r>
      <w:r w:rsidR="00CE0B69">
        <w:rPr>
          <w:rFonts w:ascii="Times New Roman" w:hAnsi="Times New Roman" w:cs="Times New Roman"/>
        </w:rPr>
        <w:fldChar w:fldCharType="separate"/>
      </w:r>
      <w:r w:rsidR="008C2026" w:rsidRPr="008C2026">
        <w:rPr>
          <w:rFonts w:ascii="Times New Roman" w:hAnsi="Times New Roman" w:cs="Times New Roman"/>
        </w:rPr>
        <w:t>(Bickel et al., 2014; Bickel &amp; Athamneh, 2020; Field, Heather, et al., 2020; Hogarth &amp; Field, 2020; Tucker et al., 2021)</w:t>
      </w:r>
      <w:r w:rsidR="00CE0B69">
        <w:rPr>
          <w:rFonts w:ascii="Times New Roman" w:hAnsi="Times New Roman" w:cs="Times New Roman"/>
        </w:rPr>
        <w:fldChar w:fldCharType="end"/>
      </w:r>
      <w:r w:rsidRPr="00F23463">
        <w:rPr>
          <w:rFonts w:ascii="Times New Roman" w:hAnsi="Times New Roman" w:cs="Times New Roman"/>
        </w:rPr>
        <w:t xml:space="preserve">. Specifically, </w:t>
      </w:r>
      <w:r w:rsidR="008C2026">
        <w:rPr>
          <w:rFonts w:ascii="Times New Roman" w:hAnsi="Times New Roman" w:cs="Times New Roman"/>
        </w:rPr>
        <w:t xml:space="preserve">for recovery to occur, substances must reduce in value and substance-free alternatives must increase in value (including those that are only available after a delay). </w:t>
      </w:r>
      <w:r w:rsidR="00B92086">
        <w:rPr>
          <w:rFonts w:ascii="Times New Roman" w:hAnsi="Times New Roman" w:cs="Times New Roman"/>
        </w:rPr>
        <w:t>Indeed, a</w:t>
      </w:r>
      <w:r w:rsidR="008C2026">
        <w:rPr>
          <w:rFonts w:ascii="Times New Roman" w:hAnsi="Times New Roman" w:cs="Times New Roman"/>
        </w:rPr>
        <w:t xml:space="preserve"> systematic review </w:t>
      </w:r>
      <w:r w:rsidR="00B92086">
        <w:rPr>
          <w:rFonts w:ascii="Times New Roman" w:hAnsi="Times New Roman" w:cs="Times New Roman"/>
        </w:rPr>
        <w:t xml:space="preserve">of the literature revealed that there is a robust </w:t>
      </w:r>
      <w:r w:rsidRPr="00F23463">
        <w:rPr>
          <w:rFonts w:ascii="Times New Roman" w:hAnsi="Times New Roman" w:cs="Times New Roman"/>
        </w:rPr>
        <w:t xml:space="preserve">inverse </w:t>
      </w:r>
      <w:r w:rsidR="00B92086">
        <w:rPr>
          <w:rFonts w:ascii="Times New Roman" w:hAnsi="Times New Roman" w:cs="Times New Roman"/>
        </w:rPr>
        <w:t xml:space="preserve">association </w:t>
      </w:r>
      <w:r w:rsidRPr="00F23463">
        <w:rPr>
          <w:rFonts w:ascii="Times New Roman" w:hAnsi="Times New Roman" w:cs="Times New Roman"/>
        </w:rPr>
        <w:t xml:space="preserve">between substance-free reinforcement and substance use; as the proportion of one increases the other decreases </w:t>
      </w:r>
      <w:r w:rsidR="00B92086">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{"citationID":"yymEeKsw","properties":{"formattedCitation":"(Acuff et al., 2019)","plainCitation":"(Acuff et al., 2019)","noteIndex":0},"citationItems":[{"id":1452,"uris":["http://zotero.org/users/7873587/items/2ENG4DDR"],"itemData":{"id":1452,"type":"article-journal","abstract":"A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G."}],"issued":{"date-parts":[["2019"]]}}}],"schema":"https://github.com/citation-style-language/schema/raw/master/csl-citation.json"} </w:instrText>
      </w:r>
      <w:r w:rsidR="00B92086">
        <w:rPr>
          <w:rFonts w:ascii="Times New Roman" w:hAnsi="Times New Roman" w:cs="Times New Roman"/>
        </w:rPr>
        <w:fldChar w:fldCharType="separate"/>
      </w:r>
      <w:r w:rsidR="00BA5D4A" w:rsidRPr="00BA5D4A">
        <w:rPr>
          <w:rFonts w:ascii="Times New Roman" w:hAnsi="Times New Roman" w:cs="Times New Roman"/>
        </w:rPr>
        <w:t>(Acuff et al., 2019)</w:t>
      </w:r>
      <w:r w:rsidR="00B92086">
        <w:rPr>
          <w:rFonts w:ascii="Times New Roman" w:hAnsi="Times New Roman" w:cs="Times New Roman"/>
        </w:rPr>
        <w:fldChar w:fldCharType="end"/>
      </w:r>
      <w:r w:rsidR="00B92086">
        <w:rPr>
          <w:rFonts w:ascii="Times New Roman" w:hAnsi="Times New Roman" w:cs="Times New Roman"/>
        </w:rPr>
        <w:t xml:space="preserve">. Furthermore, </w:t>
      </w:r>
      <w:r w:rsidRPr="00F23463">
        <w:rPr>
          <w:rFonts w:ascii="Times New Roman" w:hAnsi="Times New Roman" w:cs="Times New Roman"/>
        </w:rPr>
        <w:t xml:space="preserve">increased engagement with </w:t>
      </w:r>
      <w:r w:rsidR="00B92086">
        <w:rPr>
          <w:rFonts w:ascii="Times New Roman" w:hAnsi="Times New Roman" w:cs="Times New Roman"/>
        </w:rPr>
        <w:t>tobacco-</w:t>
      </w:r>
      <w:r w:rsidR="00B02736">
        <w:rPr>
          <w:rFonts w:ascii="Times New Roman" w:hAnsi="Times New Roman" w:cs="Times New Roman"/>
        </w:rPr>
        <w:t>unrelated</w:t>
      </w:r>
      <w:r w:rsidRPr="00F23463">
        <w:rPr>
          <w:rFonts w:ascii="Times New Roman" w:hAnsi="Times New Roman" w:cs="Times New Roman"/>
        </w:rPr>
        <w:t xml:space="preserve"> alternative reinforcers have been found to be important </w:t>
      </w:r>
      <w:r w:rsidRPr="00F23463">
        <w:rPr>
          <w:rFonts w:ascii="Times New Roman" w:hAnsi="Times New Roman" w:cs="Times New Roman"/>
        </w:rPr>
        <w:lastRenderedPageBreak/>
        <w:t xml:space="preserve">predictors of both short-term </w:t>
      </w:r>
      <w:r w:rsidR="00B9208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{"citationID":"3use9XH5","properties":{"formattedCitation":"(Goelz et al., 2014)","plainCitation":"(Goelz et al., 2014)","noteIndex":0},"citationItems":[{"id":1455,"uris":["http://zotero.org/users/7873587/items/BPUGY52G"],"itemData":{"id":1455,"type":"article-journal","abstract":"BACKGROUND: While more than 50% of smokers make a serious quit attempt each year, less than 10% quit permanently. Evidence from studies of adolescent smoking and other substances of abuse suggest that alternative reinforcers, a construct of Behavioral Economic Theory, may contribute to the likelihood of smoking cessation in adults. This study examined the behavioral economics of smoking cessation within a smoking cessation clinical trial and evaluated how depressive symptoms and behavioral economic variables are associated with smoking cessation.\nMETHODS: A sample of 469 smokers, enrolled in an effectiveness trial that provided counseling and 8 weeks of 21 mg nicotine patches, was analyzed. Alternative reinforcers (substitute and complementary reinforcers) and depressive symptoms were examined in relation to 7-day point prevalence abstinence, verified with breath carbon monoxide, 8 weeks after the quit date.\nRESULTS: Controlling for covariates associated with cessation (nicotine dependence, age of smoking initiation, patch adherence), participants who were abstinent at week 8 showed significantly higher substitute reinforcers at all time-points, compared to those who were smoking (p's&lt;.05). Participants who were abstinent at week 8 showed lower complementary reinforcers and depressive symptoms at all time-points, compared to those who were smoking, but significant differences were confined to week 8 (p's&lt;.01). There was no significant interaction between alternative reinforcers and depressive symptoms across the 8 weeks on week 8 abstinence.\nCONCLUSIONS: These results support continued examination of Behavioral Economic Theory in understanding adult smoking cessation in order to inform future treatments and guidelines.","container-title":"Drug and Alcohol Dependence","DOI":"10.1016/j.drugalcdep.2014.02.007","ISSN":"1879-0046","journalAbbreviation":"Drug Alcohol Depend","language":"eng","note":"PMID: 24598122\nPMCID: PMC4030632","page":"67-74","source":"PubMed","title":"The association between changes in alternative reinforcers and short-term smoking cessation","volume":"138","author":[{"family":"Goelz","given":"Patricia M."},{"family":"Audrain-McGovern","given":"Janet E."},{"family":"Hitsman","given":"Brian"},{"family":"Leone","given":"Frank T."},{"family":"Veluz-Wilkins","given":"Anna"},{"family":"Jepson","given":"Christopher"},{"family":"Wileyto","given":"E. Paul"},{"family":"D'Avanzo","given":"Paul A."},{"family":"Rivera","given":"Jonathan G."},{"family":"Schnoll","given":"Robert A."}],"issued":{"date-parts":[["2014",5,1]]}}}],"schema":"https://github.com/citation-style-language/schema/raw/master/csl-citation.json"} </w:instrText>
      </w:r>
      <w:r w:rsidR="00B92086">
        <w:rPr>
          <w:rFonts w:ascii="Times New Roman" w:hAnsi="Times New Roman" w:cs="Times New Roman"/>
        </w:rPr>
        <w:fldChar w:fldCharType="separate"/>
      </w:r>
      <w:r w:rsidR="00B92086" w:rsidRPr="00B92086">
        <w:rPr>
          <w:rFonts w:ascii="Times New Roman" w:hAnsi="Times New Roman" w:cs="Times New Roman"/>
        </w:rPr>
        <w:t>(Goelz et al., 2014)</w:t>
      </w:r>
      <w:r w:rsidR="00B92086">
        <w:rPr>
          <w:rFonts w:ascii="Times New Roman" w:hAnsi="Times New Roman" w:cs="Times New Roman"/>
        </w:rPr>
        <w:fldChar w:fldCharType="end"/>
      </w:r>
      <w:r w:rsidRPr="00F23463">
        <w:rPr>
          <w:rFonts w:ascii="Times New Roman" w:hAnsi="Times New Roman" w:cs="Times New Roman"/>
        </w:rPr>
        <w:t xml:space="preserve"> and long-term </w:t>
      </w:r>
      <w:r w:rsidR="00B9208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{"citationID":"xutXp45c","properties":{"formattedCitation":"(Schnoll et al., 2016)","plainCitation":"(Schnoll et al., 2016)","noteIndex":0},"citationItems":[{"id":1458,"uris":["http://zotero.org/users/7873587/items/H29FBXLX"],"itemData":{"id":1458,"type":"article-journal","abstract":"Background\nTransdermal nicotine, with behavioral counseling, is among the most popular approaches used to quit smoking. Yet, 6-month cessation rates rarely exceed 20–25%. Identifying factors associated with cessation success may help researchers and clinicians develop enhanced interventions that can improve quit rates. This study examined longitudinal changes in withdrawal, craving, depression and anxiety symptoms, and alternative reinforcers, from a baseline assessment to a 6-month outcome, as predictors of 6-month smoking cessation outcomes following 8 weeks of nicotine patch treatment and counseling.\n\nMethods\nA sample of 180 smokers, who completed an effectiveness trial that provided counseling and 8 weeks of 21mg nicotine patches, was analyzed. Generalized estimating equations evaluated changes in withdrawal and craving, depression and anxiety symptoms, and alternative reinforcers over time, between participants who were smoking at 6-months and participants who were abstinent (confirmed with carbon monoxide) at 6-months. Multiple logistic regression assessed changes in these variables as predictors of relapse.\n\nResults\nControlling for covariates associated with cessation (i.e., nicotine dependence, patch adherence, and rate of nicotine metabolism), participants who were abstinent at 6 months showed significantly lower craving and withdrawal and significantly higher substitute reinforcers from baseline to 6 months, vs. those who were smoking at 6 months (p &lt; .001). An increase in craving predicted relapse to smoking (p &lt; .05).\n\nConclusions\nThese results support continued efforts to strengthen interventions that reduce withdrawal and craving and the development of interventions to address alternative reinforcers in order to promote long-term smoking abstinence following nicotine patch treatment.","container-title":"Drug and alcohol dependence","DOI":"10.1016/j.drugalcdep.2016.06.017","ISSN":"0376-8716","journalAbbreviation":"Drug Alcohol Depend","note":"PMID: 27372219\nPMCID: PMC4943211","page":"245-252","source":"PubMed Central","title":"Longitudinal Changes in Smoking Abstinence Symptoms and Alternative Reinforcers Predict Long-term Smoking Cessation Outcomes","volume":"165","author":[{"family":"Schnoll","given":"Robert A."},{"family":"Hitsman","given":"Brian"},{"family":"Blazekovic","given":"Sonja"},{"family":"Veluz-Wilkins","given":"Anna"},{"family":"Wileyto","given":"E. Paul"},{"family":"Leone","given":"Frank T."},{"family":"Audrain-McGovern","given":"Janet E."}],"issued":{"date-parts":[["2016",8,1]]}}}],"schema":"https://github.com/citation-style-language/schema/raw/master/csl-citation.json"} </w:instrText>
      </w:r>
      <w:r w:rsidR="00B92086">
        <w:rPr>
          <w:rFonts w:ascii="Times New Roman" w:hAnsi="Times New Roman" w:cs="Times New Roman"/>
        </w:rPr>
        <w:fldChar w:fldCharType="separate"/>
      </w:r>
      <w:r w:rsidR="00B92086" w:rsidRPr="00B92086">
        <w:rPr>
          <w:rFonts w:ascii="Times New Roman" w:hAnsi="Times New Roman" w:cs="Times New Roman"/>
        </w:rPr>
        <w:t>(Schnoll et al., 2016)</w:t>
      </w:r>
      <w:r w:rsidR="00B92086">
        <w:rPr>
          <w:rFonts w:ascii="Times New Roman" w:hAnsi="Times New Roman" w:cs="Times New Roman"/>
        </w:rPr>
        <w:fldChar w:fldCharType="end"/>
      </w:r>
      <w:r w:rsidRPr="00F23463">
        <w:rPr>
          <w:rFonts w:ascii="Times New Roman" w:hAnsi="Times New Roman" w:cs="Times New Roman"/>
        </w:rPr>
        <w:t xml:space="preserve"> abstinence from smoking. Consequently, substance-free reinforcement is recognised as a significant target for addiction treatment </w:t>
      </w:r>
      <w:r w:rsidR="00F63DE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{"citationID":"SH3UJ6KU","properties":{"formattedCitation":"(McKay, 2017)","plainCitation":"(McKay, 2017)","noteIndex":0},"citationItems":[{"id":1461,"uris":["http://zotero.org/users/7873587/items/9C4JF8KC"],"itemData":{"id":1461,"type":"article-journal","abstract":"Background\nResearch has led to improvements in the effectiveness of interventions for substance use disorders (SUD), but for the most part progress has been modest, particularly with regard to longer-term outcomes. Moreover, most individuals with SUD do not seek out treatment.\n\nArgument/analysis\nThis paper presents two recommendations on how to improve treatment engagement and long-term outcomes for those with SUD. First, treatments should go beyond a focus on reducing or eliminating substance use to target greater access to and more time spent in experiences that will be enjoyable or otherwise rewarding to clients. Second, there must be sufficient incentives in the environment to justify the effort needed to sustain long-term abstinence for individuals who often have limited access to such incentives.\n\nConclusions\nTo increase rates of long-term recovery from substance misuse, treatments should link clients to reinforcers that will make continued abstinence more appealing. This work needs to extend beyond interventions focused on the individual or family to include the local community and national policy in an effort to more strongly incentivize longer-term recoveries.","container-title":"Addiction","DOI":"10.1111/add.13502","ISSN":"0965-2140","issue":"5","journalAbbreviation":"Addiction","note":"PMID: 27535787\nPMCID: PMC5315690","page":"751-757","source":"PubMed Central","title":"Making the hard work of recovery more attractive for those with substance use disorders","volume":"112","author":[{"family":"McKay","given":"James R."}],"issued":{"date-parts":[["2017",5]]}}}],"schema":"https://github.com/citation-style-language/schema/raw/master/csl-citation.json"} </w:instrText>
      </w:r>
      <w:r w:rsidR="00F63DE9">
        <w:rPr>
          <w:rFonts w:ascii="Times New Roman" w:hAnsi="Times New Roman" w:cs="Times New Roman"/>
        </w:rPr>
        <w:fldChar w:fldCharType="separate"/>
      </w:r>
      <w:r w:rsidR="00F63DE9" w:rsidRPr="00F63DE9">
        <w:rPr>
          <w:rFonts w:ascii="Times New Roman" w:hAnsi="Times New Roman" w:cs="Times New Roman"/>
        </w:rPr>
        <w:t>(McKay, 2017)</w:t>
      </w:r>
      <w:r w:rsidR="00F63DE9">
        <w:rPr>
          <w:rFonts w:ascii="Times New Roman" w:hAnsi="Times New Roman" w:cs="Times New Roman"/>
        </w:rPr>
        <w:fldChar w:fldCharType="end"/>
      </w:r>
      <w:r w:rsidRPr="00F23463">
        <w:rPr>
          <w:rFonts w:ascii="Times New Roman" w:hAnsi="Times New Roman" w:cs="Times New Roman"/>
        </w:rPr>
        <w:t xml:space="preserve">. However, a challenge is that many people with a SUD may not have access to ‘natural reinforcers’ that serve as alternatives to substance use. </w:t>
      </w:r>
      <w:r w:rsidR="00417E01">
        <w:rPr>
          <w:rFonts w:ascii="Times New Roman" w:hAnsi="Times New Roman" w:cs="Times New Roman"/>
        </w:rPr>
        <w:t>To elaborate</w:t>
      </w:r>
      <w:r w:rsidRPr="00F23463">
        <w:rPr>
          <w:rFonts w:ascii="Times New Roman" w:hAnsi="Times New Roman" w:cs="Times New Roman"/>
        </w:rPr>
        <w:t xml:space="preserve">, years of addiction may have resulted in several adverse </w:t>
      </w:r>
      <w:r w:rsidR="00417E01">
        <w:rPr>
          <w:rFonts w:ascii="Times New Roman" w:hAnsi="Times New Roman" w:cs="Times New Roman"/>
        </w:rPr>
        <w:t>outcomes</w:t>
      </w:r>
      <w:r w:rsidRPr="00F23463">
        <w:rPr>
          <w:rFonts w:ascii="Times New Roman" w:hAnsi="Times New Roman" w:cs="Times New Roman"/>
        </w:rPr>
        <w:t xml:space="preserve">, including breakdowns in social relationships and/or declines in meaningful activities that provide a sense of purpose in life </w:t>
      </w:r>
      <w:r w:rsidR="00BD1FDA">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{"citationID":"J9qE7vPq","properties":{"formattedCitation":"(McKay, 2017)","plainCitation":"(McKay, 2017)","noteIndex":0},"citationItems":[{"id":1461,"uris":["http://zotero.org/users/7873587/items/9C4JF8KC"],"itemData":{"id":1461,"type":"article-journal","abstract":"Background\nResearch has led to improvements in the effectiveness of interventions for substance use disorders (SUD), but for the most part progress has been modest, particularly with regard to longer-term outcomes. Moreover, most individuals with SUD do not seek out treatment.\n\nArgument/analysis\nThis paper presents two recommendations on how to improve treatment engagement and long-term outcomes for those with SUD. First, treatments should go beyond a focus on reducing or eliminating substance use to target greater access to and more time spent in experiences that will be enjoyable or otherwise rewarding to clients. Second, there must be sufficient incentives in the environment to justify the effort needed to sustain long-term abstinence for individuals who often have limited access to such incentives.\n\nConclusions\nTo increase rates of long-term recovery from substance misuse, treatments should link clients to reinforcers that will make continued abstinence more appealing. This work needs to extend beyond interventions focused on the individual or family to include the local community and national policy in an effort to more strongly incentivize longer-term recoveries.","container-title":"Addiction","DOI":"10.1111/add.13502","ISSN":"0965-2140","issue":"5","journalAbbreviation":"Addiction","note":"PMID: 27535787\nPMCID: PMC5315690","page":"751-757","source":"PubMed Central","title":"Making the hard work of recovery more attractive for those with substance use disorders","volume":"112","author":[{"family":"McKay","given":"James R."}],"issued":{"date-parts":[["2017",5]]}}}],"schema":"https://github.com/citation-style-language/schema/raw/master/csl-citation.json"} </w:instrText>
      </w:r>
      <w:r w:rsidR="00BD1FDA">
        <w:rPr>
          <w:rFonts w:ascii="Times New Roman" w:hAnsi="Times New Roman" w:cs="Times New Roman"/>
        </w:rPr>
        <w:fldChar w:fldCharType="separate"/>
      </w:r>
      <w:r w:rsidR="00BD1FDA" w:rsidRPr="00BD1FDA">
        <w:rPr>
          <w:rFonts w:ascii="Times New Roman" w:hAnsi="Times New Roman" w:cs="Times New Roman"/>
        </w:rPr>
        <w:t>(McKay, 2017)</w:t>
      </w:r>
      <w:r w:rsidR="00BD1FDA">
        <w:rPr>
          <w:rFonts w:ascii="Times New Roman" w:hAnsi="Times New Roman" w:cs="Times New Roman"/>
        </w:rPr>
        <w:fldChar w:fldCharType="end"/>
      </w:r>
      <w:r w:rsidR="00BD1FDA">
        <w:rPr>
          <w:rFonts w:ascii="Times New Roman" w:hAnsi="Times New Roman" w:cs="Times New Roman"/>
        </w:rPr>
        <w:t>.</w:t>
      </w:r>
      <w:r w:rsidRPr="00F23463">
        <w:rPr>
          <w:rFonts w:ascii="Times New Roman" w:hAnsi="Times New Roman" w:cs="Times New Roman"/>
        </w:rPr>
        <w:t xml:space="preserve"> As a result of this, there may be a lack of strong incentives for sustained behaviour change and recovery and it instead poses as ‘existential crisis’ </w:t>
      </w:r>
      <w:r w:rsidR="00BD1FD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{"citationID":"JfqS1wBb","properties":{"formattedCitation":"(Pickard, 2020a)","plainCitation":"(Pickard, 2020a)","noteIndex":0},"citationItems":[{"id":1464,"uris":["http://zotero.org/users/7873587/items/QNUSHYW6"],"itemData":{"id":1464,"type":"article-journal","abstract":"Addiction is standardly characterized as a neurobiological disease of compulsion. Against this characterization, I argue that many cases of addiction cannot be explained without recognizing the value of drugs to those who are addicted; and I explore in detail an insufficiently recognized source of value, namely, a sense of self and social identity as an addict. For people who lack a genuine alternative sense of self and social identity, recovery represents an existential threat. Given that an addict identification carries expectations of continued consumption despite negative consequences, there is therefore a parsimonious explanation of why people who identify as addicts continue to use drugs despite these consequences: they self-identify as addicts and that is what addicts are supposed to do. I conclude by considering how it is nonetheless possible to overcome addiction despite this identity, in part by imagining and enacting a new one. Importantly, this possibility requires the availability of social support and material resources that are all too frequently absent in the lives of those who struggle with addiction.","container-title":"Noûs","DOI":"10.1111/nous.12328","ISSN":"1468-0068","issue":"4","language":"en","note":"_eprint: https://onlinelibrary.wiley.com/doi/pdf/10.1111/nous.12328","page":"737-761","source":"Wiley Online Library","title":"Addiction and the self","volume":"55","author":[{"family":"Pickard","given":"Hanna"}],"issued":{"date-parts":[["2020"]]}}}],"schema":"https://github.com/citation-style-language/schema/raw/master/csl-citation.json"} </w:instrText>
      </w:r>
      <w:r w:rsidR="00BD1FDA">
        <w:rPr>
          <w:rFonts w:ascii="Times New Roman" w:hAnsi="Times New Roman" w:cs="Times New Roman"/>
        </w:rPr>
        <w:fldChar w:fldCharType="separate"/>
      </w:r>
      <w:r w:rsidR="00AE524C" w:rsidRPr="00AE524C">
        <w:rPr>
          <w:rFonts w:ascii="Times New Roman" w:hAnsi="Times New Roman" w:cs="Times New Roman"/>
        </w:rPr>
        <w:t>(Pickard, 2020a)</w:t>
      </w:r>
      <w:r w:rsidR="00BD1FDA">
        <w:rPr>
          <w:rFonts w:ascii="Times New Roman" w:hAnsi="Times New Roman" w:cs="Times New Roman"/>
        </w:rPr>
        <w:fldChar w:fldCharType="end"/>
      </w:r>
      <w:r w:rsidRPr="00F23463">
        <w:rPr>
          <w:rFonts w:ascii="Times New Roman" w:hAnsi="Times New Roman" w:cs="Times New Roman"/>
        </w:rPr>
        <w:t xml:space="preserve">: a person may start to wonder “who am I?” if they do not use substances because there is no clear alternative. </w:t>
      </w:r>
      <w:r w:rsidR="00417E01">
        <w:rPr>
          <w:rFonts w:ascii="Times New Roman" w:hAnsi="Times New Roman" w:cs="Times New Roman"/>
        </w:rPr>
        <w:t>Hypothetically, i</w:t>
      </w:r>
      <w:r w:rsidRPr="00F23463">
        <w:rPr>
          <w:rFonts w:ascii="Times New Roman" w:hAnsi="Times New Roman" w:cs="Times New Roman"/>
        </w:rPr>
        <w:t xml:space="preserve">n the scenario where there is no clear alternative, the decision will be between using a substance versus not using a substance. </w:t>
      </w:r>
    </w:p>
    <w:p w14:paraId="6D4EC144" w14:textId="77777777" w:rsidR="008A4FF5" w:rsidRPr="00F23463" w:rsidRDefault="008A4FF5" w:rsidP="00AC0B06">
      <w:pPr>
        <w:pStyle w:val="NoSpacing"/>
        <w:spacing w:line="480" w:lineRule="auto"/>
        <w:rPr>
          <w:rFonts w:ascii="Times New Roman" w:hAnsi="Times New Roman" w:cs="Times New Roman"/>
        </w:rPr>
      </w:pPr>
    </w:p>
    <w:p w14:paraId="01594E36" w14:textId="3C692ADD" w:rsidR="008A4FF5" w:rsidRPr="00F23463" w:rsidRDefault="008A4FF5" w:rsidP="009F41B9">
      <w:pPr>
        <w:pStyle w:val="NoSpacing"/>
        <w:spacing w:line="480" w:lineRule="auto"/>
        <w:rPr>
          <w:rFonts w:ascii="Times New Roman" w:hAnsi="Times New Roman" w:cs="Times New Roman"/>
        </w:rPr>
      </w:pPr>
      <w:r w:rsidRPr="00F23463">
        <w:rPr>
          <w:rFonts w:ascii="Times New Roman" w:hAnsi="Times New Roman" w:cs="Times New Roman"/>
        </w:rPr>
        <w:t>Considering this research, there are now a number of novel evidence-based treatments that are based upon principles from behavioural economics, which aim to increase a person’s engagement with substance-free activities</w:t>
      </w:r>
      <w:r w:rsidR="00312AFA">
        <w:rPr>
          <w:rFonts w:ascii="Times New Roman" w:hAnsi="Times New Roman" w:cs="Times New Roman"/>
        </w:rPr>
        <w:t xml:space="preserve"> </w:t>
      </w:r>
      <w:r w:rsidR="00312AF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{"citationID":"x2H6Q1TR","properties":{"formattedCitation":"(Fazzino et al., 2019)","plainCitation":"(Fazzino et al., 2019)","noteIndex":0},"citationItems":[{"id":1467,"uris":["http://zotero.org/users/7873587/items/6LVEFWZW"],"itemData":{"id":1467,"type":"article-journal","abstract":"BACKGROUND: Brief reinforcement-based psychosocial interventions such as behavioral activation (BA) and behavioral economics (BE) address imbalances in the reinforcement system that are strongly implicated in substance use. The present study reviewed a growing body of intervention studies that tested the efficacy of BA or BE in addressing substance use outcomes. The study also reviewed a smaller body of evidence exploring mechanisms of action and moderators of treatment efficacy for substance use outcomes.\nMETHOD: A comprehensive literature search of four databases was conducted to identify studies that tested either BA or BE interventions targeting outcomes and/or mechanisms of action specific to substance use. The search yielded 12 studies that met these criteria. Ten studies reported main outcomes of BA/BE interventions targeting substance use outcomes (N = 7 BA; N = 3 BE). Two additional studies addressed mechanisms of change by conducting secondary analyses of data from one of the other ten studies. Eight of the twelve studies tested mechanisms of change and/or moderators related to substance use.\nRESULTS: Among all ten outcome studies, 100% provided evidence suggesting efficacy of BA/BE in targeting substance use and/or use-related problems. In 90% (9/10) of studies, the BA/BE intervention condition evidenced significantly higher abstinence rates compared to controls and/or significant decreases in substance use from baseline. Most studies that assessed substance use-related problems (83%; 5/6) reported significant decreases in use-related problems. The majority of studies (80%; 8/10) reported medium to large effect sizes. The pattern of findings was similar for BA and BE interventions. Eight studies assessed change in mechanism of action and 38% (3/8) identified mechanisms of action, however, only two conducted a formal test of whether this variable mediated the relationship between condition and outcome. Two studies tested and identified significant moderators of treatment efficacy.\nCONCLUSIONS: Preliminary evidence supports the efficacy of reinforcement-based interventions in targeting substance use outcomes. The mechanisms driving BA/BE efficacy and factors that may moderate treatment effects are not sufficiently clear from the studies available and require further examination, although existing data does suggest promise and provides clues for next steps.","container-title":"Journal of Substance Abuse Treatment","DOI":"10.1016/j.jsat.2019.06.016","ISSN":"1873-6483","journalAbbreviation":"J Subst Abuse Treat","language":"eng","note":"PMID: 31370989","page":"83-96","source":"PubMed","title":"A systematic review of reinforcement-based interventions for substance use: Efficacy, mechanisms of action, and moderators of treatment effects","title-short":"A systematic review of reinforcement-based interventions for substance use","volume":"104","author":[{"family":"Fazzino","given":"Tera L."},{"family":"Bjorlie","given":"Kayla"},{"family":"Lejuez","given":"C. W."}],"issued":{"date-parts":[["2019",9]]}}}],"schema":"https://github.com/citation-style-language/schema/raw/master/csl-citation.json"} </w:instrText>
      </w:r>
      <w:r w:rsidR="00312AFA">
        <w:rPr>
          <w:rFonts w:ascii="Times New Roman" w:hAnsi="Times New Roman" w:cs="Times New Roman"/>
        </w:rPr>
        <w:fldChar w:fldCharType="separate"/>
      </w:r>
      <w:r w:rsidR="00312AFA" w:rsidRPr="00312AFA">
        <w:rPr>
          <w:rFonts w:ascii="Times New Roman" w:hAnsi="Times New Roman" w:cs="Times New Roman"/>
        </w:rPr>
        <w:t>(Fazzino et al., 2019)</w:t>
      </w:r>
      <w:r w:rsidR="00312AFA">
        <w:rPr>
          <w:rFonts w:ascii="Times New Roman" w:hAnsi="Times New Roman" w:cs="Times New Roman"/>
        </w:rPr>
        <w:fldChar w:fldCharType="end"/>
      </w:r>
      <w:r w:rsidRPr="00F23463">
        <w:rPr>
          <w:rFonts w:ascii="Times New Roman" w:hAnsi="Times New Roman" w:cs="Times New Roman"/>
        </w:rPr>
        <w:t>. For example, contingency management (CM), behavioural activation (BA), and substance-free activity sessions (SFAS) all broadly aim to simultaneously increase the value of substance-free alternatives</w:t>
      </w:r>
      <w:r w:rsidR="00312AFA">
        <w:rPr>
          <w:rFonts w:ascii="Times New Roman" w:hAnsi="Times New Roman" w:cs="Times New Roman"/>
        </w:rPr>
        <w:t xml:space="preserve"> relative to substance use</w:t>
      </w:r>
      <w:r w:rsidRPr="00F23463">
        <w:rPr>
          <w:rFonts w:ascii="Times New Roman" w:hAnsi="Times New Roman" w:cs="Times New Roman"/>
        </w:rPr>
        <w:t xml:space="preserve">, albeit through slightly different methods. CM is a behaviour modification technique that aims to reinforce desired behaviours (e.g., reductions in substance use) with the use of incentives </w:t>
      </w:r>
      <w:r w:rsidR="00F25186">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{"citationID":"FCYC60g3","properties":{"formattedCitation":"(Petry et al., 2017)","plainCitation":"(Petry et al., 2017)","noteIndex":0},"citationItems":[{"id":1471,"uris":["http://zotero.org/users/7873587/items/8ABIP8TW"],"itemData":{"id":1471,"type":"article-journal","abstract":"Contingency management (CM) interventions consistently improve substance abuse treatment outcomes, yet CM remains a highly controversial intervention and is rarely implemented in practice settings. This paper briefly outlines the evidence base of CM and then describes four of the most often cited concerns about it: philosophical, motivational, durability, and economic. Data supporting and refuting each of these issues are reviewed. The paper concludes with suggestions to address these matters and other important areas for CM research and implementation, with the aims of improving uptake of this efficacious intervention in practice settings and outcomes of patients with substance use disorders.","container-title":"Psychology of addictive behaviors","DOI":"10.1037/adb0000287","ISSN":"0893-164X","issue":"8","journalAbbreviation":"Psychol Addict Behav","note":"PMID: 28639812\nPMCID: PMC5714694","page":"897-906","source":"PubMed Central","title":"Contingency management treatment for substance use disorders: How far has it come, and where does it need to go?","title-short":"Contingency management treatment for substance use disorders","volume":"31","author":[{"family":"Petry","given":"Nancy M."},{"family":"Alessi","given":"Sheila M."},{"family":"Olmstead","given":"Todd A."},{"family":"Rash","given":"Carla J."},{"family":"Zajac","given":"Kristyn"}],"issued":{"date-parts":[["2017",12]]}}}],"schema":"https://github.com/citation-style-language/schema/raw/master/csl-citation.json"} </w:instrText>
      </w:r>
      <w:r w:rsidR="00F25186">
        <w:rPr>
          <w:rFonts w:ascii="Times New Roman" w:hAnsi="Times New Roman" w:cs="Times New Roman"/>
        </w:rPr>
        <w:fldChar w:fldCharType="separate"/>
      </w:r>
      <w:r w:rsidR="00F25186" w:rsidRPr="00F25186">
        <w:rPr>
          <w:rFonts w:ascii="Times New Roman" w:hAnsi="Times New Roman" w:cs="Times New Roman"/>
        </w:rPr>
        <w:t>(Petry et al., 2017)</w:t>
      </w:r>
      <w:r w:rsidR="00F25186">
        <w:rPr>
          <w:rFonts w:ascii="Times New Roman" w:hAnsi="Times New Roman" w:cs="Times New Roman"/>
        </w:rPr>
        <w:fldChar w:fldCharType="end"/>
      </w:r>
      <w:r w:rsidRPr="00F23463">
        <w:rPr>
          <w:rFonts w:ascii="Times New Roman" w:hAnsi="Times New Roman" w:cs="Times New Roman"/>
        </w:rPr>
        <w:t xml:space="preserve">. These incentives can vary, but typically include things such as small cash rewards, vouchers, prize-draw methods, and clinic privileges. CM is an effective treatment </w:t>
      </w:r>
      <w:r w:rsidR="00A92FED">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{"citationID":"ldo9lUzK","properties":{"formattedCitation":"(Lussier et al., 2006; Petry et al., 2011, 2012; Prendergast et al., 2006; Stitzer &amp; Petry, 2006)","plainCitation":"(Lussier et al., 2006; Petry et al., 2011, 2012; Prendergast et al., 2006; Stitzer &amp; Petry, 2006)","noteIndex":0},"citationItems":[{"id":1474,"uris":["http://zotero.org/users/7873587/items/6SKFXRA3"],"itemData":{"id":1474,"type":"article-journal","abstract":"AIMS: To systematically investigate the effectiveness of voucher-based reinforcement therapy for the treatment of substance use disorders.\nMETHODS: Effect sizes and 95% confidence intervals were calculated for studies published between January 1991 and March 2004 that utilized voucher-based reinforcement therapy (VBRT) or related monetary-based incentives to treat substance use disorders (SUDs).\nFINDINGS: Thirty studies involved interventions targeting abstinence from drug use using experimental designs where effects on treatment outcome could be attributed to the VBRT intervention. The estimated average effect size (r) for those studies was 0.32 (95% CI 0.26-0.38). Analyses of variables thought to moderate VBRT effect sizes revealed that more immediate voucher delivery and greater monetary value of the voucher were associated with larger effect sizes. Additional studies were identified wherein VBRT was used to target clinic attendance (n = 6) or medication compliance (n = 4). VBRT studies targeting attendance produced average effect sizes of 0.15 (95% CI 0.02-0.28), while those that targeted medication compliance produced an average effect of 0.32 (95% CI 0.15-0.47). No significant moderators were identified for these 10 studies.\nCONCLUSIONS: Overall, VBRT generated significantly better outcomes than did control treatments. These results further support the efficacy of VBRT, quantify the magnitude of its effects, identify significant moderators and suggest potential directions for future research.","container-title":"Addiction","DOI":"10.1111/j.1360-0443.2006.01311.x","ISSN":"0965-2140","issue":"2","journalAbbreviation":"Addiction","language":"eng","note":"PMID: 16445548","page":"192-203","source":"PubMed","title":"A meta-analysis of voucher-based reinforcement therapy for substance use disorders","volume":"101","author":[{"family":"Lussier","given":"Jennifer Plebani"},{"family":"Heil","given":"Sarah H."},{"family":"Mongeon","given":"Joan A."},{"family":"Badger","given":"Gary J."},{"family":"Higgins","given":"Stephen T."}],"issued":{"date-parts":[["2006",2]]}},"label":"act"},{"id":1481,"uris":["http://zotero.org/users/7873587/items/FV7JCVPN"],"itemData":{"id":1481,"type":"article-journal","abstract":"Objective\nContingency management (CM) is efficacious in reducing drug use. Typically, reinforcers are provided on an individual basis to patients for submitting drug-negative samples. However, most treatment is provided in a group context, and poor attendance is a substantial concern. This study evaluated whether adding CM to group-based outpatient treatment would increase attendance and drug abstinence relative to standard care.\n\nMethods\nSubstance abusing patients (N = 239) initiating outpatient treatment at two community-based clinics were randomized to standard care with frequent urine sample monitoring for 12 weeks (SC) or that same treatment with CM delivered in the context of group counseling sessions. In the CM condition, patients earned opportunities to put their names in a hat based on attendance and submission of drug-negative samples. At group counseling sessions, therapists selected names randomly from the hat, and individuals whose names were drawn won prizes ranging from $1 to $100.\n\nResults\nPatients assigned to CM earned a median of $160 in prizes, and they attended significantly more days of treatment (d = 0.25), remained in treatment for more continuous weeks (d = 0.40), and achieved longer durations of drug abstinence (d = 0.26) than patients randomized to SC. Group adherence and therapeutic alliance also improved with CM. In addition, HIV risk behaviors were significantly lower in CM relative to SC patients during early phases of treatment and at the 12-month follow-up.\n\nConclusions\nThese data demonstrate that CM delivered in the context of outpatient group counseling can increase attendance and improve drug abstinence.","container-title":"Journal of consulting and clinical psychology","DOI":"10.1037/a0024813","ISSN":"0022-006X","issue":"5","journalAbbreviation":"J Consult Clin Psychol","note":"PMID: 21806297\nPMCID: PMC3722591","page":"686-696","source":"PubMed Central","title":"A randomized trial of contingency management delivered in the context of group counseling","volume":"79","author":[{"family":"Petry","given":"Nancy M."},{"family":"Weinstock","given":"Jeremiah"},{"family":"Alessi","given":"Sheila M."}],"issued":{"date-parts":[["2011",10]]}},"label":"act"},{"id":1476,"uris":["http://zotero.org/users/7873587/items/FCH74FE9"],"itemData":{"id":1476,"type":"article-journal","abstract":"Objective\nContingency management (CM) is an evidence-based treatment, but few clinicians deliver this intervention in community-based settings.\n\nMethod\nTwenty-three clinicians from three methadone maintenance clinics received training in CM. Following a didactics seminar and a training and supervision period in which clinicians delivered CM to pilot patients, a randomized trial evaluated the efficacy of CM when delivered entirely by clinicians. Sixteen clinicians treated 130 patients randomized to CM or standard care. In both conditions, urine and breath samples were collected twice weekly for 12 weeks. In the CM condition, patients earned the opportunity to win prizes ranging in value from $1 to $100 for submitting samples negative for cocaine and alcohol. Primary treatment outcomes were retention, longest continuous period of abstinence, and proportion of negative samples submitted.\n\nResults\nPatients randomized to CM remained in the study longer (9.5 ± 3.6 versus 6.7 ± 5.0 weeks), achieved greater durations of abstinence (4.7 ± 4.7 versus 1.7 ± 2.7 weeks), and submitted a higher proportion of negative samples (57.7% ± 40.0% versus 29.4% ± 33.3%) than those assigned to standard care.\n\nConclusions\nThese data indicate that, with appropriate training, community-based clinicians can effectively administer CM. This study suggests that resources ought to be directed toward training and supervising community-based providers in delivering CM, as patient outcomes can be significantly improved by integrating CM in methadone clinics.","container-title":"Journal of consulting and clinical psychology","DOI":"10.1037/a0026826","ISSN":"0022-006X","issue":"2","journalAbbreviation":"J Consult Clin Psychol","note":"PMID: 22250852\nPMCID: PMC3725552","page":"286-298","source":"PubMed Central","title":"A randomized trial of contingency management delivered by community therapists","volume":"80","author":[{"family":"Petry","given":"Nancy M."},{"family":"Alessi","given":"Sheila M."},{"family":"Ledgerwood","given":"David M."}],"issued":{"date-parts":[["2012",4]]}},"label":"act"},{"id":1486,"uris":["http://zotero.org/users/7873587/items/FSJJW6YB"],"itemData":{"id":1486,"type":"article-journal","abstract":"AIMS: To examine the effectiveness of contingency management (CM) techniques in treating substance use disorders (i.e. illicit drugs, alcohol, tobacco).\nDESIGN: Meta-analysis was used to determine the average effect size and potential moderators in 47 comparisons of the effectiveness of CM from studies based on a treatment-control group design and published between 1970 and 2002.\nFINDINGS: The mean effect size (ES) of CM was positive, with a magnitude of d = 0.42 using a fixed effects model. The magnitude of the ES declined over time, following treatment. CM was more effective in treating opiate use (d = 0.65) and cocaine use (d = 0.66), compared with tobacco (d = 0.31) or multiple drugs (d = 0.42). Larger effect sizes were associated with higher researcher involvement, earlier studies and shorter treatment duration.\nCONCLUSIONS: Study findings suggest that CM is among the more effective approaches to promoting abstinence during the treatment of substance use disorders. CM improves the ability of clients to remain abstinent, thereby allowing them to take fuller advantage of other clinical treatment components.","container-title":"Addiction","DOI":"10.1111/j.1360-0443.2006.01581.x","ISSN":"0965-2140","issue":"11","journalAbbreviation":"Addiction","language":"eng","note":"PMID: 17034434","page":"1546-1560","source":"PubMed","title":"Contingency management for treatment of substance use disorders: a meta-analysis","title-short":"Contingency management for treatment of substance use disorders","volume":"101","author":[{"family":"Prendergast","given":"Michael"},{"family":"Podus","given":"Deborah"},{"family":"Finney","given":"John"},{"family":"Greenwell","given":"Lisa"},{"family":"Roll","given":"John"}],"issued":{"date-parts":[["2006",11]]}},"label":"act"},{"id":1484,"uris":["http://zotero.org/users/7873587/items/VYJZ9F3S"],"itemData":{"id":1484,"type":"article-journal","abstract":"Clinical research trials demonstrate the efficacy of contingency management procedures in treating substance use disorders. Usually, reinforcement, in the form of vouchers exchangeable for retail goods and services, is provided for drug abstinence in patients treated in psychosocial or methadone maintenance clinics. Recently, the types of reinforcers have been adapted to include lower cost alternatives, and reinforcement is being expanded to alter other target behaviors such as attendance at treatment, adherence to treatment goals, and compliance with medication. This chapter provides an overview of the populations and behaviors to which contingency management approaches have been applied. It also reviews design features that appear critical in the successful adaptation of the techniques. In addition, areas for future research are described.","container-title":"Annual Review of Clinical Psychology","DOI":"10.1146/annurev.clinpsy.2.022305.095219","ISSN":"1548-5943","journalAbbreviation":"Annu Rev Clin Psychol","language":"eng","note":"PMID: 17716077","page":"411-434","source":"PubMed","title":"Contingency management for treatment of substance abuse","volume":"2","author":[{"family":"Stitzer","given":"Maxine"},{"family":"Petry","given":"Nancy"}],"issued":{"date-parts":[["2006"]]}},"label":"act"}],"schema":"https://github.com/citation-style-language/schema/raw/master/csl-citation.json"} </w:instrText>
      </w:r>
      <w:r w:rsidR="00A92FED">
        <w:rPr>
          <w:rFonts w:ascii="Times New Roman" w:hAnsi="Times New Roman" w:cs="Times New Roman"/>
        </w:rPr>
        <w:fldChar w:fldCharType="separate"/>
      </w:r>
      <w:r w:rsidR="00A92FED" w:rsidRPr="00A92FED">
        <w:rPr>
          <w:rFonts w:ascii="Times New Roman" w:hAnsi="Times New Roman" w:cs="Times New Roman"/>
        </w:rPr>
        <w:t>(Lussier et al., 2006; Petry et al., 2011, 2012; Prendergast et al., 2006; Stitzer &amp; Petry, 2006)</w:t>
      </w:r>
      <w:r w:rsidR="00A92FED">
        <w:rPr>
          <w:rFonts w:ascii="Times New Roman" w:hAnsi="Times New Roman" w:cs="Times New Roman"/>
        </w:rPr>
        <w:fldChar w:fldCharType="end"/>
      </w:r>
      <w:r w:rsidR="00A92FED">
        <w:rPr>
          <w:rFonts w:ascii="Times New Roman" w:hAnsi="Times New Roman" w:cs="Times New Roman"/>
        </w:rPr>
        <w:t xml:space="preserve"> </w:t>
      </w:r>
      <w:r w:rsidRPr="00F23463">
        <w:rPr>
          <w:rFonts w:ascii="Times New Roman" w:hAnsi="Times New Roman" w:cs="Times New Roman"/>
        </w:rPr>
        <w:t xml:space="preserve">particularly in the short-term </w:t>
      </w:r>
      <w:r w:rsidR="00A92FE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{"citationID":"srl9al9O","properties":{"formattedCitation":"(Benishek et al., 2014)","plainCitation":"(Benishek et al., 2014)","noteIndex":0},"citationItems":[{"id":1488,"uris":["http://zotero.org/users/7873587/items/IZV8GMA7"],"itemData":{"id":1488,"type":"article-journal","abstract":"AIM: To review randomized controlled trials to assess efficacy of a prize-based contingency management procedure in reducing substance use (where a drug-free breath or urine sample provides a chance of winning a prize).\nMETHODS: A meta-analysis was conducted on papers published from January 2000 to February 2013 to determine the effect size of studies comparing prize-based contingency management to a treatment-as-usual control condition (k = 19 studies). Parallel analyses evaluated the efficacy of both short- (k = nine studies) and long-term outcomes (k = six studies) of prize-based contingency management.\nRESULTS: The average end-of-treatment effect size (Cohen's d) was 0.46 [95% confidence interval (CI) = 0.37, 0.54]. This effect size decreased at the short-term (≤3-month) post-intervention follow-up to 0.33 (95% CI = 0.12, 0.54) and at the 6-month follow-up time-point there was no detectable effect [d = -0.09 (95% CI = -0.28, 0.10)].\nCONCLUSION: Adding prize-based contingency management to behavioral support for substance use disorders can increase short-term abstinence, but the effect does not appear to persist to 6 months.","container-title":"Addiction","DOI":"10.1111/add.12589","ISSN":"1360-0443","issue":"9","journalAbbreviation":"Addiction","language":"eng","note":"PMID: 24750232\nPMCID: PMC4203362","page":"1426-1436","source":"PubMed","title":"Prize-based contingency management for the treatment of substance abusers: a meta-analysis","title-short":"Prize-based contingency management for the treatment of substance abusers","volume":"109","author":[{"family":"Benishek","given":"Lois A."},{"family":"Dugosh","given":"Karen L."},{"family":"Kirby","given":"Kim C."},{"family":"Matejkowski","given":"Jason"},{"family":"Clements","given":"Nicolle T."},{"family":"Seymour","given":"Brittany L."},{"family":"Festinger","given":"David S."}],"issued":{"date-parts":[["2014",9]]}}}],"schema":"https://github.com/citation-style-language/schema/raw/master/csl-citation.json"} </w:instrText>
      </w:r>
      <w:r w:rsidR="00A92FED">
        <w:rPr>
          <w:rFonts w:ascii="Times New Roman" w:hAnsi="Times New Roman" w:cs="Times New Roman"/>
        </w:rPr>
        <w:fldChar w:fldCharType="separate"/>
      </w:r>
      <w:r w:rsidR="00A92FED" w:rsidRPr="00A92FED">
        <w:rPr>
          <w:rFonts w:ascii="Times New Roman" w:hAnsi="Times New Roman" w:cs="Times New Roman"/>
        </w:rPr>
        <w:t>(Benishek et al., 2014)</w:t>
      </w:r>
      <w:r w:rsidR="00A92FED">
        <w:rPr>
          <w:rFonts w:ascii="Times New Roman" w:hAnsi="Times New Roman" w:cs="Times New Roman"/>
        </w:rPr>
        <w:fldChar w:fldCharType="end"/>
      </w:r>
      <w:r w:rsidRPr="00F23463">
        <w:rPr>
          <w:rFonts w:ascii="Times New Roman" w:hAnsi="Times New Roman" w:cs="Times New Roman"/>
        </w:rPr>
        <w:t>.  A</w:t>
      </w:r>
      <w:r w:rsidR="00A92FED">
        <w:rPr>
          <w:rFonts w:ascii="Times New Roman" w:hAnsi="Times New Roman" w:cs="Times New Roman"/>
        </w:rPr>
        <w:t xml:space="preserve"> </w:t>
      </w:r>
      <w:r w:rsidRPr="00F23463">
        <w:rPr>
          <w:rFonts w:ascii="Times New Roman" w:hAnsi="Times New Roman" w:cs="Times New Roman"/>
        </w:rPr>
        <w:t>Cochrane review examined the long-term effect</w:t>
      </w:r>
      <w:r w:rsidR="00A92FED">
        <w:rPr>
          <w:rFonts w:ascii="Times New Roman" w:hAnsi="Times New Roman" w:cs="Times New Roman"/>
        </w:rPr>
        <w:t>iveness</w:t>
      </w:r>
      <w:r w:rsidRPr="00F23463">
        <w:rPr>
          <w:rFonts w:ascii="Times New Roman" w:hAnsi="Times New Roman" w:cs="Times New Roman"/>
        </w:rPr>
        <w:t xml:space="preserve"> of CM programmes for smoking </w:t>
      </w:r>
      <w:r w:rsidRPr="00F23463">
        <w:rPr>
          <w:rFonts w:ascii="Times New Roman" w:hAnsi="Times New Roman" w:cs="Times New Roman"/>
        </w:rPr>
        <w:lastRenderedPageBreak/>
        <w:t xml:space="preserve">cessation and found that incentives (such as cash or vouchers) improve the rate of smoking cessation, and that this is continued even in the long-term </w:t>
      </w:r>
      <w:r w:rsidR="00A92FE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{"citationID":"AjTAseKl","properties":{"formattedCitation":"(Notley et al., 2019)","plainCitation":"(Notley et al., 2019)","noteIndex":0},"citationItems":[{"id":1493,"uris":["http://zotero.org/users/7873587/items/GX6NMP9F"],"itemData":{"id":1493,"type":"article-journal","container-title":"Cochrane Database of Systematic Reviews","DOI":"10.1002/14651858.CD004307.pub6","ISSN":"1465-1858","issue":"7","language":"en","note":"publisher: John Wiley &amp; Sons, Ltd","source":"www.cochranelibrary.com","title":"Incentives for smoking cessation","URL":"https://www.cochranelibrary.com/cdsr/doi/10.1002/14651858.CD004307.pub6/full","author":[{"family":"Notley","given":"Caitlin"},{"family":"Gentry","given":"Sarah"},{"family":"Livingstone‐Banks","given":"Jonathan"},{"family":"Bauld","given":"Linda"},{"family":"Perera","given":"Rafael"},{"family":"Hartmann‐Boyce","given":"Jamie"}],"accessed":{"date-parts":[["2022",8,3]]},"issued":{"date-parts":[["2019"]]}}}],"schema":"https://github.com/citation-style-language/schema/raw/master/csl-citation.json"} </w:instrText>
      </w:r>
      <w:r w:rsidR="00A92FED">
        <w:rPr>
          <w:rFonts w:ascii="Times New Roman" w:hAnsi="Times New Roman" w:cs="Times New Roman"/>
        </w:rPr>
        <w:fldChar w:fldCharType="separate"/>
      </w:r>
      <w:r w:rsidR="007E37AF" w:rsidRPr="007E37AF">
        <w:rPr>
          <w:rFonts w:ascii="Times New Roman" w:hAnsi="Times New Roman" w:cs="Times New Roman"/>
        </w:rPr>
        <w:t>(Notley et al., 2019)</w:t>
      </w:r>
      <w:r w:rsidR="00A92FED">
        <w:rPr>
          <w:rFonts w:ascii="Times New Roman" w:hAnsi="Times New Roman" w:cs="Times New Roman"/>
        </w:rPr>
        <w:fldChar w:fldCharType="end"/>
      </w:r>
      <w:r w:rsidR="007E37AF">
        <w:rPr>
          <w:rFonts w:ascii="Times New Roman" w:hAnsi="Times New Roman" w:cs="Times New Roman"/>
        </w:rPr>
        <w:t>.</w:t>
      </w:r>
      <w:r w:rsidRPr="00F23463">
        <w:rPr>
          <w:rFonts w:ascii="Times New Roman" w:hAnsi="Times New Roman" w:cs="Times New Roman"/>
        </w:rPr>
        <w:t xml:space="preserve"> BA is another promising technique for reducing substance use </w:t>
      </w:r>
      <w:r w:rsidR="007E37A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{"citationID":"RLEvbqTN","properties":{"formattedCitation":"(Daughters et al., 2018; Mart\\uc0\\u237{}nez-Vispo et al., 2018)","plainCitation":"(Daughters et al., 2018; Martínez-Vispo et al., 2018)","noteIndex":0},"citationItems":[{"id":1495,"uris":["http://zotero.org/users/7873587/items/LM38I36V"],"itemData":{"id":1495,"type":"article-journal","abstract":"AIMS: To compare outcomes for a behavioral activation group treatment for substance use [life enhancement treatment for substance use (LETS ACT)] versus a time and group size-matched control condition delivered in a residential treatment setting.\nDESIGN: Single-site two-arm parallel-group randomized clinical trial with follow-up assessment at 3, 6 and 12 months post-treatment.\nSETTING: Residential substance use treatment facility in the United States.\nPARTICIPANTS: Participants were 263 adults [mean age 42.7 (11.8); 29.5% female; 95.4% African American; 73.2% court mandated] whose insurance dictated 30-day (65.9%) or 90-day (34.1%) treatment duration.\nINTERVENTION AND COMPARATOR: LETS ACT (n = 142) is a treatment developed originally for depression and modified for substance use. It teaches participants to increase positively reinforcing value-driven activities in order to counter depression and relapse. The control group [supportive counseling (SC); n = 121] received time and group size-matched supportive counseling. Treatment was delivered in five or eight 1-hour sessions depending on patient length of stay.\nMEASUREMENTS: Percentage abstinent at follow-up, percentage of substance use days among those reporting use, depressive symptoms [Beck Depression Inventory (BDI)] and adverse consequences of drug use [Short Inventory of Problems-Alcohol and Drug (SIP-AD)].\nFINDINGS: LETS ACT had significantly higher abstinence rates at 3 months [odds ratio (OR) = 2.2, 95% confidence interval (CI) = 1.3-3.7], 6 months (OR = 2.6, 95% CI= 1.3-5.0) and 12 months (OR = 2.9, 95% CI = 1.3-6.1) post-treatment compared with SC. LETS ACT participants reported significantly fewer adverse consequences from substance use at 12 months post-treatment [B = 4.50, standard error (SE) = 2.17, 95% CI = 0.22-8.78]. Treatment condition had no effect on percentage substance use days among those who resumed use or on change in depressive symptoms; the latter decreased over time only in those who remained abstinent after residential treatment irrespective of condition (B = 0.43, SE = 0.11, 95% confidence interval = 0.22-0.65).\nCONCLUSIONS: A behavioral activation group treatment for substance use (LETS ACT) appears to increase the likelihood of abstinence and reduce adverse consequences from substance use up to 12 months post-treatment.","container-title":"Addiction (Abingdon, England)","DOI":"10.1111/add.14049","ISSN":"1360-0443","issue":"3","journalAbbreviation":"Addiction","language":"eng","note":"PMID: 28963853\nPMCID: PMC5807178","page":"535-544","source":"PubMed","title":"The effect of a behavioral activation treatment for substance use on post-treatment abstinence: a randomized controlled trial","title-short":"The effect of a behavioral activation treatment for substance use on post-treatment abstinence","volume":"113","author":[{"family":"Daughters","given":"Stacey B."},{"family":"Magidson","given":"Jessica F."},{"family":"Anand","given":"Deepika"},{"family":"Seitz-Brown","given":"C. J."},{"family":"Chen","given":"Yun"},{"family":"Baker","given":"Sydney"}],"issued":{"date-parts":[["2018",3]]}},"label":"act"},{"id":1498,"uris":["http://zotero.org/users/7873587/items/R4F7L5IM"],"itemData":{"id":1498,"type":"article-journal","abstract":"INTRODUCTION: Substance use and depression co-occurrence is a frequent phenomenon and an important public health concern. Given the clinical implications and the high prevalence of both disorders, effective interventions are needed.\nMETHODS: The aim of this study is to review Behavioural Activation (BA) intervention effects to improve substance use behaviour and depression. A systematic review was conducted using MEDLINE, EMBASE, and PsycINFO. The Effective Public Health Practice Project Quality Assessment Tool (EPHPP) was used to assess the methodological quality of included studies. Two authors independently screened titles and abstracts, reviewed selected studies, and extracted data.\nRESULTS: Of the 7286 studies identified, eight met inclusion criteria. Designs of the studies included six randomized controlled trials (RCTs), and two pre-post design studies. One trial received weak methodological quality, six moderate, and one strong. Three studies addressed smoking behaviour; two targeted opiate dependence; two focused on alcohol/drug dependence; and, one on crystal methamphetamine abuse. Results showed that BA had a positive effect on substance use outcomes in seven of the eight reviewed studies, and improved depression over time in six studies.\nCONCLUSIONS: Although studies conducted so far are limited by their heterogeneity and sample sizes, results are promising. There is a need of well controlled and powered studies to establish and to confirm the effectiveness of BA for the treatment of substance use and depression. Future studies should include stronger methodological designs, larger sample sizes, and long-term follow-ups.\nTRIAL REGISTRATION: PROSPERO registration number: CRD42016039412 .","container-title":"Substance Abuse Treatment, Prevention, and Policy","DOI":"10.1186/s13011-018-0173-2","ISSN":"1747-597X","issue":"1","journalAbbreviation":"Subst Abuse Treat Prev Policy","language":"eng","note":"PMID: 30268136\nPMCID: PMC6162964","page":"36","source":"PubMed","title":"Effects of behavioural activation on substance use and depression: a systematic review","title-short":"Effects of behavioural activation on substance use and depression","volume":"13","author":[{"family":"Martínez-Vispo","given":"Carmela"},{"family":"Martínez","given":"Úrsula"},{"family":"López-Durán","given":"Ana"},{"family":"Fernández Del Río","given":"Elena"},{"family":"Becoña","given":"Elisardo"}],"issued":{"date-parts":[["2018",9,29]]}},"label":"act"}],"schema":"https://github.com/citation-style-language/schema/raw/master/csl-citation.json"} </w:instrText>
      </w:r>
      <w:r w:rsidR="007E37AF">
        <w:rPr>
          <w:rFonts w:ascii="Times New Roman" w:hAnsi="Times New Roman" w:cs="Times New Roman"/>
        </w:rPr>
        <w:fldChar w:fldCharType="separate"/>
      </w:r>
      <w:r w:rsidR="007E37AF" w:rsidRPr="007E37AF">
        <w:rPr>
          <w:rFonts w:ascii="Times New Roman" w:hAnsi="Times New Roman" w:cs="Times New Roman"/>
        </w:rPr>
        <w:t>(Daughters et al., 2018; Martínez-Vispo et al., 2018)</w:t>
      </w:r>
      <w:r w:rsidR="007E37AF">
        <w:rPr>
          <w:rFonts w:ascii="Times New Roman" w:hAnsi="Times New Roman" w:cs="Times New Roman"/>
        </w:rPr>
        <w:fldChar w:fldCharType="end"/>
      </w:r>
      <w:r w:rsidRPr="00F23463">
        <w:rPr>
          <w:rFonts w:ascii="Times New Roman" w:hAnsi="Times New Roman" w:cs="Times New Roman"/>
        </w:rPr>
        <w:t xml:space="preserve"> which is often administered alongside</w:t>
      </w:r>
      <w:r w:rsidR="007E37AF">
        <w:rPr>
          <w:rFonts w:ascii="Times New Roman" w:hAnsi="Times New Roman" w:cs="Times New Roman"/>
        </w:rPr>
        <w:t xml:space="preserve"> techniques from</w:t>
      </w:r>
      <w:r w:rsidRPr="00F23463">
        <w:rPr>
          <w:rFonts w:ascii="Times New Roman" w:hAnsi="Times New Roman" w:cs="Times New Roman"/>
        </w:rPr>
        <w:t xml:space="preserve"> </w:t>
      </w:r>
      <w:r w:rsidR="007E37AF" w:rsidRPr="00F23463">
        <w:rPr>
          <w:rFonts w:ascii="Times New Roman" w:hAnsi="Times New Roman" w:cs="Times New Roman"/>
        </w:rPr>
        <w:t>CBT and</w:t>
      </w:r>
      <w:r w:rsidRPr="00F23463">
        <w:rPr>
          <w:rFonts w:ascii="Times New Roman" w:hAnsi="Times New Roman" w:cs="Times New Roman"/>
        </w:rPr>
        <w:t xml:space="preserve"> uses strategies to encourage people to engage in rewarding activities </w:t>
      </w:r>
      <w:r w:rsidR="007E37A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{"citationID":"rMFOORv8","properties":{"formattedCitation":"(Lejuez et al., 2011)","plainCitation":"(Lejuez et al., 2011)","noteIndex":0},"citationItems":[{"id":1501,"uris":["http://zotero.org/users/7873587/items/8275JRNM"],"itemData":{"id":1501,"type":"article-journal","abstract":"Following from the seminal work of Ferster, Lewinsohn, and Jacobson, as well as theory and research on the Matching Law, Lejuez, Hopko, LePage, Hopko, and McNeil developed a reinforcement-based depression treatment that was brief, uncomplicated, and tied closely to behavioral theory. They called this treatment the brief behavioral activation treatment for depression (BATD), and the original manual was published in this journal. The current manuscript is a revised manual (BATD-R), reflecting key modifications that simplify and clarify key treatment elements, procedures, and treatment forms. Specific modifications include (a) greater emphasis on treatment rationale, including therapeutic alliance; (b) greater clarity regarding life areas, values, and activities; (c) simplified (and fewer) treatment forms; (d) enhanced procedural details, including troubleshooting and concept reviews; and (e) availability of a modified Daily Monitoring Form to accommodate low literacy patients. Following the presentation of the manual, the authors conclude with a discussion of the key barriers in greater depth, including strategies for addressing these barriers.","container-title":"Behavior Modification","DOI":"10.1177/0145445510390929","ISSN":"1552-4167","issue":"2","journalAbbreviation":"Behav Modif","language":"eng","note":"PMID: 21324944","page":"111-161","source":"PubMed","title":"Ten year revision of the brief behavioral activation treatment for depression: revised treatment manual","title-short":"Ten year revision of the brief behavioral activation treatment for depression","volume":"35","author":[{"family":"Lejuez","given":"C. W."},{"family":"Hopko","given":"Derek R."},{"family":"Acierno","given":"Ron"},{"family":"Daughters","given":"Stacey B."},{"family":"Pagoto","given":"Sherry L."}],"issued":{"date-parts":[["2011",3]]}}}],"schema":"https://github.com/citation-style-language/schema/raw/master/csl-citation.json"} </w:instrText>
      </w:r>
      <w:r w:rsidR="007E37AF">
        <w:rPr>
          <w:rFonts w:ascii="Times New Roman" w:hAnsi="Times New Roman" w:cs="Times New Roman"/>
        </w:rPr>
        <w:fldChar w:fldCharType="separate"/>
      </w:r>
      <w:r w:rsidR="007E37AF" w:rsidRPr="007E37AF">
        <w:rPr>
          <w:rFonts w:ascii="Times New Roman" w:hAnsi="Times New Roman" w:cs="Times New Roman"/>
        </w:rPr>
        <w:t>(Lejuez et al., 2011)</w:t>
      </w:r>
      <w:r w:rsidR="007E37AF">
        <w:rPr>
          <w:rFonts w:ascii="Times New Roman" w:hAnsi="Times New Roman" w:cs="Times New Roman"/>
        </w:rPr>
        <w:fldChar w:fldCharType="end"/>
      </w:r>
      <w:r w:rsidRPr="00F23463">
        <w:rPr>
          <w:rFonts w:ascii="Times New Roman" w:hAnsi="Times New Roman" w:cs="Times New Roman"/>
        </w:rPr>
        <w:t xml:space="preserve"> such as activity scheduling, assessment of life goals and values, activity monitoring, and skills training </w:t>
      </w:r>
      <w:r w:rsidR="009F41B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{"citationID":"6c5DXIX1","properties":{"formattedCitation":"(Kanter et al., 2010)","plainCitation":"(Kanter et al., 2010)","noteIndex":0},"citationItems":[{"id":1503,"uris":["http://zotero.org/users/7873587/items/U6HVSPCP"],"itemData":{"id":1503,"type":"article-journal","abstract":"Behavioral Activation (BA) for depression is an empirically supported psychotherapy with a long history dating back to the 1970s. To date there have been no systematic reviews of how BA treatment packages and their accompanying components have evolved over the years. This review sought to identify and describe the specific treatment components of BA based on the descriptions of techniques provided in empirical articles on BA and referenced treatment manuals when available. The following component techniques were identified: activity monitoring, assessment of life goals and values, activity scheduling, skills training, relaxation training, contingency management, procedures targeting verbal behavior, and procedures targeting avoidance. The implementation of these techniques is reviewed, along with their empirical support both as stand-alone components and as components of larger treatment packages. Whereas activity scheduling, relaxation, and skills training interventions have received empirical support on their own, other procedures have shown effectiveness as parts of larger treatment packages. Although BA interventions differed in tools used, activity monitoring and scheduling were shown to be constant components across interventions. Possible directions for the future evolution of BA are discussed.","container-title":"Clinical Psychology Review","DOI":"10.1016/j.cpr.2010.04.001","ISSN":"1873-7811","issue":"6","journalAbbreviation":"Clin Psychol Rev","language":"eng","note":"PMID: 20677369","page":"608-620","source":"PubMed","title":"What is behavioral activation? A review of the empirical literature","title-short":"What is behavioral activation?","volume":"30","author":[{"family":"Kanter","given":"Jonathan W."},{"family":"Manos","given":"Rachel C."},{"family":"Bowe","given":"William M."},{"family":"Baruch","given":"David E."},{"family":"Busch","given":"Andrew M."},{"family":"Rusch","given":"Laura C."}],"issued":{"date-parts":[["2010",8]]}}}],"schema":"https://github.com/citation-style-language/schema/raw/master/csl-citation.json"} </w:instrText>
      </w:r>
      <w:r w:rsidR="009F41B9">
        <w:rPr>
          <w:rFonts w:ascii="Times New Roman" w:hAnsi="Times New Roman" w:cs="Times New Roman"/>
        </w:rPr>
        <w:fldChar w:fldCharType="separate"/>
      </w:r>
      <w:r w:rsidR="009F41B9" w:rsidRPr="009F41B9">
        <w:rPr>
          <w:rFonts w:ascii="Times New Roman" w:hAnsi="Times New Roman" w:cs="Times New Roman"/>
        </w:rPr>
        <w:t>(Kanter et al., 2010)</w:t>
      </w:r>
      <w:r w:rsidR="009F41B9">
        <w:rPr>
          <w:rFonts w:ascii="Times New Roman" w:hAnsi="Times New Roman" w:cs="Times New Roman"/>
        </w:rPr>
        <w:fldChar w:fldCharType="end"/>
      </w:r>
      <w:r w:rsidR="009F41B9">
        <w:rPr>
          <w:rFonts w:ascii="Times New Roman" w:hAnsi="Times New Roman" w:cs="Times New Roman"/>
        </w:rPr>
        <w:t>.</w:t>
      </w:r>
      <w:r w:rsidRPr="00F23463">
        <w:rPr>
          <w:rFonts w:ascii="Times New Roman" w:hAnsi="Times New Roman" w:cs="Times New Roman"/>
        </w:rPr>
        <w:t xml:space="preserve"> </w:t>
      </w:r>
    </w:p>
    <w:p w14:paraId="5A1A0E82" w14:textId="77777777" w:rsidR="008A4FF5" w:rsidRPr="00F23463" w:rsidRDefault="008A4FF5" w:rsidP="00AC0B06">
      <w:pPr>
        <w:pStyle w:val="NoSpacing"/>
        <w:spacing w:line="480" w:lineRule="auto"/>
        <w:rPr>
          <w:rFonts w:ascii="Times New Roman" w:hAnsi="Times New Roman" w:cs="Times New Roman"/>
        </w:rPr>
      </w:pPr>
    </w:p>
    <w:p w14:paraId="34AB8777" w14:textId="0D80C815" w:rsidR="008A4FF5" w:rsidRPr="00F23463" w:rsidRDefault="008A4FF5" w:rsidP="003D0079">
      <w:pPr>
        <w:pStyle w:val="NoSpacing"/>
        <w:spacing w:line="480" w:lineRule="auto"/>
        <w:rPr>
          <w:rFonts w:ascii="Times New Roman" w:hAnsi="Times New Roman" w:cs="Times New Roman"/>
        </w:rPr>
      </w:pPr>
      <w:r w:rsidRPr="00F23463">
        <w:rPr>
          <w:rFonts w:ascii="Times New Roman" w:hAnsi="Times New Roman" w:cs="Times New Roman"/>
        </w:rPr>
        <w:t xml:space="preserve">SFAS use principles from motivational interviewing </w:t>
      </w:r>
      <w:r w:rsidR="009F41B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{"citationID":"tIGOjCKS","properties":{"formattedCitation":"(Miller &amp; Rollnick, 2012)","plainCitation":"(Miller &amp; Rollnick, 2012)","noteIndex":0},"citationItems":[{"id":1505,"uris":["http://zotero.org/users/7873587/items/TSAMQHJE"],"itemData":{"id":1505,"type":"book","abstract":"This bestselling work for professionals and students is the authoritative presentation of motivational interviewing (MI), the powerful approach to facilitating change. More than an update, the third edition has been fully restructured around the new four-process model of MI (engaging, focusing, evoking, and planning). MI originators William R. Miller and Stephen Rollnick demonstrate what the processes look like in practice, describe a rich range of applications, and review the growing evidence base. Infused with respect and compassion for clients, the book begins with a thorough overview of the spirit and method of MI. Sections on each of the four processes offer step-by-step guidance for establishing a strong working relationship, developing a clear focus and direction, evoking and strengthening the client's motivation for change, and formulating a concrete plan of action. The core communication skills used in MI are explained; vignettes and interview examples vividly illustrate the \"dos and don'ts\" of successful implementation in diverse contexts. Ways to build proficiency in MI, integrate it with other practices, and assess intervention fidelity are discussed. Key points at the end of each chapter enhance the book's utility for teaching and professional development. The companion Web page (www.guilford.com/p/miller2) provides other helpful resources, including reflection questions, annotated case material, an extended bibliography, and a glossary of terms. Reflecting major advances in understanding and teaching MI, this book is essential reading for practitioners across the mental health and health care disciplines, including addictions specialists, clinical psychologists, psychiatrists, social workers, family therapists, counselors, nurses, physicians, and health educators. Graduate students in these fields will find it an accessible, uniquely informative course text. (PsycINFO Database Record (c) 2016 APA, all rights reserved)","collection-title":"Motivational interviewing: Helping people change, 3rd edition","event-place":"New York, NY, US","ISBN":"978-1-60918-227-4","note":"page: xii, 482","number-of-pages":"xii, 482","publisher":"Guilford Press","publisher-place":"New York, NY, US","source":"APA PsycNet","title":"Motivational interviewing: Helping people change, 3rd edition","title-short":"Motivational interviewing","author":[{"family":"Miller","given":"William R."},{"family":"Rollnick","given":"Stephen"}],"issued":{"date-parts":[["2012"]]}}}],"schema":"https://github.com/citation-style-language/schema/raw/master/csl-citation.json"} </w:instrText>
      </w:r>
      <w:r w:rsidR="009F41B9">
        <w:rPr>
          <w:rFonts w:ascii="Times New Roman" w:hAnsi="Times New Roman" w:cs="Times New Roman"/>
        </w:rPr>
        <w:fldChar w:fldCharType="separate"/>
      </w:r>
      <w:r w:rsidR="00A41393" w:rsidRPr="00A41393">
        <w:rPr>
          <w:rFonts w:ascii="Times New Roman" w:hAnsi="Times New Roman" w:cs="Times New Roman"/>
        </w:rPr>
        <w:t>(Miller &amp; Rollnick, 2012)</w:t>
      </w:r>
      <w:r w:rsidR="009F41B9">
        <w:rPr>
          <w:rFonts w:ascii="Times New Roman" w:hAnsi="Times New Roman" w:cs="Times New Roman"/>
        </w:rPr>
        <w:fldChar w:fldCharType="end"/>
      </w:r>
      <w:r w:rsidR="00A41393">
        <w:rPr>
          <w:rFonts w:ascii="Times New Roman" w:hAnsi="Times New Roman" w:cs="Times New Roman"/>
        </w:rPr>
        <w:t xml:space="preserve"> </w:t>
      </w:r>
      <w:r w:rsidRPr="00F23463">
        <w:rPr>
          <w:rFonts w:ascii="Times New Roman" w:hAnsi="Times New Roman" w:cs="Times New Roman"/>
        </w:rPr>
        <w:t xml:space="preserve">and </w:t>
      </w:r>
      <w:r w:rsidR="009F41B9">
        <w:rPr>
          <w:rFonts w:ascii="Times New Roman" w:hAnsi="Times New Roman" w:cs="Times New Roman"/>
        </w:rPr>
        <w:t>are often</w:t>
      </w:r>
      <w:r w:rsidRPr="00F23463">
        <w:rPr>
          <w:rFonts w:ascii="Times New Roman" w:hAnsi="Times New Roman" w:cs="Times New Roman"/>
        </w:rPr>
        <w:t xml:space="preserve"> administered alongside brief interventions </w:t>
      </w:r>
      <w:r w:rsidR="00A4139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{"citationID":"Taury7tC","properties":{"formattedCitation":"(Murphy, Dennhardt, et al., 2012)","plainCitation":"(Murphy, Dennhardt, et al., 2012)","noteIndex":0},"citationItems":[{"id":1507,"uris":["http://zotero.org/users/7873587/items/WTDNLQ6L"],"itemData":{"id":1507,"type":"article-journal","abstract":"OBJECTIVE: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P."}],"issued":{"date-parts":[["2012",10]]}}}],"schema":"https://github.com/citation-style-language/schema/raw/master/csl-citation.json"} </w:instrText>
      </w:r>
      <w:r w:rsidR="00A41393">
        <w:rPr>
          <w:rFonts w:ascii="Times New Roman" w:hAnsi="Times New Roman" w:cs="Times New Roman"/>
        </w:rPr>
        <w:fldChar w:fldCharType="separate"/>
      </w:r>
      <w:r w:rsidR="00A41393" w:rsidRPr="00A41393">
        <w:rPr>
          <w:rFonts w:ascii="Times New Roman" w:hAnsi="Times New Roman" w:cs="Times New Roman"/>
        </w:rPr>
        <w:t>(Murphy, Dennhardt, et al., 2012)</w:t>
      </w:r>
      <w:r w:rsidR="00A41393">
        <w:rPr>
          <w:rFonts w:ascii="Times New Roman" w:hAnsi="Times New Roman" w:cs="Times New Roman"/>
        </w:rPr>
        <w:fldChar w:fldCharType="end"/>
      </w:r>
      <w:r w:rsidRPr="00F23463">
        <w:rPr>
          <w:rFonts w:ascii="Times New Roman" w:hAnsi="Times New Roman" w:cs="Times New Roman"/>
        </w:rPr>
        <w:t>. SFAS include things such as identifying personal goals (both short-term and long-term) and then exploring how drinking may interfere with attainment of these goals. Importantly, SFAS provide personalised feedback</w:t>
      </w:r>
      <w:r w:rsidR="009F41B9">
        <w:rPr>
          <w:rFonts w:ascii="Times New Roman" w:hAnsi="Times New Roman" w:cs="Times New Roman"/>
        </w:rPr>
        <w:t xml:space="preserve"> for each individual</w:t>
      </w:r>
      <w:r w:rsidRPr="00F23463">
        <w:rPr>
          <w:rFonts w:ascii="Times New Roman" w:hAnsi="Times New Roman" w:cs="Times New Roman"/>
        </w:rPr>
        <w:t xml:space="preserve"> that clusters behaviours into </w:t>
      </w:r>
      <w:r w:rsidR="009F41B9" w:rsidRPr="00F23463">
        <w:rPr>
          <w:rFonts w:ascii="Times New Roman" w:hAnsi="Times New Roman" w:cs="Times New Roman"/>
        </w:rPr>
        <w:t>patterns and</w:t>
      </w:r>
      <w:r w:rsidRPr="00F23463">
        <w:rPr>
          <w:rFonts w:ascii="Times New Roman" w:hAnsi="Times New Roman" w:cs="Times New Roman"/>
        </w:rPr>
        <w:t xml:space="preserve"> </w:t>
      </w:r>
      <w:r w:rsidR="009F41B9">
        <w:rPr>
          <w:rFonts w:ascii="Times New Roman" w:hAnsi="Times New Roman" w:cs="Times New Roman"/>
        </w:rPr>
        <w:t xml:space="preserve">then </w:t>
      </w:r>
      <w:r w:rsidRPr="00F23463">
        <w:rPr>
          <w:rFonts w:ascii="Times New Roman" w:hAnsi="Times New Roman" w:cs="Times New Roman"/>
        </w:rPr>
        <w:t xml:space="preserve">explores how these patterns impact attainment of future goals. SFAS </w:t>
      </w:r>
      <w:r w:rsidR="009F41B9">
        <w:rPr>
          <w:rFonts w:ascii="Times New Roman" w:hAnsi="Times New Roman" w:cs="Times New Roman"/>
        </w:rPr>
        <w:t>were</w:t>
      </w:r>
      <w:r w:rsidRPr="00F23463">
        <w:rPr>
          <w:rFonts w:ascii="Times New Roman" w:hAnsi="Times New Roman" w:cs="Times New Roman"/>
        </w:rPr>
        <w:t xml:space="preserve"> originally designed in an attempt to engage students with meaningful alternative sources of reinforcement to alcohol </w:t>
      </w:r>
      <w:r w:rsidR="0086331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{"citationID":"XiM9Lt32","properties":{"formattedCitation":"(Murphy, Dennhardt, et al., 2012; Murphy, Skidmore, et al., 2012)","plainCitation":"(Murphy, Dennhardt, et al., 2012; Murphy, Skidmore, et al., 2012)","noteIndex":0},"citationItems":[{"id":1507,"uris":["http://zotero.org/users/7873587/items/WTDNLQ6L"],"itemData":{"id":1507,"type":"article-journal","abstract":"OBJECTIVE: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P."}],"issued":{"date-parts":[["2012",10]]}},"label":"act"},{"id":1513,"uris":["http://zotero.org/users/7873587/items/HZNTU687"],"itemData":{"id":1513,"type":"article-journal","abstract":"Basic behavioral and neurobiological research has demonstrated that deficiencies in naturally occurring substance-free rewards are both a cause and a consequence of substance abuse that are due in part to the systematic discounting of delayed substance-free rewards. Existing brief motivational interventions (BMIs) for alcohol abuse do not target this mechanism of change. The goal of this uncontrolled pilot study was to evaluate a behavioral economic Substance-Free Activity Session (SFAS) to traditional alcohol BMIs. Participants were 13 college freshmen who reported two or more heavy drinking episodes (&gt;5/4 drinks in an occasion for men/ women) in the past month. All participants completed a baseline assessment and a BMI that addressed alcohol use. In addition, participants received the SFAS, a 50-min individual session that attempts to increase engagement in constructive alternatives to drinking by enhancing the salience of delayed rewards (academic and career success) and the patterns of behavior (academic and extracurricular engagement) leading to these outcomes. At the 1-month follow-up assessment, participants reported significant reductions in heavy drinking, and moderate to large effect size reductions in weekly drinking and peak blood alcohol levels. The results of this pilot study provide preliminary support for the efficacy of this behavioral economic intervention session as a supplement to traditional alcohol BMIs.","container-title":"Addiction research &amp; theory","DOI":"10.3109/16066359.2012.665965","ISSN":"1606-6359","issue":"6","journalAbbreviation":"Addict Res Theory","note":"PMID: 24039620\nPMCID: PMC3770470","page":"456-465","source":"PubMed Central","title":"A behavioral economic supplement to brief motivational interventions for college drinking","volume":"20","author":[{"family":"Murphy","given":"James G."},{"family":"Skidmore","given":"Jessica R."},{"family":"Dennhardt","given":"Ashley A."},{"family":"Martens","given":"Matthew P."},{"family":"Borsari","given":"Brian"},{"family":"Barnett","given":"Nancy P."},{"family":"Colby","given":"Suzanne M."}],"issued":{"date-parts":[["2012"]]}},"label":"act"}],"schema":"https://github.com/citation-style-language/schema/raw/master/csl-citation.json"} </w:instrText>
      </w:r>
      <w:r w:rsidR="00863314">
        <w:rPr>
          <w:rFonts w:ascii="Times New Roman" w:hAnsi="Times New Roman" w:cs="Times New Roman"/>
        </w:rPr>
        <w:fldChar w:fldCharType="separate"/>
      </w:r>
      <w:r w:rsidR="007F2332">
        <w:rPr>
          <w:rFonts w:ascii="Times New Roman" w:hAnsi="Times New Roman" w:cs="Times New Roman"/>
        </w:rPr>
        <w:t>(Murphy, Dennhardt, et al., 2012; Murphy, Skidmore, et al., 2012)</w:t>
      </w:r>
      <w:r w:rsidR="00863314">
        <w:rPr>
          <w:rFonts w:ascii="Times New Roman" w:hAnsi="Times New Roman" w:cs="Times New Roman"/>
        </w:rPr>
        <w:fldChar w:fldCharType="end"/>
      </w:r>
      <w:r w:rsidR="00863314">
        <w:rPr>
          <w:rFonts w:ascii="Times New Roman" w:hAnsi="Times New Roman" w:cs="Times New Roman"/>
        </w:rPr>
        <w:t xml:space="preserve"> </w:t>
      </w:r>
      <w:r w:rsidRPr="00F23463">
        <w:rPr>
          <w:rFonts w:ascii="Times New Roman" w:hAnsi="Times New Roman" w:cs="Times New Roman"/>
        </w:rPr>
        <w:t>but ha</w:t>
      </w:r>
      <w:r w:rsidR="009F41B9">
        <w:rPr>
          <w:rFonts w:ascii="Times New Roman" w:hAnsi="Times New Roman" w:cs="Times New Roman"/>
        </w:rPr>
        <w:t>ve</w:t>
      </w:r>
      <w:r w:rsidRPr="00F23463">
        <w:rPr>
          <w:rFonts w:ascii="Times New Roman" w:hAnsi="Times New Roman" w:cs="Times New Roman"/>
        </w:rPr>
        <w:t xml:space="preserve"> since been extended to </w:t>
      </w:r>
      <w:r w:rsidR="009F41B9">
        <w:rPr>
          <w:rFonts w:ascii="Times New Roman" w:hAnsi="Times New Roman" w:cs="Times New Roman"/>
        </w:rPr>
        <w:t xml:space="preserve">clinical </w:t>
      </w:r>
      <w:r w:rsidRPr="00F23463">
        <w:rPr>
          <w:rFonts w:ascii="Times New Roman" w:hAnsi="Times New Roman" w:cs="Times New Roman"/>
        </w:rPr>
        <w:t xml:space="preserve">treatment settings </w:t>
      </w:r>
      <w:r w:rsidR="0086331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{"citationID":"sPMpHCR3","properties":{"formattedCitation":"(Meshesha et al., 2020)","plainCitation":"(Meshesha et al., 2020)","noteIndex":0},"citationItems":[{"id":1510,"uris":["http://zotero.org/users/7873587/items/67UH7N3R"],"itemData":{"id":1510,"type":"article-journal","abstract":"Objective\nBehavioral economic research suggests that increasing the salience of a delayed reward may improve capacity for delaying gratification and increase behavior allocated toward obtaining larger, delayed substance-free reward rather than smaller, more immediate reward such as alcohol use. This study aimed to improve the efficacy of outpatient alcohol use disorder (AUD) treatment by adding elements that target behavioral economic mechanisms of change.\nMethod\nForty-one (N = 41) adults in outpatient AUD treatment were recruited and 37 participants were retained at follow-up. Following baseline assessment, participants received either the Substance Free Activity Session (SFAS), a single-session behavioral economic–informed intervention focused on increasing future orientation and engagement in values-based substance-free activities or a health education control intervention. Participants in both conditions received weekly prompts (via text or email) relevant to their respective intervention for four weeks. Participants (68.3% male; 70.7% Caucasian, M age = 38.24, SD = 12.69) reported an average of 3.95 (SD = 4.72) binge drinking episodes (4/5 drinks per occasion for a woman/man) and 5.05 (SD = 5.32) drinks per drinking day 30-days prior to treatment entry.\nResults\nThe study provided initial support for the feasibility and acceptability of implementing the SFAS within a treatment setting. Participants reported high levels of satisfaction with the SFAS (M = 9.08 (SD = 0.94), on a scale of 1–10). At 3-month follow-up, the SFAS was associated with reductions in the proportion of activity participation and enjoyment (reinforcement) related to substance-use relative to substance-free activities and in alcohol demand compared to control.\nConclusion\nThese preliminary results provide initial support for targeting behavioral economic mechanisms of change in an outpatient AUD treatment with a single-session intervention plus remote delivery of booster prompts.","container-title":"Journal of Substance Abuse Treatment","DOI":"10.1016/j.jsat.2020.108002","ISSN":"0740-5472","journalAbbreviation":"Journal of Substance Abuse Treatment","language":"en","page":"108002","source":"ScienceDirect","title":"Pilot trial investigating a brief behavioral economic intervention as an adjunctive treatment for alcohol use disorder","volume":"113","author":[{"family":"Meshesha","given":"Lidia Z."},{"family":"Soltis","given":"Kathryn E."},{"family":"Wise","given":"Edward A."},{"family":"Rohsenow","given":"Damaris J."},{"family":"Witkiewitz","given":"Katie"},{"family":"Murphy","given":"James G."}],"issued":{"date-parts":[["2020",6,1]]}}}],"schema":"https://github.com/citation-style-language/schema/raw/master/csl-citation.json"} </w:instrText>
      </w:r>
      <w:r w:rsidR="00863314">
        <w:rPr>
          <w:rFonts w:ascii="Times New Roman" w:hAnsi="Times New Roman" w:cs="Times New Roman"/>
        </w:rPr>
        <w:fldChar w:fldCharType="separate"/>
      </w:r>
      <w:r w:rsidR="00863314" w:rsidRPr="00863314">
        <w:rPr>
          <w:rFonts w:ascii="Times New Roman" w:hAnsi="Times New Roman" w:cs="Times New Roman"/>
        </w:rPr>
        <w:t>(Meshesha et al., 2020)</w:t>
      </w:r>
      <w:r w:rsidR="00863314">
        <w:rPr>
          <w:rFonts w:ascii="Times New Roman" w:hAnsi="Times New Roman" w:cs="Times New Roman"/>
        </w:rPr>
        <w:fldChar w:fldCharType="end"/>
      </w:r>
      <w:r w:rsidRPr="00F23463">
        <w:rPr>
          <w:rFonts w:ascii="Times New Roman" w:hAnsi="Times New Roman" w:cs="Times New Roman"/>
        </w:rPr>
        <w:t xml:space="preserve">. SFAS are associated with a reduction in how much reinforcement people in treatment get from alcohol relative to alcohol-free alternative activities </w:t>
      </w:r>
      <w:r w:rsidR="0086331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{"citationID":"FruL5leC","properties":{"formattedCitation":"(Meshesha et al., 2020)","plainCitation":"(Meshesha et al., 2020)","noteIndex":0},"citationItems":[{"id":1510,"uris":["http://zotero.org/users/7873587/items/67UH7N3R"],"itemData":{"id":1510,"type":"article-journal","abstract":"Objective\nBehavioral economic research suggests that increasing the salience of a delayed reward may improve capacity for delaying gratification and increase behavior allocated toward obtaining larger, delayed substance-free reward rather than smaller, more immediate reward such as alcohol use. This study aimed to improve the efficacy of outpatient alcohol use disorder (AUD) treatment by adding elements that target behavioral economic mechanisms of change.\nMethod\nForty-one (N = 41) adults in outpatient AUD treatment were recruited and 37 participants were retained at follow-up. Following baseline assessment, participants received either the Substance Free Activity Session (SFAS), a single-session behavioral economic–informed intervention focused on increasing future orientation and engagement in values-based substance-free activities or a health education control intervention. Participants in both conditions received weekly prompts (via text or email) relevant to their respective intervention for four weeks. Participants (68.3% male; 70.7% Caucasian, M age = 38.24, SD = 12.69) reported an average of 3.95 (SD = 4.72) binge drinking episodes (4/5 drinks per occasion for a woman/man) and 5.05 (SD = 5.32) drinks per drinking day 30-days prior to treatment entry.\nResults\nThe study provided initial support for the feasibility and acceptability of implementing the SFAS within a treatment setting. Participants reported high levels of satisfaction with the SFAS (M = 9.08 (SD = 0.94), on a scale of 1–10). At 3-month follow-up, the SFAS was associated with reductions in the proportion of activity participation and enjoyment (reinforcement) related to substance-use relative to substance-free activities and in alcohol demand compared to control.\nConclusion\nThese preliminary results provide initial support for targeting behavioral economic mechanisms of change in an outpatient AUD treatment with a single-session intervention plus remote delivery of booster prompts.","container-title":"Journal of Substance Abuse Treatment","DOI":"10.1016/j.jsat.2020.108002","ISSN":"0740-5472","journalAbbreviation":"Journal of Substance Abuse Treatment","language":"en","page":"108002","source":"ScienceDirect","title":"Pilot trial investigating a brief behavioral economic intervention as an adjunctive treatment for alcohol use disorder","volume":"113","author":[{"family":"Meshesha","given":"Lidia Z."},{"family":"Soltis","given":"Kathryn E."},{"family":"Wise","given":"Edward A."},{"family":"Rohsenow","given":"Damaris J."},{"family":"Witkiewitz","given":"Katie"},{"family":"Murphy","given":"James G."}],"issued":{"date-parts":[["2020",6,1]]}}}],"schema":"https://github.com/citation-style-language/schema/raw/master/csl-citation.json"} </w:instrText>
      </w:r>
      <w:r w:rsidR="00863314">
        <w:rPr>
          <w:rFonts w:ascii="Times New Roman" w:hAnsi="Times New Roman" w:cs="Times New Roman"/>
        </w:rPr>
        <w:fldChar w:fldCharType="separate"/>
      </w:r>
      <w:r w:rsidR="00863314" w:rsidRPr="00863314">
        <w:rPr>
          <w:rFonts w:ascii="Times New Roman" w:hAnsi="Times New Roman" w:cs="Times New Roman"/>
        </w:rPr>
        <w:t>(Meshesha et al., 2020)</w:t>
      </w:r>
      <w:r w:rsidR="00863314">
        <w:rPr>
          <w:rFonts w:ascii="Times New Roman" w:hAnsi="Times New Roman" w:cs="Times New Roman"/>
        </w:rPr>
        <w:fldChar w:fldCharType="end"/>
      </w:r>
      <w:r w:rsidR="00863314">
        <w:rPr>
          <w:rFonts w:ascii="Times New Roman" w:hAnsi="Times New Roman" w:cs="Times New Roman"/>
        </w:rPr>
        <w:t xml:space="preserve"> </w:t>
      </w:r>
      <w:r w:rsidRPr="00F23463">
        <w:rPr>
          <w:rFonts w:ascii="Times New Roman" w:hAnsi="Times New Roman" w:cs="Times New Roman"/>
        </w:rPr>
        <w:t xml:space="preserve">and reductions in alcohol reinforcement has been found to mediate the effects of brief interventions on alcohol use and problems </w:t>
      </w:r>
      <w:r w:rsidR="0086331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{"citationID":"AZiJEn8Y","properties":{"formattedCitation":"(Murphy et al., 2019)","plainCitation":"(Murphy et al., 2019)","noteIndex":0},"citationItems":[{"id":1516,"uris":["http://zotero.org/users/7873587/items/EUCNSCYD"],"itemData":{"id":1516,"type":"article-journal","abstract":"OBJECTIVE: Behavioral economic theory suggests that a reduction in alcohol use is most likely when there is an increase in rewarding substance-free activities. Anxiety has also been linked to heavy drinking, and strategies to reduce anxiety may enhance alcohol interventions. The goal of this 2-site randomized controlled clinical trial was to evaluate the efficacy of a brief alcohol intervention that was supplemented with either a behavioral economic substance-free activity session (SFAS) or a relaxation training (Relaxation training [RT]) session.\nMETHOD: Participants were 393 college students (61% female, mean age = 18.77 years) who reported 2 or more past-month heavy drinking episodes. Participants were randomized to 1 of 3 conditions: (a) assessment; (b) alcohol brief motivational intervention (BMI) plus SFAS; or (c) BMI plus RT. Both treatment conditions included 2 in-person sessions plus a phone booster session. Outcomes were evaluated 1-, 6-, 12-, and 16-months postintervention.\nRESULTS: Generalized linear mixed models indicated that the combination of a BMI plus either the SFAS or RT was associated with significant reductions in alcohol use and problems across the 16-month follow-up compared with assessment only. There were no significant differences between the two active treatment conditions. Changes in proportional reinforcement from substance-related activities, and protective behavioral strategies mediated treatment effects.\nCONCLUSION: Two-session (plus booster) interventions that combine BMI and either substance-free activity enhancement or RT can result in enduring reductions in alcohol misuse among college drinkers. (PsycINFO Database Record (c) 2019 APA, all rights reserved).","container-title":"Journal of Consulting and Clinical Psychology","DOI":"10.1037/ccp0000412","ISSN":"1939-2117","issue":"7","journalAbbreviation":"J Consult Clin Psychol","language":"eng","note":"PMID: 31070386\nPMCID: PMC6690357","page":"657-669","source":"PubMed","title":"A randomized clinical trial evaluating the efficacy of a brief alcohol intervention supplemented with a substance-free activity session or relaxation training","volume":"87","author":[{"family":"Murphy","given":"James G."},{"family":"Dennhardt","given":"Ashley A."},{"family":"Martens","given":"Matthew P."},{"family":"Borsari","given":"Brian"},{"family":"Witkiewitz","given":"Katie"},{"family":"Meshesha","given":"Lidia Z."}],"issued":{"date-parts":[["2019",7]]}}}],"schema":"https://github.com/citation-style-language/schema/raw/master/csl-citation.json"} </w:instrText>
      </w:r>
      <w:r w:rsidR="00863314">
        <w:rPr>
          <w:rFonts w:ascii="Times New Roman" w:hAnsi="Times New Roman" w:cs="Times New Roman"/>
        </w:rPr>
        <w:fldChar w:fldCharType="separate"/>
      </w:r>
      <w:r w:rsidR="00863314" w:rsidRPr="00863314">
        <w:rPr>
          <w:rFonts w:ascii="Times New Roman" w:hAnsi="Times New Roman" w:cs="Times New Roman"/>
        </w:rPr>
        <w:t>(Murphy et al., 2019)</w:t>
      </w:r>
      <w:r w:rsidR="00863314">
        <w:rPr>
          <w:rFonts w:ascii="Times New Roman" w:hAnsi="Times New Roman" w:cs="Times New Roman"/>
        </w:rPr>
        <w:fldChar w:fldCharType="end"/>
      </w:r>
      <w:r w:rsidRPr="00F23463">
        <w:rPr>
          <w:rFonts w:ascii="Times New Roman" w:hAnsi="Times New Roman" w:cs="Times New Roman"/>
        </w:rPr>
        <w:t xml:space="preserve">. These findings suggest that shifting behaviour away from substance use and towards alternative substance-free behaviours may be a key mechanism that accounts for </w:t>
      </w:r>
      <w:r w:rsidR="009F41B9">
        <w:rPr>
          <w:rFonts w:ascii="Times New Roman" w:hAnsi="Times New Roman" w:cs="Times New Roman"/>
        </w:rPr>
        <w:t xml:space="preserve">successful </w:t>
      </w:r>
      <w:r w:rsidRPr="00F23463">
        <w:rPr>
          <w:rFonts w:ascii="Times New Roman" w:hAnsi="Times New Roman" w:cs="Times New Roman"/>
        </w:rPr>
        <w:t xml:space="preserve">intervention outcomes </w:t>
      </w:r>
      <w:r w:rsidR="0086331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{"citationID":"Vw5lTUeQ","properties":{"formattedCitation":"(McKay, 2017)","plainCitation":"(McKay, 2017)","noteIndex":0},"citationItems":[{"id":1461,"uris":["http://zotero.org/users/7873587/items/9C4JF8KC"],"itemData":{"id":1461,"type":"article-journal","abstract":"Background\nResearch has led to improvements in the effectiveness of interventions for substance use disorders (SUD), but for the most part progress has been modest, particularly with regard to longer-term outcomes. Moreover, most individuals with SUD do not seek out treatment.\n\nArgument/analysis\nThis paper presents two recommendations on how to improve treatment engagement and long-term outcomes for those with SUD. First, treatments should go beyond a focus on reducing or eliminating substance use to target greater access to and more time spent in experiences that will be enjoyable or otherwise rewarding to clients. Second, there must be sufficient incentives in the environment to justify the effort needed to sustain long-term abstinence for individuals who often have limited access to such incentives.\n\nConclusions\nTo increase rates of long-term recovery from substance misuse, treatments should link clients to reinforcers that will make continued abstinence more appealing. This work needs to extend beyond interventions focused on the individual or family to include the local community and national policy in an effort to more strongly incentivize longer-term recoveries.","container-title":"Addiction","DOI":"10.1111/add.13502","ISSN":"0965-2140","issue":"5","journalAbbreviation":"Addiction","note":"PMID: 27535787\nPMCID: PMC5315690","page":"751-757","source":"PubMed Central","title":"Making the hard work of recovery more attractive for those with substance use disorders","volume":"112","author":[{"family":"McKay","given":"James R."}],"issued":{"date-parts":[["2017",5]]}}}],"schema":"https://github.com/citation-style-language/schema/raw/master/csl-citation.json"} </w:instrText>
      </w:r>
      <w:r w:rsidR="00863314">
        <w:rPr>
          <w:rFonts w:ascii="Times New Roman" w:hAnsi="Times New Roman" w:cs="Times New Roman"/>
        </w:rPr>
        <w:fldChar w:fldCharType="separate"/>
      </w:r>
      <w:r w:rsidR="00863314" w:rsidRPr="00863314">
        <w:rPr>
          <w:rFonts w:ascii="Times New Roman" w:hAnsi="Times New Roman" w:cs="Times New Roman"/>
        </w:rPr>
        <w:t>(McKay, 2017)</w:t>
      </w:r>
      <w:r w:rsidR="00863314">
        <w:rPr>
          <w:rFonts w:ascii="Times New Roman" w:hAnsi="Times New Roman" w:cs="Times New Roman"/>
        </w:rPr>
        <w:fldChar w:fldCharType="end"/>
      </w:r>
      <w:r w:rsidR="00863314">
        <w:rPr>
          <w:rFonts w:ascii="Times New Roman" w:hAnsi="Times New Roman" w:cs="Times New Roman"/>
        </w:rPr>
        <w:t>.</w:t>
      </w:r>
      <w:r w:rsidRPr="00F23463">
        <w:rPr>
          <w:rFonts w:ascii="Times New Roman" w:hAnsi="Times New Roman" w:cs="Times New Roman"/>
        </w:rPr>
        <w:t xml:space="preserve"> </w:t>
      </w:r>
    </w:p>
    <w:p w14:paraId="3378B74C" w14:textId="77777777" w:rsidR="008A4FF5" w:rsidRPr="00F23463" w:rsidRDefault="008A4FF5" w:rsidP="00AC0B06">
      <w:pPr>
        <w:pStyle w:val="NoSpacing"/>
        <w:spacing w:line="480" w:lineRule="auto"/>
        <w:rPr>
          <w:rFonts w:ascii="Times New Roman" w:hAnsi="Times New Roman" w:cs="Times New Roman"/>
        </w:rPr>
      </w:pPr>
    </w:p>
    <w:p w14:paraId="391CBAFF" w14:textId="10EA0971" w:rsidR="008A4FF5" w:rsidRPr="00F23463" w:rsidRDefault="008A4FF5" w:rsidP="003E14E6">
      <w:pPr>
        <w:pStyle w:val="NoSpacing"/>
        <w:spacing w:line="480" w:lineRule="auto"/>
        <w:rPr>
          <w:rFonts w:ascii="Times New Roman" w:hAnsi="Times New Roman" w:cs="Times New Roman"/>
        </w:rPr>
      </w:pPr>
      <w:r w:rsidRPr="00F23463">
        <w:rPr>
          <w:rFonts w:ascii="Times New Roman" w:hAnsi="Times New Roman" w:cs="Times New Roman"/>
        </w:rPr>
        <w:lastRenderedPageBreak/>
        <w:t xml:space="preserve">Episodic future thinking (EFT) is an effective intervention which asks a person to think about and describe positive events that they are looking forward to </w:t>
      </w:r>
      <w:proofErr w:type="spellStart"/>
      <w:r w:rsidRPr="00F23463">
        <w:rPr>
          <w:rFonts w:ascii="Times New Roman" w:hAnsi="Times New Roman" w:cs="Times New Roman"/>
        </w:rPr>
        <w:t>at</w:t>
      </w:r>
      <w:proofErr w:type="spellEnd"/>
      <w:r w:rsidRPr="00F23463">
        <w:rPr>
          <w:rFonts w:ascii="Times New Roman" w:hAnsi="Times New Roman" w:cs="Times New Roman"/>
        </w:rPr>
        <w:t xml:space="preserve"> different time points in the future (e.g., 1 day away, 1 week away, 1 month away, 6 months away). It may be, for example, that a person is looking forward to their upcoming birthday, a holiday that they have booked, or a special occasion with their extended family. People are then cued to imagine these events while completing a delay-discounting task in attempt to increase the salience of future events. EFT has been found to reduce DD in student drinkers</w:t>
      </w:r>
      <w:r w:rsidR="00863314">
        <w:rPr>
          <w:rFonts w:ascii="Times New Roman" w:hAnsi="Times New Roman" w:cs="Times New Roman"/>
        </w:rPr>
        <w:t xml:space="preserve"> </w:t>
      </w:r>
      <w:r w:rsidR="0086331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{"citationID":"exiYb5eb","properties":{"formattedCitation":"(Bulley &amp; Gullo, 2017)","plainCitation":"(Bulley &amp; Gullo, 2017)","noteIndex":0},"citationItems":[{"id":1519,"uris":["http://zotero.org/users/7873587/items/J65VDJW4"],"itemData":{"id":1519,"type":"article-journal","abstract":"BACKGROUND: There is a near-universal tendency to discount the value of delayed rewards relative to those available in the here and now. The rate at which future rewards become devalued over time, delay discounting, is an important individual difference variable related to impulsivity and is elevated in externalising disorders, including alcohol use disorders. Recent research suggests that vividly imagining personally relevant future events (episodic foresight) during an intertemporal choice task can attenuate the rate at which delayed rewards are discounted.\nOBJECTIVES: The present study sought to extend these findings by examining the effect of episodic foresight on both delay discounting and alcohol-related decision-making.\nMETHODS: Forty-eight college students were administered both modified intertemporal choice and hypothetical alcohol purchase tasks during which personally relevant episodic future event cues or control imagery cues were presented.\nRESULTS: Engaging in episodic foresight reduced both the rate at which delayed monetary rewards were discounted and initial alcohol demand intensity (but not other demand indices) relative to control imagery.\nCONCLUSIONS: Findings suggest that the attenuating effect of episodic foresight on impulsivity may be limited to particular aspects of impulsive choice.","container-title":"Addictive Behaviors","DOI":"10.1016/j.addbeh.2016.11.003","ISSN":"1873-6327","journalAbbreviation":"Addict Behav","language":"eng","note":"PMID: 27837662","page":"1-6","source":"PubMed","title":"The influence of episodic foresight on delay discounting and demand for alcohol","volume":"66","author":[{"family":"Bulley","given":"Adam"},{"family":"Gullo","given":"Matthew J."}],"issued":{"date-parts":[["2017",3]]}}}],"schema":"https://github.com/citation-style-language/schema/raw/master/csl-citation.json"} </w:instrText>
      </w:r>
      <w:r w:rsidR="00863314">
        <w:rPr>
          <w:rFonts w:ascii="Times New Roman" w:hAnsi="Times New Roman" w:cs="Times New Roman"/>
        </w:rPr>
        <w:fldChar w:fldCharType="separate"/>
      </w:r>
      <w:r w:rsidR="00863314" w:rsidRPr="00863314">
        <w:rPr>
          <w:rFonts w:ascii="Times New Roman" w:hAnsi="Times New Roman" w:cs="Times New Roman"/>
        </w:rPr>
        <w:t>(Bulley &amp; Gullo, 2017)</w:t>
      </w:r>
      <w:r w:rsidR="00863314">
        <w:rPr>
          <w:rFonts w:ascii="Times New Roman" w:hAnsi="Times New Roman" w:cs="Times New Roman"/>
        </w:rPr>
        <w:fldChar w:fldCharType="end"/>
      </w:r>
      <w:r w:rsidRPr="00F23463">
        <w:rPr>
          <w:rFonts w:ascii="Times New Roman" w:hAnsi="Times New Roman" w:cs="Times New Roman"/>
        </w:rPr>
        <w:t xml:space="preserve"> and people who meet criteria for AUD </w:t>
      </w:r>
      <w:r w:rsidR="003E14E6">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{"citationID":"7pcVwbWE","properties":{"formattedCitation":"(Snider et al., 2016)","plainCitation":"(Snider et al., 2016)","noteIndex":0},"citationItems":[{"id":1521,"uris":["http://zotero.org/users/7873587/items/88UFL62V"],"itemData":{"id":1521,"type":"article-journal","abstract":"BACKGROUND: Episodic future thinking (EFT) requires an individual to vividly pre-experience a realistic future event. Inspired by previous reports of reducing delay discounting following EFT in other populations, we examined the effects of engaging alcohol-dependent individuals in EFT or episodic recent thinking (ERT; control) to examine its effects on delay discounting and alcohol purchasing.\nMETHODS: Participants (n = 50) with alcohol dependence were allocated into EFT or ERT groups and asked to generate positive future or recent past events for each of 5 time points. Participants then completed a delay-discounting task, during which event cues were displayed, and a hypothetical alcohol purchase task.\nRESULTS: EFT significantly increased valuation of future monetary rewards, while decreasing initial consumption (Q0 ) of alcoholic drinks indicative of lower demand intensity. Two additional findings suggest potential moderators of this effect. EFT more readily influenced individuals with lower Alcohol Use Disorders Identification Test scores, and self-reported cue valence differed between groups.\nCONCLUSIONS: Together, these results suggest a widening of alcohol-dependent individuals' temporal window following engagement of EFT. While our data suggest that EFT may be moderated by certain susceptibility criteria, exercises such as EFT could be easily adaptable as a potential therapeutic tool for use in rehabilitation programs.","container-title":"Alcoholism, Clinical and Experimental Research","DOI":"10.1111/acer.13112","ISSN":"1530-0277","issue":"7","journalAbbreviation":"Alcohol Clin Exp Res","language":"eng","note":"PMID: 27246691\nPMCID: PMC5497459","page":"1558-1566","source":"PubMed","title":"Episodic future thinking: Expansion of the temporal window in individuals with alcohol dependence","title-short":"Episodic Future Thinking","volume":"40","author":[{"family":"Snider","given":"Sarah E."},{"family":"LaConte","given":"Stephen M."},{"family":"Bickel","given":"Warren K."}],"issued":{"date-parts":[["2016",7]]}}}],"schema":"https://github.com/citation-style-language/schema/raw/master/csl-citation.json"} </w:instrText>
      </w:r>
      <w:r w:rsidR="003E14E6">
        <w:rPr>
          <w:rFonts w:ascii="Times New Roman" w:hAnsi="Times New Roman" w:cs="Times New Roman"/>
        </w:rPr>
        <w:fldChar w:fldCharType="separate"/>
      </w:r>
      <w:r w:rsidR="003E14E6" w:rsidRPr="003E14E6">
        <w:rPr>
          <w:rFonts w:ascii="Times New Roman" w:hAnsi="Times New Roman" w:cs="Times New Roman"/>
        </w:rPr>
        <w:t>(Snider et al., 2016)</w:t>
      </w:r>
      <w:r w:rsidR="003E14E6">
        <w:rPr>
          <w:rFonts w:ascii="Times New Roman" w:hAnsi="Times New Roman" w:cs="Times New Roman"/>
        </w:rPr>
        <w:fldChar w:fldCharType="end"/>
      </w:r>
      <w:r w:rsidRPr="00F23463">
        <w:rPr>
          <w:rFonts w:ascii="Times New Roman" w:hAnsi="Times New Roman" w:cs="Times New Roman"/>
        </w:rPr>
        <w:t xml:space="preserve">, with another study demonstrating larger reductions in DD alongside repeated EFT sessions </w:t>
      </w:r>
      <w:r w:rsidR="003E14E6">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{"citationID":"SBnNQmgx","properties":{"formattedCitation":"(Mellis et al., 2019)","plainCitation":"(Mellis et al., 2019)","noteIndex":0},"citationItems":[{"id":1524,"uris":["http://zotero.org/users/7873587/items/PP3N5WYI"],"itemData":{"id":1524,"type":"article-journal","abstract":"Background: Delay discounting, or the preference for smaller, sooner over larger, later rewards, has been associated with alcohol use disorder and problem drinking. Episodic future thinking has been suggested as an intervention to address steep delay discounting. In the present study, we examined the effect of up to six consecutive sessions of episodic future thinking. Methods: Repeated, within-subject data were collected from current and recent problem drinkers (n = 50) over six sessions. Linear mixed-effect models were used to estimate effects of repeated sessions and manipulations. Participants completed episodic future thinking interviews at up to six sessions, in which they generated personalized future events. Participants also engaged with cues of scarcity. At each session, participants completed three delay discounting tasks under: a no-cue baseline condition, a future cue condition, and a scarcity cue condition. Results: Delay discounting in the no cue condition did not change over time. Discounting rates were reduced in the future cue condition, and these effects grew larger with repeated sessions. In the scarcity condition, discounting rates were slightly higher, with no effect of repeated sessions. Conclusions: Episodic future thinking reduced delay discounting rate while future cues were presented, and these effects grew larger with repeated sessions. This suggests that repeated episodic future thinking may cumulatively potentiate repair of excessive preference for immediate reward. (PsycInfo Database Record (c) 2020 APA, all rights reserved)","container-title":"Drug and Alcohol Dependence","DOI":"10.1016/j.drugalcdep.2019.06.010","ISSN":"1879-0046","note":"publisher-place: Netherlands\npublisher: Elsevier Science","page":"107507","source":"APA PsycNet","title":"Practicing prospection promotes patience: Repeated episodic future thinking cumulatively reduces delay discounting","title-short":"Practicing prospection promotes patience","volume":"204","author":[{"family":"Mellis","given":"Alexandra M."},{"family":"Snider","given":"Sarah E."},{"family":"Deshpande","given":"Harshawardhan U."},{"family":"LaConte","given":"Stephen M."},{"family":"Bickel","given":"Warren K."}],"issued":{"date-parts":[["2019"]]}}}],"schema":"https://github.com/citation-style-language/schema/raw/master/csl-citation.json"} </w:instrText>
      </w:r>
      <w:r w:rsidR="003E14E6">
        <w:rPr>
          <w:rFonts w:ascii="Times New Roman" w:hAnsi="Times New Roman" w:cs="Times New Roman"/>
        </w:rPr>
        <w:fldChar w:fldCharType="separate"/>
      </w:r>
      <w:r w:rsidR="003E14E6" w:rsidRPr="003E14E6">
        <w:rPr>
          <w:rFonts w:ascii="Times New Roman" w:hAnsi="Times New Roman" w:cs="Times New Roman"/>
        </w:rPr>
        <w:t>(Mellis et al., 2019)</w:t>
      </w:r>
      <w:r w:rsidR="003E14E6">
        <w:rPr>
          <w:rFonts w:ascii="Times New Roman" w:hAnsi="Times New Roman" w:cs="Times New Roman"/>
        </w:rPr>
        <w:fldChar w:fldCharType="end"/>
      </w:r>
      <w:r w:rsidRPr="00F23463">
        <w:rPr>
          <w:rFonts w:ascii="Times New Roman" w:hAnsi="Times New Roman" w:cs="Times New Roman"/>
        </w:rPr>
        <w:t xml:space="preserve">. These findings have recently been expanded upon by exploring the use and feasibility of EFT in a sample of people who are enrolled in treatment for AUD, which found promising effects of EFT in both reducing the value of alcohol and improving preferences for delayed rewards </w:t>
      </w:r>
      <w:r w:rsidR="003E14E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{"citationID":"4sTYijpZ","properties":{"formattedCitation":"(Patel &amp; Amlung, 2020)","plainCitation":"(Patel &amp; Amlung, 2020)","noteIndex":0},"citationItems":[{"id":1526,"uris":["http://zotero.org/users/7873587/items/8ZI5QBLJ"],"itemData":{"id":1526,"type":"article-journal","abstract":"Individuals with addictive disorders commonly exhibit a shortened temporal window (shortened period of time an individual can imagine into their own future), which interferes with treatment focusing on long-term sobriety or reductions in use. Episodic future thinking (EFT) involves generating personalized cues related to anticipated, positive future events. EFT has been shown to reduce impulsive decision-making and the reinforcing value of addictive substances; however, this has only been shown in nontreatment samples. The current study examined the feasibility and impact of a 1-week EFT protocol on decision-making and alcohol motivation in a sample of individuals receiving treatment for alcohol use disorder. We randomly assigned twenty-eight individuals currently enrolled in community-based alcohol use disorder treatment to either an EFT protocol or a control episodic recent thinking (ERT) protocol. Participants completed assessments of delay discounting, alcohol demand, craving, self-efficacy, consideration of consequences, and mindfulness at baseline, after 1 week of EFT practice, and at 1-week follow-up. We observed patterns of reductions in alcohol demand indices, delay discounting rates, and an increase in mindfulness after both acute (1 session) and extended (4 sessions) exposure to EFT. These proof-of-concept findings lay the foundation for a randomized controlled trial of EFT as a supplement to addictions treatment.","container-title":"Journal of Substance Abuse Treatment","DOI":"10.1016/j.jsat.2020.108046","ISSN":"1873-6483","journalAbbreviation":"J Subst Abuse Treat","language":"eng","note":"PMID: 32741499","page":"108046","source":"PubMed","title":"Acute and extended exposure to episodic future thinking in a treatment seeking addiction sample: A pilot study","title-short":"Acute and extended exposure to episodic future thinking in a treatment seeking addiction sample","volume":"116","author":[{"family":"Patel","given":"Herry"},{"family":"Amlung","given":"Michael"}],"issued":{"date-parts":[["2020",9]]}}}],"schema":"https://github.com/citation-style-language/schema/raw/master/csl-citation.json"} </w:instrText>
      </w:r>
      <w:r w:rsidR="003E14E6">
        <w:rPr>
          <w:rFonts w:ascii="Times New Roman" w:hAnsi="Times New Roman" w:cs="Times New Roman"/>
        </w:rPr>
        <w:fldChar w:fldCharType="separate"/>
      </w:r>
      <w:r w:rsidR="003E14E6" w:rsidRPr="003E14E6">
        <w:rPr>
          <w:rFonts w:ascii="Times New Roman" w:hAnsi="Times New Roman" w:cs="Times New Roman"/>
        </w:rPr>
        <w:t>(Patel &amp; Amlung, 2020)</w:t>
      </w:r>
      <w:r w:rsidR="003E14E6">
        <w:rPr>
          <w:rFonts w:ascii="Times New Roman" w:hAnsi="Times New Roman" w:cs="Times New Roman"/>
        </w:rPr>
        <w:fldChar w:fldCharType="end"/>
      </w:r>
      <w:r w:rsidRPr="00F23463">
        <w:rPr>
          <w:rFonts w:ascii="Times New Roman" w:hAnsi="Times New Roman" w:cs="Times New Roman"/>
        </w:rPr>
        <w:t xml:space="preserve">. </w:t>
      </w:r>
    </w:p>
    <w:p w14:paraId="1E3EA10E" w14:textId="77777777" w:rsidR="008A4FF5" w:rsidRPr="00F23463" w:rsidRDefault="008A4FF5" w:rsidP="00AC0B06">
      <w:pPr>
        <w:pStyle w:val="NoSpacing"/>
        <w:spacing w:line="480" w:lineRule="auto"/>
        <w:rPr>
          <w:rFonts w:ascii="Times New Roman" w:hAnsi="Times New Roman" w:cs="Times New Roman"/>
        </w:rPr>
      </w:pPr>
    </w:p>
    <w:p w14:paraId="63B55673" w14:textId="0B66C066" w:rsidR="008A4FF5" w:rsidRPr="00F23463" w:rsidRDefault="008A4FF5" w:rsidP="003D0079">
      <w:pPr>
        <w:pStyle w:val="NoSpacing"/>
        <w:spacing w:line="480" w:lineRule="auto"/>
        <w:rPr>
          <w:rFonts w:ascii="Times New Roman" w:hAnsi="Times New Roman" w:cs="Times New Roman"/>
        </w:rPr>
      </w:pPr>
      <w:r w:rsidRPr="00F23463">
        <w:rPr>
          <w:rFonts w:ascii="Times New Roman" w:hAnsi="Times New Roman" w:cs="Times New Roman"/>
        </w:rPr>
        <w:t xml:space="preserve">Interestingly, research in treatment settings has demonstrated that self-report alcohol and tobacco abstinence is </w:t>
      </w:r>
      <w:r w:rsidR="00F747DC">
        <w:rPr>
          <w:rFonts w:ascii="Times New Roman" w:hAnsi="Times New Roman" w:cs="Times New Roman"/>
        </w:rPr>
        <w:t>characterised</w:t>
      </w:r>
      <w:r w:rsidRPr="00F23463">
        <w:rPr>
          <w:rFonts w:ascii="Times New Roman" w:hAnsi="Times New Roman" w:cs="Times New Roman"/>
        </w:rPr>
        <w:t xml:space="preserve"> by </w:t>
      </w:r>
      <w:r w:rsidR="00F747DC">
        <w:rPr>
          <w:rFonts w:ascii="Times New Roman" w:hAnsi="Times New Roman" w:cs="Times New Roman"/>
        </w:rPr>
        <w:t>lowered</w:t>
      </w:r>
      <w:r w:rsidRPr="00F23463">
        <w:rPr>
          <w:rFonts w:ascii="Times New Roman" w:hAnsi="Times New Roman" w:cs="Times New Roman"/>
        </w:rPr>
        <w:t xml:space="preserve"> alcohol </w:t>
      </w:r>
      <w:r w:rsidR="00F747DC">
        <w:rPr>
          <w:rFonts w:ascii="Times New Roman" w:hAnsi="Times New Roman" w:cs="Times New Roman"/>
        </w:rPr>
        <w:t xml:space="preserve">value </w:t>
      </w:r>
      <w:r w:rsidR="00F747D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{"citationID":"a8Hjigt7","properties":{"formattedCitation":"(Hardy et al., 2018)","plainCitation":"(Hardy et al., 2018)","noteIndex":0},"citationItems":[{"id":830,"uris":["http://zotero.org/users/7873587/items/NPLX5NWL"],"itemData":{"id":830,"type":"article-journal","abstract":"Concurrent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F747DC">
        <w:rPr>
          <w:rFonts w:ascii="Times New Roman" w:hAnsi="Times New Roman" w:cs="Times New Roman"/>
        </w:rPr>
        <w:fldChar w:fldCharType="separate"/>
      </w:r>
      <w:r w:rsidR="002B6A5F" w:rsidRPr="002B6A5F">
        <w:rPr>
          <w:rFonts w:ascii="Times New Roman" w:hAnsi="Times New Roman" w:cs="Times New Roman"/>
        </w:rPr>
        <w:t>(Hardy et al., 2018)</w:t>
      </w:r>
      <w:r w:rsidR="00F747DC">
        <w:rPr>
          <w:rFonts w:ascii="Times New Roman" w:hAnsi="Times New Roman" w:cs="Times New Roman"/>
        </w:rPr>
        <w:fldChar w:fldCharType="end"/>
      </w:r>
      <w:r w:rsidRPr="00F23463">
        <w:rPr>
          <w:rFonts w:ascii="Times New Roman" w:hAnsi="Times New Roman" w:cs="Times New Roman"/>
        </w:rPr>
        <w:t xml:space="preserve"> indexed by </w:t>
      </w:r>
      <w:r w:rsidR="00F747DC">
        <w:rPr>
          <w:rFonts w:ascii="Times New Roman" w:hAnsi="Times New Roman" w:cs="Times New Roman"/>
        </w:rPr>
        <w:t>lowered</w:t>
      </w:r>
      <w:r w:rsidRPr="00F23463">
        <w:rPr>
          <w:rFonts w:ascii="Times New Roman" w:hAnsi="Times New Roman" w:cs="Times New Roman"/>
        </w:rPr>
        <w:t xml:space="preserve"> percentage choice of substance relative to substance-free alternative rewards. These experimental findings are compatible with behavioural economic accounts </w:t>
      </w:r>
      <w:r w:rsidR="0025053E">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{"citationID":"F61BnAoM","properties":{"formattedCitation":"(Bickel et al., 2014; Bickel &amp; Athamneh, 2020; MacKillop, 2016; Murphy, MacKillop, et al., 2012)","plainCitation":"(Bickel et al., 2014; Bickel &amp; Athamneh, 2020; MacKillop, 2016; Murphy, MacKillop, et al., 2012)","noteIndex":0},"citationItems":[{"id":816,"uris":["http://zotero.org/users/7873587/items/R9KVGRWU"],"itemData":{"id":816,"type":"article-journal","abstract":"The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T."},{"family":"Rotgers.","given":"Frederick"}],"issued":{"date-parts":[["2012"]]}},"label":"page"}],"schema":"https://github.com/citation-style-language/schema/raw/master/csl-citation.json"} </w:instrText>
      </w:r>
      <w:r w:rsidR="0025053E">
        <w:rPr>
          <w:rFonts w:ascii="Times New Roman" w:hAnsi="Times New Roman" w:cs="Times New Roman"/>
        </w:rPr>
        <w:fldChar w:fldCharType="separate"/>
      </w:r>
      <w:r w:rsidR="003D0079" w:rsidRPr="003D0079">
        <w:rPr>
          <w:rFonts w:ascii="Times New Roman" w:hAnsi="Times New Roman" w:cs="Times New Roman"/>
        </w:rPr>
        <w:t>(Bickel et al., 2014; Bickel &amp; Athamneh, 2020; MacKillop, 2016; Murphy, MacKillop, et al., 2012)</w:t>
      </w:r>
      <w:r w:rsidR="0025053E">
        <w:rPr>
          <w:rFonts w:ascii="Times New Roman" w:hAnsi="Times New Roman" w:cs="Times New Roman"/>
        </w:rPr>
        <w:fldChar w:fldCharType="end"/>
      </w:r>
      <w:r w:rsidRPr="00F23463">
        <w:rPr>
          <w:rFonts w:ascii="Times New Roman" w:hAnsi="Times New Roman" w:cs="Times New Roman"/>
        </w:rPr>
        <w:t xml:space="preserve">—however, they are cross-sectional which makes the causal role of valuation processes </w:t>
      </w:r>
      <w:r w:rsidR="00F747DC">
        <w:rPr>
          <w:rFonts w:ascii="Times New Roman" w:hAnsi="Times New Roman" w:cs="Times New Roman"/>
        </w:rPr>
        <w:t>less clear</w:t>
      </w:r>
      <w:r w:rsidRPr="00F23463">
        <w:rPr>
          <w:rFonts w:ascii="Times New Roman" w:hAnsi="Times New Roman" w:cs="Times New Roman"/>
        </w:rPr>
        <w:t xml:space="preserve">. Overall, behavioural economics has contributed significantly to </w:t>
      </w:r>
      <w:r w:rsidR="003E14E6">
        <w:rPr>
          <w:rFonts w:ascii="Times New Roman" w:hAnsi="Times New Roman" w:cs="Times New Roman"/>
        </w:rPr>
        <w:t>the</w:t>
      </w:r>
      <w:r w:rsidRPr="00F23463">
        <w:rPr>
          <w:rFonts w:ascii="Times New Roman" w:hAnsi="Times New Roman" w:cs="Times New Roman"/>
        </w:rPr>
        <w:t xml:space="preserve"> molar understanding of addiction and recovery from it. However, to the best of our knowledge, none of this research has attempted to explain or model the internal processes that precede </w:t>
      </w:r>
      <w:r w:rsidR="003E14E6">
        <w:rPr>
          <w:rFonts w:ascii="Times New Roman" w:hAnsi="Times New Roman" w:cs="Times New Roman"/>
        </w:rPr>
        <w:t xml:space="preserve">discrete </w:t>
      </w:r>
      <w:r w:rsidRPr="00F23463">
        <w:rPr>
          <w:rFonts w:ascii="Times New Roman" w:hAnsi="Times New Roman" w:cs="Times New Roman"/>
        </w:rPr>
        <w:t xml:space="preserve">decisions made (i.e., a </w:t>
      </w:r>
      <w:r w:rsidRPr="003E14E6">
        <w:rPr>
          <w:rFonts w:ascii="Times New Roman" w:hAnsi="Times New Roman" w:cs="Times New Roman"/>
          <w:i/>
          <w:iCs/>
        </w:rPr>
        <w:t>molecular</w:t>
      </w:r>
      <w:r w:rsidRPr="00F23463">
        <w:rPr>
          <w:rFonts w:ascii="Times New Roman" w:hAnsi="Times New Roman" w:cs="Times New Roman"/>
        </w:rPr>
        <w:t xml:space="preserve"> perspective; </w:t>
      </w:r>
      <w:r w:rsidR="00F747D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{"citationID":"JRmmmIeI","properties":{"formattedCitation":"(Field,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F747DC">
        <w:rPr>
          <w:rFonts w:ascii="Times New Roman" w:hAnsi="Times New Roman" w:cs="Times New Roman"/>
        </w:rPr>
        <w:fldChar w:fldCharType="separate"/>
      </w:r>
      <w:r w:rsidR="00F747DC" w:rsidRPr="00F747DC">
        <w:rPr>
          <w:rFonts w:ascii="Times New Roman" w:hAnsi="Times New Roman" w:cs="Times New Roman"/>
        </w:rPr>
        <w:t>Field, Heather, et al., 2020)</w:t>
      </w:r>
      <w:r w:rsidR="00F747DC">
        <w:rPr>
          <w:rFonts w:ascii="Times New Roman" w:hAnsi="Times New Roman" w:cs="Times New Roman"/>
        </w:rPr>
        <w:fldChar w:fldCharType="end"/>
      </w:r>
      <w:r w:rsidRPr="00F23463">
        <w:rPr>
          <w:rFonts w:ascii="Times New Roman" w:hAnsi="Times New Roman" w:cs="Times New Roman"/>
        </w:rPr>
        <w:t xml:space="preserve">. It is crucial for research to explore decision-making processes regarding substance use and </w:t>
      </w:r>
      <w:r w:rsidRPr="00F23463">
        <w:rPr>
          <w:rFonts w:ascii="Times New Roman" w:hAnsi="Times New Roman" w:cs="Times New Roman"/>
        </w:rPr>
        <w:lastRenderedPageBreak/>
        <w:t>substance-free alternatives from a molecular perspective because one of the first steps towards behaviour change and recovery from addiction will involve the momentary decision to not use a substance.</w:t>
      </w:r>
    </w:p>
    <w:p w14:paraId="3EC254BE" w14:textId="77777777" w:rsidR="008A4FF5" w:rsidRPr="00F23463" w:rsidRDefault="008A4FF5" w:rsidP="00AC0B06">
      <w:pPr>
        <w:pStyle w:val="NoSpacing"/>
        <w:spacing w:line="480" w:lineRule="auto"/>
        <w:rPr>
          <w:rFonts w:ascii="Times New Roman" w:hAnsi="Times New Roman" w:cs="Times New Roman"/>
        </w:rPr>
      </w:pPr>
    </w:p>
    <w:p w14:paraId="4039C421" w14:textId="2C72789E" w:rsidR="008A4FF5" w:rsidRPr="00F23463" w:rsidRDefault="008A4FF5" w:rsidP="00573078">
      <w:pPr>
        <w:pStyle w:val="Heading2"/>
      </w:pPr>
      <w:bookmarkStart w:id="79" w:name="_Toc109901459"/>
      <w:bookmarkStart w:id="80" w:name="_Toc109901932"/>
      <w:bookmarkStart w:id="81" w:name="_Toc109911326"/>
      <w:bookmarkStart w:id="82" w:name="_Toc110612729"/>
      <w:bookmarkStart w:id="83" w:name="_Toc110629039"/>
      <w:bookmarkStart w:id="84" w:name="_Toc110870947"/>
      <w:r w:rsidRPr="00F23463">
        <w:t>1.6</w:t>
      </w:r>
      <w:r w:rsidR="00174DF4" w:rsidRPr="00F23463">
        <w:t>.</w:t>
      </w:r>
      <w:r w:rsidRPr="00F23463">
        <w:t xml:space="preserve"> Value-based decision-making (VBDM) as a theoretical framework for behaviour change and recovery from </w:t>
      </w:r>
      <w:r w:rsidRPr="00104BC1">
        <w:t>addiction</w:t>
      </w:r>
      <w:bookmarkEnd w:id="79"/>
      <w:bookmarkEnd w:id="80"/>
      <w:bookmarkEnd w:id="81"/>
      <w:bookmarkEnd w:id="82"/>
      <w:bookmarkEnd w:id="83"/>
      <w:bookmarkEnd w:id="84"/>
    </w:p>
    <w:p w14:paraId="03260E4B" w14:textId="236D732D" w:rsidR="008A4FF5" w:rsidRPr="00F23463" w:rsidRDefault="008A4FF5" w:rsidP="00104BC1">
      <w:pPr>
        <w:pStyle w:val="NoSpacing"/>
        <w:spacing w:line="480" w:lineRule="auto"/>
        <w:rPr>
          <w:rFonts w:ascii="Times New Roman" w:hAnsi="Times New Roman" w:cs="Times New Roman"/>
        </w:rPr>
      </w:pPr>
      <w:r w:rsidRPr="00F23463">
        <w:rPr>
          <w:rFonts w:ascii="Times New Roman" w:hAnsi="Times New Roman" w:cs="Times New Roman"/>
        </w:rPr>
        <w:t xml:space="preserve">Value-based decision-making (VBDM) is a theoretical framework that can be used to guide the modelling of internal processes that occur in the lead up to a decision being made </w:t>
      </w:r>
      <w:r w:rsidR="00085A93">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{"citationID":"tKQzKE4c","properties":{"formattedCitation":"(Berkman et al., 2017a; Levy &amp; Glimcher, 2012; Rangel et al., 2008)","plainCitation":"(Berkman et al., 2017a; Levy &amp; Glimcher, 2012; Rangel et al., 2008)","dontUpdate":true,"noteIndex":0},"citationItems":[{"id":1528,"uris":["http://zotero.org/users/7873587/items/BGCGUKYV"],"itemData":{"id":1528,"type":"article-journal","abstract":"Self-control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E."},{"family":"Inzlicht","given":"Michael"}],"issued":{"date-parts":[["2017"]]}},"label":"page"},{"id":1531,"uris":["http://zotero.org/users/7873587/items/882JVBYM"],"itemData":{"id":1531,"type":"article-journal","abstract":"How do humans make choices between different types of rewards? Economists have long argued on theoretical grounds that humans typically make these choices as if the values of the options they consider have been mapped to a single common scale for comparison. Neuroimaging studies in humans have recently begun to suggest the existence of a small group of specific brain sites that appear to encode the subjective values of different types of rewards on a neural common scale, almost exactly as predicted by theory. We have conducted a meta analysis using data from thirteen different functional magnetic resonance imaging studies published in recent years and we show that the principle brain area associated with this common representation is a subregion of the ventromedial prefrontal cortex (vmPFC)/orbitofrontal cortex (OFC). The data available today suggest that this common valuation path is a core system that participates in day-to-day decision making suggesting both a neurobiological foundation for standard economic theory and a tool for measuring preferences neurobiologically. Perhaps even more exciting is the possibility that our emerging understanding of the neural mechanisms for valuation and choice may provide fundamental insights into pathological choice behaviors like addiction, obesity and gambling.","collection-title":"Decision making","container-title":"Current Opinion in Neurobiology","DOI":"10.1016/j.conb.2012.06.001","ISSN":"0959-4388","issue":"6","journalAbbreviation":"Current Opinion in Neurobiology","language":"en","page":"1027-1038","source":"ScienceDirect","title":"The root of all value: a neural common currency for choice","title-short":"The root of all value","volume":"22","author":[{"family":"Levy","given":"Dino J"},{"family":"Glimcher","given":"Paul W"}],"issued":{"date-parts":[["2012",12,1]]}},"label":"act"},{"id":1536,"uris":["http://zotero.org/users/7873587/items/WLVILFCS"],"itemData":{"id":1536,"type":"article-journal","abstract":"Most behavioural and computational models of decision making assume that the following five processes are carried out at the time the decision is made: representation, action valuation, action selection, outcome valuation, and learning.On the basis of a sizeable body of animal and human behavioural evidence, several groups have proposed the existence of three different types of valuation systems: Pavlovian, habitual and goal-directed systems.Pavlovian systems assign value to only a small set of 'prepared' behaviours and thus have a limited behavioural repertoire. Nevertheless, they might be the driving force behind behaviours with important economic consequences (for example, overeating). Examples include preparatory behaviours, such as approaching a cue that predicts food, and consummatory behaviours, such as ingesting available food.Habit valuation systems learn to assign values to stimulus–response associations on the basis of previous experience through a process of trial-and-error. Examples of habits include a smoker's desire to have a cigarette at particular times of day (for example, after a meal) and a rat's tendency to forage in a cue-dependent location after sufficient training.Goal-directed systems assign values to actions by computing action–outcome associations and then evaluating the rewards that are associated with the different outcomes. An example of a goal-directed behaviour is the decision what to eat at a new restaurant.An important difference between habitual and goal-directed systems has to do with how they respond to changes in the environment. The goal-directed system updates the value of an action as soon as the value of its outcome changes, whereas the habit system only learns with repeated experience.The values computed by the three systems can be modulated by factors such as the risk that is associated with the decision, the time delay to the outcomes, and social considerations.The quality of the decisions made by an animal depend on how its brain assigns control to the different valuation systems in situations in which it has to make a choice between several potential actions that are assigned conflicting values.The learning properties of the habit system seem to be well-described by simple reinforcement algorithms, such as Q-learning. Some of the key computations that are predicted by these models are instantiated in the dopamine system.","container-title":"Nature Reviews Neuroscience","DOI":"10.1038/nrn2357","ISSN":"1471-0048","issue":"7","journalAbbreviation":"Nat Rev Neurosci","language":"en","license":"2008 Nature Publishing Group","note":"number: 7\npublisher: Nature Publishing Group","page":"545-556","source":"www.nature.com","title":"A framework for studying the neurobiology of value-based decision making","volume":"9","author":[{"family":"Rangel","given":"Antonio"},{"family":"Camerer","given":"Colin"},{"family":"Montague","given":"P. Read"}],"issued":{"date-parts":[["2008",7]]}},"label":"act"}],"schema":"https://github.com/citation-style-language/schema/raw/master/csl-citation.json"} </w:instrText>
      </w:r>
      <w:r w:rsidR="00085A93">
        <w:rPr>
          <w:rFonts w:ascii="Times New Roman" w:hAnsi="Times New Roman" w:cs="Times New Roman"/>
        </w:rPr>
        <w:fldChar w:fldCharType="separate"/>
      </w:r>
      <w:r w:rsidR="00085A93" w:rsidRPr="00085A93">
        <w:rPr>
          <w:rFonts w:ascii="Times New Roman" w:hAnsi="Times New Roman" w:cs="Times New Roman"/>
        </w:rPr>
        <w:t>(Berkman et al., 2017; Levy &amp; Glimcher, 2012; Rangel et al., 2008)</w:t>
      </w:r>
      <w:r w:rsidR="00085A93">
        <w:rPr>
          <w:rFonts w:ascii="Times New Roman" w:hAnsi="Times New Roman" w:cs="Times New Roman"/>
        </w:rPr>
        <w:fldChar w:fldCharType="end"/>
      </w:r>
      <w:r w:rsidRPr="00F23463">
        <w:rPr>
          <w:rFonts w:ascii="Times New Roman" w:hAnsi="Times New Roman" w:cs="Times New Roman"/>
        </w:rPr>
        <w:t xml:space="preserve">. VBDM postulates that people act in accordance with what they value, and that this determines decisions that are made. Interestingly, a recent conceptual paper extended VBDM to recovery from addiction </w:t>
      </w:r>
      <w:r w:rsidR="00085A9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{"citationID":"y0KQEiGS","properties":{"formattedCitation":"(Field,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085A93">
        <w:rPr>
          <w:rFonts w:ascii="Times New Roman" w:hAnsi="Times New Roman" w:cs="Times New Roman"/>
        </w:rPr>
        <w:fldChar w:fldCharType="separate"/>
      </w:r>
      <w:r w:rsidR="00104BC1" w:rsidRPr="00104BC1">
        <w:rPr>
          <w:rFonts w:ascii="Times New Roman" w:hAnsi="Times New Roman" w:cs="Times New Roman"/>
        </w:rPr>
        <w:t>(Field, Heather, et al., 2020)</w:t>
      </w:r>
      <w:r w:rsidR="00085A93">
        <w:rPr>
          <w:rFonts w:ascii="Times New Roman" w:hAnsi="Times New Roman" w:cs="Times New Roman"/>
        </w:rPr>
        <w:fldChar w:fldCharType="end"/>
      </w:r>
      <w:r w:rsidRPr="00F23463">
        <w:rPr>
          <w:rFonts w:ascii="Times New Roman" w:hAnsi="Times New Roman" w:cs="Times New Roman"/>
        </w:rPr>
        <w:t xml:space="preserve"> which </w:t>
      </w:r>
      <w:r w:rsidR="00104BC1">
        <w:rPr>
          <w:rFonts w:ascii="Times New Roman" w:hAnsi="Times New Roman" w:cs="Times New Roman"/>
        </w:rPr>
        <w:t xml:space="preserve">is </w:t>
      </w:r>
      <w:r w:rsidRPr="00F23463">
        <w:rPr>
          <w:rFonts w:ascii="Times New Roman" w:hAnsi="Times New Roman" w:cs="Times New Roman"/>
        </w:rPr>
        <w:t>discussed later within this section</w:t>
      </w:r>
      <w:r w:rsidR="00104BC1">
        <w:rPr>
          <w:rFonts w:ascii="Times New Roman" w:hAnsi="Times New Roman" w:cs="Times New Roman"/>
        </w:rPr>
        <w:t xml:space="preserve"> </w:t>
      </w:r>
      <w:r w:rsidR="00104BC1" w:rsidRPr="0045059A">
        <w:rPr>
          <w:rFonts w:ascii="Times New Roman" w:hAnsi="Times New Roman" w:cs="Times New Roman"/>
        </w:rPr>
        <w:t>(p.</w:t>
      </w:r>
      <w:r w:rsidR="0045059A" w:rsidRPr="0045059A">
        <w:rPr>
          <w:rFonts w:ascii="Times New Roman" w:hAnsi="Times New Roman" w:cs="Times New Roman"/>
        </w:rPr>
        <w:t>44</w:t>
      </w:r>
      <w:r w:rsidR="00104BC1" w:rsidRPr="0045059A">
        <w:rPr>
          <w:rFonts w:ascii="Times New Roman" w:hAnsi="Times New Roman" w:cs="Times New Roman"/>
        </w:rPr>
        <w:t>)</w:t>
      </w:r>
      <w:r w:rsidRPr="0045059A">
        <w:rPr>
          <w:rFonts w:ascii="Times New Roman" w:hAnsi="Times New Roman" w:cs="Times New Roman"/>
        </w:rPr>
        <w:t>.</w:t>
      </w:r>
      <w:r w:rsidRPr="00F23463">
        <w:rPr>
          <w:rFonts w:ascii="Times New Roman" w:hAnsi="Times New Roman" w:cs="Times New Roman"/>
        </w:rPr>
        <w:t xml:space="preserve"> </w:t>
      </w:r>
    </w:p>
    <w:p w14:paraId="65FF00BA" w14:textId="77777777" w:rsidR="008A4FF5" w:rsidRPr="00F23463" w:rsidRDefault="008A4FF5" w:rsidP="00A3110A">
      <w:pPr>
        <w:pStyle w:val="NoSpacing"/>
        <w:spacing w:line="480" w:lineRule="auto"/>
        <w:rPr>
          <w:rFonts w:ascii="Times New Roman" w:hAnsi="Times New Roman" w:cs="Times New Roman"/>
        </w:rPr>
      </w:pPr>
    </w:p>
    <w:p w14:paraId="02CBC33B" w14:textId="2FB2B0B5" w:rsidR="008A4FF5" w:rsidRPr="00F23463" w:rsidRDefault="008A4FF5" w:rsidP="00A377C7">
      <w:pPr>
        <w:pStyle w:val="NoSpacing"/>
        <w:spacing w:line="480" w:lineRule="auto"/>
        <w:rPr>
          <w:rFonts w:ascii="Times New Roman" w:hAnsi="Times New Roman" w:cs="Times New Roman"/>
        </w:rPr>
      </w:pPr>
      <w:r w:rsidRPr="00F23463">
        <w:rPr>
          <w:rFonts w:ascii="Times New Roman" w:hAnsi="Times New Roman" w:cs="Times New Roman"/>
        </w:rPr>
        <w:t xml:space="preserve">According to contemporary VBDM accounts (e.g., </w:t>
      </w:r>
      <w:r w:rsidR="00104BC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{"citationID":"1ZvGHScI","properties":{"formattedCitation":"(Berkman, 2018a; Berkman et al., 2017a)","plainCitation":"(Berkman, 2018a; Berkman et al., 2017a)","dontUpdate":true,"noteIndex":0},"citationItems":[{"id":1538,"uris":["http://zotero.org/users/7873587/items/WURW4J4N"],"itemData":{"id":1538,"type":"article-journal","abstract":"OBJECTIVE: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T."}],"issued":{"date-parts":[["2018",1]]}},"label":"act"},{"id":1528,"uris":["http://zotero.org/users/7873587/items/BGCGUKYV"],"itemData":{"id":1528,"type":"article-journal","abstract":"Self-control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E."},{"family":"Inzlicht","given":"Michael"}],"issued":{"date-parts":[["2017"]]}},"label":"page"}],"schema":"https://github.com/citation-style-language/schema/raw/master/csl-citation.json"} </w:instrText>
      </w:r>
      <w:r w:rsidR="00104BC1">
        <w:rPr>
          <w:rFonts w:ascii="Times New Roman" w:hAnsi="Times New Roman" w:cs="Times New Roman"/>
        </w:rPr>
        <w:fldChar w:fldCharType="separate"/>
      </w:r>
      <w:r w:rsidR="00104BC1" w:rsidRPr="00104BC1">
        <w:rPr>
          <w:rFonts w:ascii="Times New Roman" w:hAnsi="Times New Roman" w:cs="Times New Roman"/>
        </w:rPr>
        <w:t>Berkman, 2018; Berkman et al., 2017)</w:t>
      </w:r>
      <w:r w:rsidR="00104BC1">
        <w:rPr>
          <w:rFonts w:ascii="Times New Roman" w:hAnsi="Times New Roman" w:cs="Times New Roman"/>
        </w:rPr>
        <w:fldChar w:fldCharType="end"/>
      </w:r>
      <w:r w:rsidRPr="00F23463">
        <w:rPr>
          <w:rFonts w:ascii="Times New Roman" w:hAnsi="Times New Roman" w:cs="Times New Roman"/>
        </w:rPr>
        <w:t xml:space="preserve">, when a person is making a decision, the value of each response option is determined as the weighted sum of choice-relevant attributes (also termed ‘input processes’). These attributes </w:t>
      </w:r>
      <w:r w:rsidR="00FC6425">
        <w:rPr>
          <w:rFonts w:ascii="Times New Roman" w:hAnsi="Times New Roman" w:cs="Times New Roman"/>
        </w:rPr>
        <w:t>are postulated to be diverse</w:t>
      </w:r>
      <w:r w:rsidRPr="00F23463">
        <w:rPr>
          <w:rFonts w:ascii="Times New Roman" w:hAnsi="Times New Roman" w:cs="Times New Roman"/>
        </w:rPr>
        <w:t xml:space="preserve"> in nature, including things such as the anticipated positive and negative consequences, effort, financial and opportunity costs, and so on</w:t>
      </w:r>
      <w:r w:rsidR="00FC6425">
        <w:rPr>
          <w:rFonts w:ascii="Times New Roman" w:hAnsi="Times New Roman" w:cs="Times New Roman"/>
        </w:rPr>
        <w:t xml:space="preserve"> </w:t>
      </w:r>
      <w:r w:rsidR="00FC642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{"citationID":"NaDWhpRQ","properties":{"formattedCitation":"(Berkman, 2018a)","plainCitation":"(Berkman, 2018a)","dontUpdate":true,"noteIndex":0},"citationItems":[{"id":1538,"uris":["http://zotero.org/users/7873587/items/WURW4J4N"],"itemData":{"id":1538,"type":"article-journal","abstract":"OBJECTIVE: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T."}],"issued":{"date-parts":[["2018",1]]}}}],"schema":"https://github.com/citation-style-language/schema/raw/master/csl-citation.json"} </w:instrText>
      </w:r>
      <w:r w:rsidR="00FC6425">
        <w:rPr>
          <w:rFonts w:ascii="Times New Roman" w:hAnsi="Times New Roman" w:cs="Times New Roman"/>
        </w:rPr>
        <w:fldChar w:fldCharType="separate"/>
      </w:r>
      <w:r w:rsidR="00FC6425" w:rsidRPr="00FC6425">
        <w:rPr>
          <w:rFonts w:ascii="Times New Roman" w:hAnsi="Times New Roman" w:cs="Times New Roman"/>
        </w:rPr>
        <w:t>(Berkman, 2018)</w:t>
      </w:r>
      <w:r w:rsidR="00FC6425">
        <w:rPr>
          <w:rFonts w:ascii="Times New Roman" w:hAnsi="Times New Roman" w:cs="Times New Roman"/>
        </w:rPr>
        <w:fldChar w:fldCharType="end"/>
      </w:r>
      <w:r w:rsidRPr="00F23463">
        <w:rPr>
          <w:rFonts w:ascii="Times New Roman" w:hAnsi="Times New Roman" w:cs="Times New Roman"/>
        </w:rPr>
        <w:t xml:space="preserve">. For example, when faced with the hypothetical decision between consuming </w:t>
      </w:r>
      <w:r w:rsidR="00FC6425">
        <w:rPr>
          <w:rFonts w:ascii="Times New Roman" w:hAnsi="Times New Roman" w:cs="Times New Roman"/>
        </w:rPr>
        <w:t>pizza</w:t>
      </w:r>
      <w:r w:rsidRPr="00F23463">
        <w:rPr>
          <w:rFonts w:ascii="Times New Roman" w:hAnsi="Times New Roman" w:cs="Times New Roman"/>
        </w:rPr>
        <w:t xml:space="preserve"> or a salad for lunch, attributes that may feed into the value of </w:t>
      </w:r>
      <w:r w:rsidR="00FC6425">
        <w:rPr>
          <w:rFonts w:ascii="Times New Roman" w:hAnsi="Times New Roman" w:cs="Times New Roman"/>
        </w:rPr>
        <w:t xml:space="preserve">pizza </w:t>
      </w:r>
      <w:r w:rsidRPr="00F23463">
        <w:rPr>
          <w:rFonts w:ascii="Times New Roman" w:hAnsi="Times New Roman" w:cs="Times New Roman"/>
        </w:rPr>
        <w:t xml:space="preserve">may be ease of acquisition (+), hedonic liking of food (+), however consumption would be at the cost of going against a personal goal to eat healthier (-). Whereas attributes that may feed into the value of eating a salad may be progress towards a long-term goal (+), norm conformity (+), but at the cost of increased </w:t>
      </w:r>
      <w:r w:rsidR="00FC6425">
        <w:rPr>
          <w:rFonts w:ascii="Times New Roman" w:hAnsi="Times New Roman" w:cs="Times New Roman"/>
        </w:rPr>
        <w:t xml:space="preserve">financial </w:t>
      </w:r>
      <w:r w:rsidRPr="00F23463">
        <w:rPr>
          <w:rFonts w:ascii="Times New Roman" w:hAnsi="Times New Roman" w:cs="Times New Roman"/>
        </w:rPr>
        <w:t xml:space="preserve">price (-). These attributes are then translated into a common metric of value which is essential to allow comparison of response options </w:t>
      </w:r>
      <w:r w:rsidR="00FC642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{"citationID":"T7l60QNG","properties":{"formattedCitation":"(Levy &amp; Glimcher, 2012)","plainCitation":"(Levy &amp; Glimcher, 2012)","noteIndex":0},"citationItems":[{"id":1531,"uris":["http://zotero.org/users/7873587/items/882JVBYM"],"itemData":{"id":1531,"type":"article-journal","abstract":"How do humans make choices between different types of rewards? Economists have long argued on theoretical grounds that humans typically make these choices as if the values of the options they consider have been mapped to a single common scale for comparison. Neuroimaging studies in humans have recently begun to suggest the existence of a small group of specific brain sites that appear to encode the subjective values of different types of rewards on a neural common scale, almost exactly as predicted by theory. We have conducted a meta analysis using data from thirteen different functional magnetic resonance imaging studies published in recent years and we show that the principle brain area associated with this common representation is a subregion of the ventromedial prefrontal cortex (vmPFC)/orbitofrontal cortex (OFC). The data available today suggest that this common valuation path is a core system that participates in day-to-day decision making suggesting both a neurobiological foundation for standard economic theory and a tool for measuring preferences neurobiologically. Perhaps even more exciting is the possibility that our emerging understanding of the neural mechanisms for valuation and choice may provide fundamental insights into pathological choice behaviors like addiction, obesity and gambling.","collection-title":"Decision making","container-title":"Current Opinion in Neurobiology","DOI":"10.1016/j.conb.2012.06.001","ISSN":"0959-4388","issue":"6","journalAbbreviation":"Current Opinion in Neurobiology","language":"en","page":"1027-1038","source":"ScienceDirect","title":"The root of all value: a neural common currency for choice","title-short":"The root of all value","volume":"22","author":[{"family":"Levy","given":"Dino J"},{"family":"Glimcher","given":"Paul W"}],"issued":{"date-parts":[["2012",12,1]]}}}],"schema":"https://github.com/citation-style-language/schema/raw/master/csl-citation.json"} </w:instrText>
      </w:r>
      <w:r w:rsidR="00FC6425">
        <w:rPr>
          <w:rFonts w:ascii="Times New Roman" w:hAnsi="Times New Roman" w:cs="Times New Roman"/>
        </w:rPr>
        <w:fldChar w:fldCharType="separate"/>
      </w:r>
      <w:r w:rsidR="00FC6425" w:rsidRPr="00FC6425">
        <w:rPr>
          <w:rFonts w:ascii="Times New Roman" w:hAnsi="Times New Roman" w:cs="Times New Roman"/>
        </w:rPr>
        <w:t>(Levy &amp; Glimcher, 2012)</w:t>
      </w:r>
      <w:r w:rsidR="00FC6425">
        <w:rPr>
          <w:rFonts w:ascii="Times New Roman" w:hAnsi="Times New Roman" w:cs="Times New Roman"/>
        </w:rPr>
        <w:fldChar w:fldCharType="end"/>
      </w:r>
      <w:r w:rsidRPr="00F23463">
        <w:rPr>
          <w:rFonts w:ascii="Times New Roman" w:hAnsi="Times New Roman" w:cs="Times New Roman"/>
        </w:rPr>
        <w:t xml:space="preserve">. </w:t>
      </w:r>
      <w:r w:rsidRPr="00F23463">
        <w:rPr>
          <w:rFonts w:ascii="Times New Roman" w:hAnsi="Times New Roman" w:cs="Times New Roman"/>
        </w:rPr>
        <w:lastRenderedPageBreak/>
        <w:t>The response option highest in value is subsequently acted upon through a value-to-action evidence accumulation (EA) process which can be modelled using computational methodology, such as the</w:t>
      </w:r>
      <w:r w:rsidR="00FC6425">
        <w:rPr>
          <w:rFonts w:ascii="Times New Roman" w:hAnsi="Times New Roman" w:cs="Times New Roman"/>
        </w:rPr>
        <w:t xml:space="preserve"> prominent</w:t>
      </w:r>
      <w:r w:rsidRPr="00F23463">
        <w:rPr>
          <w:rFonts w:ascii="Times New Roman" w:hAnsi="Times New Roman" w:cs="Times New Roman"/>
        </w:rPr>
        <w:t xml:space="preserve"> drift-diffusion model (DDM; </w:t>
      </w:r>
      <w:r w:rsidR="00FC642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{"citationID":"yeJhWtMQ","properties":{"formattedCitation":"(Ratcliff &amp; McKoon, 2008b)","plainCitation":"(Ratcliff &amp; McKoon, 2008b)","dontUpdate":true,"noteIndex":0},"citationItems":[{"id":1541,"uris":["http://zotero.org/users/7873587/items/DJFYEPQB"],"itemData":{"id":1541,"type":"article-journal","abstract":"The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computation","DOI":"10.1162/neco.2008.12-06-420","ISSN":"0899-7667","issue":"4","journalAbbreviation":"Neural Comput","note":"PMID: 18085991\nPMCID: PMC2474742","page":"873-922","source":"PubMed Central","title":"The Diffusion Decision Model: Theory and Data for Two-Choice Decision Tasks","title-short":"The Diffusion Decision Model","volume":"20","author":[{"family":"Ratcliff","given":"Roger"},{"family":"McKoon","given":"Gail"}],"issued":{"date-parts":[["2008",4]]}}}],"schema":"https://github.com/citation-style-language/schema/raw/master/csl-citation.json"} </w:instrText>
      </w:r>
      <w:r w:rsidR="00FC6425">
        <w:rPr>
          <w:rFonts w:ascii="Times New Roman" w:hAnsi="Times New Roman" w:cs="Times New Roman"/>
        </w:rPr>
        <w:fldChar w:fldCharType="separate"/>
      </w:r>
      <w:r w:rsidR="00FC6425" w:rsidRPr="00FC6425">
        <w:rPr>
          <w:rFonts w:ascii="Times New Roman" w:hAnsi="Times New Roman" w:cs="Times New Roman"/>
        </w:rPr>
        <w:t>Ratcliff &amp; McKoon, 2008)</w:t>
      </w:r>
      <w:r w:rsidR="00FC6425">
        <w:rPr>
          <w:rFonts w:ascii="Times New Roman" w:hAnsi="Times New Roman" w:cs="Times New Roman"/>
        </w:rPr>
        <w:fldChar w:fldCharType="end"/>
      </w:r>
      <w:r w:rsidRPr="00F23463">
        <w:rPr>
          <w:rFonts w:ascii="Times New Roman" w:hAnsi="Times New Roman" w:cs="Times New Roman"/>
        </w:rPr>
        <w:t>. The DDM assumes that</w:t>
      </w:r>
      <w:r w:rsidR="000C6804">
        <w:rPr>
          <w:rFonts w:ascii="Times New Roman" w:hAnsi="Times New Roman" w:cs="Times New Roman"/>
        </w:rPr>
        <w:t xml:space="preserve"> subjective value is tracked by neurons in a manner that is noisy and probabilistic; fluctuating signals are interpreted </w:t>
      </w:r>
      <w:r w:rsidR="00A377C7">
        <w:rPr>
          <w:rFonts w:ascii="Times New Roman" w:hAnsi="Times New Roman" w:cs="Times New Roman"/>
        </w:rPr>
        <w:t>as</w:t>
      </w:r>
      <w:r w:rsidR="000C6804">
        <w:rPr>
          <w:rFonts w:ascii="Times New Roman" w:hAnsi="Times New Roman" w:cs="Times New Roman"/>
        </w:rPr>
        <w:t xml:space="preserve"> evidence for</w:t>
      </w:r>
      <w:r w:rsidR="00A377C7">
        <w:rPr>
          <w:rFonts w:ascii="Times New Roman" w:hAnsi="Times New Roman" w:cs="Times New Roman"/>
        </w:rPr>
        <w:t xml:space="preserve"> or</w:t>
      </w:r>
      <w:r w:rsidR="000C6804">
        <w:rPr>
          <w:rFonts w:ascii="Times New Roman" w:hAnsi="Times New Roman" w:cs="Times New Roman"/>
        </w:rPr>
        <w:t xml:space="preserve"> against a response option</w:t>
      </w:r>
      <w:r w:rsidR="00A377C7">
        <w:rPr>
          <w:rFonts w:ascii="Times New Roman" w:hAnsi="Times New Roman" w:cs="Times New Roman"/>
        </w:rPr>
        <w:t xml:space="preserve">. </w:t>
      </w:r>
      <w:r w:rsidRPr="00F23463">
        <w:rPr>
          <w:rFonts w:ascii="Times New Roman" w:hAnsi="Times New Roman" w:cs="Times New Roman"/>
        </w:rPr>
        <w:t xml:space="preserve">These signals are accumulated over time until the accumulated evidence passes a response threshold for responding (see Figure 1.1). Therefore, VBDM provides a framework that can model the internal processes that determine </w:t>
      </w:r>
      <w:r w:rsidR="00FC6425">
        <w:rPr>
          <w:rFonts w:ascii="Times New Roman" w:hAnsi="Times New Roman" w:cs="Times New Roman"/>
        </w:rPr>
        <w:t xml:space="preserve">discrete </w:t>
      </w:r>
      <w:r w:rsidRPr="00F23463">
        <w:rPr>
          <w:rFonts w:ascii="Times New Roman" w:hAnsi="Times New Roman" w:cs="Times New Roman"/>
        </w:rPr>
        <w:t>decisions made, specifically, the rate at which people accumulate value evidence (EA rate) and the response threshold, for different types of decisions.</w:t>
      </w:r>
    </w:p>
    <w:p w14:paraId="5E0D68E0" w14:textId="77777777" w:rsidR="008A4FF5" w:rsidRPr="00F23463" w:rsidRDefault="008A4FF5" w:rsidP="00A3110A">
      <w:pPr>
        <w:pStyle w:val="NoSpacing"/>
        <w:spacing w:line="480" w:lineRule="auto"/>
        <w:rPr>
          <w:rFonts w:ascii="Times New Roman" w:hAnsi="Times New Roman" w:cs="Times New Roman"/>
        </w:rPr>
      </w:pPr>
    </w:p>
    <w:p w14:paraId="20D8D6D7" w14:textId="77777777" w:rsidR="00174DF4" w:rsidRPr="009D3289" w:rsidRDefault="008A4FF5" w:rsidP="00A3110A">
      <w:pPr>
        <w:pStyle w:val="NoSpacing"/>
        <w:spacing w:line="480" w:lineRule="auto"/>
        <w:rPr>
          <w:rFonts w:ascii="Times New Roman" w:hAnsi="Times New Roman" w:cs="Times New Roman"/>
          <w:b/>
          <w:bCs/>
        </w:rPr>
      </w:pPr>
      <w:r w:rsidRPr="009D3289">
        <w:rPr>
          <w:rFonts w:ascii="Times New Roman" w:hAnsi="Times New Roman" w:cs="Times New Roman"/>
          <w:b/>
          <w:bCs/>
        </w:rPr>
        <w:t>Figure 1.1</w:t>
      </w:r>
    </w:p>
    <w:p w14:paraId="1C2C2BF2" w14:textId="1C0C9966" w:rsidR="007813D2" w:rsidRPr="009D3289" w:rsidRDefault="008A4FF5" w:rsidP="00A3110A">
      <w:pPr>
        <w:pStyle w:val="NoSpacing"/>
        <w:spacing w:line="480" w:lineRule="auto"/>
        <w:rPr>
          <w:rFonts w:ascii="Times New Roman" w:hAnsi="Times New Roman" w:cs="Times New Roman"/>
          <w:i/>
          <w:iCs/>
        </w:rPr>
      </w:pPr>
      <w:r w:rsidRPr="009D3289">
        <w:rPr>
          <w:rFonts w:ascii="Times New Roman" w:hAnsi="Times New Roman" w:cs="Times New Roman"/>
          <w:i/>
          <w:iCs/>
        </w:rPr>
        <w:t>A schematic depiction of a simple drift-diffusion model for two hypothetical decisions (Action A and Action B)</w:t>
      </w:r>
    </w:p>
    <w:p w14:paraId="390B00A7" w14:textId="587842AD" w:rsidR="008A4FF5" w:rsidRPr="00F23463" w:rsidRDefault="007813D2" w:rsidP="00A3110A">
      <w:pPr>
        <w:pStyle w:val="NoSpacing"/>
        <w:spacing w:line="480" w:lineRule="auto"/>
        <w:jc w:val="center"/>
        <w:rPr>
          <w:rFonts w:ascii="Times New Roman" w:hAnsi="Times New Roman" w:cs="Times New Roman"/>
        </w:rPr>
      </w:pPr>
      <w:r w:rsidRPr="00F23463">
        <w:rPr>
          <w:rFonts w:ascii="Times New Roman" w:hAnsi="Times New Roman" w:cs="Times New Roman"/>
          <w:noProof/>
        </w:rPr>
        <w:drawing>
          <wp:inline distT="0" distB="0" distL="0" distR="0" wp14:anchorId="13762E6F" wp14:editId="37E005CE">
            <wp:extent cx="5469845" cy="2410691"/>
            <wp:effectExtent l="0" t="0" r="0" b="889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2679" cy="2429569"/>
                    </a:xfrm>
                    <a:prstGeom prst="rect">
                      <a:avLst/>
                    </a:prstGeom>
                    <a:noFill/>
                  </pic:spPr>
                </pic:pic>
              </a:graphicData>
            </a:graphic>
          </wp:inline>
        </w:drawing>
      </w:r>
    </w:p>
    <w:p w14:paraId="7624C84D" w14:textId="17AF4978" w:rsidR="008A4FF5" w:rsidRPr="00F23463" w:rsidRDefault="008A4FF5" w:rsidP="009D3289">
      <w:pPr>
        <w:pStyle w:val="NoSpacing"/>
        <w:spacing w:line="480" w:lineRule="auto"/>
        <w:rPr>
          <w:rFonts w:ascii="Times New Roman" w:hAnsi="Times New Roman" w:cs="Times New Roman"/>
        </w:rPr>
      </w:pPr>
      <w:r w:rsidRPr="00AD621C">
        <w:rPr>
          <w:rFonts w:ascii="Times New Roman" w:hAnsi="Times New Roman" w:cs="Times New Roman"/>
          <w:i/>
          <w:iCs/>
        </w:rPr>
        <w:t>Note.</w:t>
      </w:r>
      <w:r w:rsidRPr="00F23463">
        <w:rPr>
          <w:rFonts w:ascii="Times New Roman" w:hAnsi="Times New Roman" w:cs="Times New Roman"/>
        </w:rPr>
        <w:t xml:space="preserve"> The black solid line represents the EA rates, while the grey dashed line represents response thresholds, for hypothetical Action A (left) and hypothetical Action B (right). Red circles indicate the point at which the EA rate crosses the response threshold, at which point the point a decision is made. The EA rate for Action A increases rapidly, and the response </w:t>
      </w:r>
      <w:r w:rsidRPr="00F23463">
        <w:rPr>
          <w:rFonts w:ascii="Times New Roman" w:hAnsi="Times New Roman" w:cs="Times New Roman"/>
        </w:rPr>
        <w:lastRenderedPageBreak/>
        <w:t xml:space="preserve">threshold is lower, a combination that means the decision is acted upon rapidly. However, the EA rate for Action B is lowered meaning that evidence accumulates much more gradually, and the response threshold is higher, meaning the decision takes a longer time to act upon because more evidence needs to be accumulated before the response threshold is reached. Schematics are adapted with permission from those in </w:t>
      </w:r>
      <w:r w:rsidR="009D3289">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{"citationID":"cyUWZASS","properties":{"formattedCitation":"(Berkman et al., 2017a)","plainCitation":"(Berkman et al., 2017a)","dontUpdate":true,"noteIndex":0},"citationItems":[{"id":1528,"uris":["http://zotero.org/users/7873587/items/BGCGUKYV"],"itemData":{"id":1528,"type":"article-journal","abstract":"Self-control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9D3289">
        <w:rPr>
          <w:rFonts w:ascii="Times New Roman" w:hAnsi="Times New Roman" w:cs="Times New Roman"/>
        </w:rPr>
        <w:fldChar w:fldCharType="separate"/>
      </w:r>
      <w:r w:rsidR="009D3289" w:rsidRPr="009D3289">
        <w:rPr>
          <w:rFonts w:ascii="Times New Roman" w:hAnsi="Times New Roman" w:cs="Times New Roman"/>
        </w:rPr>
        <w:t xml:space="preserve">Berkman et al. </w:t>
      </w:r>
      <w:r w:rsidR="009D3289">
        <w:rPr>
          <w:rFonts w:ascii="Times New Roman" w:hAnsi="Times New Roman" w:cs="Times New Roman"/>
        </w:rPr>
        <w:t>(</w:t>
      </w:r>
      <w:r w:rsidR="009D3289" w:rsidRPr="009D3289">
        <w:rPr>
          <w:rFonts w:ascii="Times New Roman" w:hAnsi="Times New Roman" w:cs="Times New Roman"/>
        </w:rPr>
        <w:t>2017)</w:t>
      </w:r>
      <w:r w:rsidR="009D3289">
        <w:rPr>
          <w:rFonts w:ascii="Times New Roman" w:hAnsi="Times New Roman" w:cs="Times New Roman"/>
        </w:rPr>
        <w:fldChar w:fldCharType="end"/>
      </w:r>
      <w:r w:rsidR="009D3289">
        <w:rPr>
          <w:rFonts w:ascii="Times New Roman" w:hAnsi="Times New Roman" w:cs="Times New Roman"/>
        </w:rPr>
        <w:t>.</w:t>
      </w:r>
    </w:p>
    <w:p w14:paraId="7C2536AB" w14:textId="77777777" w:rsidR="008A4FF5" w:rsidRPr="00F23463" w:rsidRDefault="008A4FF5" w:rsidP="00A3110A">
      <w:pPr>
        <w:pStyle w:val="NoSpacing"/>
        <w:spacing w:line="480" w:lineRule="auto"/>
        <w:rPr>
          <w:rFonts w:ascii="Times New Roman" w:hAnsi="Times New Roman" w:cs="Times New Roman"/>
        </w:rPr>
      </w:pPr>
    </w:p>
    <w:p w14:paraId="3AAF3256" w14:textId="41A510E9" w:rsidR="008A4FF5" w:rsidRPr="00F23463" w:rsidRDefault="008A4FF5" w:rsidP="005D0EB3">
      <w:pPr>
        <w:pStyle w:val="NoSpacing"/>
        <w:spacing w:line="480" w:lineRule="auto"/>
        <w:rPr>
          <w:rFonts w:ascii="Times New Roman" w:hAnsi="Times New Roman" w:cs="Times New Roman"/>
        </w:rPr>
      </w:pPr>
      <w:r w:rsidRPr="00F23463">
        <w:rPr>
          <w:rFonts w:ascii="Times New Roman" w:hAnsi="Times New Roman" w:cs="Times New Roman"/>
        </w:rPr>
        <w:t xml:space="preserve">For the DDM to recover parameters that reflect the internal processes of decision-making, behavioural data is required from tasks involving value-based choice (reaction time (RT) and accuracy). In typical VBDM tasks (e.g., </w:t>
      </w:r>
      <w:r w:rsidR="005D0EB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{"citationID":"bWhsjDpc","properties":{"formattedCitation":"(Polan\\uc0\\u237{}a et al., 2014)","plainCitation":"(Polanía et al., 2014)","dontUpdate":true,"noteIndex":0},"citationItems":[{"id":1544,"uris":["http://zotero.org/users/7873587/items/S2B2VYDB"],"itemData":{"id":1544,"type":"article-journal","abstract":"Organisms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C."}],"issued":{"date-parts":[["2014",5,7]]}}}],"schema":"https://github.com/citation-style-language/schema/raw/master/csl-citation.json"} </w:instrText>
      </w:r>
      <w:r w:rsidR="005D0EB3">
        <w:rPr>
          <w:rFonts w:ascii="Times New Roman" w:hAnsi="Times New Roman" w:cs="Times New Roman"/>
        </w:rPr>
        <w:fldChar w:fldCharType="separate"/>
      </w:r>
      <w:r w:rsidR="005D0EB3" w:rsidRPr="005D0EB3">
        <w:rPr>
          <w:rFonts w:ascii="Times New Roman" w:hAnsi="Times New Roman" w:cs="Times New Roman"/>
        </w:rPr>
        <w:t>Polanía et al., 2014)</w:t>
      </w:r>
      <w:r w:rsidR="005D0EB3">
        <w:rPr>
          <w:rFonts w:ascii="Times New Roman" w:hAnsi="Times New Roman" w:cs="Times New Roman"/>
        </w:rPr>
        <w:fldChar w:fldCharType="end"/>
      </w:r>
      <w:r w:rsidR="005D0EB3">
        <w:rPr>
          <w:rFonts w:ascii="Times New Roman" w:hAnsi="Times New Roman" w:cs="Times New Roman"/>
        </w:rPr>
        <w:t xml:space="preserve"> </w:t>
      </w:r>
      <w:r w:rsidRPr="00F23463">
        <w:rPr>
          <w:rFonts w:ascii="Times New Roman" w:hAnsi="Times New Roman" w:cs="Times New Roman"/>
        </w:rPr>
        <w:t xml:space="preserve">participants view and then make value judgements about a set of pictorial stimuli which enables them to be ranked from most valued to least valued. Subsequently, two images appear side-by-side on a computer screen and participants are asked to choose the image that they prefer as quickly as possible (e.g., within a 4-second cut-off) which generates both </w:t>
      </w:r>
      <w:r w:rsidR="005D0EB3">
        <w:rPr>
          <w:rFonts w:ascii="Times New Roman" w:hAnsi="Times New Roman" w:cs="Times New Roman"/>
        </w:rPr>
        <w:t>RT</w:t>
      </w:r>
      <w:r w:rsidRPr="00F23463">
        <w:rPr>
          <w:rFonts w:ascii="Times New Roman" w:hAnsi="Times New Roman" w:cs="Times New Roman"/>
        </w:rPr>
        <w:t xml:space="preserve"> and accuracy data. RT is determined by how long the participant took to respond, whilst accuracy is determined by whether the participant chose the image that was consistent with their previous value judgement. </w:t>
      </w:r>
    </w:p>
    <w:p w14:paraId="6E2ADC97" w14:textId="77777777" w:rsidR="008A4FF5" w:rsidRPr="00F23463" w:rsidRDefault="008A4FF5" w:rsidP="00A3110A">
      <w:pPr>
        <w:pStyle w:val="NoSpacing"/>
        <w:spacing w:line="480" w:lineRule="auto"/>
        <w:rPr>
          <w:rFonts w:ascii="Times New Roman" w:hAnsi="Times New Roman" w:cs="Times New Roman"/>
        </w:rPr>
      </w:pPr>
    </w:p>
    <w:p w14:paraId="355BE00A" w14:textId="5660ADEF" w:rsidR="00513F17" w:rsidRDefault="008A4FF5" w:rsidP="00513F17">
      <w:pPr>
        <w:pStyle w:val="NoSpacing"/>
        <w:spacing w:line="480" w:lineRule="auto"/>
        <w:rPr>
          <w:rFonts w:ascii="Times New Roman" w:hAnsi="Times New Roman" w:cs="Times New Roman"/>
        </w:rPr>
      </w:pPr>
      <w:r w:rsidRPr="00F23463">
        <w:rPr>
          <w:rFonts w:ascii="Times New Roman" w:hAnsi="Times New Roman" w:cs="Times New Roman"/>
        </w:rPr>
        <w:t xml:space="preserve">A limitation of existing approaches which only analyse RT or accuracy data is that the speed-accuracy trade-off (SATO) is often unaccounted for </w:t>
      </w:r>
      <w:r w:rsidR="005D0EB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{"citationID":"KS6HnLrV","properties":{"formattedCitation":"(Stafford et al., 2020)","plainCitation":"(Stafford et al., 2020)","noteIndex":0},"citationItems":[{"id":54,"uris":["http://zotero.org/users/7873587/items/UE7Y9KMI"],"itemData":{"id":54,"type":"article-journal","abstract":"Response time and accuracy are fundamental measures of behavioral science, but discerning participants’ underlying abilities can be masked by speed–accuracy trade-offs (SATOs). SATOs are often inadequately addressed in experiment analyses which focus on a single variable or which involve a suboptimal analytic correction. Models of decision-making, such as the drift diffusion model (DDM), provide a principled account of the decision-making process, allowing the recovery of SATO-unconfounded decision parameters from observed behavioral variables. For plausible parameters of a typical between-groups experiment, we simulate experimental data, for both real and null group differences in participants’ ability to discriminate stimuli (represented by differences in the drift rate parameter of the DDM used to generate the simulated data), for both systematic and null SATOs. We then use the DDM to fit the generated data. This allows the direct comparison of the specificity and sensitivity for testing of group differences of different measures (accuracy, reaction time, and the drift rate from the model fitting). Our purpose here is not to make a theoretical innovation in decision modeling, but to use established decision models to demonstrate and quantify the benefits of decision modeling for experimentalists. We show, in terms of reduction of required sample size, how decision modeling can allow dramatically more efficient data collection for set statistical power; we confirm and depict the non-linear speed–accuracy relation; and we show how accuracy can be a more sensitive measure than response time given decision parameters which reasonably reflect a typical experiment.","container-title":"Behavior Research Methods","DOI":"10.3758/s13428-020-01372-w","ISSN":"1554-3528","issue":"5","journalAbbreviation":"Behav Res","language":"en","page":"2142-2155","source":"Springer Link","title":"Quantifying the benefits of using decision models with response time and accuracy data","volume":"52","author":[{"family":"Stafford","given":"Tom"},{"family":"Pirrone","given":"Angelo"},{"family":"Croucher","given":"Mike"},{"family":"Krystalli","given":"Anna"}],"issued":{"date-parts":[["2020"]]}}}],"schema":"https://github.com/citation-style-language/schema/raw/master/csl-citation.json"} </w:instrText>
      </w:r>
      <w:r w:rsidR="005D0EB3">
        <w:rPr>
          <w:rFonts w:ascii="Times New Roman" w:hAnsi="Times New Roman" w:cs="Times New Roman"/>
        </w:rPr>
        <w:fldChar w:fldCharType="separate"/>
      </w:r>
      <w:r w:rsidR="008C5EDF" w:rsidRPr="008C5EDF">
        <w:rPr>
          <w:rFonts w:ascii="Times New Roman" w:hAnsi="Times New Roman" w:cs="Times New Roman"/>
        </w:rPr>
        <w:t>(Stafford et al., 2020)</w:t>
      </w:r>
      <w:r w:rsidR="005D0EB3">
        <w:rPr>
          <w:rFonts w:ascii="Times New Roman" w:hAnsi="Times New Roman" w:cs="Times New Roman"/>
        </w:rPr>
        <w:fldChar w:fldCharType="end"/>
      </w:r>
      <w:r w:rsidRPr="00F23463">
        <w:rPr>
          <w:rFonts w:ascii="Times New Roman" w:hAnsi="Times New Roman" w:cs="Times New Roman"/>
        </w:rPr>
        <w:t xml:space="preserve">; this is something inherent in any decision when instructed to respond as quickly as accurately as possible. Some people will respond faster at the cost of being less accurate, whilst others will respond slower to increase accuracy </w:t>
      </w:r>
      <w:r w:rsidR="008C5ED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{"citationID":"YjCcLpeY","properties":{"formattedCitation":"(Heitz, 2014)","plainCitation":"(Heitz, 2014)","noteIndex":0},"citationItems":[{"id":1549,"uris":["http://zotero.org/users/7873587/items/EI2CNR49"],"itemData":{"id":1549,"type":"article-journal","abstract":"There are few behavioral effects as ubiquitous as the speed-accuracy tradeoff (SAT). From insects to rodents to primates, the tendency for decision speed to covary with decision accuracy seems an inescapable property of choice behavior. Recently, the SAT has received renewed interest, as neuroscience approaches begin to uncover its neural underpinnings and computational models are compelled to incorporate it as a necessary benchmark. The present work provides a comprehensive overview of SAT. First, I trace its history as a tractable behavioral phenomenon and the role it has played in shaping mathematical descriptions of the decision process. Second, I present a “users guide” of SAT methodology, including a critical review of common experimental manipulations and analysis techniques and a treatment of the typical behavioral patterns that emerge when SAT is manipulated directly. Finally, I review applications of this methodology in several domains.","container-title":"Frontiers in Neuroscience","ISSN":"1662-453X","source":"Frontiers","title":"The speed-accuracy tradeoff: history, physiology, methodology, and behavior","title-short":"The speed-accuracy tradeoff","URL":"https://www.frontiersin.org/articles/10.3389/fnins.2014.00150","volume":"8","author":[{"family":"Heitz","given":"Richard P."}],"accessed":{"date-parts":[["2022",8,3]]},"issued":{"date-parts":[["2014"]]}}}],"schema":"https://github.com/citation-style-language/schema/raw/master/csl-citation.json"} </w:instrText>
      </w:r>
      <w:r w:rsidR="008C5EDF">
        <w:rPr>
          <w:rFonts w:ascii="Times New Roman" w:hAnsi="Times New Roman" w:cs="Times New Roman"/>
        </w:rPr>
        <w:fldChar w:fldCharType="separate"/>
      </w:r>
      <w:r w:rsidR="008C5EDF" w:rsidRPr="008C5EDF">
        <w:rPr>
          <w:rFonts w:ascii="Times New Roman" w:hAnsi="Times New Roman" w:cs="Times New Roman"/>
        </w:rPr>
        <w:t>(Heitz, 2014)</w:t>
      </w:r>
      <w:r w:rsidR="008C5EDF">
        <w:rPr>
          <w:rFonts w:ascii="Times New Roman" w:hAnsi="Times New Roman" w:cs="Times New Roman"/>
        </w:rPr>
        <w:fldChar w:fldCharType="end"/>
      </w:r>
      <w:r w:rsidRPr="00F23463">
        <w:rPr>
          <w:rFonts w:ascii="Times New Roman" w:hAnsi="Times New Roman" w:cs="Times New Roman"/>
        </w:rPr>
        <w:t xml:space="preserve">. A </w:t>
      </w:r>
      <w:r w:rsidR="004A7333" w:rsidRPr="00F23463">
        <w:rPr>
          <w:rFonts w:ascii="Times New Roman" w:hAnsi="Times New Roman" w:cs="Times New Roman"/>
        </w:rPr>
        <w:t>bene</w:t>
      </w:r>
      <w:r w:rsidR="004A7333">
        <w:rPr>
          <w:rFonts w:ascii="Times New Roman" w:hAnsi="Times New Roman" w:cs="Times New Roman"/>
        </w:rPr>
        <w:t>f</w:t>
      </w:r>
      <w:r w:rsidR="004A7333" w:rsidRPr="00F23463">
        <w:rPr>
          <w:rFonts w:ascii="Times New Roman" w:hAnsi="Times New Roman" w:cs="Times New Roman"/>
        </w:rPr>
        <w:t>it</w:t>
      </w:r>
      <w:r w:rsidRPr="00F23463">
        <w:rPr>
          <w:rFonts w:ascii="Times New Roman" w:hAnsi="Times New Roman" w:cs="Times New Roman"/>
        </w:rPr>
        <w:t xml:space="preserve"> of using the VBDM framework is that instead of making indirect inferences about cognition from RT or accuracy data in isolation, the DDM provides a principled reconciliation of speed and accuracy data and in doing so recovers parameters of decision-making that reflect the internal cognitive components of decision-making</w:t>
      </w:r>
      <w:r w:rsidR="008C5EDF">
        <w:rPr>
          <w:rFonts w:ascii="Times New Roman" w:hAnsi="Times New Roman" w:cs="Times New Roman"/>
        </w:rPr>
        <w:t xml:space="preserve"> </w:t>
      </w:r>
      <w:r w:rsidR="008C5ED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{"citationID":"Ku5w25WQ","properties":{"formattedCitation":"(Roberts &amp; Hutcherson, 2019; Stafford et al., 2020)","plainCitation":"(Roberts &amp; Hutcherson, 2019; Stafford et al., 2020)","noteIndex":0},"citationItems":[{"id":1551,"uris":["http://zotero.org/users/7873587/items/MY5KXJVZ"],"itemData":{"id":1551,"type":"article-journal","abstract":"In recent years interest in integrating the affective and decision sciences has skyrocketed. Immense progress has been made, but the complexities of each field, which can multiply when combined, present a significant obstacle. A carefully defined framework for integration is needed. The shift towards computational modeling in decision science provides a powerful basis and a path forward, but one whose synergistic potential will only be fully realized by drawing on the theoretical richness of the affective sciences. Reviewing research using a popular computational model of choice (the drift diffusion model), we discuss how mapping concepts to parameters reduces conceptual ambiguity and reveals novel hypotheses.","container-title":"Trends in Cognitive Sciences","DOI":"10.1016/j.tics.2019.04.005","ISSN":"1879-307X","issue":"7","journalAbbreviation":"Trends Cogn Sci","language":"eng","note":"PMID: 31104816\nPMCID: PMC6876751","page":"602-614","source":"PubMed","title":"Affect and decision making: Insights and predictions from computational models","title-short":"Affect and Decision Making","volume":"23","author":[{"family":"Roberts","given":"Ian D."},{"family":"Hutcherson","given":"Cendri A."}],"issued":{"date-parts":[["2019",7]]}},"label":"act"},{"id":54,"uris":["http://zotero.org/users/7873587/items/UE7Y9KMI"],"itemData":{"id":54,"type":"article-journal","abstract":"Response time and accuracy are fundamental measures of behavioral science, but discerning participants’ underlying abilities can be masked by speed–accuracy trade-offs (SATOs). SATOs are often inadequately addressed in experiment analyses which focus on a single variable or which involve a suboptimal analytic correction. Models of decision-making, such as the drift diffusion model (DDM), provide a principled account of the decision-making process, allowing the recovery of SATO-unconfounded decision parameters from observed behavioral variables. For plausible parameters of a typical between-groups experiment, we simulate experimental data, for both real and null group differences in participants’ ability to discriminate stimuli (represented by differences in the drift rate parameter of the DDM used to generate the simulated data), for both systematic and null SATOs. We then use the DDM to fit the generated data. This allows the direct comparison of the specificity and sensitivity for testing of group differences of different measures (accuracy, reaction time, and the drift rate from the model fitting). Our purpose here is not to make a theoretical innovation in decision modeling, but to use established decision models to demonstrate and quantify the benefits of decision modeling for experimentalists. We show, in terms of reduction of required sample size, how decision modeling can allow dramatically more efficient data collection for set statistical power; we confirm and depict the non-linear speed–accuracy relation; and we show how accuracy can be a more sensitive measure than response time given decision parameters which reasonably reflect a typical experiment.","container-title":"Behavior Research Methods","DOI":"10.3758/s13428-020-01372-w","ISSN":"1554-3528","issue":"5","journalAbbreviation":"Behav Res","language":"en","page":"2142-2155","source":"Springer Link","title":"Quantifying the benefits of using decision models with response time and accuracy data","volume":"52","author":[{"family":"Stafford","given":"Tom"},{"family":"Pirrone","given":"Angelo"},{"family":"Croucher","given":"Mike"},{"family":"Krystalli","given":"Anna"}],"issued":{"date-parts":[["2020"]]}},"label":"act"}],"schema":"https://github.com/citation-style-language/schema/raw/master/csl-citation.json"} </w:instrText>
      </w:r>
      <w:r w:rsidR="008C5EDF">
        <w:rPr>
          <w:rFonts w:ascii="Times New Roman" w:hAnsi="Times New Roman" w:cs="Times New Roman"/>
        </w:rPr>
        <w:fldChar w:fldCharType="separate"/>
      </w:r>
      <w:r w:rsidR="008C5EDF" w:rsidRPr="008C5EDF">
        <w:rPr>
          <w:rFonts w:ascii="Times New Roman" w:hAnsi="Times New Roman" w:cs="Times New Roman"/>
        </w:rPr>
        <w:t>(Roberts &amp; Hutcherson, 2019; Stafford et al., 2020)</w:t>
      </w:r>
      <w:r w:rsidR="008C5EDF">
        <w:rPr>
          <w:rFonts w:ascii="Times New Roman" w:hAnsi="Times New Roman" w:cs="Times New Roman"/>
        </w:rPr>
        <w:fldChar w:fldCharType="end"/>
      </w:r>
      <w:r w:rsidRPr="00F23463">
        <w:rPr>
          <w:rFonts w:ascii="Times New Roman" w:hAnsi="Times New Roman" w:cs="Times New Roman"/>
        </w:rPr>
        <w:t xml:space="preserve">. Core parameters </w:t>
      </w:r>
      <w:r w:rsidRPr="00F23463">
        <w:rPr>
          <w:rFonts w:ascii="Times New Roman" w:hAnsi="Times New Roman" w:cs="Times New Roman"/>
        </w:rPr>
        <w:lastRenderedPageBreak/>
        <w:t xml:space="preserve">recovered from the DDM are EA rate (the </w:t>
      </w:r>
      <w:r w:rsidR="008C5EDF">
        <w:rPr>
          <w:rFonts w:ascii="Times New Roman" w:hAnsi="Times New Roman" w:cs="Times New Roman"/>
        </w:rPr>
        <w:t xml:space="preserve">average </w:t>
      </w:r>
      <w:r w:rsidRPr="00F23463">
        <w:rPr>
          <w:rFonts w:ascii="Times New Roman" w:hAnsi="Times New Roman" w:cs="Times New Roman"/>
        </w:rPr>
        <w:t xml:space="preserve">rate </w:t>
      </w:r>
      <w:r w:rsidR="008C5EDF">
        <w:rPr>
          <w:rFonts w:ascii="Times New Roman" w:hAnsi="Times New Roman" w:cs="Times New Roman"/>
        </w:rPr>
        <w:t>by</w:t>
      </w:r>
      <w:r w:rsidRPr="00F23463">
        <w:rPr>
          <w:rFonts w:ascii="Times New Roman" w:hAnsi="Times New Roman" w:cs="Times New Roman"/>
        </w:rPr>
        <w:t xml:space="preserve"> which </w:t>
      </w:r>
      <w:r w:rsidR="008C5EDF">
        <w:rPr>
          <w:rFonts w:ascii="Times New Roman" w:hAnsi="Times New Roman" w:cs="Times New Roman"/>
        </w:rPr>
        <w:t xml:space="preserve">people accumulate </w:t>
      </w:r>
      <w:r w:rsidRPr="00F23463">
        <w:rPr>
          <w:rFonts w:ascii="Times New Roman" w:hAnsi="Times New Roman" w:cs="Times New Roman"/>
        </w:rPr>
        <w:t xml:space="preserve">evidence; also termed ‘drift rate’), response threshold (how </w:t>
      </w:r>
      <w:r w:rsidR="008C5EDF">
        <w:rPr>
          <w:rFonts w:ascii="Times New Roman" w:hAnsi="Times New Roman" w:cs="Times New Roman"/>
        </w:rPr>
        <w:t>cautious</w:t>
      </w:r>
      <w:r w:rsidRPr="00F23463">
        <w:rPr>
          <w:rFonts w:ascii="Times New Roman" w:hAnsi="Times New Roman" w:cs="Times New Roman"/>
        </w:rPr>
        <w:t xml:space="preserve"> a person is when responding</w:t>
      </w:r>
      <w:r w:rsidR="008C5EDF">
        <w:rPr>
          <w:rFonts w:ascii="Times New Roman" w:hAnsi="Times New Roman" w:cs="Times New Roman"/>
        </w:rPr>
        <w:t>,</w:t>
      </w:r>
      <w:r w:rsidRPr="00F23463">
        <w:rPr>
          <w:rFonts w:ascii="Times New Roman" w:hAnsi="Times New Roman" w:cs="Times New Roman"/>
        </w:rPr>
        <w:t xml:space="preserve"> indexed by their SATO), and non-decision time (time attributed to </w:t>
      </w:r>
      <w:r w:rsidR="008C5EDF">
        <w:rPr>
          <w:rFonts w:ascii="Times New Roman" w:hAnsi="Times New Roman" w:cs="Times New Roman"/>
        </w:rPr>
        <w:t xml:space="preserve">a person </w:t>
      </w:r>
      <w:r w:rsidRPr="00F23463">
        <w:rPr>
          <w:rFonts w:ascii="Times New Roman" w:hAnsi="Times New Roman" w:cs="Times New Roman"/>
        </w:rPr>
        <w:t xml:space="preserve">encoding </w:t>
      </w:r>
      <w:r w:rsidR="008C5EDF">
        <w:rPr>
          <w:rFonts w:ascii="Times New Roman" w:hAnsi="Times New Roman" w:cs="Times New Roman"/>
        </w:rPr>
        <w:t xml:space="preserve">stimuli </w:t>
      </w:r>
      <w:r w:rsidRPr="00F23463">
        <w:rPr>
          <w:rFonts w:ascii="Times New Roman" w:hAnsi="Times New Roman" w:cs="Times New Roman"/>
        </w:rPr>
        <w:t>and</w:t>
      </w:r>
      <w:r w:rsidR="008C5EDF">
        <w:rPr>
          <w:rFonts w:ascii="Times New Roman" w:hAnsi="Times New Roman" w:cs="Times New Roman"/>
        </w:rPr>
        <w:t xml:space="preserve"> executing a</w:t>
      </w:r>
      <w:r w:rsidRPr="00F23463">
        <w:rPr>
          <w:rFonts w:ascii="Times New Roman" w:hAnsi="Times New Roman" w:cs="Times New Roman"/>
        </w:rPr>
        <w:t xml:space="preserve"> motor process). Importantly, the DDM </w:t>
      </w:r>
      <w:r w:rsidR="00513F1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{"citationID":"d15T4ZvW","properties":{"formattedCitation":"(Forstmann et al., 2016; Ratcliff &amp; McKoon, 2008b)","plainCitation":"(Forstmann et al., 2016; Ratcliff &amp; McKoon, 2008b)","dontUpdate":true,"noteIndex":0},"citationItems":[{"id":1554,"uris":["http://zotero.org/users/7873587/items/ELZ4CTFY"],"itemData":{"id":1554,"type":"article-journal","abstract":"Sequential sampling models assume that people make speeded decisions by gradually accumulating noisy information until a threshold of evidence is reached. In cognitive science, one such model--the diffusion decision model--is now regularly used to decompose task performance into underlying processes such as the quality of information processing, response caution, and a priori bias. In the cognitive neurosciences, the diffusion decision model has recently been adopted as a quantitative tool to study the neural basis of decision making under time pressure. We present a selective overview of several recent applications and extensions of the diffusion decision model in the cognitive neurosciences.","container-title":"Annual Review of Psychology","DOI":"10.1146/annurev-psych-122414-033645","ISSN":"1545-2085","journalAbbreviation":"Annu Rev Psychol","language":"eng","note":"PMID: 26393872\nPMCID: PMC5112760","page":"641-666","source":"PubMed","title":"Sequential sampling models in cognitive neuroscience: Advantages, applications, and extensions","title-short":"Sequential Sampling Models in Cognitive Neuroscience","volume":"67","author":[{"family":"Forstmann","given":"B. U."},{"family":"Ratcliff","given":"R."},{"family":"Wagenmakers","given":"E.-J."}],"issued":{"date-parts":[["2016"]]}},"label":"page"},{"id":1541,"uris":["http://zotero.org/users/7873587/items/DJFYEPQB"],"itemData":{"id":1541,"type":"article-journal","abstract":"The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computation","DOI":"10.1162/neco.2008.12-06-420","ISSN":"0899-7667","issue":"4","journalAbbreviation":"Neural Comput","note":"PMID: 18085991\nPMCID: PMC2474742","page":"873-922","source":"PubMed Central","title":"The Diffusion Decision Model: Theory and Data for Two-Choice Decision Tasks","title-short":"The Diffusion Decision Model","volume":"20","author":[{"family":"Ratcliff","given":"Roger"},{"family":"McKoon","given":"Gail"}],"issued":{"date-parts":[["2008",4]]}},"label":"act"}],"schema":"https://github.com/citation-style-language/schema/raw/master/csl-citation.json"} </w:instrText>
      </w:r>
      <w:r w:rsidR="00513F17">
        <w:rPr>
          <w:rFonts w:ascii="Times New Roman" w:hAnsi="Times New Roman" w:cs="Times New Roman"/>
        </w:rPr>
        <w:fldChar w:fldCharType="separate"/>
      </w:r>
      <w:r w:rsidR="00513F17" w:rsidRPr="00513F17">
        <w:rPr>
          <w:rFonts w:ascii="Times New Roman" w:hAnsi="Times New Roman" w:cs="Times New Roman"/>
        </w:rPr>
        <w:t>(Forstmann et al., 2016; Ratcliff &amp; McKoon, 2008)</w:t>
      </w:r>
      <w:r w:rsidR="00513F17">
        <w:rPr>
          <w:rFonts w:ascii="Times New Roman" w:hAnsi="Times New Roman" w:cs="Times New Roman"/>
        </w:rPr>
        <w:fldChar w:fldCharType="end"/>
      </w:r>
      <w:r w:rsidRPr="00F23463">
        <w:rPr>
          <w:rFonts w:ascii="Times New Roman" w:hAnsi="Times New Roman" w:cs="Times New Roman"/>
        </w:rPr>
        <w:t xml:space="preserve"> has been shown to capture choice and response time patterns with high accuracy across different domains of decision-making, including value-based, perceptual, memory-related, and social </w:t>
      </w:r>
      <w:r w:rsidR="00513F17">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{"citationID":"7F4e6rn8","properties":{"formattedCitation":"(Krajbich et al., 2015; Ratcliff &amp; Frank, 2012; Roberts &amp; Hutcherson, 2019)","plainCitation":"(Krajbich et al., 2015; Ratcliff &amp; Frank, 2012; Roberts &amp; Hutcherson, 2019)","noteIndex":0},"citationItems":[{"id":1557,"uris":["http://zotero.org/users/7873587/items/QM6IL2G3"],"itemData":{"id":1557,"type":"article-journal","abstract":"People make numerous decisions every day including perceptual decisions such as walking through a crowd, decisions over primary rewards such as what to eat, and social decisions that require balancing own and others' benefits. The unifying principles behind choices in various domains are, however, still not well understood. Mathematical models that describe choice behavior in specific contexts have provided important insights into the computations that may underlie decision making in the brain. However, a critical and largely unanswered question is whether these models generalize from one choice context to another. Here we show that a model adapted from the perceptual decision-making domain and estimated on choices over food rewards accurately predicts choices and reaction times in four independent sets of subjects making social decisions. The robustness of the model across domains provides behavioral evidence for a common decision-making process in perceptual, primary reward, and social decision making.","container-title":"PLoS computational biology","DOI":"10.1371/journal.pcbi.1004371","ISSN":"1553-7358","issue":"10","journalAbbreviation":"PLoS Comput Biol","language":"eng","note":"PMID: 26460812\nPMCID: PMC4604207","page":"e1004371","source":"PubMed","title":"A common mechanism underlying food choice and social decisions","volume":"11","author":[{"family":"Krajbich","given":"Ian"},{"family":"Hare","given":"Todd"},{"family":"Bartling","given":"Björn"},{"family":"Morishima","given":"Yosuke"},{"family":"Fehr","given":"Ernst"}],"issued":{"date-parts":[["2015",10]]}},"label":"page"},{"id":1560,"uris":["http://zotero.org/users/7873587/items/VV5HTZ3Y"],"itemData":{"id":1560,"type":"article-journal","abstract":"In this letter, we examine the computational mechanisms of reinforce-ment-based decision making. We bridge the gap across multiple levels of analysis, from neural models of corticostriatal circuits-the basal ganglia (BG) model (Frank,  2005 ,  2006 ) to simpler but mathematically tractable diffusion models of two-choice decision making. Specifically, we generated simulated data from the BG model and fit the diffusion model (Ratcliff,  1978 ) to it. The standard diffusion model fits underestimated response times under conditions of high response and reinforcement conflict. Follow-up fits showed good fits to the data both by increasing nondecision time and by raising decision thresholds as a function of conflict and by allowing this threshold to collapse with time. This profile captures the role and dynamics of the subthalamic nucleus in BG circuitry, and as such, parametric modulations of projection strengths from this nucleus were associated with parametric increases in decision boundary and its modulation by conflict. We then present data from a human reinforcement learning experiment involving decisions with low- and high-reinforcement conflict. Again, the standard model failed to fit the data, but we found that two variants similar to those that fit the BG model data fit the experimental data, thereby providing a convergence of theoretical accounts of complex interactive decision-making mechanisms consistent with available data. This work also demonstrates how to make modest modifications to diffusion models to summarize core computations of the BG model. The result is a better fit and understanding of reinforcement-based choice data than that which would have occurred with either model alone.","container-title":"Neural Computation","DOI":"10.1162/NECO_a_00270","ISSN":"1530-888X","issue":"5","journalAbbreviation":"Neural Comput","language":"eng","note":"PMID: 22295983","page":"1186-1229","source":"PubMed","title":"Reinforcement-based decision making in corticostriatal circuits: mutual constraints by neurocomputational and diffusion models","title-short":"Reinforcement-based decision making in corticostriatal circuits","volume":"24","author":[{"family":"Ratcliff","given":"Roger"},{"family":"Frank","given":"Michael J."}],"issued":{"date-parts":[["2012",5]]}},"label":"act"},{"id":1551,"uris":["http://zotero.org/users/7873587/items/MY5KXJVZ"],"itemData":{"id":1551,"type":"article-journal","abstract":"In recent years interest in integrating the affective and decision sciences has skyrocketed. Immense progress has been made, but the complexities of each field, which can multiply when combined, present a significant obstacle. A carefully defined framework for integration is needed. The shift towards computational modeling in decision science provides a powerful basis and a path forward, but one whose synergistic potential will only be fully realized by drawing on the theoretical richness of the affective sciences. Reviewing research using a popular computational model of choice (the drift diffusion model), we discuss how mapping concepts to parameters reduces conceptual ambiguity and reveals novel hypotheses.","container-title":"Trends in Cognitive Sciences","DOI":"10.1016/j.tics.2019.04.005","ISSN":"1879-307X","issue":"7","journalAbbreviation":"Trends Cogn Sci","language":"eng","note":"PMID: 31104816\nPMCID: PMC6876751","page":"602-614","source":"PubMed","title":"Affect and decision making: Insights and predictions from computational models","title-short":"Affect and Decision Making","volume":"23","author":[{"family":"Roberts","given":"Ian D."},{"family":"Hutcherson","given":"Cendri A."}],"issued":{"date-parts":[["2019",7]]}},"label":"act"}],"schema":"https://github.com/citation-style-language/schema/raw/master/csl-citation.json"} </w:instrText>
      </w:r>
      <w:r w:rsidR="00513F17">
        <w:rPr>
          <w:rFonts w:ascii="Times New Roman" w:hAnsi="Times New Roman" w:cs="Times New Roman"/>
        </w:rPr>
        <w:fldChar w:fldCharType="separate"/>
      </w:r>
      <w:r w:rsidR="00513F17" w:rsidRPr="00513F17">
        <w:rPr>
          <w:rFonts w:ascii="Times New Roman" w:hAnsi="Times New Roman" w:cs="Times New Roman"/>
        </w:rPr>
        <w:t>(Krajbich et al., 2015; Ratcliff &amp; Frank, 2012; Roberts &amp; Hutcherson, 2019)</w:t>
      </w:r>
      <w:r w:rsidR="00513F17">
        <w:rPr>
          <w:rFonts w:ascii="Times New Roman" w:hAnsi="Times New Roman" w:cs="Times New Roman"/>
        </w:rPr>
        <w:fldChar w:fldCharType="end"/>
      </w:r>
      <w:r w:rsidR="00513F17">
        <w:rPr>
          <w:rFonts w:ascii="Times New Roman" w:hAnsi="Times New Roman" w:cs="Times New Roman"/>
        </w:rPr>
        <w:t>.</w:t>
      </w:r>
    </w:p>
    <w:p w14:paraId="054794D3" w14:textId="77777777" w:rsidR="008A4FF5" w:rsidRPr="00F23463" w:rsidRDefault="008A4FF5" w:rsidP="00A3110A">
      <w:pPr>
        <w:pStyle w:val="NoSpacing"/>
        <w:spacing w:line="480" w:lineRule="auto"/>
        <w:rPr>
          <w:rFonts w:ascii="Times New Roman" w:hAnsi="Times New Roman" w:cs="Times New Roman"/>
        </w:rPr>
      </w:pPr>
    </w:p>
    <w:p w14:paraId="26250A71" w14:textId="598ECD4F" w:rsidR="008A4FF5" w:rsidRPr="00F23463" w:rsidRDefault="008A4FF5" w:rsidP="00F20089">
      <w:pPr>
        <w:pStyle w:val="NoSpacing"/>
        <w:spacing w:line="480" w:lineRule="auto"/>
        <w:rPr>
          <w:rFonts w:ascii="Times New Roman" w:hAnsi="Times New Roman" w:cs="Times New Roman"/>
        </w:rPr>
      </w:pPr>
      <w:r w:rsidRPr="00F23463">
        <w:rPr>
          <w:rFonts w:ascii="Times New Roman" w:hAnsi="Times New Roman" w:cs="Times New Roman"/>
        </w:rPr>
        <w:t xml:space="preserve">As previously mentioned, the value of a response option is determined by the weighted sum of choice-relevant attributes </w:t>
      </w:r>
      <w:r w:rsidR="00513F1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{"citationID":"pI7n1mTf","properties":{"formattedCitation":"(Berkman et al., 2017)","plainCitation":"(Berkman et al., 2017)","noteIndex":0},"citationItems":[{"id":1528,"uris":["http://zotero.org/users/7873587/items/BGCGUKYV"],"itemData":{"id":1528,"type":"article-journal","abstract":"Self-control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513F17">
        <w:rPr>
          <w:rFonts w:ascii="Times New Roman" w:hAnsi="Times New Roman" w:cs="Times New Roman"/>
        </w:rPr>
        <w:fldChar w:fldCharType="separate"/>
      </w:r>
      <w:r w:rsidR="00513F17" w:rsidRPr="00513F17">
        <w:rPr>
          <w:rFonts w:ascii="Times New Roman" w:hAnsi="Times New Roman" w:cs="Times New Roman"/>
        </w:rPr>
        <w:t>(Berkman et al., 2017)</w:t>
      </w:r>
      <w:r w:rsidR="00513F17">
        <w:rPr>
          <w:rFonts w:ascii="Times New Roman" w:hAnsi="Times New Roman" w:cs="Times New Roman"/>
        </w:rPr>
        <w:fldChar w:fldCharType="end"/>
      </w:r>
      <w:r w:rsidRPr="00F23463">
        <w:rPr>
          <w:rFonts w:ascii="Times New Roman" w:hAnsi="Times New Roman" w:cs="Times New Roman"/>
        </w:rPr>
        <w:t xml:space="preserve">, and </w:t>
      </w:r>
      <w:r w:rsidR="00513F1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{"citationID":"KbpPMmLa","properties":{"formattedCitation":"(Berkman, 2018)","plainCitation":"(Berkman, 2018)","dontUpdate":true,"noteIndex":0},"citationItems":[{"id":1538,"uris":["http://zotero.org/users/7873587/items/WURW4J4N"],"itemData":{"id":1538,"type":"article-journal","abstract":"OBJECTIVE: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T."}],"issued":{"date-parts":[["2018",1]]}}}],"schema":"https://github.com/citation-style-language/schema/raw/master/csl-citation.json"} </w:instrText>
      </w:r>
      <w:r w:rsidR="00513F17">
        <w:rPr>
          <w:rFonts w:ascii="Times New Roman" w:hAnsi="Times New Roman" w:cs="Times New Roman"/>
        </w:rPr>
        <w:fldChar w:fldCharType="separate"/>
      </w:r>
      <w:r w:rsidR="00513F17" w:rsidRPr="00513F17">
        <w:rPr>
          <w:rFonts w:ascii="Times New Roman" w:hAnsi="Times New Roman" w:cs="Times New Roman"/>
        </w:rPr>
        <w:t xml:space="preserve">Berkman </w:t>
      </w:r>
      <w:r w:rsidR="00513F17">
        <w:rPr>
          <w:rFonts w:ascii="Times New Roman" w:hAnsi="Times New Roman" w:cs="Times New Roman"/>
        </w:rPr>
        <w:t>(</w:t>
      </w:r>
      <w:r w:rsidR="00513F17" w:rsidRPr="00513F17">
        <w:rPr>
          <w:rFonts w:ascii="Times New Roman" w:hAnsi="Times New Roman" w:cs="Times New Roman"/>
        </w:rPr>
        <w:t>2018)</w:t>
      </w:r>
      <w:r w:rsidR="00513F17">
        <w:rPr>
          <w:rFonts w:ascii="Times New Roman" w:hAnsi="Times New Roman" w:cs="Times New Roman"/>
        </w:rPr>
        <w:fldChar w:fldCharType="end"/>
      </w:r>
      <w:r w:rsidR="00513F17">
        <w:rPr>
          <w:rFonts w:ascii="Times New Roman" w:hAnsi="Times New Roman" w:cs="Times New Roman"/>
        </w:rPr>
        <w:t xml:space="preserve"> </w:t>
      </w:r>
      <w:r w:rsidRPr="00F23463">
        <w:rPr>
          <w:rFonts w:ascii="Times New Roman" w:hAnsi="Times New Roman" w:cs="Times New Roman"/>
        </w:rPr>
        <w:t xml:space="preserve">extended this framework to health-related behaviour more broadly. A core benefit of </w:t>
      </w:r>
      <w:r w:rsidR="00513F17">
        <w:rPr>
          <w:rFonts w:ascii="Times New Roman" w:hAnsi="Times New Roman" w:cs="Times New Roman"/>
        </w:rPr>
        <w:t>such</w:t>
      </w:r>
      <w:r w:rsidRPr="00F23463">
        <w:rPr>
          <w:rFonts w:ascii="Times New Roman" w:hAnsi="Times New Roman" w:cs="Times New Roman"/>
        </w:rPr>
        <w:t xml:space="preserve"> application is that it provides a mechanism-focused approach which has implications for behaviour change. </w:t>
      </w:r>
      <w:r w:rsidR="00513F17">
        <w:rPr>
          <w:rFonts w:ascii="Times New Roman" w:hAnsi="Times New Roman" w:cs="Times New Roman"/>
        </w:rPr>
        <w:t>To elaborate, i</w:t>
      </w:r>
      <w:r w:rsidRPr="00F23463">
        <w:rPr>
          <w:rFonts w:ascii="Times New Roman" w:hAnsi="Times New Roman" w:cs="Times New Roman"/>
        </w:rPr>
        <w:t xml:space="preserve">f it is possible to identify </w:t>
      </w:r>
      <w:r w:rsidR="00513F17">
        <w:rPr>
          <w:rFonts w:ascii="Times New Roman" w:hAnsi="Times New Roman" w:cs="Times New Roman"/>
        </w:rPr>
        <w:t>the underlying</w:t>
      </w:r>
      <w:r w:rsidRPr="00F23463">
        <w:rPr>
          <w:rFonts w:ascii="Times New Roman" w:hAnsi="Times New Roman" w:cs="Times New Roman"/>
        </w:rPr>
        <w:t xml:space="preserve"> mechanism by which people make the choices they do, then this </w:t>
      </w:r>
      <w:r w:rsidR="00513F17">
        <w:rPr>
          <w:rFonts w:ascii="Times New Roman" w:hAnsi="Times New Roman" w:cs="Times New Roman"/>
        </w:rPr>
        <w:t xml:space="preserve">has potential to </w:t>
      </w:r>
      <w:r w:rsidRPr="00F23463">
        <w:rPr>
          <w:rFonts w:ascii="Times New Roman" w:hAnsi="Times New Roman" w:cs="Times New Roman"/>
        </w:rPr>
        <w:t xml:space="preserve">become a significant target within </w:t>
      </w:r>
      <w:r w:rsidR="00513F17">
        <w:rPr>
          <w:rFonts w:ascii="Times New Roman" w:hAnsi="Times New Roman" w:cs="Times New Roman"/>
        </w:rPr>
        <w:t>behaviour change</w:t>
      </w:r>
      <w:r w:rsidRPr="00F23463">
        <w:rPr>
          <w:rFonts w:ascii="Times New Roman" w:hAnsi="Times New Roman" w:cs="Times New Roman"/>
        </w:rPr>
        <w:t xml:space="preserve"> intervention</w:t>
      </w:r>
      <w:r w:rsidR="00513F17">
        <w:rPr>
          <w:rFonts w:ascii="Times New Roman" w:hAnsi="Times New Roman" w:cs="Times New Roman"/>
        </w:rPr>
        <w:t>s</w:t>
      </w:r>
      <w:r w:rsidRPr="00F23463">
        <w:rPr>
          <w:rFonts w:ascii="Times New Roman" w:hAnsi="Times New Roman" w:cs="Times New Roman"/>
        </w:rPr>
        <w:t xml:space="preserve">. Indeed, experimental research has demonstrated that the manipulation of goals can alter the weight that is applied to a decision attribute. For example, </w:t>
      </w:r>
      <w:r w:rsidR="00F2008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{"citationID":"YF1MJob7","properties":{"formattedCitation":"(Tusche &amp; Hutcherson, 2018)","plainCitation":"(Tusche &amp; Hutcherson, 2018)","dontUpdate":true,"noteIndex":0},"citationItems":[{"id":1563,"uris":["http://zotero.org/users/7873587/items/4VVSTME8"],"itemData":{"id":1563,"type":"article-journal","abstract":"Are some people generally more successful using cognitive regulation or does it depend on the choice domain? Why? We combined behavioral computational modeling and multivariate decoding of fMRI responses to identify neural loci of regulation-related shifts in value representations across goals and domains (dietary or altruistic choice). Surprisingly, regulatory goals did not alter integrative value representations in the ventromedial prefrontal cortex, which represented all choice-relevant attributes across goals and domains. Instead, the dorsolateral prefrontal cortex (DLPFC) flexibly encoded goal-consistent values and predicted regulatory success for the majority of choice-relevant attributes, using attribute-specific neural codes. We also identified domain-specific exceptions: goal-dependent encoding of prosocial attributes localized to precuneus and temporo-parietal junction (not DLPFC). Our results suggest that cognitive regulation operated by changing specific attribute representations (not integrated values). Evidence of domain-general and domain-specific neural loci reveals important divisions of labor, explaining when and why regulatory success generalizes (or doesn’t) across contexts and domains.","container-title":"eLife","DOI":"10.7554/eLife.31185","ISSN":"2050-084X","note":"publisher: eLife Sciences Publications, Ltd","page":"e31185","source":"eLife","title":"Cognitive regulation alters social and dietary choice by changing attribute representations in domain-general and domain-specific brain circuits","volume":"7","author":[{"family":"Tusche","given":"Anita"},{"family":"Hutcherson","given":"Cendri A"}],"editor":[{"family":"Schoenbaum","given":"Geoffrey"}],"issued":{"date-parts":[["2018",5,29]]}}}],"schema":"https://github.com/citation-style-language/schema/raw/master/csl-citation.json"} </w:instrText>
      </w:r>
      <w:r w:rsidR="00F20089">
        <w:rPr>
          <w:rFonts w:ascii="Times New Roman" w:hAnsi="Times New Roman" w:cs="Times New Roman"/>
        </w:rPr>
        <w:fldChar w:fldCharType="separate"/>
      </w:r>
      <w:r w:rsidR="00F20089" w:rsidRPr="00F20089">
        <w:rPr>
          <w:rFonts w:ascii="Times New Roman" w:hAnsi="Times New Roman" w:cs="Times New Roman"/>
        </w:rPr>
        <w:t xml:space="preserve">Tusche </w:t>
      </w:r>
      <w:r w:rsidR="00F20089">
        <w:rPr>
          <w:rFonts w:ascii="Times New Roman" w:hAnsi="Times New Roman" w:cs="Times New Roman"/>
        </w:rPr>
        <w:t>and</w:t>
      </w:r>
      <w:r w:rsidR="00F20089" w:rsidRPr="00F20089">
        <w:rPr>
          <w:rFonts w:ascii="Times New Roman" w:hAnsi="Times New Roman" w:cs="Times New Roman"/>
        </w:rPr>
        <w:t xml:space="preserve"> Hutcherson </w:t>
      </w:r>
      <w:r w:rsidR="00F20089">
        <w:rPr>
          <w:rFonts w:ascii="Times New Roman" w:hAnsi="Times New Roman" w:cs="Times New Roman"/>
        </w:rPr>
        <w:t>(</w:t>
      </w:r>
      <w:r w:rsidR="00F20089" w:rsidRPr="00F20089">
        <w:rPr>
          <w:rFonts w:ascii="Times New Roman" w:hAnsi="Times New Roman" w:cs="Times New Roman"/>
        </w:rPr>
        <w:t>2018)</w:t>
      </w:r>
      <w:r w:rsidR="00F20089">
        <w:rPr>
          <w:rFonts w:ascii="Times New Roman" w:hAnsi="Times New Roman" w:cs="Times New Roman"/>
        </w:rPr>
        <w:fldChar w:fldCharType="end"/>
      </w:r>
      <w:r w:rsidRPr="00F23463">
        <w:rPr>
          <w:rFonts w:ascii="Times New Roman" w:hAnsi="Times New Roman" w:cs="Times New Roman"/>
        </w:rPr>
        <w:t xml:space="preserve"> </w:t>
      </w:r>
      <w:r w:rsidR="00F20089">
        <w:rPr>
          <w:rFonts w:ascii="Times New Roman" w:hAnsi="Times New Roman" w:cs="Times New Roman"/>
        </w:rPr>
        <w:t xml:space="preserve">fitted </w:t>
      </w:r>
      <w:r w:rsidRPr="00F23463">
        <w:rPr>
          <w:rFonts w:ascii="Times New Roman" w:hAnsi="Times New Roman" w:cs="Times New Roman"/>
        </w:rPr>
        <w:t xml:space="preserve">a DDM to their data and found that regulatory goals (e.g., </w:t>
      </w:r>
      <w:r w:rsidR="00F20089">
        <w:rPr>
          <w:rFonts w:ascii="Times New Roman" w:hAnsi="Times New Roman" w:cs="Times New Roman"/>
        </w:rPr>
        <w:t xml:space="preserve">instructing participants </w:t>
      </w:r>
      <w:r w:rsidRPr="00F23463">
        <w:rPr>
          <w:rFonts w:ascii="Times New Roman" w:hAnsi="Times New Roman" w:cs="Times New Roman"/>
        </w:rPr>
        <w:t>to focus on healthiness) changed choice behaviour by increasing weighting (i.e., relative decision value) of goal consistent attributes (e.g., healthiness) and decreasing weighting of goal-inconsistent attributes (e.g., tastiness).</w:t>
      </w:r>
    </w:p>
    <w:p w14:paraId="760E55D5" w14:textId="77777777" w:rsidR="008A4FF5" w:rsidRPr="00F23463" w:rsidRDefault="008A4FF5" w:rsidP="00A3110A">
      <w:pPr>
        <w:pStyle w:val="NoSpacing"/>
        <w:spacing w:line="480" w:lineRule="auto"/>
        <w:rPr>
          <w:rFonts w:ascii="Times New Roman" w:hAnsi="Times New Roman" w:cs="Times New Roman"/>
        </w:rPr>
      </w:pPr>
    </w:p>
    <w:p w14:paraId="1EFFC2D8" w14:textId="2F06621B" w:rsidR="008A4FF5" w:rsidRPr="00F23463" w:rsidRDefault="00F20089" w:rsidP="00F20089">
      <w:pPr>
        <w:pStyle w:val="NoSpacing"/>
        <w:spacing w:line="480" w:lineRule="auto"/>
        <w:rPr>
          <w:rFonts w:ascii="Times New Roman" w:hAnsi="Times New Roman" w:cs="Times New Roman"/>
        </w:rPr>
      </w:pP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{"citationID":"5WdNf3qT","properties":{"formattedCitation":"(Field,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Pr="00F20089">
        <w:rPr>
          <w:rFonts w:ascii="Times New Roman" w:hAnsi="Times New Roman" w:cs="Times New Roman"/>
        </w:rPr>
        <w:t xml:space="preserve">Field, Heather, et al. </w:t>
      </w:r>
      <w:r>
        <w:rPr>
          <w:rFonts w:ascii="Times New Roman" w:hAnsi="Times New Roman" w:cs="Times New Roman"/>
        </w:rPr>
        <w:t>(</w:t>
      </w:r>
      <w:r w:rsidRPr="00F20089">
        <w:rPr>
          <w:rFonts w:ascii="Times New Roman" w:hAnsi="Times New Roman" w:cs="Times New Roman"/>
        </w:rPr>
        <w:t>2020)</w:t>
      </w:r>
      <w:r>
        <w:rPr>
          <w:rFonts w:ascii="Times New Roman" w:hAnsi="Times New Roman" w:cs="Times New Roman"/>
        </w:rPr>
        <w:fldChar w:fldCharType="end"/>
      </w:r>
      <w:r w:rsidR="008A4FF5" w:rsidRPr="00F23463">
        <w:rPr>
          <w:rFonts w:ascii="Times New Roman" w:hAnsi="Times New Roman" w:cs="Times New Roman"/>
        </w:rPr>
        <w:t xml:space="preserve"> recently extended</w:t>
      </w:r>
      <w:r>
        <w:rPr>
          <w:rFonts w:ascii="Times New Roman" w:hAnsi="Times New Roman" w:cs="Times New Roman"/>
        </w:rPr>
        <w:t xml:space="preserve"> </w:t>
      </w:r>
      <w:r>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{"citationID":"QDcdApp3","properties":{"formattedCitation":"(Berkman et al., 2017)","plainCitation":"(Berkman et al., 2017)","dontUpdate":true,"noteIndex":0},"citationItems":[{"id":1528,"uris":["http://zotero.org/users/7873587/items/BGCGUKYV"],"itemData":{"id":1528,"type":"article-journal","abstract":"Self-control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Pr>
          <w:rFonts w:ascii="Times New Roman" w:hAnsi="Times New Roman" w:cs="Times New Roman"/>
        </w:rPr>
        <w:fldChar w:fldCharType="separate"/>
      </w:r>
      <w:r w:rsidRPr="00F20089">
        <w:rPr>
          <w:rFonts w:ascii="Times New Roman" w:hAnsi="Times New Roman" w:cs="Times New Roman"/>
        </w:rPr>
        <w:t>Berkman et al.</w:t>
      </w:r>
      <w:r>
        <w:rPr>
          <w:rFonts w:ascii="Times New Roman" w:hAnsi="Times New Roman" w:cs="Times New Roman"/>
        </w:rPr>
        <w:t>'s</w:t>
      </w:r>
      <w:r w:rsidRPr="00F20089">
        <w:rPr>
          <w:rFonts w:ascii="Times New Roman" w:hAnsi="Times New Roman" w:cs="Times New Roman"/>
        </w:rPr>
        <w:t xml:space="preserve"> </w:t>
      </w:r>
      <w:r>
        <w:rPr>
          <w:rFonts w:ascii="Times New Roman" w:hAnsi="Times New Roman" w:cs="Times New Roman"/>
        </w:rPr>
        <w:t>(</w:t>
      </w:r>
      <w:r w:rsidRPr="00F20089">
        <w:rPr>
          <w:rFonts w:ascii="Times New Roman" w:hAnsi="Times New Roman" w:cs="Times New Roman"/>
        </w:rPr>
        <w:t>2017)</w:t>
      </w:r>
      <w:r>
        <w:rPr>
          <w:rFonts w:ascii="Times New Roman" w:hAnsi="Times New Roman" w:cs="Times New Roman"/>
        </w:rPr>
        <w:fldChar w:fldCharType="end"/>
      </w:r>
      <w:r>
        <w:rPr>
          <w:rFonts w:ascii="Times New Roman" w:hAnsi="Times New Roman" w:cs="Times New Roman"/>
        </w:rPr>
        <w:t xml:space="preserve"> </w:t>
      </w:r>
      <w:r w:rsidR="008A4FF5" w:rsidRPr="00F23463">
        <w:rPr>
          <w:rFonts w:ascii="Times New Roman" w:hAnsi="Times New Roman" w:cs="Times New Roman"/>
        </w:rPr>
        <w:t xml:space="preserve">VBDM framework to addiction and recovery from it, and in doing so, outlined several hypotheses that await empirical testing. More specifically, </w:t>
      </w:r>
      <w:bookmarkStart w:id="85" w:name="_Hlk110417161"/>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{"citationID":"k0Ro1xhT","properties":{"formattedCitation":"(Field,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Pr="00F20089">
        <w:rPr>
          <w:rFonts w:ascii="Times New Roman" w:hAnsi="Times New Roman" w:cs="Times New Roman"/>
        </w:rPr>
        <w:t xml:space="preserve">Field, Heather, et al. </w:t>
      </w:r>
      <w:r>
        <w:rPr>
          <w:rFonts w:ascii="Times New Roman" w:hAnsi="Times New Roman" w:cs="Times New Roman"/>
        </w:rPr>
        <w:t>(</w:t>
      </w:r>
      <w:r w:rsidRPr="00F20089">
        <w:rPr>
          <w:rFonts w:ascii="Times New Roman" w:hAnsi="Times New Roman" w:cs="Times New Roman"/>
        </w:rPr>
        <w:t>2020)</w:t>
      </w:r>
      <w:r>
        <w:rPr>
          <w:rFonts w:ascii="Times New Roman" w:hAnsi="Times New Roman" w:cs="Times New Roman"/>
        </w:rPr>
        <w:fldChar w:fldCharType="end"/>
      </w:r>
      <w:bookmarkEnd w:id="85"/>
      <w:r w:rsidR="008A4FF5" w:rsidRPr="00F23463">
        <w:rPr>
          <w:rFonts w:ascii="Times New Roman" w:hAnsi="Times New Roman" w:cs="Times New Roman"/>
        </w:rPr>
        <w:t xml:space="preserve"> hypothesise that the </w:t>
      </w:r>
      <w:r w:rsidR="008A4FF5" w:rsidRPr="00F23463">
        <w:rPr>
          <w:rFonts w:ascii="Times New Roman" w:hAnsi="Times New Roman" w:cs="Times New Roman"/>
        </w:rPr>
        <w:lastRenderedPageBreak/>
        <w:t>overvaluation of substances and undervaluation of substance-free alternatives may be reflected in alterations in decision-parameters recovered by the DDM. For example, overvaluation of substances may be reflected in augmented EA rates, and lower response thresholds, for decisions involving substances, whilst undervaluation of substance-free alternatives could be reflected in lowered EA rates, and higher response thresholds, for substance-free alternatives (see Panel A in Figure 1.</w:t>
      </w:r>
      <w:r>
        <w:rPr>
          <w:rFonts w:ascii="Times New Roman" w:hAnsi="Times New Roman" w:cs="Times New Roman"/>
        </w:rPr>
        <w:t>2</w:t>
      </w:r>
      <w:r w:rsidR="008A4FF5" w:rsidRPr="00F23463">
        <w:rPr>
          <w:rFonts w:ascii="Times New Roman" w:hAnsi="Times New Roman" w:cs="Times New Roman"/>
        </w:rPr>
        <w:t xml:space="preserve"> for a visual depiction of VBDM parameters in a person with AUD). Importantly, for recovery to occur, it is proposed that the distortions in the internal mechanics of decision-making must be reversed, such that </w:t>
      </w:r>
      <w:r>
        <w:rPr>
          <w:rFonts w:ascii="Times New Roman" w:hAnsi="Times New Roman" w:cs="Times New Roman"/>
        </w:rPr>
        <w:t>1)</w:t>
      </w:r>
      <w:r w:rsidR="008A4FF5" w:rsidRPr="00F23463">
        <w:rPr>
          <w:rFonts w:ascii="Times New Roman" w:hAnsi="Times New Roman" w:cs="Times New Roman"/>
        </w:rPr>
        <w:t xml:space="preserve"> response thresholds for substances increase, </w:t>
      </w:r>
      <w:r>
        <w:rPr>
          <w:rFonts w:ascii="Times New Roman" w:hAnsi="Times New Roman" w:cs="Times New Roman"/>
        </w:rPr>
        <w:t>2)</w:t>
      </w:r>
      <w:r w:rsidR="008A4FF5" w:rsidRPr="00F23463">
        <w:rPr>
          <w:rFonts w:ascii="Times New Roman" w:hAnsi="Times New Roman" w:cs="Times New Roman"/>
        </w:rPr>
        <w:t xml:space="preserve"> EA rates for substances decrease, and </w:t>
      </w:r>
      <w:r>
        <w:rPr>
          <w:rFonts w:ascii="Times New Roman" w:hAnsi="Times New Roman" w:cs="Times New Roman"/>
        </w:rPr>
        <w:t>3)</w:t>
      </w:r>
      <w:r w:rsidR="008A4FF5" w:rsidRPr="00F23463">
        <w:rPr>
          <w:rFonts w:ascii="Times New Roman" w:hAnsi="Times New Roman" w:cs="Times New Roman"/>
        </w:rPr>
        <w:t xml:space="preserve"> EA rates for substance-free alternatives increase (see Panel B in Figure 1.2 for a visual depiction of the hypothesised changes in VBDM parameters that characterise a person in a recovered state). As this has not yet been empirically tested, it is hypothesised that it might be all of the aforementioned changes that are important, or perhaps that just one or two</w:t>
      </w:r>
      <w:r>
        <w:rPr>
          <w:rFonts w:ascii="Times New Roman" w:hAnsi="Times New Roman" w:cs="Times New Roman"/>
        </w:rPr>
        <w:t xml:space="preserve"> of the changes</w:t>
      </w:r>
      <w:r w:rsidR="008A4FF5" w:rsidRPr="00F23463">
        <w:rPr>
          <w:rFonts w:ascii="Times New Roman" w:hAnsi="Times New Roman" w:cs="Times New Roman"/>
        </w:rPr>
        <w:t xml:space="preserve"> are important. By applying VBDM to recovery and addiction, this will facilitate the extraction of individual differences in VBDM parameters for substance and substance-free decisions, and in doing so, enable the empirical test of predictions from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{"citationID":"8jXGuux1","properties":{"formattedCitation":"(Field,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Pr="00F20089">
        <w:rPr>
          <w:rFonts w:ascii="Times New Roman" w:hAnsi="Times New Roman" w:cs="Times New Roman"/>
        </w:rPr>
        <w:t xml:space="preserve">Field, Heather, et al. </w:t>
      </w:r>
      <w:r>
        <w:rPr>
          <w:rFonts w:ascii="Times New Roman" w:hAnsi="Times New Roman" w:cs="Times New Roman"/>
        </w:rPr>
        <w:t>(</w:t>
      </w:r>
      <w:r w:rsidRPr="00F20089">
        <w:rPr>
          <w:rFonts w:ascii="Times New Roman" w:hAnsi="Times New Roman" w:cs="Times New Roman"/>
        </w:rPr>
        <w:t>2020)</w:t>
      </w:r>
      <w:r>
        <w:rPr>
          <w:rFonts w:ascii="Times New Roman" w:hAnsi="Times New Roman" w:cs="Times New Roman"/>
        </w:rPr>
        <w:fldChar w:fldCharType="end"/>
      </w:r>
      <w:r>
        <w:rPr>
          <w:rFonts w:ascii="Times New Roman" w:hAnsi="Times New Roman" w:cs="Times New Roman"/>
        </w:rPr>
        <w:t>.</w:t>
      </w:r>
    </w:p>
    <w:p w14:paraId="54E292B0" w14:textId="77777777" w:rsidR="008A4FF5" w:rsidRPr="00F23463" w:rsidRDefault="008A4FF5" w:rsidP="00A3110A">
      <w:pPr>
        <w:pStyle w:val="NoSpacing"/>
        <w:spacing w:line="480" w:lineRule="auto"/>
        <w:rPr>
          <w:rFonts w:ascii="Times New Roman" w:hAnsi="Times New Roman" w:cs="Times New Roman"/>
        </w:rPr>
      </w:pPr>
    </w:p>
    <w:p w14:paraId="0881AC4A" w14:textId="77777777" w:rsidR="00174DF4" w:rsidRPr="009D3289" w:rsidRDefault="008A4FF5" w:rsidP="00A3110A">
      <w:pPr>
        <w:pStyle w:val="NoSpacing"/>
        <w:spacing w:line="480" w:lineRule="auto"/>
        <w:rPr>
          <w:rFonts w:ascii="Times New Roman" w:hAnsi="Times New Roman" w:cs="Times New Roman"/>
          <w:b/>
          <w:bCs/>
        </w:rPr>
      </w:pPr>
      <w:r w:rsidRPr="009D3289">
        <w:rPr>
          <w:rFonts w:ascii="Times New Roman" w:hAnsi="Times New Roman" w:cs="Times New Roman"/>
          <w:b/>
          <w:bCs/>
        </w:rPr>
        <w:t>Figure 1.2</w:t>
      </w:r>
    </w:p>
    <w:p w14:paraId="132248F3" w14:textId="2A659222" w:rsidR="008A4FF5" w:rsidRPr="009D3289" w:rsidRDefault="008A4FF5" w:rsidP="00A3110A">
      <w:pPr>
        <w:pStyle w:val="NoSpacing"/>
        <w:spacing w:line="480" w:lineRule="auto"/>
        <w:rPr>
          <w:rFonts w:ascii="Times New Roman" w:hAnsi="Times New Roman" w:cs="Times New Roman"/>
          <w:i/>
          <w:iCs/>
        </w:rPr>
      </w:pPr>
      <w:r w:rsidRPr="009D3289">
        <w:rPr>
          <w:rFonts w:ascii="Times New Roman" w:hAnsi="Times New Roman" w:cs="Times New Roman"/>
          <w:i/>
          <w:iCs/>
        </w:rPr>
        <w:t>A schematic depiction of alterations in VBDM parameters (evidence accumulation (EA) rates and response thresholds) that are hypothesised to underlie addiction and recovery from it</w:t>
      </w:r>
    </w:p>
    <w:p w14:paraId="2555520B" w14:textId="159E0302" w:rsidR="008A4FF5" w:rsidRPr="00F23463" w:rsidRDefault="007813D2" w:rsidP="00A3110A">
      <w:pPr>
        <w:pStyle w:val="NoSpacing"/>
        <w:spacing w:line="480" w:lineRule="auto"/>
        <w:jc w:val="center"/>
        <w:rPr>
          <w:rFonts w:ascii="Times New Roman" w:hAnsi="Times New Roman" w:cs="Times New Roman"/>
        </w:rPr>
      </w:pPr>
      <w:r w:rsidRPr="00F23463">
        <w:rPr>
          <w:rFonts w:ascii="Times New Roman" w:hAnsi="Times New Roman" w:cs="Times New Roman"/>
          <w:noProof/>
        </w:rPr>
        <w:lastRenderedPageBreak/>
        <w:drawing>
          <wp:inline distT="0" distB="0" distL="0" distR="0" wp14:anchorId="07A25A2E" wp14:editId="43224AD7">
            <wp:extent cx="4770454" cy="4072270"/>
            <wp:effectExtent l="0" t="0" r="5080" b="4445"/>
            <wp:docPr id="13" name="Picture 13"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425" cy="4076514"/>
                    </a:xfrm>
                    <a:prstGeom prst="rect">
                      <a:avLst/>
                    </a:prstGeom>
                    <a:noFill/>
                  </pic:spPr>
                </pic:pic>
              </a:graphicData>
            </a:graphic>
          </wp:inline>
        </w:drawing>
      </w:r>
    </w:p>
    <w:p w14:paraId="55393993" w14:textId="1537ADEC" w:rsidR="008A4FF5" w:rsidRPr="00F23463" w:rsidRDefault="008A4FF5" w:rsidP="00E77B35">
      <w:pPr>
        <w:pStyle w:val="NoSpacing"/>
        <w:spacing w:line="480" w:lineRule="auto"/>
        <w:rPr>
          <w:rFonts w:ascii="Times New Roman" w:hAnsi="Times New Roman" w:cs="Times New Roman"/>
        </w:rPr>
      </w:pPr>
      <w:r w:rsidRPr="00AD621C">
        <w:rPr>
          <w:rFonts w:ascii="Times New Roman" w:hAnsi="Times New Roman" w:cs="Times New Roman"/>
          <w:i/>
          <w:iCs/>
        </w:rPr>
        <w:t>Note.</w:t>
      </w:r>
      <w:r w:rsidRPr="00F23463">
        <w:rPr>
          <w:rFonts w:ascii="Times New Roman" w:hAnsi="Times New Roman" w:cs="Times New Roman"/>
        </w:rPr>
        <w:t xml:space="preserve"> Panel A represents the hypothesised changes in VBDM parameters in a person with addiction. Panel B represents the hypothesised changes in VBDM parameters in a person who is in recovery from addiction. The solid black line represents the EA rates, while the grey dashed line represents response thresholds, for alcohol (left) and an alcohol-free alternative (right). Red circles indicate the point at which the EA rate crosses the response threshold, at which point the point a decision is made. When a person has recovered from addiction and is faced with the opportunity to drink alcohol (or engage in some other alcohol-free activity), they may experience gradual increases in their alcohol-related response thresholds (the upwards shift depicted in the transition from panel A to panel B). Furthermore, they may experience gradual decreases in their alcohol-free response thresholds (the downwards shift depicted in the transition from panel A to panel B). EA rates for alcohol may become suppressed (the downwards shift depicted in the transition from panel A to panel B) whilst EA rates for alcohol-free alternatives may become amplified (the upwards </w:t>
      </w:r>
      <w:r w:rsidRPr="00F23463">
        <w:rPr>
          <w:rFonts w:ascii="Times New Roman" w:hAnsi="Times New Roman" w:cs="Times New Roman"/>
        </w:rPr>
        <w:lastRenderedPageBreak/>
        <w:t xml:space="preserve">shift depicted in the transition from panel A to panel B). These hypothesised changes may occur in combination or isolation and increase the probability that the alcohol-free alternative will cross the response threshold be acted upon. </w:t>
      </w:r>
      <w:bookmarkStart w:id="86" w:name="_Hlk110538898"/>
      <w:r w:rsidRPr="00F23463">
        <w:rPr>
          <w:rFonts w:ascii="Times New Roman" w:hAnsi="Times New Roman" w:cs="Times New Roman"/>
        </w:rPr>
        <w:t xml:space="preserve">Schematics are adapted with permission from those in </w:t>
      </w:r>
      <w:r w:rsidR="00F20089">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{"citationID":"mxzK8PQ7","properties":{"formattedCitation":"(Berkman et al., 2017)","plainCitation":"(Berkman et al., 2017)","dontUpdate":true,"noteIndex":0},"citationItems":[{"id":1528,"uris":["http://zotero.org/users/7873587/items/BGCGUKYV"],"itemData":{"id":1528,"type":"article-journal","abstract":"Self-control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F20089">
        <w:rPr>
          <w:rFonts w:ascii="Times New Roman" w:hAnsi="Times New Roman" w:cs="Times New Roman"/>
        </w:rPr>
        <w:fldChar w:fldCharType="separate"/>
      </w:r>
      <w:r w:rsidR="00E77B35" w:rsidRPr="00E77B35">
        <w:rPr>
          <w:rFonts w:ascii="Times New Roman" w:hAnsi="Times New Roman" w:cs="Times New Roman"/>
        </w:rPr>
        <w:t>Berkman et al.</w:t>
      </w:r>
      <w:r w:rsidR="00E77B35">
        <w:rPr>
          <w:rFonts w:ascii="Times New Roman" w:hAnsi="Times New Roman" w:cs="Times New Roman"/>
        </w:rPr>
        <w:t xml:space="preserve"> (</w:t>
      </w:r>
      <w:r w:rsidR="00E77B35" w:rsidRPr="00E77B35">
        <w:rPr>
          <w:rFonts w:ascii="Times New Roman" w:hAnsi="Times New Roman" w:cs="Times New Roman"/>
        </w:rPr>
        <w:t>2017)</w:t>
      </w:r>
      <w:r w:rsidR="00F20089">
        <w:rPr>
          <w:rFonts w:ascii="Times New Roman" w:hAnsi="Times New Roman" w:cs="Times New Roman"/>
        </w:rPr>
        <w:fldChar w:fldCharType="end"/>
      </w:r>
      <w:r w:rsidRPr="00F23463">
        <w:rPr>
          <w:rFonts w:ascii="Times New Roman" w:hAnsi="Times New Roman" w:cs="Times New Roman"/>
        </w:rPr>
        <w:t>.</w:t>
      </w:r>
      <w:bookmarkEnd w:id="86"/>
      <w:r w:rsidRPr="00F23463">
        <w:rPr>
          <w:rFonts w:ascii="Times New Roman" w:hAnsi="Times New Roman" w:cs="Times New Roman"/>
        </w:rPr>
        <w:t xml:space="preserve"> Images are reproduced </w:t>
      </w:r>
      <w:r w:rsidR="00F20089">
        <w:rPr>
          <w:rFonts w:ascii="Times New Roman" w:hAnsi="Times New Roman" w:cs="Times New Roman"/>
        </w:rPr>
        <w:t xml:space="preserve">with permission </w:t>
      </w:r>
      <w:r w:rsidRPr="00F23463">
        <w:rPr>
          <w:rFonts w:ascii="Times New Roman" w:hAnsi="Times New Roman" w:cs="Times New Roman"/>
        </w:rPr>
        <w:t>from unsplash.com (</w:t>
      </w:r>
      <w:hyperlink r:id="rId20" w:history="1">
        <w:r w:rsidR="00950BEF" w:rsidRPr="0057190E">
          <w:rPr>
            <w:rStyle w:val="Hyperlink"/>
            <w:rFonts w:ascii="Times New Roman" w:hAnsi="Times New Roman" w:cs="Times New Roman"/>
          </w:rPr>
          <w:t>https://unsplash.com/photos/AtfA8NDgpKA</w:t>
        </w:r>
      </w:hyperlink>
      <w:r w:rsidRPr="00F23463">
        <w:rPr>
          <w:rFonts w:ascii="Times New Roman" w:hAnsi="Times New Roman" w:cs="Times New Roman"/>
        </w:rPr>
        <w:t xml:space="preserve">; </w:t>
      </w:r>
      <w:hyperlink r:id="rId21" w:history="1">
        <w:r w:rsidR="00950BEF" w:rsidRPr="0057190E">
          <w:rPr>
            <w:rStyle w:val="Hyperlink"/>
            <w:rFonts w:ascii="Times New Roman" w:hAnsi="Times New Roman" w:cs="Times New Roman"/>
          </w:rPr>
          <w:t>https://unsplash.com/photos/rhkwKunIXyI</w:t>
        </w:r>
      </w:hyperlink>
      <w:r w:rsidRPr="00F23463">
        <w:rPr>
          <w:rFonts w:ascii="Times New Roman" w:hAnsi="Times New Roman" w:cs="Times New Roman"/>
        </w:rPr>
        <w:t xml:space="preserve">). </w:t>
      </w:r>
    </w:p>
    <w:p w14:paraId="0F62A47B" w14:textId="77777777" w:rsidR="008A4FF5" w:rsidRPr="00F23463" w:rsidRDefault="008A4FF5" w:rsidP="00AC0B06">
      <w:pPr>
        <w:pStyle w:val="NoSpacing"/>
        <w:spacing w:line="480" w:lineRule="auto"/>
        <w:rPr>
          <w:rFonts w:ascii="Times New Roman" w:hAnsi="Times New Roman" w:cs="Times New Roman"/>
        </w:rPr>
      </w:pPr>
    </w:p>
    <w:p w14:paraId="564CC19F" w14:textId="44ACD387" w:rsidR="008A4FF5" w:rsidRPr="00F23463" w:rsidRDefault="008A4FF5" w:rsidP="008912F5">
      <w:pPr>
        <w:pStyle w:val="NoSpacing"/>
        <w:spacing w:line="480" w:lineRule="auto"/>
        <w:rPr>
          <w:rFonts w:ascii="Times New Roman" w:hAnsi="Times New Roman" w:cs="Times New Roman"/>
        </w:rPr>
      </w:pPr>
      <w:r w:rsidRPr="00F23463">
        <w:rPr>
          <w:rFonts w:ascii="Times New Roman" w:hAnsi="Times New Roman" w:cs="Times New Roman"/>
        </w:rPr>
        <w:t xml:space="preserve">By viewing relative drug value as the key underlying mechanism of vulnerability for addiction and recovery </w:t>
      </w:r>
      <w:r w:rsidR="00E77B3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{"citationID":"EoHCNQiL","properties":{"formattedCitation":"(Hogarth &amp; Field, 2020)","plainCitation":"(Hogarth &amp; Field, 2020)","noteIndex":0},"citationItems":[{"id":819,"uris":["http://zotero.org/users/7873587/items/QS5L4T2D"],"itemData":{"id":819,"type":"article-journal","abstract":"Behavioural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addiction","volume":"394","author":[{"family":"Hogarth","given":"Lee"},{"family":"Field","given":"Matt"}],"issued":{"date-parts":[["2020",9,15]]}}}],"schema":"https://github.com/citation-style-language/schema/raw/master/csl-citation.json"} </w:instrText>
      </w:r>
      <w:r w:rsidR="00E77B35">
        <w:rPr>
          <w:rFonts w:ascii="Times New Roman" w:hAnsi="Times New Roman" w:cs="Times New Roman"/>
        </w:rPr>
        <w:fldChar w:fldCharType="separate"/>
      </w:r>
      <w:r w:rsidR="00E77B35" w:rsidRPr="00E77B35">
        <w:rPr>
          <w:rFonts w:ascii="Times New Roman" w:hAnsi="Times New Roman" w:cs="Times New Roman"/>
        </w:rPr>
        <w:t>(Hogarth &amp; Field, 2020)</w:t>
      </w:r>
      <w:r w:rsidR="00E77B35">
        <w:rPr>
          <w:rFonts w:ascii="Times New Roman" w:hAnsi="Times New Roman" w:cs="Times New Roman"/>
        </w:rPr>
        <w:fldChar w:fldCharType="end"/>
      </w:r>
      <w:r w:rsidRPr="00F23463">
        <w:rPr>
          <w:rFonts w:ascii="Times New Roman" w:hAnsi="Times New Roman" w:cs="Times New Roman"/>
        </w:rPr>
        <w:t xml:space="preserve">, VBDM as a framework offers the potential to reconcile established risk factors for addiction, for example childhood adversity </w:t>
      </w:r>
      <w:r w:rsidR="00952A4C">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{"citationID":"3XOT41WP","properties":{"formattedCitation":"(Mat\\uc0\\u233{}, 2022)","plainCitation":"(Maté, 2022)","noteIndex":0},"citationItems":[{"id":1566,"uris":["http://zotero.org/users/7873587/items/IJ4EMIEL"],"itemData":{"id":1566,"type":"chapter","abstract":"Theories focused on choice, chance or genetic predetermination leading to disease leave out the centrality of childhood adversity in creating the susceptibility for addictions, substance-related or not. When children do not receive consistent, secure interactions, or when they experience painfully stressing ones, maldevelopment may result, resulting in brains susceptible to addictions and minds seeking escape from negative affects the individual finds unbearable. In vivo studies have demonstrated that animals exposed to prenatal or early life stress exhibit characteristics of drug addiction, alcoholism and increased risk of self-administration of drugs. Early trauma or developmental adversity have lifelong consequences for how human beings respond to stress. Trauma in children, such as sexual, physical or emotional abuse or abandonment alter the child’s physical stress mechanisms and, as a result, the child is more reactive to stress throughout their adult life, which all addictions serve as an attempt to soothe. The dominant brain systems in all addictions are all exquisitely fine-tuned by the environment. To various degrees, in all addicted persons these systems are not functioning properly. This chapter explores the relationship between childhood emotional loss or trauma and addiction, a fact of essential significance to the clinical treatment of addictions.","container-title":"Evaluating the Brain Disease Model of Addiction","ISBN":"978-1-00-303276-2","note":"number-of-pages: 13","page":"431-443","publisher":"Routledge","title":"Beyond the medical model: Addiction as a response to trauma and stress","title-short":"Beyond the Medical Model","author":[{"family":"Maté","given":"Gabor"}],"editor":[{"family":"Heather","given":"Nick"},{"family":"Field","given":"Matt"},{"family":"Moss","given":"A.C."},{"family":"Satel","given":"Sally"}],"issued":{"date-parts":[["2022"]]}}}],"schema":"https://github.com/citation-style-language/schema/raw/master/csl-citation.json"} </w:instrText>
      </w:r>
      <w:r w:rsidR="00952A4C">
        <w:rPr>
          <w:rFonts w:ascii="Times New Roman" w:hAnsi="Times New Roman" w:cs="Times New Roman"/>
        </w:rPr>
        <w:fldChar w:fldCharType="separate"/>
      </w:r>
      <w:r w:rsidR="00952A4C" w:rsidRPr="00952A4C">
        <w:rPr>
          <w:rFonts w:ascii="Times New Roman" w:hAnsi="Times New Roman" w:cs="Times New Roman"/>
        </w:rPr>
        <w:t>(Maté, 2022)</w:t>
      </w:r>
      <w:r w:rsidR="00952A4C">
        <w:rPr>
          <w:rFonts w:ascii="Times New Roman" w:hAnsi="Times New Roman" w:cs="Times New Roman"/>
        </w:rPr>
        <w:fldChar w:fldCharType="end"/>
      </w:r>
      <w:r w:rsidRPr="00F23463">
        <w:rPr>
          <w:rFonts w:ascii="Times New Roman" w:hAnsi="Times New Roman" w:cs="Times New Roman"/>
        </w:rPr>
        <w:t xml:space="preserve">, substance-related cues and craving </w:t>
      </w:r>
      <w:r w:rsidR="00952A4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{"citationID":"F1EKKwGZ","properties":{"formattedCitation":"(Vafaie &amp; Kober, 2022)","plainCitation":"(Vafaie &amp; Kober, 2022)","noteIndex":0},"citationItems":[{"id":1567,"uris":["http://zotero.org/users/7873587/items/NEJXARMH"],"itemData":{"id":1567,"type":"article-journal","abstract":"Craving, which is a strong desire for drugs, is a new DSM-5 diagnostic criterion for substance use disorders (SUDs), which are the most prevalent, costly, and deadly forms of psychopathology. Despite decades of research, the roles of drug cues and craving in drug use and relapse remain controversial.To assess whether 4 types of drug cue and craving indicators, including cue exposure, physiological cue reactivity, cue-induced craving, and self-reported craving (without cue exposure), are prospectively associated with drug use and relapse.Google Scholar was searched for published studies from inception through December 31, 2018. In addition, backward and forward searches were performed on included articles to identify additional articles.Included studies reported a prospective statistic that linked cue and craving indicators at time 1 to drug use or relapse at time 2, in humans.The Preferred Reporting Items for Systematic Reviews and Meta-Analysis (PRISMA) guidelines were followed. Study characteristics and statistics were extracted and/or coded by 1 of the 2 authors and then checked by the other. Statistical analyses were performed from May to July 2021.Random-effects models were used to calculate prospective odds ratios (ORs) representing the association between cue and craving indicators and subsequent drug use/relapse.A total of 18 205 records were identified, and 237 studies were included. Across 656 statistics, representing 51 788 human participants (21 216 with confirmed SUDs), a significant prospective association of all cue and craving indicators with drug use/relapse was found (OR, 2.05; 95% CI, 1.94-2.15), such that a 1-unit increase in cue and craving indicators was associated with more than double the odds of future drug use or relapse. A Rosenthal fail-safe analysis revealed that 180 092 null studies would need to be published to nullify this finding. Trim-and-fill analysis brought the adjusted effect size to an OR of 1.31 (95% CI, 1.25-1.38). Moderator analyses showed that some of the strongest associations were found for cue-induced craving, real cues or images, drug use outcome, same-day time lag, studies using ecological momentary assessment, and male participants.Findings from this systematic review and meta-analysis suggest that drug cue and craving indicators play significant roles in drug use and relapse outcomes and are an important mechanism underlying SUDs. Clinically, these results support incorporating craving assessment across stages of treatment, as early as primary care.","container-title":"JAMA Psychiatry","DOI":"10.1001/jamapsychiatry.2022.1240","ISSN":"2168-622X","issue":"7","journalAbbreviation":"JAMA Psychiatry","page":"641-650","source":"Silverchair","title":"Association of drug cues and craving with drug use and relapse: A systematic review and meta-analysis","title-short":"Association of Drug Cues and Craving With Drug Use and Relapse","volume":"79","author":[{"family":"Vafaie","given":"Nilofar"},{"family":"Kober","given":"Hedy"}],"issued":{"date-parts":[["2022",7,1]]}}}],"schema":"https://github.com/citation-style-language/schema/raw/master/csl-citation.json"} </w:instrText>
      </w:r>
      <w:r w:rsidR="00952A4C">
        <w:rPr>
          <w:rFonts w:ascii="Times New Roman" w:hAnsi="Times New Roman" w:cs="Times New Roman"/>
        </w:rPr>
        <w:fldChar w:fldCharType="separate"/>
      </w:r>
      <w:r w:rsidR="00952A4C" w:rsidRPr="00952A4C">
        <w:rPr>
          <w:rFonts w:ascii="Times New Roman" w:hAnsi="Times New Roman" w:cs="Times New Roman"/>
        </w:rPr>
        <w:t>(Vafaie &amp; Kober, 2022)</w:t>
      </w:r>
      <w:r w:rsidR="00952A4C">
        <w:rPr>
          <w:rFonts w:ascii="Times New Roman" w:hAnsi="Times New Roman" w:cs="Times New Roman"/>
        </w:rPr>
        <w:fldChar w:fldCharType="end"/>
      </w:r>
      <w:r w:rsidRPr="00F23463">
        <w:rPr>
          <w:rFonts w:ascii="Times New Roman" w:hAnsi="Times New Roman" w:cs="Times New Roman"/>
        </w:rPr>
        <w:t xml:space="preserve">, identity as a person with addiction </w:t>
      </w:r>
      <w:r w:rsidR="00952A4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{"citationID":"6cCKPr8U","properties":{"formattedCitation":"(Pickard, 2020a)","plainCitation":"(Pickard, 2020a)","noteIndex":0},"citationItems":[{"id":1464,"uris":["http://zotero.org/users/7873587/items/QNUSHYW6"],"itemData":{"id":1464,"type":"article-journal","abstract":"Addiction is standardly characterized as a neurobiological disease of compulsion. Against this characterization, I argue that many cases of addiction cannot be explained without recognizing the value of drugs to those who are addicted; and I explore in detail an insufficiently recognized source of value, namely, a sense of self and social identity as an addict. For people who lack a genuine alternative sense of self and social identity, recovery represents an existential threat. Given that an addict identification carries expectations of continued consumption despite negative consequences, there is therefore a parsimonious explanation of why people who identify as addicts continue to use drugs despite these consequences: they self-identify as addicts and that is what addicts are supposed to do. I conclude by considering how it is nonetheless possible to overcome addiction despite this identity, in part by imagining and enacting a new one. Importantly, this possibility requires the availability of social support and material resources that are all too frequently absent in the lives of those who struggle with addiction.","container-title":"Noûs","DOI":"10.1111/nous.12328","ISSN":"1468-0068","issue":"4","language":"en","note":"_eprint: https://onlinelibrary.wiley.com/doi/pdf/10.1111/nous.12328","page":"737-761","source":"Wiley Online Library","title":"Addiction and the self","volume":"55","author":[{"family":"Pickard","given":"Hanna"}],"issued":{"date-parts":[["2020"]]}}}],"schema":"https://github.com/citation-style-language/schema/raw/master/csl-citation.json"} </w:instrText>
      </w:r>
      <w:r w:rsidR="00952A4C">
        <w:rPr>
          <w:rFonts w:ascii="Times New Roman" w:hAnsi="Times New Roman" w:cs="Times New Roman"/>
        </w:rPr>
        <w:fldChar w:fldCharType="separate"/>
      </w:r>
      <w:r w:rsidR="00952A4C" w:rsidRPr="00952A4C">
        <w:rPr>
          <w:rFonts w:ascii="Times New Roman" w:hAnsi="Times New Roman" w:cs="Times New Roman"/>
        </w:rPr>
        <w:t>(Pickard, 2020a)</w:t>
      </w:r>
      <w:r w:rsidR="00952A4C">
        <w:rPr>
          <w:rFonts w:ascii="Times New Roman" w:hAnsi="Times New Roman" w:cs="Times New Roman"/>
        </w:rPr>
        <w:fldChar w:fldCharType="end"/>
      </w:r>
      <w:r w:rsidRPr="00F23463">
        <w:rPr>
          <w:rFonts w:ascii="Times New Roman" w:hAnsi="Times New Roman" w:cs="Times New Roman"/>
        </w:rPr>
        <w:t xml:space="preserve">, negative affect </w:t>
      </w:r>
      <w:r w:rsidR="00952A4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{"citationID":"mShzAsOv","properties":{"formattedCitation":"(Hogarth, 2020)","plainCitation":"(Hogarth, 2020)","noteIndex":0},"citationItems":[{"id":1258,"uris":["http://zotero.org/users/7873587/items/9DVNYNDZ"],"itemData":{"id":1258,"type":"article-journal","abstract":"Drug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affect","volume":"45","author":[{"family":"Hogarth","given":"Lee"}],"issued":{"date-parts":[["2020",4]]}}}],"schema":"https://github.com/citation-style-language/schema/raw/master/csl-citation.json"} </w:instrText>
      </w:r>
      <w:r w:rsidR="00952A4C">
        <w:rPr>
          <w:rFonts w:ascii="Times New Roman" w:hAnsi="Times New Roman" w:cs="Times New Roman"/>
        </w:rPr>
        <w:fldChar w:fldCharType="separate"/>
      </w:r>
      <w:r w:rsidR="00952A4C" w:rsidRPr="00952A4C">
        <w:rPr>
          <w:rFonts w:ascii="Times New Roman" w:hAnsi="Times New Roman" w:cs="Times New Roman"/>
        </w:rPr>
        <w:t>(Hogarth, 2020)</w:t>
      </w:r>
      <w:r w:rsidR="00952A4C">
        <w:rPr>
          <w:rFonts w:ascii="Times New Roman" w:hAnsi="Times New Roman" w:cs="Times New Roman"/>
        </w:rPr>
        <w:fldChar w:fldCharType="end"/>
      </w:r>
      <w:r w:rsidRPr="00F23463">
        <w:rPr>
          <w:rFonts w:ascii="Times New Roman" w:hAnsi="Times New Roman" w:cs="Times New Roman"/>
        </w:rPr>
        <w:t>, and low</w:t>
      </w:r>
      <w:r w:rsidR="00952A4C">
        <w:rPr>
          <w:rFonts w:ascii="Times New Roman" w:hAnsi="Times New Roman" w:cs="Times New Roman"/>
        </w:rPr>
        <w:t>er</w:t>
      </w:r>
      <w:r w:rsidRPr="00F23463">
        <w:rPr>
          <w:rFonts w:ascii="Times New Roman" w:hAnsi="Times New Roman" w:cs="Times New Roman"/>
        </w:rPr>
        <w:t xml:space="preserve"> socioeconomic status </w:t>
      </w:r>
      <w:r w:rsidR="00952A4C">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{"citationID":"xkHlZQr9","properties":{"formattedCitation":"(Hogarth, 2022)","plainCitation":"(Hogarth, 2022)","noteIndex":0},"citationItems":[{"id":879,"uris":["http://zotero.org/users/7873587/items/HAB8IICP"],"itemData":{"id":879,"type":"chapter","abstract":"Since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C."},{"family":"Satel","given":"Sally"}],"issued":{"date-parts":[["2022"]]}}}],"schema":"https://github.com/citation-style-language/schema/raw/master/csl-citation.json"} </w:instrText>
      </w:r>
      <w:r w:rsidR="00952A4C">
        <w:rPr>
          <w:rFonts w:ascii="Times New Roman" w:hAnsi="Times New Roman" w:cs="Times New Roman"/>
        </w:rPr>
        <w:fldChar w:fldCharType="separate"/>
      </w:r>
      <w:r w:rsidR="00952A4C" w:rsidRPr="00952A4C">
        <w:rPr>
          <w:rFonts w:ascii="Times New Roman" w:hAnsi="Times New Roman" w:cs="Times New Roman"/>
        </w:rPr>
        <w:t>(Hogarth, 2022)</w:t>
      </w:r>
      <w:r w:rsidR="00952A4C">
        <w:rPr>
          <w:rFonts w:ascii="Times New Roman" w:hAnsi="Times New Roman" w:cs="Times New Roman"/>
        </w:rPr>
        <w:fldChar w:fldCharType="end"/>
      </w:r>
      <w:r w:rsidRPr="00F23463">
        <w:rPr>
          <w:rFonts w:ascii="Times New Roman" w:hAnsi="Times New Roman" w:cs="Times New Roman"/>
        </w:rPr>
        <w:t xml:space="preserve">. Put another way, VBDM offers theoretical parsimony </w:t>
      </w:r>
      <w:r w:rsidR="00506BD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{"citationID":"qrHQiHNg","properties":{"formattedCitation":"(Berkman, 2018; Berkman et al., 2017)","plainCitation":"(Berkman, 2018; Berkman et al., 2017)","noteIndex":0},"citationItems":[{"id":1538,"uris":["http://zotero.org/users/7873587/items/WURW4J4N"],"itemData":{"id":1538,"type":"article-journal","abstract":"OBJECTIVE: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T."}],"issued":{"date-parts":[["2018",1]]}},"label":"act"},{"id":1528,"uris":["http://zotero.org/users/7873587/items/BGCGUKYV"],"itemData":{"id":1528,"type":"article-journal","abstract":"Self-control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E."},{"family":"Inzlicht","given":"Michael"}],"issued":{"date-parts":[["2017"]]}},"label":"act"}],"schema":"https://github.com/citation-style-language/schema/raw/master/csl-citation.json"} </w:instrText>
      </w:r>
      <w:r w:rsidR="00506BD0">
        <w:rPr>
          <w:rFonts w:ascii="Times New Roman" w:hAnsi="Times New Roman" w:cs="Times New Roman"/>
        </w:rPr>
        <w:fldChar w:fldCharType="separate"/>
      </w:r>
      <w:r w:rsidR="00506BD0" w:rsidRPr="00506BD0">
        <w:rPr>
          <w:rFonts w:ascii="Times New Roman" w:hAnsi="Times New Roman" w:cs="Times New Roman"/>
        </w:rPr>
        <w:t>(Berkman, 2018; Berkman et al., 2017)</w:t>
      </w:r>
      <w:r w:rsidR="00506BD0">
        <w:rPr>
          <w:rFonts w:ascii="Times New Roman" w:hAnsi="Times New Roman" w:cs="Times New Roman"/>
        </w:rPr>
        <w:fldChar w:fldCharType="end"/>
      </w:r>
      <w:r w:rsidRPr="00F23463">
        <w:rPr>
          <w:rFonts w:ascii="Times New Roman" w:hAnsi="Times New Roman" w:cs="Times New Roman"/>
        </w:rPr>
        <w:t xml:space="preserve">: value attributes and input signals can relate to any of the aforementioned factors. It may be that people who experience childhood adversity ascribe a greater value to alcohol because it numbs or suppresses emotion or traumatic memories, whereas people from disadvantaged backgrounds may ascribe greater value to alcohol because the benefits outweigh the costs given a realistic appreciation of the circumstances and options available </w:t>
      </w:r>
      <w:r w:rsidR="008912F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{"citationID":"KwF2ifpB","properties":{"formattedCitation":"(Pickard, 2012)","plainCitation":"(Pickard, 2012)","noteIndex":0},"citationItems":[{"id":1569,"uris":["http://zotero.org/users/7873587/items/ELN6GSM3"],"itemData":{"id":1569,"type":"article-journal","abstract":"I argue that addiction is not a chronic, relapsing, neurobiological disease characterized by compulsive use of drugs or alcohol. Large-scale national survey data demonstrate that rates of substance dependence peak in adolescence and early adulthood and then decline steeply; addicts tend to “mature out” in their late twenties or early thirties. The exceptions are addicts who suffer from additional psychiatric disorders. I hypothesize that this difference in patterns of use and relapse between the general and psychiatric populations can be explained by the purpose served by drugs and alcohol for patients. Drugs and alcohol alleviate the severe psychological distress typically experienced by patients with comorbid psychiatric disorders and associated problems. On this hypothesis, consumption is a chosen means to ends that are rational to desire: Use is not compulsive. The upshot of this explanation is that the orthodox view of addiction as a chronic, relapsing neurobiological disease is misguided. I delineate five folk psychological factors that together explain addiction as purposive action: strong and habitual desire; willpower; motivation; functional role; and decision and resolve. I conclude by drawing lessons for research and effective treatment.","container-title":"AJOB neuroscience","DOI":"10.1080/21507740.2012.663058","ISSN":"2150-7740","issue":"2","journalAbbreviation":"AJOB Neurosci","note":"PMID: 22724074\nPMCID: PMC3378040","page":"40-49","source":"PubMed Central","title":"The purpose in chronic addiction","volume":"3","author":[{"family":"Pickard","given":"Hanna"}],"issued":{"date-parts":[["2012",4,18]]}}}],"schema":"https://github.com/citation-style-language/schema/raw/master/csl-citation.json"} </w:instrText>
      </w:r>
      <w:r w:rsidR="008912F5">
        <w:rPr>
          <w:rFonts w:ascii="Times New Roman" w:hAnsi="Times New Roman" w:cs="Times New Roman"/>
        </w:rPr>
        <w:fldChar w:fldCharType="separate"/>
      </w:r>
      <w:r w:rsidR="008912F5" w:rsidRPr="008912F5">
        <w:rPr>
          <w:rFonts w:ascii="Times New Roman" w:hAnsi="Times New Roman" w:cs="Times New Roman"/>
        </w:rPr>
        <w:t>(Pickard, 2012)</w:t>
      </w:r>
      <w:r w:rsidR="008912F5">
        <w:rPr>
          <w:rFonts w:ascii="Times New Roman" w:hAnsi="Times New Roman" w:cs="Times New Roman"/>
        </w:rPr>
        <w:fldChar w:fldCharType="end"/>
      </w:r>
      <w:r w:rsidR="008912F5">
        <w:rPr>
          <w:rFonts w:ascii="Times New Roman" w:hAnsi="Times New Roman" w:cs="Times New Roman"/>
        </w:rPr>
        <w:t>.</w:t>
      </w:r>
    </w:p>
    <w:p w14:paraId="59ACE0C7" w14:textId="77777777" w:rsidR="008A4FF5" w:rsidRPr="00F23463" w:rsidRDefault="008A4FF5" w:rsidP="00AC0B06">
      <w:pPr>
        <w:pStyle w:val="NoSpacing"/>
        <w:spacing w:line="480" w:lineRule="auto"/>
        <w:rPr>
          <w:rFonts w:ascii="Times New Roman" w:hAnsi="Times New Roman" w:cs="Times New Roman"/>
        </w:rPr>
      </w:pPr>
    </w:p>
    <w:p w14:paraId="58382156" w14:textId="6152AFAF" w:rsidR="008A4FF5" w:rsidRPr="00F23463" w:rsidRDefault="008A4FF5" w:rsidP="008912F5">
      <w:pPr>
        <w:pStyle w:val="NoSpacing"/>
        <w:spacing w:line="480" w:lineRule="auto"/>
        <w:rPr>
          <w:rFonts w:ascii="Times New Roman" w:hAnsi="Times New Roman" w:cs="Times New Roman"/>
        </w:rPr>
      </w:pPr>
      <w:r w:rsidRPr="00F23463">
        <w:rPr>
          <w:rFonts w:ascii="Times New Roman" w:hAnsi="Times New Roman" w:cs="Times New Roman"/>
        </w:rPr>
        <w:t xml:space="preserve">This aligns with philosophical conceptual pieces that speculate upon “the puzzle of addiction” (e.g., </w:t>
      </w:r>
      <w:r w:rsidR="008912F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{"citationID":"ed8twqY4","properties":{"formattedCitation":"(Pickard, 2018, 2020b)","plainCitation":"(Pickard, 2018, 2020b)","dontUpdate":true,"noteIndex":0},"citationItems":[{"id":1572,"uris":["http://zotero.org/users/7873587/items/LV6ZDJKV"],"itemData":{"id":1572,"type":"chapter","abstract":"The orthodox conception of drug addiction within science and medicine is a neurobiological disease characterized by compulsive drug use despite negative consequences. Addiction is better characterized as involving choices which, while on the surface puzzling, can be explained by recognizing the multiple functions that drugs serve, and by contextualizing them in relation to a host of interacting factors, including psychiatric co-morbidity, limited socio-economic opportunities, temporally myopic decision-making, denial, and self-identity. The orthodox conception’s solution to the puzzle has two parts. The first appeals to compulsion to explain use in face of negative consequences. The second appeals to neurobiological disease to explain compulsion. The orthodox conception explains the puzzle of why addicts use drugs despite negative consequences by appeal to the claim that use is both compulsive and caused by a neurobiological disease. Despite the fact that addicts are notoriously prone to denial, it has received surprisingly little attention in both philosophical and scientific research on addiction.","container-title":"The Routledge Handbook of Philosophy and Science of Addiction","ISBN":"978-1-315-68919-7","note":"number-of-pages: 14","publisher":"Routledge","title":"The Puzzle of Addiction","author":[{"family":"Pickard","given":"Hanna"}],"issued":{"date-parts":[["2018"]]}},"label":"page"},{"id":1256,"uris":["http://zotero.org/users/7873587/items/HIM538VR"],"itemData":{"id":1256,"type":"article-journal","abstract":"The landscape of addiction is dominated by two rival models: a moral model and a model that characterizes addiction as a neurobiological disease of compulsion. Against both, I offer a scientifically and clinically informed alternative. Addiction is a highly heterogenous condition that is ill-characterized as involving compulsive use. On the whole, drug consumption in addiction remains goal directed: people take drugs because drugs have tremendous value. This view has potential implications for the claim that addiction is, in all cases, a brain disease. But more importantly, it has implications for clinical and policy interventions. To help someone overcome addiction, you need to understand and address why they persist in using drugs despite negative consequences. If they are not compelled, then the explanation must advert to the value of drugs for them as an individual. What blocks us from acknowledging this reality is not science but fear: that it will ignite moralism about drugs and condemnation of drug users. The solution is not to cleave to the concept of compulsion but to fight moralism directly.","container-title":"Hastings Center Report","DOI":"10.1002/hast.1172","ISSN":"1552-146X","issue":"4","language":"en","note":"_eprint: https://onlinelibrary.wiley.com/doi/pdf/10.1002/hast.1172","page":"37-46","source":"Wiley Online Library","title":"What we're not talking about when we talk about addiction","volume":"50","author":[{"family":"Pickard","given":"Hanna"}],"issued":{"date-parts":[["2020"]]}},"label":"act"}],"schema":"https://github.com/citation-style-language/schema/raw/master/csl-citation.json"} </w:instrText>
      </w:r>
      <w:r w:rsidR="008912F5">
        <w:rPr>
          <w:rFonts w:ascii="Times New Roman" w:hAnsi="Times New Roman" w:cs="Times New Roman"/>
        </w:rPr>
        <w:fldChar w:fldCharType="separate"/>
      </w:r>
      <w:r w:rsidR="008912F5" w:rsidRPr="008912F5">
        <w:rPr>
          <w:rFonts w:ascii="Times New Roman" w:hAnsi="Times New Roman" w:cs="Times New Roman"/>
        </w:rPr>
        <w:t>Pickard, 2018, 2020b)</w:t>
      </w:r>
      <w:r w:rsidR="008912F5">
        <w:rPr>
          <w:rFonts w:ascii="Times New Roman" w:hAnsi="Times New Roman" w:cs="Times New Roman"/>
        </w:rPr>
        <w:fldChar w:fldCharType="end"/>
      </w:r>
      <w:r w:rsidRPr="00F23463">
        <w:rPr>
          <w:rFonts w:ascii="Times New Roman" w:hAnsi="Times New Roman" w:cs="Times New Roman"/>
        </w:rPr>
        <w:t xml:space="preserve">; that is, the puzzle of why people with addiction continue to use substances despite the many accompanying consequences (e.g., health deterioration). What is often overlooked is that many of the things a person without addiction would consider to be a consequence of substance use may actually be beneficial to a person </w:t>
      </w:r>
      <w:r w:rsidRPr="00F23463">
        <w:rPr>
          <w:rFonts w:ascii="Times New Roman" w:hAnsi="Times New Roman" w:cs="Times New Roman"/>
        </w:rPr>
        <w:lastRenderedPageBreak/>
        <w:t xml:space="preserve">with addiction, elevating substance value </w:t>
      </w:r>
      <w:r w:rsidR="008912F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{"citationID":"JWEtIv8c","properties":{"formattedCitation":"(Pickard, 2020b)","plainCitation":"(Pickard, 2020b)","noteIndex":0},"citationItems":[{"id":1256,"uris":["http://zotero.org/users/7873587/items/HIM538VR"],"itemData":{"id":1256,"type":"article-journal","abstract":"The landscape of addiction is dominated by two rival models: a moral model and a model that characterizes addiction as a neurobiological disease of compulsion. Against both, I offer a scientifically and clinically informed alternative. Addiction is a highly heterogenous condition that is ill-characterized as involving compulsive use. On the whole, drug consumption in addiction remains goal directed: people take drugs because drugs have tremendous value. This view has potential implications for the claim that addiction is, in all cases, a brain disease. But more importantly, it has implications for clinical and policy interventions. To help someone overcome addiction, you need to understand and address why they persist in using drugs despite negative consequences. If they are not compelled, then the explanation must advert to the value of drugs for them as an individual. What blocks us from acknowledging this reality is not science but fear: that it will ignite moralism about drugs and condemnation of drug users. The solution is not to cleave to the concept of compulsion but to fight moralism directly.","container-title":"Hastings Center Report","DOI":"10.1002/hast.1172","ISSN":"1552-146X","issue":"4","language":"en","note":"_eprint: https://onlinelibrary.wiley.com/doi/pdf/10.1002/hast.1172","page":"37-46","source":"Wiley Online Library","title":"What we're not talking about when we talk about addiction","volume":"50","author":[{"family":"Pickard","given":"Hanna"}],"issued":{"date-parts":[["2020"]]}}}],"schema":"https://github.com/citation-style-language/schema/raw/master/csl-citation.json"} </w:instrText>
      </w:r>
      <w:r w:rsidR="008912F5">
        <w:rPr>
          <w:rFonts w:ascii="Times New Roman" w:hAnsi="Times New Roman" w:cs="Times New Roman"/>
        </w:rPr>
        <w:fldChar w:fldCharType="separate"/>
      </w:r>
      <w:r w:rsidR="008912F5" w:rsidRPr="008912F5">
        <w:rPr>
          <w:rFonts w:ascii="Times New Roman" w:hAnsi="Times New Roman" w:cs="Times New Roman"/>
        </w:rPr>
        <w:t>(Pickard, 2020b)</w:t>
      </w:r>
      <w:r w:rsidR="008912F5">
        <w:rPr>
          <w:rFonts w:ascii="Times New Roman" w:hAnsi="Times New Roman" w:cs="Times New Roman"/>
        </w:rPr>
        <w:fldChar w:fldCharType="end"/>
      </w:r>
      <w:r w:rsidRPr="00F23463">
        <w:rPr>
          <w:rFonts w:ascii="Times New Roman" w:hAnsi="Times New Roman" w:cs="Times New Roman"/>
        </w:rPr>
        <w:t>. This demonstrates the juxtaposition in how, to an outside observer, things that might be seen as a consequence that should deter further use may actually be a desired and valued outcome. From this viewpoint, then, there is no puzzle as to why people with addiction continue to use despite consequences; it is a cost-benefit ratio of substance use in a given context and for a given individual. VBDM as a framework, then, entails the benefit of being able to incorporate value inputs that contribute to substance value that may not be immediately apparent to those without any experience of addiction.</w:t>
      </w:r>
    </w:p>
    <w:p w14:paraId="7C63C16C" w14:textId="77777777" w:rsidR="008A4FF5" w:rsidRPr="00F23463" w:rsidRDefault="008A4FF5" w:rsidP="00AC0B06">
      <w:pPr>
        <w:pStyle w:val="NoSpacing"/>
        <w:spacing w:line="480" w:lineRule="auto"/>
        <w:rPr>
          <w:rFonts w:ascii="Times New Roman" w:hAnsi="Times New Roman" w:cs="Times New Roman"/>
        </w:rPr>
      </w:pPr>
    </w:p>
    <w:p w14:paraId="1A003CA1" w14:textId="3E8A1845" w:rsidR="008A4FF5" w:rsidRPr="00F23463" w:rsidRDefault="008A4FF5" w:rsidP="00573078">
      <w:pPr>
        <w:pStyle w:val="Heading2"/>
      </w:pPr>
      <w:bookmarkStart w:id="87" w:name="_Toc109901460"/>
      <w:bookmarkStart w:id="88" w:name="_Toc109901933"/>
      <w:bookmarkStart w:id="89" w:name="_Toc109911327"/>
      <w:bookmarkStart w:id="90" w:name="_Toc110612730"/>
      <w:bookmarkStart w:id="91" w:name="_Toc110629040"/>
      <w:bookmarkStart w:id="92" w:name="_Toc110870948"/>
      <w:r w:rsidRPr="00F23463">
        <w:t>1.7</w:t>
      </w:r>
      <w:r w:rsidR="00174DF4" w:rsidRPr="00F23463">
        <w:t>.</w:t>
      </w:r>
      <w:r w:rsidRPr="00F23463">
        <w:t xml:space="preserve"> Self-control: What role does this play in VBDM?</w:t>
      </w:r>
      <w:bookmarkEnd w:id="87"/>
      <w:bookmarkEnd w:id="88"/>
      <w:bookmarkEnd w:id="89"/>
      <w:bookmarkEnd w:id="90"/>
      <w:bookmarkEnd w:id="91"/>
      <w:bookmarkEnd w:id="92"/>
    </w:p>
    <w:p w14:paraId="1622B1A6" w14:textId="588AE1F0" w:rsidR="008A4FF5" w:rsidRPr="00F23463" w:rsidRDefault="008A4FF5" w:rsidP="00840039">
      <w:pPr>
        <w:pStyle w:val="NoSpacing"/>
        <w:spacing w:line="480" w:lineRule="auto"/>
        <w:rPr>
          <w:rFonts w:ascii="Times New Roman" w:hAnsi="Times New Roman" w:cs="Times New Roman"/>
        </w:rPr>
      </w:pPr>
      <w:r w:rsidRPr="00F23463">
        <w:rPr>
          <w:rFonts w:ascii="Times New Roman" w:hAnsi="Times New Roman" w:cs="Times New Roman"/>
        </w:rPr>
        <w:t>Self-control is a multidimensional construct</w:t>
      </w:r>
      <w:r w:rsidR="00136728">
        <w:rPr>
          <w:rFonts w:ascii="Times New Roman" w:hAnsi="Times New Roman" w:cs="Times New Roman"/>
        </w:rPr>
        <w:t>.</w:t>
      </w:r>
      <w:r w:rsidRPr="00F23463">
        <w:rPr>
          <w:rFonts w:ascii="Times New Roman" w:hAnsi="Times New Roman" w:cs="Times New Roman"/>
        </w:rPr>
        <w:t xml:space="preserve"> </w:t>
      </w:r>
      <w:r w:rsidR="00136728">
        <w:rPr>
          <w:rFonts w:ascii="Times New Roman" w:hAnsi="Times New Roman" w:cs="Times New Roman"/>
        </w:rPr>
        <w:t>It incorporates</w:t>
      </w:r>
      <w:r w:rsidRPr="00F23463">
        <w:rPr>
          <w:rFonts w:ascii="Times New Roman" w:hAnsi="Times New Roman" w:cs="Times New Roman"/>
        </w:rPr>
        <w:t xml:space="preserve"> </w:t>
      </w:r>
      <w:r w:rsidR="00136728" w:rsidRPr="00F23463">
        <w:rPr>
          <w:rFonts w:ascii="Times New Roman" w:hAnsi="Times New Roman" w:cs="Times New Roman"/>
        </w:rPr>
        <w:t>elements</w:t>
      </w:r>
      <w:r w:rsidRPr="00F23463">
        <w:rPr>
          <w:rFonts w:ascii="Times New Roman" w:hAnsi="Times New Roman" w:cs="Times New Roman"/>
        </w:rPr>
        <w:t xml:space="preserve"> of self-regulation, inhibitory control, and impulsivity </w:t>
      </w:r>
      <w:r w:rsidR="00B04C6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{"citationID":"7Gn3DE4F","properties":{"formattedCitation":"(Duckworth &amp; Kern, 2011)","plainCitation":"(Duckworth &amp; Kern, 2011)","noteIndex":0},"citationItems":[{"id":1573,"uris":["http://zotero.org/users/7873587/items/RAIGPCDT"],"itemData":{"id":1573,"type":"article-journal","abstract":"There is extraordinary diversity in how the construct of self-control is operationalized in research studies. We meta-analytically examined evidence of convergent validity among executive function, delay of gratification, and self- and informant-report questionnaire measures of self-control. Overall, measures demonstrated moderate convergence (rrandom=.27 [95% CI=.24, .30]; rfixed=.34 [.33,.35], k=282 samples, N=33,564 participants), although there was substantial heterogeneity in the observed correlations. Correlations within and across types of self-control measures were strongest for informant-report questionnaires and weakest for executive function tasks. Questionnaires assessing sensation seeking impulses could be distinguished from questionnaires assessing processes of impulse regulation. We conclude that self-control is a coherent but multidimensional construct best assessed using multiple methods.","container-title":"Journal of Research in Personality","DOI":"10.1016/j.jrp.2011.02.004","ISSN":"0092-6566","issue":"3","journalAbbreviation":"Journal of Research in Personality","language":"en","page":"259-268","source":"ScienceDirect","title":"A meta-analysis of the convergent validity of self-control measures","volume":"45","author":[{"family":"Duckworth","given":"Angela Lee"},{"family":"Kern","given":"Margaret L."}],"issued":{"date-parts":[["2011",6,1]]}}}],"schema":"https://github.com/citation-style-language/schema/raw/master/csl-citation.json"} </w:instrText>
      </w:r>
      <w:r w:rsidR="00B04C67">
        <w:rPr>
          <w:rFonts w:ascii="Times New Roman" w:hAnsi="Times New Roman" w:cs="Times New Roman"/>
        </w:rPr>
        <w:fldChar w:fldCharType="separate"/>
      </w:r>
      <w:r w:rsidR="00B04C67" w:rsidRPr="00B04C67">
        <w:rPr>
          <w:rFonts w:ascii="Times New Roman" w:hAnsi="Times New Roman" w:cs="Times New Roman"/>
        </w:rPr>
        <w:t>(Duckworth &amp; Kern, 2011)</w:t>
      </w:r>
      <w:r w:rsidR="00B04C67">
        <w:rPr>
          <w:rFonts w:ascii="Times New Roman" w:hAnsi="Times New Roman" w:cs="Times New Roman"/>
        </w:rPr>
        <w:fldChar w:fldCharType="end"/>
      </w:r>
      <w:r w:rsidRPr="00F23463">
        <w:rPr>
          <w:rFonts w:ascii="Times New Roman" w:hAnsi="Times New Roman" w:cs="Times New Roman"/>
        </w:rPr>
        <w:t xml:space="preserve"> and</w:t>
      </w:r>
      <w:r w:rsidR="00136728">
        <w:rPr>
          <w:rFonts w:ascii="Times New Roman" w:hAnsi="Times New Roman" w:cs="Times New Roman"/>
        </w:rPr>
        <w:t xml:space="preserve"> is generally defined as</w:t>
      </w:r>
      <w:r w:rsidRPr="00F23463">
        <w:rPr>
          <w:rFonts w:ascii="Times New Roman" w:hAnsi="Times New Roman" w:cs="Times New Roman"/>
        </w:rPr>
        <w:t xml:space="preserve"> the capacity a person has to exert control over thoughts, emotions, and behaviours </w:t>
      </w:r>
      <w:r w:rsidR="00B04C6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{"citationID":"rz7rgtDW","properties":{"formattedCitation":"(de Ridder et al., 2012)","plainCitation":"(de Ridder et al., 2012)","noteIndex":0},"citationItems":[{"id":1576,"uris":["http://zotero.org/users/7873587/items/E3RMPFR9"],"itemData":{"id":1576,"type":"article-journal","abstract":"Given assertions of the theoretical, empirical, and practical importance of self-control, this meta-analytic study sought to review evidence concerning the relationship between dispositional self-control and behavior. The authors provide a brief overview over prominent theories of self-control, identifying implicit assumptions surrounding the effects of self-control that warrant empirical testing. They report the results of a meta-analysis of 102 studies (total N = 32,648) investigating the behavioral effects of self-control using the Self-Control Scale, the Barratt Impulsiveness Scale, and the Low Self-Control Scale. A small to medium positive effect of self-control on behavior was found for the three scales. Only the Self-Control Scale allowed for a fine-grained analysis of conceptual moderators of the self-control behavior relation. Specifically, self-control (measured by the Self-Control Scale) related similarly to the performance of desired behaviors and the inhibition of undesired behaviors, but its effects varied dramatically across life domains (e.g., achievement, adjustment). In addition, the associations between self-control and behavior were significantly stronger for automatic (as compared to controlled) behavior and for imagined (as compared to actual) behavior.","container-title":"Personality and Social Psychology Review","DOI":"10.1177/1088868311418749","ISSN":"1088-8683","issue":"1","journalAbbreviation":"Pers Soc Psychol Rev","language":"en","note":"publisher: SAGE Publications Inc","page":"76-99","source":"SAGE Journals","title":"Taking stock of self-control: A meta-analysis of how trait self-control relates to a wide range of behaviors","title-short":"Taking Stock of Self-Control","volume":"16","author":[{"family":"Ridder","given":"Denise T. D.","non-dropping-particle":"de"},{"family":"Lensvelt-Mulders","given":"Gerty"},{"family":"Finkenauer","given":"Catrin"},{"family":"Stok","given":"F. Marijn"},{"family":"Baumeister","given":"Roy F."}],"issued":{"date-parts":[["2012",2,1]]}}}],"schema":"https://github.com/citation-style-language/schema/raw/master/csl-citation.json"} </w:instrText>
      </w:r>
      <w:r w:rsidR="00B04C67">
        <w:rPr>
          <w:rFonts w:ascii="Times New Roman" w:hAnsi="Times New Roman" w:cs="Times New Roman"/>
        </w:rPr>
        <w:fldChar w:fldCharType="separate"/>
      </w:r>
      <w:r w:rsidR="00B04C67" w:rsidRPr="00B04C67">
        <w:rPr>
          <w:rFonts w:ascii="Times New Roman" w:hAnsi="Times New Roman" w:cs="Times New Roman"/>
        </w:rPr>
        <w:t>(de Ridder et al., 2012)</w:t>
      </w:r>
      <w:r w:rsidR="00B04C67">
        <w:rPr>
          <w:rFonts w:ascii="Times New Roman" w:hAnsi="Times New Roman" w:cs="Times New Roman"/>
        </w:rPr>
        <w:fldChar w:fldCharType="end"/>
      </w:r>
      <w:r w:rsidRPr="00F23463">
        <w:rPr>
          <w:rFonts w:ascii="Times New Roman" w:hAnsi="Times New Roman" w:cs="Times New Roman"/>
        </w:rPr>
        <w:t xml:space="preserve">. </w:t>
      </w:r>
      <w:r w:rsidR="00136728">
        <w:rPr>
          <w:rFonts w:ascii="Times New Roman" w:hAnsi="Times New Roman" w:cs="Times New Roman"/>
        </w:rPr>
        <w:t xml:space="preserve">People higher in self-control ability </w:t>
      </w:r>
      <w:r w:rsidR="00840039">
        <w:rPr>
          <w:rFonts w:ascii="Times New Roman" w:hAnsi="Times New Roman" w:cs="Times New Roman"/>
        </w:rPr>
        <w:t xml:space="preserve">are often able to attain long-term goals, even if there are tempting alternative options available </w:t>
      </w:r>
      <w:r w:rsidR="00B04C6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{"citationID":"c377HLll","properties":{"formattedCitation":"(Hofmann et al., 2012; Metcalfe &amp; Mischel, 1999)","plainCitation":"(Hofmann et al., 2012; Metcalfe &amp; Mischel, 1999)","noteIndex":0},"citationItems":[{"id":1580,"uris":["http://zotero.org/users/7873587/items/FUAZYX7M"],"itemData":{"id":1580,"type":"article-journal","abstract":"How often and how strongly do people experience desires, to what extent do their desires conflict with other goals, and how often and successfully do people exercise self-control to resist their desires? To investigate desire and attempts to control desire in everyday life, we conducted a large-scale experience sampling study based on a conceptual framework integrating desire strength, conflict, resistance (use of self-control), and behavior enactment. A sample of 205 adults wore beepers for a week. They furnished 7,827 reports of desire episodes and completed personality measures of behavioral inhibition system/behavior activation system (BIS/BAS) sensitivity, trait self-control, perfectionism, and narcissistic entitlement. Results suggest that desires are frequent, variable in intensity, and largely unproblematic. Those urges that do conflict with other goals tend to elicit resistance, with uneven success. Desire strength, conflict, resistance, and self-regulatory success were moderated in multiple ways by personality variables as well as by situational and interpersonal factors such as alcohol consumption, the mere presence of others, and the presence of others who already had enacted the desire in question. Whereas personality generally had a stronger impact on the dimensions of desire that emerged early in its course (desire strength and conflict), situational factors showed relatively more influence on components later in the process (resistance and behavior enactment). In total, these findings offer a novel and detailed perspective on the nature of everyday desires and associated self-regulatory successes and failures. (PsycINFO Database Record (c) 2016 APA, all rights reserved)","container-title":"Journal of Personality and Social Psychology","DOI":"10.1037/a0026545","ISSN":"1939-1315","issue":"6","note":"publisher-place: US\npublisher: American Psychological Association","page":"1318-1335","source":"APA PsycNet","title":"Everyday temptations: An experience sampling study of desire, conflict, and self-control","title-short":"Everyday temptations","volume":"102","author":[{"family":"Hofmann","given":"Wilhelm"},{"family":"Baumeister","given":"Roy F."},{"family":"Förster","given":"Georg"},{"family":"Vohs","given":"Kathleen D."}],"issued":{"date-parts":[["2012"]]}},"label":"act"},{"id":1578,"uris":["http://zotero.org/users/7873587/items/GHVDEBYF"],"itemData":{"id":1578,"type":"article-journal","abstract":"A 2-system framework is proposed for understanding the processes that enable—and undermine—self-control or \"willpower\" as exemplified in the delay of gratification paradigm. A cool, cognitive \"know\" system and a hot, emotional \"go\" system are postulated. The cool system is cognitive, emotionally neutral, contemplative, flexible, integrated, coherent, spatiotemporal, slow, episodic, and strategic. It is the seat of self-regulation and self-control. The hot system is the basis of emotionality, fears as well as passions—impulsive and reflexive—initially controlled by innate releasing stimuli (and, thus, literally under \"stimulus control\"); it is fundamental for emotional (classical) conditioning and undermines efforts at self-control. The balance between the hot and cool systems is determined by stress, developmental level, and the individual's self-regulatory dynamics. The interactions between these systems allow explanation of findings on willpower from 3 decades of research. (PsycINFO Database Record (c) 2016 APA, all rights reserved)","container-title":"Psychological Review","DOI":"10.1037/0033-295X.106.1.3","ISSN":"1939-1471","issue":"1","note":"publisher-place: US\npublisher: American Psychological Association","page":"3-19","source":"APA PsycNet","title":"A hot/cool-system analysis of delay of gratification: Dynamics of willpower","title-short":"A hot/cool-system analysis of delay of gratification","volume":"106","author":[{"family":"Metcalfe","given":"Janet"},{"family":"Mischel","given":"Walter"}],"issued":{"date-parts":[["1999"]]}},"label":"page"}],"schema":"https://github.com/citation-style-language/schema/raw/master/csl-citation.json"} </w:instrText>
      </w:r>
      <w:r w:rsidR="00B04C67">
        <w:rPr>
          <w:rFonts w:ascii="Times New Roman" w:hAnsi="Times New Roman" w:cs="Times New Roman"/>
        </w:rPr>
        <w:fldChar w:fldCharType="separate"/>
      </w:r>
      <w:r w:rsidR="00B04C67" w:rsidRPr="00B04C67">
        <w:rPr>
          <w:rFonts w:ascii="Times New Roman" w:hAnsi="Times New Roman" w:cs="Times New Roman"/>
        </w:rPr>
        <w:t>(Hofmann et al., 2012; Metcalfe &amp; Mischel, 1999)</w:t>
      </w:r>
      <w:r w:rsidR="00B04C67">
        <w:rPr>
          <w:rFonts w:ascii="Times New Roman" w:hAnsi="Times New Roman" w:cs="Times New Roman"/>
        </w:rPr>
        <w:fldChar w:fldCharType="end"/>
      </w:r>
      <w:r w:rsidRPr="00F23463">
        <w:rPr>
          <w:rFonts w:ascii="Times New Roman" w:hAnsi="Times New Roman" w:cs="Times New Roman"/>
        </w:rPr>
        <w:t xml:space="preserve">. There is a robust body of evidence demonstrating that impaired self-control is important in </w:t>
      </w:r>
      <w:r w:rsidR="00C50FBB">
        <w:rPr>
          <w:rFonts w:ascii="Times New Roman" w:hAnsi="Times New Roman" w:cs="Times New Roman"/>
        </w:rPr>
        <w:t xml:space="preserve">the development and maintenance of </w:t>
      </w:r>
      <w:r w:rsidRPr="00F23463">
        <w:rPr>
          <w:rFonts w:ascii="Times New Roman" w:hAnsi="Times New Roman" w:cs="Times New Roman"/>
        </w:rPr>
        <w:t xml:space="preserve">addiction, via self-report </w:t>
      </w:r>
      <w:r w:rsidR="00B04C67">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{"citationID":"3xBwQ0vM","properties":{"formattedCitation":"(Copeland et al., 2020; de Ridder et al., 2012; Dvorak et al., 2011; Quinn &amp; Fromme, 2010; E. Stein &amp; Witkiewitz, 2019)","plainCitation":"(Copeland et al., 2020; de Ridder et al., 2012; Dvorak et al., 2011; Quinn &amp; Fromme, 2010; E. Stein &amp; Witkiewitz, 2019)","dontUpdate":true,"noteIndex":0},"citationItems":[{"id":1273,"uris":["http://zotero.org/users/7873587/items/R5Q63SAR"],"itemData":{"id":1273,"type":"article-journal","abstract":"Introduction\nThe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act"},{"id":1576,"uris":["http://zotero.org/users/7873587/items/E3RMPFR9"],"itemData":{"id":1576,"type":"article-journal","abstract":"Given assertions of the theoretical, empirical, and practical importance of self-control, this meta-analytic study sought to review evidence concerning the relationship between dispositional self-control and behavior. The authors provide a brief overview over prominent theories of self-control, identifying implicit assumptions surrounding the effects of self-control that warrant empirical testing. They report the results of a meta-analysis of 102 studies (total N = 32,648) investigating the behavioral effects of self-control using the Self-Control Scale, the Barratt Impulsiveness Scale, and the Low Self-Control Scale. A small to medium positive effect of self-control on behavior was found for the three scales. Only the Self-Control Scale allowed for a fine-grained analysis of conceptual moderators of the self-control behavior relation. Specifically, self-control (measured by the Self-Control Scale) related similarly to the performance of desired behaviors and the inhibition of undesired behaviors, but its effects varied dramatically across life domains (e.g., achievement, adjustment). In addition, the associations between self-control and behavior were significantly stronger for automatic (as compared to controlled) behavior and for imagined (as compared to actual) behavior.","container-title":"Personality and Social Psychology Review","DOI":"10.1177/1088868311418749","ISSN":"1088-8683","issue":"1","journalAbbreviation":"Pers Soc Psychol Rev","language":"en","note":"publisher: SAGE Publications Inc","page":"76-99","source":"SAGE Journals","title":"Taking stock of self-control: A meta-analysis of how trait self-control relates to a wide range of behaviors","title-short":"Taking Stock of Self-Control","volume":"16","author":[{"family":"Ridder","given":"Denise T. D.","non-dropping-particle":"de"},{"family":"Lensvelt-Mulders","given":"Gerty"},{"family":"Finkenauer","given":"Catrin"},{"family":"Stok","given":"F. Marijn"},{"family":"Baumeister","given":"Roy F."}],"issued":{"date-parts":[["2012",2,1]]}},"label":"page"},{"id":1585,"uris":["http://zotero.org/users/7873587/items/P3IJEXPQ"],"itemData":{"id":1585,"type":"article-journal","abstract":"Objective:\nThe current study tested the associations between a dual-systems model of self-control and alcohol use and problem severity.\n\nMethod:\nThe sample consisted of 491 college students (77.0% women) from a rural state university. Participants completed a series of online surveys that assessed aspects of self-control, alcohol consumption, and alcohol-related problems.\n\nResults:\nA confirmatory factor analysis model indicated two moderately correlated factors of poor control and good self-control. Poor control was positively associated with both alcohol use and problem severity. Good self-control had a negative association with problem severity. Good self-control moderated the association between poor control and alcohol use as well as between poor control and problem severity. The association between poor control and alcohol use was stronger at low levels of good self-control, whereas at high levels of good self-control, the effect of poor control was weaker and not significant. The interaction predicting problem severity was different: There was a negative association between good self-control and problem severity at low levels of poor control, and this effect diminished as poor control increased.\n\nConclusions:\nThe results suggest that multidimensional models of self-control may be useful in understanding problematic alcohol use and may be beneficial for prevention and intervention efforts.","container-title":"Journal of Studies on Alcohol and Drugs","ISSN":"1937-1888","issue":"4","journalAbbreviation":"J Stud Alcohol Drugs","note":"PMID: 21683050\nPMCID: PMC3125891","page":"678-684","source":"PubMed Central","title":"Alcohol use and problem severity: Associations with dual systems of self-control","title-short":"Alcohol Use and Problem Severity","volume":"72","author":[{"family":"Dvorak","given":"Robert D."},{"family":"Simons","given":"Jeffrey S."},{"family":"Wray","given":"Tyler B."}],"issued":{"date-parts":[["2011",7]]}},"label":"act"},{"id":1582,"uris":["http://zotero.org/users/7873587/items/P7ZASQVT"],"itemData":{"id":1582,"type":"article-journal","abstract":"Prior research suggests that high dispositional self-regulation leads to decreased levels of risky drinking and sexual behavior in adolescence and the early years of college. Self-regulation may be especially important when individuals have easy access to alcohol and freedom to pursue sexual opportunities. In the current one-year longitudinal study, we followed a sample of N = 1,136 college students who had recently reached the legal age to purchase alcohol and enter bars and clubs in order to test whether self-regulation protected against heavy episodic drinking, alcohol-related problems, and unprotected sex. We tested main effects of self-regulation and interactions among self-regulation and established risk factors (e.g., sensation seeking) on risky drinking and sexual behavior. High self-regulation inversely predicted heavy episodic drinking, alcohol-related problems, and unprotected sex, even when taking into account gender and risk factors. Moreover, in predicting unprotected sex, we found three-way interactions among self-regulation, sensation seeking, and heavy episodic drinking. Self-Regulation buffered against risk associated with heavy drinking but only among those low in sensation seeking. The protective effects of self-regulation for risky drinking and sexual behavior make it a promising target for intervention, with the caveat that self-regulation may be less protective among those who are more drawn to socially and emotionally rewarding stimuli.","container-title":"Psychology of Addictive Behaviors","DOI":"10.1037/a0018547","ISSN":"0893-164X","issue":"3","journalAbbreviation":"Psychol Addict Behav","note":"PMID: 20853922\nPMCID: PMC2947344","page":"376-385","source":"PubMed Central","title":"Self-regulation as a protective factor against risky drinking and sexual behavior","volume":"24","author":[{"family":"Quinn","given":"Patrick D."},{"family":"Fromme","given":"Kim"}],"issued":{"date-parts":[["2010",9]]}},"label":"act"},{"id":1587,"uris":["http://zotero.org/users/7873587/items/YS4GMASM"],"itemData":{"id":1587,"type":"article-journal","abstract":"To more fully understand recovery from alcohol use disorder, we must consider several ways in which reductions in drinking and improvements in psychosocial functioning may occur. Previous research has demonstrated various patterns of drinking and functioning during and after behavioral treatment for alcohol use disorder, including groups of individuals who consume alcohol at low-risk levels and those that report occasional heavy drinking yet good psychosocial functioning. This study aimed to identify whether trait self-control, which has previously been associated with alcohol treatment outcomes, was a predictor of drinking patterns during treatment as well as three years following treatment. Latent variable mixture modeling was used to identify seven classes of drinking patterns during treatment and four profiles of drinking and psychosocial function after treatment. We found that membership in the low-risk drinking class was predicted by greater trait self-control than several of the other classes, including the consistent abstinence class. Furthermore, we found that greater trait self-control predicted membership in two high-functioning recovery profiles at three years following treatment, including a high functioning occasional heavy drinking profile. These findings suggest that self-control is an important predictor of recovery, particularly for a non-abstinent recovery.","container-title":"Addictive Behaviors","DOI":"10.1016/j.addbeh.2019.106083","ISSN":"0306-4603","journalAbbreviation":"Addictive Behaviors","language":"en","page":"106083","source":"ScienceDirect","title":"Trait self-control predicts drinking patterns during treatment for alcohol use disorder and recovery up to three years following treatment","volume":"99","author":[{"family":"Stein","given":"Elena"},{"family":"Witkiewitz","given":"Katie"}],"issued":{"date-parts":[["2019",12,1]]}},"label":"act"}],"schema":"https://github.com/citation-style-language/schema/raw/master/csl-citation.json"} </w:instrText>
      </w:r>
      <w:r w:rsidR="00B04C67">
        <w:rPr>
          <w:rFonts w:ascii="Times New Roman" w:hAnsi="Times New Roman" w:cs="Times New Roman"/>
        </w:rPr>
        <w:fldChar w:fldCharType="separate"/>
      </w:r>
      <w:r w:rsidR="00996995" w:rsidRPr="00996995">
        <w:rPr>
          <w:rFonts w:ascii="Times New Roman" w:hAnsi="Times New Roman" w:cs="Times New Roman"/>
        </w:rPr>
        <w:t>(Copeland et al., 2020; de Ridder et al., 2012; Dvorak et al., 2011; Quinn &amp; Fromme, 2010; Stein &amp; Witkiewitz, 2019)</w:t>
      </w:r>
      <w:r w:rsidR="00B04C67">
        <w:rPr>
          <w:rFonts w:ascii="Times New Roman" w:hAnsi="Times New Roman" w:cs="Times New Roman"/>
        </w:rPr>
        <w:fldChar w:fldCharType="end"/>
      </w:r>
      <w:r w:rsidR="00B04C67">
        <w:rPr>
          <w:rFonts w:ascii="Times New Roman" w:hAnsi="Times New Roman" w:cs="Times New Roman"/>
        </w:rPr>
        <w:t xml:space="preserve"> </w:t>
      </w:r>
      <w:r w:rsidRPr="00F23463">
        <w:rPr>
          <w:rFonts w:ascii="Times New Roman" w:hAnsi="Times New Roman" w:cs="Times New Roman"/>
        </w:rPr>
        <w:t>and behavioural</w:t>
      </w:r>
      <w:r w:rsidR="0040568B">
        <w:rPr>
          <w:rFonts w:ascii="Times New Roman" w:hAnsi="Times New Roman" w:cs="Times New Roman"/>
        </w:rPr>
        <w:t xml:space="preserve"> </w:t>
      </w:r>
      <w:r w:rsidR="0040568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{"citationID":"Uc3d8oGb","properties":{"formattedCitation":"(Christiansen et al., 2012; Houston et al., 2014; Smith et al., 2014)","plainCitation":"(Christiansen et al., 2012; Houston et al., 2014; Smith et al., 2014)","noteIndex":0},"citationItems":[{"id":1590,"uris":["http://zotero.org/users/7873587/items/49G8HJF5"],"itemData":{"id":1590,"type":"article-journal","abstract":"RATIONALE: Hazardous drinking is associated with both increased impulsivity and automatic approach tendencies elicited by alcohol-related cues. However, impulsivity is a multi-factorial construct, and it is currently unclear if all components of impulsivity are associated with heavy drinking. Furthermore, emerging evidence suggests that the relationships between hazardous drinking and automatic alcohol cognitions may be moderated by individual differences in impulsivity.\nOBJECTIVES: The aim of this study was to investigate the independence of measures of impulsivity and their association with hazardous drinking, and to examine if the relationship between hazardous drinking and automatic alcohol approach tendencies would be moderated by individual differences in impulsivity.\nMETHODS: Ninety-seven social drinkers (65 female) completed questionnaire measures of trait impulsivity, alcohol consumption and hazardous drinking. Participants also completed computerised measures of automatic alcohol approach tendencies (stimulus-response compatibility (SRC) task), and two behavioural measures of impulsivity (Go/No-go and delay discounting tasks).\nRESULTS: Principal component analysis revealed that the two measures of behavioural impulsivity were distinct from each other and from self-reported trait impulsivity, although self-reported non-planning impulsivity loaded on to two factors (trait impulsivity and delay discounting). Furthermore, all measures of impulsivity predicted unique variance in hazardous drinking as did automatic alcohol approach tendencies, although the latter relationship was not moderated by impulsivity.\nCONCLUSIONS: These results indicate that multiple components of impulsivity and automatic alcohol approach tendencies explain unique variance in hazardous drinking.","container-title":"Psychopharmacology","DOI":"10.1007/s00213-011-2396-z","ISSN":"1432-2072","issue":"2","journalAbbreviation":"Psychopharmacology (Berl)","language":"eng","note":"PMID: 21735071","page":"501-510","source":"PubMed","title":"Components of behavioural impulsivity and automatic cue approach predict unique variance in hazardous drinking","volume":"219","author":[{"family":"Christiansen","given":"Paul"},{"family":"Cole","given":"Jon C."},{"family":"Goudie","given":"Andrew J."},{"family":"Field","given":"Matt"}],"issued":{"date-parts":[["2012",1]]}},"label":"page"},{"id":1592,"uris":["http://zotero.org/users/7873587/items/CS6HJQWE"],"itemData":{"id":1592,"type":"article-journal","abstract":"Background\nDeficits in several aspects of executive cognitive functioning (ECF) have been consistently associated with alcohol use disorders. Most of this research, however, has been conducted in alcohol dependent patient samples. A handful of recent studies, primarily in college students, have also reported similar deficits, but little is known about the effects of heavy drinking in adult, non-patient men and women.\nMethods\nA community sample (N=560) of men and women completed a brief battery of ECF measures including measures of attentional control, cognitive flexibility, working memory and response inhibition. Quantity/frequency of alcohol and illicit drug use in the past year were also assessed.\nResults\nRegression analyses indicated that men and women with higher levels of alcohol consumption exhibited greater impairment on several ECF measures, primarily those pertaining to cognitive flexibility and response inhibition. These results remained after controlling for demographic factors such as age, gender, education, and illicit drug use.\nConclusions\nThese findings support and extend prior work documenting the deleterious effects of heavy alcohol consumption on ECF in a community sample and specifically indicate robust effects on cognitive flexibility, psychomotor speed, and response inhibition.","container-title":"Addictive Behaviors","DOI":"10.1016/j.addbeh.2013.09.032","ISSN":"0306-4603","issue":"1","journalAbbreviation":"Addictive Behaviors","language":"en","page":"345-349","source":"ScienceDirect","title":"Effects of heavy drinking on executive cognitive functioning in a community sample","volume":"39","author":[{"family":"Houston","given":"Rebecca J."},{"family":"Derrick","given":"Jaye L."},{"family":"Leonard","given":"Kenneth E."},{"family":"Testa","given":"Maria"},{"family":"Quigley","given":"Brian M."},{"family":"Kubiak","given":"Audrey"}],"issued":{"date-parts":[["2014",1,1]]}},"label":"act"},{"id":1595,"uris":["http://zotero.org/users/7873587/items/ME4ATUM5"],"itemData":{"id":1595,"type":"article-journal","abstract":"AIMS: Deficits in behavioural inhibitory control are attracting increasing attention as a factor behind the development and maintenance of substance dependence. However, evidence for such a deficit is varied in the literature. Here, we synthesised published results to determine whether inhibitory ability is reliably impaired in substance users compared to controls.\nMETHODS: The meta-analysis used fixed-effects models to integrate results from 97 studies that compared groups with heavy substance use or addiction-like behaviours with healthy control participants on two experimental paradigms commonly used to assess response inhibition: the Go/NoGo task, and the Stop-Signal Task (SST). The primary measures of interest were commission errors to NoGo stimuli and stop-signal reaction time in the SST. Additionally, we examined omission errors to Go stimuli, and reaction time in both tasks. Because inhibition is more difficult when inhibition is required infrequently, we considered papers with rare and equiprobable NoGo stimuli separately.\nRESULTS: Inhibitory deficits were apparent for heavy use/dependence on cocaine, MDMA, methamphetamine, tobacco, and alcohol (and, to a lesser extent, non-dependent heavy drinkers), and in pathological gamblers. On the other hand, no evidence for an inhibitory deficit was observed for opioids or cannabis, and contradictory evidence was observed for internet addiction.\nCONCLUSIONS: The results are generally consistent with the view that substance use disorders and addiction-like behavioural disorders are associated with impairments in inhibitory control. Implications for treatment of substance use are discussed, along with suggestions for future research arising from the limitations of the extant literature.","container-title":"Drug and Alcohol Dependence","DOI":"10.1016/j.drugalcdep.2014.08.009","ISSN":"1879-0046","journalAbbreviation":"Drug Alcohol Depend","language":"eng","note":"PMID: 25195081","page":"1-33","source":"PubMed","title":"Deficits in behavioural inhibition in substance abuse and addiction: a meta-analysis","title-short":"Deficits in behavioural inhibition in substance abuse and addiction","volume":"145","author":[{"family":"Smith","given":"Janette L."},{"family":"Mattick","given":"Richard P."},{"family":"Jamadar","given":"Sharna D."},{"family":"Iredale","given":"Jaimi M."}],"issued":{"date-parts":[["2014",12,1]]}},"label":"act"}],"schema":"https://github.com/citation-style-language/schema/raw/master/csl-citation.json"} </w:instrText>
      </w:r>
      <w:r w:rsidR="0040568B">
        <w:rPr>
          <w:rFonts w:ascii="Times New Roman" w:hAnsi="Times New Roman" w:cs="Times New Roman"/>
        </w:rPr>
        <w:fldChar w:fldCharType="separate"/>
      </w:r>
      <w:r w:rsidR="0040568B" w:rsidRPr="0040568B">
        <w:rPr>
          <w:rFonts w:ascii="Times New Roman" w:hAnsi="Times New Roman" w:cs="Times New Roman"/>
        </w:rPr>
        <w:t>(Christiansen et al., 2012; Houston et al., 2014; Smith et al., 2014)</w:t>
      </w:r>
      <w:r w:rsidR="0040568B">
        <w:rPr>
          <w:rFonts w:ascii="Times New Roman" w:hAnsi="Times New Roman" w:cs="Times New Roman"/>
        </w:rPr>
        <w:fldChar w:fldCharType="end"/>
      </w:r>
      <w:r w:rsidR="0040568B">
        <w:rPr>
          <w:rFonts w:ascii="Times New Roman" w:hAnsi="Times New Roman" w:cs="Times New Roman"/>
        </w:rPr>
        <w:t xml:space="preserve"> </w:t>
      </w:r>
      <w:r w:rsidR="00B04C67">
        <w:rPr>
          <w:rFonts w:ascii="Times New Roman" w:hAnsi="Times New Roman" w:cs="Times New Roman"/>
        </w:rPr>
        <w:t xml:space="preserve">measures </w:t>
      </w:r>
      <w:r w:rsidRPr="00F23463">
        <w:rPr>
          <w:rFonts w:ascii="Times New Roman" w:hAnsi="Times New Roman" w:cs="Times New Roman"/>
        </w:rPr>
        <w:t xml:space="preserve">of self-control. </w:t>
      </w:r>
    </w:p>
    <w:p w14:paraId="4C05F9E2" w14:textId="77777777" w:rsidR="008A4FF5" w:rsidRPr="00F23463" w:rsidRDefault="008A4FF5" w:rsidP="00AC0B06">
      <w:pPr>
        <w:pStyle w:val="NoSpacing"/>
        <w:spacing w:line="480" w:lineRule="auto"/>
        <w:rPr>
          <w:rFonts w:ascii="Times New Roman" w:hAnsi="Times New Roman" w:cs="Times New Roman"/>
        </w:rPr>
      </w:pPr>
    </w:p>
    <w:p w14:paraId="1C501F02" w14:textId="1BAD94E3" w:rsidR="008A4FF5" w:rsidRPr="00F23463" w:rsidRDefault="008A4FF5" w:rsidP="000C6804">
      <w:pPr>
        <w:pStyle w:val="NoSpacing"/>
        <w:spacing w:line="480" w:lineRule="auto"/>
        <w:rPr>
          <w:rFonts w:ascii="Times New Roman" w:hAnsi="Times New Roman" w:cs="Times New Roman"/>
        </w:rPr>
      </w:pPr>
      <w:r w:rsidRPr="00F23463">
        <w:rPr>
          <w:rFonts w:ascii="Times New Roman" w:hAnsi="Times New Roman" w:cs="Times New Roman"/>
        </w:rPr>
        <w:t xml:space="preserve">Dual-process theories of addiction </w:t>
      </w:r>
      <w:r w:rsidR="00C50FB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{"citationID":"chSmjsTS","properties":{"formattedCitation":"(Stacy &amp; Wiers, 2010)","plainCitation":"(Stacy &amp; Wiers, 2010)","noteIndex":0},"citationItems":[{"id":1599,"uris":["http://zotero.org/users/7873587/items/6P3WZYN5"],"itemData":{"id":1599,"type":"article-journal","abstract":"Research on implicit cognition and addiction has expanded greatly during the past decade. This research area provides new ways to understand why people engage in behaviors that they know are harmful or counterproductive in the long run. Implicit cognition takes a different view from traditional cognitive approaches to addiction by assuming that behavior is often not a result of a reflective decision that takes into account the pros and cons known by the individual. Instead of a cognitive algebra integrating many cognitions relevant to choice, implicit cognition assumes that the influential cognitions are the ones that are spontaneously activated during critical decision points. This selective review highlights many of the consistent findings supporting predictive effects of implicit cognition on substance use and abuse in adolescents and adults; reveals a recent integration with dual-process models; outlines the rapid evolution of different measurement tools; and introduces new routes for intervention.","container-title":"Annual review of clinical psychology","DOI":"10.1146/annurev.clinpsy.121208.131444","ISSN":"1548-5943","journalAbbreviation":"Annu Rev Clin Psychol","note":"PMID: 20192786\nPMCID: PMC3423976","page":"551-575","source":"PubMed Central","title":"Implicit cognition and addiction: A tool for explaining paradoxical behavior","title-short":"Implicit Cognition and Addiction","volume":"6","author":[{"family":"Stacy","given":"Alan W."},{"family":"Wiers","given":"Reinout W."}],"issued":{"date-parts":[["2010"]]}}}],"schema":"https://github.com/citation-style-language/schema/raw/master/csl-citation.json"} </w:instrText>
      </w:r>
      <w:r w:rsidR="00C50FBB">
        <w:rPr>
          <w:rFonts w:ascii="Times New Roman" w:hAnsi="Times New Roman" w:cs="Times New Roman"/>
        </w:rPr>
        <w:fldChar w:fldCharType="separate"/>
      </w:r>
      <w:r w:rsidR="00C50FBB" w:rsidRPr="00C50FBB">
        <w:rPr>
          <w:rFonts w:ascii="Times New Roman" w:hAnsi="Times New Roman" w:cs="Times New Roman"/>
        </w:rPr>
        <w:t>(Stacy &amp; Wiers, 2010)</w:t>
      </w:r>
      <w:r w:rsidR="00C50FBB">
        <w:rPr>
          <w:rFonts w:ascii="Times New Roman" w:hAnsi="Times New Roman" w:cs="Times New Roman"/>
        </w:rPr>
        <w:fldChar w:fldCharType="end"/>
      </w:r>
      <w:r w:rsidRPr="00F23463">
        <w:rPr>
          <w:rFonts w:ascii="Times New Roman" w:hAnsi="Times New Roman" w:cs="Times New Roman"/>
        </w:rPr>
        <w:t xml:space="preserve"> posit that motivation to consume a substance results from an interplay of two cognitive processes; one which is automatic (implicit and impulsive) and another that is controlled (explicit and deliberate), often referred to as ‘hot’ and ‘cold’ processes, respectively. Dual-process approaches assume</w:t>
      </w:r>
      <w:r w:rsidR="008C134D">
        <w:rPr>
          <w:rFonts w:ascii="Times New Roman" w:hAnsi="Times New Roman" w:cs="Times New Roman"/>
        </w:rPr>
        <w:t xml:space="preserve"> that the ability </w:t>
      </w:r>
      <w:r w:rsidR="008C134D">
        <w:rPr>
          <w:rFonts w:ascii="Times New Roman" w:hAnsi="Times New Roman" w:cs="Times New Roman"/>
        </w:rPr>
        <w:lastRenderedPageBreak/>
        <w:t xml:space="preserve">to inhibit a response towards a temptation characterises successful self-control; processes that are controlled inhibit processes that are automatic </w:t>
      </w:r>
      <w:r w:rsidR="00C50FB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{"citationID":"45gpupY5","properties":{"formattedCitation":"(Veling et al., 2008)","plainCitation":"(Veling et al., 2008)","noteIndex":0},"citationItems":[{"id":1604,"uris":["http://zotero.org/users/7873587/items/LRRDVBLQ"],"itemData":{"id":1604,"type":"article-journal","abstract":"In the present article a theory is outlined that explains why and when behavioral inhibition alters stimulus evaluations. In addition, some initial evidence is presented that supports the theory. Specifically, results of three experiments show that refraining from responding to stimuli results in devaluation of these stimuli, but only when these stimuli are positive. These findings suggest automatic behavior-regulation, in terms of devaluation of positive stimuli, in situations in which environmental cues triggering approach (because of the positive valence of the stimulus) run counter to situational demands (cues that elicit behavioral inhibition). Relations of the present research to self-perception, cognitive dissonance, and psychological reactance are discussed.","container-title":"Journal of Experimental Social Psychology","DOI":"10.1016/j.jesp.2008.03.004","ISSN":"0022-1031","issue":"4","journalAbbreviation":"Journal of Experimental Social Psychology","language":"en","page":"1013-1019","source":"ScienceDirect","title":"When approach motivation and behavioral inhibition collide: Behavior regulation through stimulus devaluation","title-short":"When approach motivation and behavioral inhibition collide","volume":"44","author":[{"family":"Veling","given":"Harm"},{"family":"Holland","given":"Rob W."},{"family":"Knippenberg","given":"Ad","non-dropping-particle":"van"}],"issued":{"date-parts":[["2008",7,1]]}}}],"schema":"https://github.com/citation-style-language/schema/raw/master/csl-citation.json"} </w:instrText>
      </w:r>
      <w:r w:rsidR="00C50FBB">
        <w:rPr>
          <w:rFonts w:ascii="Times New Roman" w:hAnsi="Times New Roman" w:cs="Times New Roman"/>
        </w:rPr>
        <w:fldChar w:fldCharType="separate"/>
      </w:r>
      <w:r w:rsidR="00C50FBB" w:rsidRPr="00C50FBB">
        <w:rPr>
          <w:rFonts w:ascii="Times New Roman" w:hAnsi="Times New Roman" w:cs="Times New Roman"/>
        </w:rPr>
        <w:t>(Veling et al., 2008)</w:t>
      </w:r>
      <w:r w:rsidR="00C50FBB">
        <w:rPr>
          <w:rFonts w:ascii="Times New Roman" w:hAnsi="Times New Roman" w:cs="Times New Roman"/>
        </w:rPr>
        <w:fldChar w:fldCharType="end"/>
      </w:r>
      <w:r w:rsidR="00C50FBB">
        <w:rPr>
          <w:rFonts w:ascii="Times New Roman" w:hAnsi="Times New Roman" w:cs="Times New Roman"/>
        </w:rPr>
        <w:t xml:space="preserve">. </w:t>
      </w:r>
      <w:r w:rsidR="008C134D">
        <w:rPr>
          <w:rFonts w:ascii="Times New Roman" w:hAnsi="Times New Roman" w:cs="Times New Roman"/>
        </w:rPr>
        <w:t xml:space="preserve">According to dual-process theories, then, </w:t>
      </w:r>
      <w:r w:rsidR="000C6804">
        <w:rPr>
          <w:rFonts w:ascii="Times New Roman" w:hAnsi="Times New Roman" w:cs="Times New Roman"/>
        </w:rPr>
        <w:t xml:space="preserve">conflicting automatic and controlled processes underlie lapses in self-control </w:t>
      </w:r>
      <w:r w:rsidR="000C58F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{"citationID":"WpETb3z9","properties":{"formattedCitation":"(McClure &amp; Bickel, 2014)","plainCitation":"(McClure &amp; Bickel, 2014)","noteIndex":0},"citationItems":[{"id":1611,"uris":["http://zotero.org/users/7873587/items/MM2U2968"],"itemData":{"id":1611,"type":"article-journal","abstract":"Dual-systems theories explain lapses in self-control in terms of a conflict between automatic and deliberative modes of behavioral control. Numerous studies have now tested whether the brain areas that control behavior are organized in a manner consistent with dual-systems models. Brain regions directly associated with the mesolimbic dopamine system, the nucleus accumbens (NAcc) and ventromedial prefrontal cortex (vmPFC) in particular, capture some of the features assumed by automatic processing. Regions in the lateral prefrontal cortex (lPFC) are more closely linked to deliberative processing and the exertion of self-control in the suppression of impulses. While identifying these regions crudely supports dual-system theories, important modifications to what constitutes automatic and deliberative behavioral control are also suggested. Experiments have identified various means by which automatic processes may be sculpted. Additional work decomposes deliberative processes into component functions such as generalized working memory, reappraisal of emotional stimuli, and prospection. The importance of deconstructing dual-systems models into specific cognitive processes is clear for understanding and treating addiction. We discuss intervention possibilities suggested by recent research, and focus in particular on cognitive training approaches to bolster deliberative control processes that may aid quit attempts.","container-title":"Annals of the New York Academy of Sciences","DOI":"10.1111/nyas.12561","ISSN":"0077-8923","journalAbbreviation":"Ann N Y Acad Sci","note":"PMID: 25336389\nPMCID: PMC4285342","page":"62-78","source":"PubMed Central","title":"A dual-systems perspective on addiction: contributions from neuroimaging and cognitive training","title-short":"A dual-systems perspective on addiction","volume":"1327","author":[{"family":"McClure","given":"Samuel M."},{"family":"Bickel","given":"Warren K."}],"issued":{"date-parts":[["2014",10]]}}}],"schema":"https://github.com/citation-style-language/schema/raw/master/csl-citation.json"} </w:instrText>
      </w:r>
      <w:r w:rsidR="000C58F6">
        <w:rPr>
          <w:rFonts w:ascii="Times New Roman" w:hAnsi="Times New Roman" w:cs="Times New Roman"/>
        </w:rPr>
        <w:fldChar w:fldCharType="separate"/>
      </w:r>
      <w:r w:rsidR="000C58F6" w:rsidRPr="000C58F6">
        <w:rPr>
          <w:rFonts w:ascii="Times New Roman" w:hAnsi="Times New Roman" w:cs="Times New Roman"/>
        </w:rPr>
        <w:t>(McClure &amp; Bickel, 2014)</w:t>
      </w:r>
      <w:r w:rsidR="000C58F6">
        <w:rPr>
          <w:rFonts w:ascii="Times New Roman" w:hAnsi="Times New Roman" w:cs="Times New Roman"/>
        </w:rPr>
        <w:fldChar w:fldCharType="end"/>
      </w:r>
      <w:r w:rsidRPr="00F23463">
        <w:rPr>
          <w:rFonts w:ascii="Times New Roman" w:hAnsi="Times New Roman" w:cs="Times New Roman"/>
        </w:rPr>
        <w:t xml:space="preserve">. </w:t>
      </w:r>
    </w:p>
    <w:p w14:paraId="48C24347" w14:textId="77777777" w:rsidR="008A4FF5" w:rsidRPr="00F23463" w:rsidRDefault="008A4FF5" w:rsidP="00AC0B06">
      <w:pPr>
        <w:pStyle w:val="NoSpacing"/>
        <w:spacing w:line="480" w:lineRule="auto"/>
        <w:rPr>
          <w:rFonts w:ascii="Times New Roman" w:hAnsi="Times New Roman" w:cs="Times New Roman"/>
        </w:rPr>
      </w:pPr>
    </w:p>
    <w:p w14:paraId="5F9BD36E" w14:textId="71853CFB" w:rsidR="008A4FF5" w:rsidRPr="00F23463" w:rsidRDefault="008A4FF5" w:rsidP="000C58F6">
      <w:pPr>
        <w:pStyle w:val="NoSpacing"/>
        <w:spacing w:line="480" w:lineRule="auto"/>
        <w:rPr>
          <w:rFonts w:ascii="Times New Roman" w:hAnsi="Times New Roman" w:cs="Times New Roman"/>
        </w:rPr>
      </w:pPr>
      <w:r w:rsidRPr="00F23463">
        <w:rPr>
          <w:rFonts w:ascii="Times New Roman" w:hAnsi="Times New Roman" w:cs="Times New Roman"/>
        </w:rPr>
        <w:t xml:space="preserve">Most theories of addiction recognise the importance of impaired self-control but conceptualise self-control and value-based processes as conceptually distinct from one another. However, there are at least two theories that suggest self-control processes may be implicated within VBDM. For example, the behaviour-stimulus interaction theory proposed by </w:t>
      </w:r>
      <w:r w:rsidR="000C58F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{"citationID":"goLRqMea","properties":{"formattedCitation":"(Veling et al., 2008)","plainCitation":"(Veling et al., 2008)","dontUpdate":true,"noteIndex":0},"citationItems":[{"id":1604,"uris":["http://zotero.org/users/7873587/items/LRRDVBLQ"],"itemData":{"id":1604,"type":"article-journal","abstract":"In the present article a theory is outlined that explains why and when behavioral inhibition alters stimulus evaluations. In addition, some initial evidence is presented that supports the theory. Specifically, results of three experiments show that refraining from responding to stimuli results in devaluation of these stimuli, but only when these stimuli are positive. These findings suggest automatic behavior-regulation, in terms of devaluation of positive stimuli, in situations in which environmental cues triggering approach (because of the positive valence of the stimulus) run counter to situational demands (cues that elicit behavioral inhibition). Relations of the present research to self-perception, cognitive dissonance, and psychological reactance are discussed.","container-title":"Journal of Experimental Social Psychology","DOI":"10.1016/j.jesp.2008.03.004","ISSN":"0022-1031","issue":"4","journalAbbreviation":"Journal of Experimental Social Psychology","language":"en","page":"1013-1019","source":"ScienceDirect","title":"When approach motivation and behavioral inhibition collide: Behavior regulation through stimulus devaluation","title-short":"When approach motivation and behavioral inhibition collide","volume":"44","author":[{"family":"Veling","given":"Harm"},{"family":"Holland","given":"Rob W."},{"family":"Knippenberg","given":"Ad","non-dropping-particle":"van"}],"issued":{"date-parts":[["2008",7,1]]}}}],"schema":"https://github.com/citation-style-language/schema/raw/master/csl-citation.json"} </w:instrText>
      </w:r>
      <w:r w:rsidR="000C58F6">
        <w:rPr>
          <w:rFonts w:ascii="Times New Roman" w:hAnsi="Times New Roman" w:cs="Times New Roman"/>
        </w:rPr>
        <w:fldChar w:fldCharType="separate"/>
      </w:r>
      <w:r w:rsidR="000C58F6" w:rsidRPr="000C58F6">
        <w:rPr>
          <w:rFonts w:ascii="Times New Roman" w:hAnsi="Times New Roman" w:cs="Times New Roman"/>
        </w:rPr>
        <w:t xml:space="preserve">Veling et al. </w:t>
      </w:r>
      <w:r w:rsidR="000C58F6">
        <w:rPr>
          <w:rFonts w:ascii="Times New Roman" w:hAnsi="Times New Roman" w:cs="Times New Roman"/>
        </w:rPr>
        <w:t>(</w:t>
      </w:r>
      <w:r w:rsidR="000C58F6" w:rsidRPr="000C58F6">
        <w:rPr>
          <w:rFonts w:ascii="Times New Roman" w:hAnsi="Times New Roman" w:cs="Times New Roman"/>
        </w:rPr>
        <w:t>2008)</w:t>
      </w:r>
      <w:r w:rsidR="000C58F6">
        <w:rPr>
          <w:rFonts w:ascii="Times New Roman" w:hAnsi="Times New Roman" w:cs="Times New Roman"/>
        </w:rPr>
        <w:fldChar w:fldCharType="end"/>
      </w:r>
      <w:r w:rsidRPr="00F23463">
        <w:rPr>
          <w:rFonts w:ascii="Times New Roman" w:hAnsi="Times New Roman" w:cs="Times New Roman"/>
        </w:rPr>
        <w:t xml:space="preserve"> assumes that successful self-control requires inhibiting impulses toward temptations or rewards, and by doing so, this alters the valuation of that reward such that it becomes devalued. Accordingly, in line with dual-process theories, controlled processes are proposed to inhibit automatic processes and therefore, dual-system theories conceptualise lapses in self-control in terms of a conflict between automatic and controlled models of behavioural control </w:t>
      </w:r>
      <w:r w:rsidR="000C58F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{"citationID":"SN33zy3U","properties":{"formattedCitation":"(McClure &amp; Bickel, 2014)","plainCitation":"(McClure &amp; Bickel, 2014)","noteIndex":0},"citationItems":[{"id":1611,"uris":["http://zotero.org/users/7873587/items/MM2U2968"],"itemData":{"id":1611,"type":"article-journal","abstract":"Dual-systems theories explain lapses in self-control in terms of a conflict between automatic and deliberative modes of behavioral control. Numerous studies have now tested whether the brain areas that control behavior are organized in a manner consistent with dual-systems models. Brain regions directly associated with the mesolimbic dopamine system, the nucleus accumbens (NAcc) and ventromedial prefrontal cortex (vmPFC) in particular, capture some of the features assumed by automatic processing. Regions in the lateral prefrontal cortex (lPFC) are more closely linked to deliberative processing and the exertion of self-control in the suppression of impulses. While identifying these regions crudely supports dual-system theories, important modifications to what constitutes automatic and deliberative behavioral control are also suggested. Experiments have identified various means by which automatic processes may be sculpted. Additional work decomposes deliberative processes into component functions such as generalized working memory, reappraisal of emotional stimuli, and prospection. The importance of deconstructing dual-systems models into specific cognitive processes is clear for understanding and treating addiction. We discuss intervention possibilities suggested by recent research, and focus in particular on cognitive training approaches to bolster deliberative control processes that may aid quit attempts.","container-title":"Annals of the New York Academy of Sciences","DOI":"10.1111/nyas.12561","ISSN":"0077-8923","journalAbbreviation":"Ann N Y Acad Sci","note":"PMID: 25336389\nPMCID: PMC4285342","page":"62-78","source":"PubMed Central","title":"A dual-systems perspective on addiction: contributions from neuroimaging and cognitive training","title-short":"A dual-systems perspective on addiction","volume":"1327","author":[{"family":"McClure","given":"Samuel M."},{"family":"Bickel","given":"Warren K."}],"issued":{"date-parts":[["2014",10]]}}}],"schema":"https://github.com/citation-style-language/schema/raw/master/csl-citation.json"} </w:instrText>
      </w:r>
      <w:r w:rsidR="000C58F6">
        <w:rPr>
          <w:rFonts w:ascii="Times New Roman" w:hAnsi="Times New Roman" w:cs="Times New Roman"/>
        </w:rPr>
        <w:fldChar w:fldCharType="separate"/>
      </w:r>
      <w:r w:rsidR="000C58F6" w:rsidRPr="000C58F6">
        <w:rPr>
          <w:rFonts w:ascii="Times New Roman" w:hAnsi="Times New Roman" w:cs="Times New Roman"/>
        </w:rPr>
        <w:t>(McClure &amp; Bickel, 2014)</w:t>
      </w:r>
      <w:r w:rsidR="000C58F6">
        <w:rPr>
          <w:rFonts w:ascii="Times New Roman" w:hAnsi="Times New Roman" w:cs="Times New Roman"/>
        </w:rPr>
        <w:fldChar w:fldCharType="end"/>
      </w:r>
      <w:r w:rsidRPr="00F23463">
        <w:rPr>
          <w:rFonts w:ascii="Times New Roman" w:hAnsi="Times New Roman" w:cs="Times New Roman"/>
        </w:rPr>
        <w:t>.</w:t>
      </w:r>
    </w:p>
    <w:p w14:paraId="780B1E97" w14:textId="77777777" w:rsidR="008A4FF5" w:rsidRPr="00F23463" w:rsidRDefault="008A4FF5" w:rsidP="00AC0B06">
      <w:pPr>
        <w:pStyle w:val="NoSpacing"/>
        <w:spacing w:line="480" w:lineRule="auto"/>
        <w:rPr>
          <w:rFonts w:ascii="Times New Roman" w:hAnsi="Times New Roman" w:cs="Times New Roman"/>
        </w:rPr>
      </w:pPr>
    </w:p>
    <w:p w14:paraId="5DA17BD1" w14:textId="5ECEC012" w:rsidR="008A4FF5" w:rsidRPr="00F23463" w:rsidRDefault="008A4FF5" w:rsidP="00765041">
      <w:pPr>
        <w:pStyle w:val="NoSpacing"/>
        <w:spacing w:line="480" w:lineRule="auto"/>
        <w:rPr>
          <w:rFonts w:ascii="Times New Roman" w:hAnsi="Times New Roman" w:cs="Times New Roman"/>
        </w:rPr>
      </w:pPr>
      <w:r w:rsidRPr="00F23463">
        <w:rPr>
          <w:rFonts w:ascii="Times New Roman" w:hAnsi="Times New Roman" w:cs="Times New Roman"/>
        </w:rPr>
        <w:t xml:space="preserve">Alternatively, researchers in the field of self-regulation developed a model of self-control in which outcomes are understood as a conflict between the value of two alternative options, rather than as a dual-process conflict between automatic and controlled processes </w:t>
      </w:r>
      <w:r w:rsidR="0076504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{"citationID":"wGe9DcZI","properties":{"formattedCitation":"(Berkman et al., 2017)","plainCitation":"(Berkman et al., 2017)","noteIndex":0},"citationItems":[{"id":1528,"uris":["http://zotero.org/users/7873587/items/BGCGUKYV"],"itemData":{"id":1528,"type":"article-journal","abstract":"Self-control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765041">
        <w:rPr>
          <w:rFonts w:ascii="Times New Roman" w:hAnsi="Times New Roman" w:cs="Times New Roman"/>
        </w:rPr>
        <w:fldChar w:fldCharType="separate"/>
      </w:r>
      <w:r w:rsidR="00765041" w:rsidRPr="00765041">
        <w:rPr>
          <w:rFonts w:ascii="Times New Roman" w:hAnsi="Times New Roman" w:cs="Times New Roman"/>
        </w:rPr>
        <w:t>(Berkman et al., 2017)</w:t>
      </w:r>
      <w:r w:rsidR="00765041">
        <w:rPr>
          <w:rFonts w:ascii="Times New Roman" w:hAnsi="Times New Roman" w:cs="Times New Roman"/>
        </w:rPr>
        <w:fldChar w:fldCharType="end"/>
      </w:r>
      <w:r w:rsidRPr="00F23463">
        <w:rPr>
          <w:rFonts w:ascii="Times New Roman" w:hAnsi="Times New Roman" w:cs="Times New Roman"/>
        </w:rPr>
        <w:t xml:space="preserve">. In this model of self-control put forward by </w:t>
      </w:r>
      <w:r w:rsidR="0076504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{"citationID":"YssxcjHi","properties":{"formattedCitation":"(Berkman et al., 2017)","plainCitation":"(Berkman et al., 2017)","dontUpdate":true,"noteIndex":0},"citationItems":[{"id":1528,"uris":["http://zotero.org/users/7873587/items/BGCGUKYV"],"itemData":{"id":1528,"type":"article-journal","abstract":"Self-control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765041">
        <w:rPr>
          <w:rFonts w:ascii="Times New Roman" w:hAnsi="Times New Roman" w:cs="Times New Roman"/>
        </w:rPr>
        <w:fldChar w:fldCharType="separate"/>
      </w:r>
      <w:r w:rsidR="00765041" w:rsidRPr="00765041">
        <w:rPr>
          <w:rFonts w:ascii="Times New Roman" w:hAnsi="Times New Roman" w:cs="Times New Roman"/>
        </w:rPr>
        <w:t xml:space="preserve">Berkman et al. </w:t>
      </w:r>
      <w:r w:rsidR="00765041">
        <w:rPr>
          <w:rFonts w:ascii="Times New Roman" w:hAnsi="Times New Roman" w:cs="Times New Roman"/>
        </w:rPr>
        <w:t>(</w:t>
      </w:r>
      <w:r w:rsidR="00765041" w:rsidRPr="00765041">
        <w:rPr>
          <w:rFonts w:ascii="Times New Roman" w:hAnsi="Times New Roman" w:cs="Times New Roman"/>
        </w:rPr>
        <w:t>2017)</w:t>
      </w:r>
      <w:r w:rsidR="00765041">
        <w:rPr>
          <w:rFonts w:ascii="Times New Roman" w:hAnsi="Times New Roman" w:cs="Times New Roman"/>
        </w:rPr>
        <w:fldChar w:fldCharType="end"/>
      </w:r>
      <w:r w:rsidR="00765041">
        <w:rPr>
          <w:rFonts w:ascii="Times New Roman" w:hAnsi="Times New Roman" w:cs="Times New Roman"/>
        </w:rPr>
        <w:t xml:space="preserve"> </w:t>
      </w:r>
      <w:r w:rsidR="00A7447C">
        <w:rPr>
          <w:rFonts w:ascii="Times New Roman" w:hAnsi="Times New Roman" w:cs="Times New Roman"/>
        </w:rPr>
        <w:t>decisions are made through a dynamic integration process</w:t>
      </w:r>
      <w:r w:rsidR="00765041">
        <w:rPr>
          <w:rFonts w:ascii="Times New Roman" w:hAnsi="Times New Roman" w:cs="Times New Roman"/>
        </w:rPr>
        <w:t xml:space="preserve"> as outlined earlier (</w:t>
      </w:r>
      <w:r w:rsidR="00765041" w:rsidRPr="0045059A">
        <w:rPr>
          <w:rFonts w:ascii="Times New Roman" w:hAnsi="Times New Roman" w:cs="Times New Roman"/>
        </w:rPr>
        <w:t>p.</w:t>
      </w:r>
      <w:r w:rsidR="0045059A" w:rsidRPr="0045059A">
        <w:rPr>
          <w:rFonts w:ascii="Times New Roman" w:hAnsi="Times New Roman" w:cs="Times New Roman"/>
        </w:rPr>
        <w:t>40</w:t>
      </w:r>
      <w:r w:rsidR="00765041">
        <w:rPr>
          <w:rFonts w:ascii="Times New Roman" w:hAnsi="Times New Roman" w:cs="Times New Roman"/>
        </w:rPr>
        <w:t xml:space="preserve">), but value </w:t>
      </w:r>
      <w:r w:rsidRPr="00F23463">
        <w:rPr>
          <w:rFonts w:ascii="Times New Roman" w:hAnsi="Times New Roman" w:cs="Times New Roman"/>
        </w:rPr>
        <w:t xml:space="preserve">evidence accumulates most rapidly for </w:t>
      </w:r>
      <w:r w:rsidR="0045059A">
        <w:rPr>
          <w:rFonts w:ascii="Times New Roman" w:hAnsi="Times New Roman" w:cs="Times New Roman"/>
        </w:rPr>
        <w:t>immediately</w:t>
      </w:r>
      <w:r w:rsidRPr="00F23463">
        <w:rPr>
          <w:rFonts w:ascii="Times New Roman" w:hAnsi="Times New Roman" w:cs="Times New Roman"/>
        </w:rPr>
        <w:t xml:space="preserve"> available </w:t>
      </w:r>
      <w:r w:rsidR="0045059A">
        <w:rPr>
          <w:rFonts w:ascii="Times New Roman" w:hAnsi="Times New Roman" w:cs="Times New Roman"/>
        </w:rPr>
        <w:t>outcomes</w:t>
      </w:r>
      <w:r w:rsidRPr="00F23463">
        <w:rPr>
          <w:rFonts w:ascii="Times New Roman" w:hAnsi="Times New Roman" w:cs="Times New Roman"/>
        </w:rPr>
        <w:t xml:space="preserve"> as opposed to outcomes whereby there is some type of delay. Therefore, this model provides a computational account of the effects of DD on choice.</w:t>
      </w:r>
    </w:p>
    <w:p w14:paraId="1717EF99" w14:textId="77777777" w:rsidR="008A4FF5" w:rsidRPr="00F23463" w:rsidRDefault="008A4FF5" w:rsidP="00AC0B06">
      <w:pPr>
        <w:pStyle w:val="NoSpacing"/>
        <w:spacing w:line="480" w:lineRule="auto"/>
        <w:rPr>
          <w:rFonts w:ascii="Times New Roman" w:hAnsi="Times New Roman" w:cs="Times New Roman"/>
        </w:rPr>
      </w:pPr>
    </w:p>
    <w:p w14:paraId="0C4F7EED" w14:textId="52D1E4DC" w:rsidR="008A4FF5" w:rsidRPr="00F23463" w:rsidRDefault="008A4FF5" w:rsidP="00573078">
      <w:pPr>
        <w:pStyle w:val="Heading2"/>
      </w:pPr>
      <w:bookmarkStart w:id="93" w:name="_Toc109901461"/>
      <w:bookmarkStart w:id="94" w:name="_Toc109901934"/>
      <w:bookmarkStart w:id="95" w:name="_Toc109911328"/>
      <w:bookmarkStart w:id="96" w:name="_Toc110612731"/>
      <w:bookmarkStart w:id="97" w:name="_Toc110629041"/>
      <w:bookmarkStart w:id="98" w:name="_Toc110870949"/>
      <w:r w:rsidRPr="00F23463">
        <w:lastRenderedPageBreak/>
        <w:t>1.8</w:t>
      </w:r>
      <w:r w:rsidR="00174DF4" w:rsidRPr="00F23463">
        <w:t>.</w:t>
      </w:r>
      <w:r w:rsidRPr="00F23463">
        <w:t xml:space="preserve"> Where is the research gap and why is this PhD important?</w:t>
      </w:r>
      <w:bookmarkEnd w:id="93"/>
      <w:bookmarkEnd w:id="94"/>
      <w:bookmarkEnd w:id="95"/>
      <w:bookmarkEnd w:id="96"/>
      <w:bookmarkEnd w:id="97"/>
      <w:bookmarkEnd w:id="98"/>
    </w:p>
    <w:p w14:paraId="60C5025E" w14:textId="3BCCF5F7" w:rsidR="008A4FF5" w:rsidRPr="00F23463" w:rsidRDefault="008A4FF5" w:rsidP="009C7CA5">
      <w:pPr>
        <w:pStyle w:val="NoSpacing"/>
        <w:spacing w:line="480" w:lineRule="auto"/>
        <w:rPr>
          <w:rFonts w:ascii="Times New Roman" w:hAnsi="Times New Roman" w:cs="Times New Roman"/>
        </w:rPr>
      </w:pPr>
      <w:r w:rsidRPr="00F23463">
        <w:rPr>
          <w:rFonts w:ascii="Times New Roman" w:hAnsi="Times New Roman" w:cs="Times New Roman"/>
        </w:rPr>
        <w:t xml:space="preserve">Addiction is frequently understood to be a chronic and relapsing brain disease characterised by a loss of control and compulsive substance use </w:t>
      </w:r>
      <w:r w:rsidR="0076504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{"citationID":"XUo3yz24","properties":{"formattedCitation":"(Volkow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765041">
        <w:rPr>
          <w:rFonts w:ascii="Times New Roman" w:hAnsi="Times New Roman" w:cs="Times New Roman"/>
        </w:rPr>
        <w:fldChar w:fldCharType="separate"/>
      </w:r>
      <w:r w:rsidR="00765041" w:rsidRPr="00765041">
        <w:rPr>
          <w:rFonts w:ascii="Times New Roman" w:hAnsi="Times New Roman" w:cs="Times New Roman"/>
        </w:rPr>
        <w:t>(Volkow et al., 2016)</w:t>
      </w:r>
      <w:r w:rsidR="00765041">
        <w:rPr>
          <w:rFonts w:ascii="Times New Roman" w:hAnsi="Times New Roman" w:cs="Times New Roman"/>
        </w:rPr>
        <w:fldChar w:fldCharType="end"/>
      </w:r>
      <w:r w:rsidRPr="00F23463">
        <w:rPr>
          <w:rFonts w:ascii="Times New Roman" w:hAnsi="Times New Roman" w:cs="Times New Roman"/>
        </w:rPr>
        <w:t xml:space="preserve">. This is incompatible however with evidence demonstrating that most people recover from addiction, and frequently without any form of professional treatment </w:t>
      </w:r>
      <w:r w:rsidR="00765041">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{"citationID":"HCvNUKQa","properties":{"formattedCitation":"(Dawson et al., 2005; Heyman, 2013; Lopez-Quintero et al., 2011; Tucker et al., 2020)","plainCitation":"(Dawson et al., 2005; Heyman, 2013; Lopez-Quintero et al., 2011; Tucker et al., 2020)","dontUpdate":true,"noteIndex":0},"citationItems":[{"id":1245,"uris":["http://zotero.org/users/7873587/items/6RCXBNU2"],"itemData":{"id":1245,"type":"article-journal","abstract":"Aims To investigate the prevalence and correlates of recovery from Diagnostic and Statistical Manual version IV (DSM-IV) alcohol dependence by examining the past-year status of individuals who met the criteria for prior-to-past-year (PPY) dependence. Design Cross-sectional, retrospective survey of a nationally representative sample of US adults 18 years of age and over (first wave of a planned longitudinal survey). Methods This analysis is based on data from the 2001–02 National Epidemiologic Survey on Alcohol and Related Conditions (NESARC), in which data were collected in personal interviews conducted with one randomly selected adult in each sample household. A subset of the NESARC sample (total n = 43 093), consisting of 4422 US adults 18 years of age and over classified with PPY DSM-IV alcohol dependence, were evaluated with respect to their past-year recovery status: past-year dependence, partial remission, full remission, asymptomatic risk drinking, abstinent recovery (AR) and non-abstinent recovery (NR). Correlates of past-year status were examined in bivariate analyses and using multivariate logistic regression models. Findings Of people classified with PPY alcohol dependence, 25.0% were still classified as dependent in the past year; 27.3% were classified as being in partial remission; 11.8% were asymptomatic risk drinkers who demonstrated a pattern of drinking that put them at risk of relapse; 17.7% were low-risk drinkers; and 18.2% were abstainers. Only 25.5% of people with PPY dependence ever received treatment. Being married was associated positively with the odds of both AR and NR, and ethanol intake was negatively associated with both. Severity of dependence increased the odds of AR but decreased the odds of NR. The odds of AR (but not NR) increased with age and female gender but were decreased by the presence of a personality disorder. Treatment history modified the effects of college attendance/graduation, age at onset and interval since onset on the odds of recovery. Conclusions There is a substantial level of recovery from alcohol dependence. Information on factors associated with recovery may be useful in targeting appropriate treatment modalities.","container-title":"Addiction","DOI":"10.1111/j.1360-0443.2004.00964.x","ISSN":"1360-0443","issue":"3","language":"en","note":"_eprint: https://onlinelibrary.wiley.com/doi/pdf/10.1111/j.1360-0443.2004.00964.x","page":"281-292","source":"Wiley Online Library","title":"Recovery from DSM-IV alcohol dependence: United States, 2001–2002","title-short":"Recovery from DSM-IV alcohol dependence","volume":"100","author":[{"family":"Dawson","given":"Deborah A."},{"family":"Grant","given":"Bridget F."},{"family":"Stinson","given":"Frederick S."},{"family":"Chou","given":"Patricia S."},{"family":"Huang","given":"Boji"},{"family":"Ruan","given":"W. June"}],"issued":{"date-parts":[["2005"]]}},"label":"act"},{"id":1194,"uris":["http://zotero.org/users/7873587/items/EVK5TMZB"],"itemData":{"id":1194,"type":"article-journal","abstract":"Addiction’s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M."}],"accessed":{"date-parts":[["2022",8,1]]},"issued":{"date-parts":[["2013"]]}},"label":"act"},{"id":1189,"uris":["http://zotero.org/users/7873587/items/TH3K3I3H"],"itemData":{"id":1189,"type":"article-journal","abstract":"Aim\nTo estimate the general and racial-ethnic specific cumulative probability of remission from nicotine alcohol cannabis or cocaine dependence, and to identify predictors of remission across substances.\n\nDesign\nData were collected from structured diagnostic interviews using the Alcohol Use Disorder and Associated Disabilities Interview Schedule – DSM-IV version.\n\nSetting\nThe 2001–2002 NESARC surveyed a nationally representative sample from USA adults (n=43,093) selected in a three-stage sampling design.\n\nParticipants\nThe subsamples of individuals with lifetime DSM-IV diagnosis of dependence on nicotine (n=6,937), alcohol (n=4,781), cannabis (n=530) and cocaine (n=408).\n\nMeasurements\nCumulative probability estimates of dependence remission for the general population and across racial-ethnic groups. Hazard ratios for remission from dependence.\n\nFindings\nLifetime cumulative probability estimates of dependence remission were 83.7% for nicotine, 90.6% for alcohol, 97.2% for cannabis, and 99.2% for cocaine. Half of the cases of nicotine, alcohol, cannabis and cocaine dependence remitted approximately 26, 14, 6 and 5 years after dependence onset, respectively. Males, Blacks and individuals with diagnosis of personality disorders and history of substance use comorbidity exhibited lower hazards of remission for at least two substances.\n\nConclusions\nA significant proportion of individuals with dependence on nicotine, alcohol, cannabis or cocaine achieve remission at some point in their lifetime, although the probability and time to remission varies by substance and racial-ethnic group. Several predictors of remission are shared by at least two substances, suggesting that the processes of remission overlap. The lower rates of remission of individuals with comorbid personality or substance use disorders highlight the need of providing coordinated psychiatric and substance abuse interventions.","container-title":"Addiction","DOI":"10.1111/j.1360-0443.2010.03194.x","ISSN":"0965-2140","issue":"3","journalAbbreviation":"Addiction","note":"PMID: 21077975\nPMCID: PMC3227547","page":"657-669","source":"PubMed Central","title":"Probability and predictors of remission from lifetime nicotine, alcohol, cannabis, or cocaine dependence: Results from the National Epidemiologic Survey on Alcohol and Related Conditions","title-short":"Probability and predictors of remission from lifetime nicotine, alcohol, cannabis, or cocaine dependence","volume":"106","author":[{"family":"Lopez-Quintero","given":"Catalina"},{"family":"Hasin","given":"Deborah S."},{"family":"Cobos","given":"José Pérez","non-dropping-particle":"de los"},{"family":"Pines","given":"Abigail"},{"family":"Wang","given":"Shuai"},{"family":"Grant","given":"Bridget F."},{"family":"Blanco","given":"Carlos"}],"issued":{"date-parts":[["2011",3]]}},"label":"page"},{"id":1199,"uris":["http://zotero.org/users/7873587/items/7RDL44BJ"],"itemData":{"id":1199,"type":"article-journal","abstract":"Almost one-third of the U.S. population meets alcohol use disorder (AUD) criteria on a lifetime basis. This review provides an overview of recent research on the prevalence and patterns of alcohol-related improvement and selectively reviews nationally representative surveys and studies that followed risk groups longitudinally with a goal of informing patients with AUD and AUD researchers, clinicians, and policy-makers about patterns of improvement in the population. Based on the research, alcohol use increases during adolescence and early adulthood and then decreases beginning in the mid-20s across the adult life span. Approximately 70% of persons with AUD and alcohol problems improve without interventions (natural recovery), and fewer than 25% utilize alcohol-focused services. Low-risk drinking is a more common outcome in untreated samples, in part because seeking treatment is associated with higher problem severity. Sex differences are more apparent in help-seeking than recovery patterns, and women have lower help-seeking rates than men. Whites are proportionately more likely to utilize services than are Blacks and Hispanics. Improving recovery rates will likely require offering interventions outside of the health care sector to affected communities and utilizing social networks and public health tools to close the longstanding gap between need and utilization of AUD-focused services.","container-title":"Alcohol Research: Current Reviews","DOI":"10.35946/arcr.v40.3.02","ISSN":"2168-3492","issue":"3","journalAbbreviation":"Alcohol Res","note":"PMID: 33194507\nPMCID: PMC7643818","page":"02","source":"PubMed Central","title":"Epidemiology of recovery from alcohol use disorder","volume":"40","author":[{"family":"Tucker","given":"Jalie A."},{"family":"Chandler","given":"Susan D."},{"family":"Witkiewitz","given":"Katie"}],"issued":{"date-parts":[["2020",11,12]]}},"label":"act"}],"schema":"https://github.com/citation-style-language/schema/raw/master/csl-citation.json"} </w:instrText>
      </w:r>
      <w:r w:rsidR="00765041">
        <w:rPr>
          <w:rFonts w:ascii="Times New Roman" w:hAnsi="Times New Roman" w:cs="Times New Roman"/>
        </w:rPr>
        <w:fldChar w:fldCharType="separate"/>
      </w:r>
      <w:r w:rsidR="009C7CA5" w:rsidRPr="009C7CA5">
        <w:rPr>
          <w:rFonts w:ascii="Times New Roman" w:hAnsi="Times New Roman" w:cs="Times New Roman"/>
        </w:rPr>
        <w:t>(</w:t>
      </w:r>
      <w:r w:rsidR="009C7CA5">
        <w:rPr>
          <w:rFonts w:ascii="Times New Roman" w:hAnsi="Times New Roman" w:cs="Times New Roman"/>
        </w:rPr>
        <w:t xml:space="preserve">e.g., </w:t>
      </w:r>
      <w:r w:rsidR="009C7CA5" w:rsidRPr="009C7CA5">
        <w:rPr>
          <w:rFonts w:ascii="Times New Roman" w:hAnsi="Times New Roman" w:cs="Times New Roman"/>
        </w:rPr>
        <w:t>Dawson et al., 2005; Heyman, 2013; Lopez-Quintero et al., 2011; Tucker et al., 2020)</w:t>
      </w:r>
      <w:r w:rsidR="00765041">
        <w:rPr>
          <w:rFonts w:ascii="Times New Roman" w:hAnsi="Times New Roman" w:cs="Times New Roman"/>
        </w:rPr>
        <w:fldChar w:fldCharType="end"/>
      </w:r>
      <w:r w:rsidR="009C7CA5">
        <w:rPr>
          <w:rFonts w:ascii="Times New Roman" w:hAnsi="Times New Roman" w:cs="Times New Roman"/>
        </w:rPr>
        <w:t xml:space="preserve">. </w:t>
      </w:r>
      <w:r w:rsidRPr="00F23463">
        <w:rPr>
          <w:rFonts w:ascii="Times New Roman" w:hAnsi="Times New Roman" w:cs="Times New Roman"/>
        </w:rPr>
        <w:t>Currently, then, less is known about</w:t>
      </w:r>
      <w:r w:rsidR="009C7CA5">
        <w:rPr>
          <w:rFonts w:ascii="Times New Roman" w:hAnsi="Times New Roman" w:cs="Times New Roman"/>
        </w:rPr>
        <w:t xml:space="preserve"> </w:t>
      </w:r>
      <w:r w:rsidRPr="00F23463">
        <w:rPr>
          <w:rFonts w:ascii="Times New Roman" w:hAnsi="Times New Roman" w:cs="Times New Roman"/>
        </w:rPr>
        <w:t>how and why people recover from addiction.</w:t>
      </w:r>
    </w:p>
    <w:p w14:paraId="00F8B9CD" w14:textId="77777777" w:rsidR="008A4FF5" w:rsidRPr="00F23463" w:rsidRDefault="008A4FF5" w:rsidP="00AC0B06">
      <w:pPr>
        <w:pStyle w:val="NoSpacing"/>
        <w:spacing w:line="480" w:lineRule="auto"/>
        <w:rPr>
          <w:rFonts w:ascii="Times New Roman" w:hAnsi="Times New Roman" w:cs="Times New Roman"/>
        </w:rPr>
      </w:pPr>
    </w:p>
    <w:p w14:paraId="60FCA54B" w14:textId="31BA0E07" w:rsidR="008A4FF5" w:rsidRPr="00F23463" w:rsidRDefault="009C7CA5" w:rsidP="001D7206">
      <w:pPr>
        <w:pStyle w:val="NoSpacing"/>
        <w:spacing w:line="480" w:lineRule="auto"/>
        <w:rPr>
          <w:rFonts w:ascii="Times New Roman" w:hAnsi="Times New Roman" w:cs="Times New Roman"/>
        </w:rPr>
      </w:pP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{"citationID":"tkHwScZ0","properties":{"formattedCitation":"(Field,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Pr="009C7CA5">
        <w:rPr>
          <w:rFonts w:ascii="Times New Roman" w:hAnsi="Times New Roman" w:cs="Times New Roman"/>
        </w:rPr>
        <w:t xml:space="preserve">Field, Heather, et al. </w:t>
      </w:r>
      <w:r>
        <w:rPr>
          <w:rFonts w:ascii="Times New Roman" w:hAnsi="Times New Roman" w:cs="Times New Roman"/>
        </w:rPr>
        <w:t>(</w:t>
      </w:r>
      <w:r w:rsidRPr="009C7CA5">
        <w:rPr>
          <w:rFonts w:ascii="Times New Roman" w:hAnsi="Times New Roman" w:cs="Times New Roman"/>
        </w:rPr>
        <w:t>2020)</w:t>
      </w:r>
      <w:r>
        <w:rPr>
          <w:rFonts w:ascii="Times New Roman" w:hAnsi="Times New Roman" w:cs="Times New Roman"/>
        </w:rPr>
        <w:fldChar w:fldCharType="end"/>
      </w:r>
      <w:r w:rsidR="008A4FF5" w:rsidRPr="00F23463">
        <w:rPr>
          <w:rFonts w:ascii="Times New Roman" w:hAnsi="Times New Roman" w:cs="Times New Roman"/>
        </w:rPr>
        <w:t xml:space="preserve"> recently introduced a conceptual account of recovery from addiction, inspired by </w:t>
      </w:r>
      <w:r>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{"citationID":"AGQOvk27","properties":{"formattedCitation":"(Berkman et al., 2017)","plainCitation":"(Berkman et al., 2017)","dontUpdate":true,"noteIndex":0},"citationItems":[{"id":1528,"uris":["http://zotero.org/users/7873587/items/BGCGUKYV"],"itemData":{"id":1528,"type":"article-journal","abstract":"Self-control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Pr>
          <w:rFonts w:ascii="Times New Roman" w:hAnsi="Times New Roman" w:cs="Times New Roman"/>
        </w:rPr>
        <w:fldChar w:fldCharType="separate"/>
      </w:r>
      <w:r w:rsidRPr="009C7CA5">
        <w:rPr>
          <w:rFonts w:ascii="Times New Roman" w:hAnsi="Times New Roman" w:cs="Times New Roman"/>
        </w:rPr>
        <w:t>Berkman et al.</w:t>
      </w:r>
      <w:r>
        <w:rPr>
          <w:rFonts w:ascii="Times New Roman" w:hAnsi="Times New Roman" w:cs="Times New Roman"/>
        </w:rPr>
        <w:t>'s</w:t>
      </w:r>
      <w:r w:rsidRPr="009C7CA5">
        <w:rPr>
          <w:rFonts w:ascii="Times New Roman" w:hAnsi="Times New Roman" w:cs="Times New Roman"/>
        </w:rPr>
        <w:t xml:space="preserve"> </w:t>
      </w:r>
      <w:r>
        <w:rPr>
          <w:rFonts w:ascii="Times New Roman" w:hAnsi="Times New Roman" w:cs="Times New Roman"/>
        </w:rPr>
        <w:t>(</w:t>
      </w:r>
      <w:r w:rsidRPr="009C7CA5">
        <w:rPr>
          <w:rFonts w:ascii="Times New Roman" w:hAnsi="Times New Roman" w:cs="Times New Roman"/>
        </w:rPr>
        <w:t>2017)</w:t>
      </w:r>
      <w:r>
        <w:rPr>
          <w:rFonts w:ascii="Times New Roman" w:hAnsi="Times New Roman" w:cs="Times New Roman"/>
        </w:rPr>
        <w:fldChar w:fldCharType="end"/>
      </w:r>
      <w:r>
        <w:rPr>
          <w:rFonts w:ascii="Times New Roman" w:hAnsi="Times New Roman" w:cs="Times New Roman"/>
        </w:rPr>
        <w:t xml:space="preserve"> </w:t>
      </w:r>
      <w:r w:rsidR="008A4FF5" w:rsidRPr="00F23463">
        <w:rPr>
          <w:rFonts w:ascii="Times New Roman" w:hAnsi="Times New Roman" w:cs="Times New Roman"/>
        </w:rPr>
        <w:t>VBDM framework</w:t>
      </w:r>
      <w:r>
        <w:rPr>
          <w:rFonts w:ascii="Times New Roman" w:hAnsi="Times New Roman" w:cs="Times New Roman"/>
        </w:rPr>
        <w:t xml:space="preserve">. </w:t>
      </w:r>
      <w:r w:rsidR="008A4FF5" w:rsidRPr="00F23463">
        <w:rPr>
          <w:rFonts w:ascii="Times New Roman" w:hAnsi="Times New Roman" w:cs="Times New Roman"/>
        </w:rPr>
        <w:t xml:space="preserve">This conceptual account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{"citationID":"RwybJigL","properties":{"formattedCitation":"(Field,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Pr="009C7CA5">
        <w:rPr>
          <w:rFonts w:ascii="Times New Roman" w:hAnsi="Times New Roman" w:cs="Times New Roman"/>
        </w:rPr>
        <w:t>(Field, Heather, et al., 2020)</w:t>
      </w:r>
      <w:r>
        <w:rPr>
          <w:rFonts w:ascii="Times New Roman" w:hAnsi="Times New Roman" w:cs="Times New Roman"/>
        </w:rPr>
        <w:fldChar w:fldCharType="end"/>
      </w:r>
      <w:r w:rsidR="008A4FF5" w:rsidRPr="00F23463">
        <w:rPr>
          <w:rFonts w:ascii="Times New Roman" w:hAnsi="Times New Roman" w:cs="Times New Roman"/>
        </w:rPr>
        <w:t xml:space="preserve"> encompasses novel speculations about recovery from addiction that integrate principles from behavioural economics and cognitive neuroscience, thereby providing a framework that is interdisciplinary in nature. This conceptual account has not yet been systematically tested, however by doing so, a number of important research gaps will be addressed. </w:t>
      </w:r>
      <w:r>
        <w:rPr>
          <w:rFonts w:ascii="Times New Roman" w:hAnsi="Times New Roman" w:cs="Times New Roman"/>
        </w:rPr>
        <w:t>To recap</w:t>
      </w:r>
      <w:r w:rsidR="008A4FF5" w:rsidRPr="00F23463">
        <w:rPr>
          <w:rFonts w:ascii="Times New Roman" w:hAnsi="Times New Roman" w:cs="Times New Roman"/>
        </w:rPr>
        <w:t xml:space="preserve">, behavioural economics have contributed substantially to the literature on addiction and recovery from it, emphasising the importance of distortions in valuation processes. However, as mentioned previously, these accounts are molar in nature, meaning that their focus is on </w:t>
      </w:r>
      <w:r w:rsidR="008A4FF5" w:rsidRPr="001D7206">
        <w:rPr>
          <w:rFonts w:ascii="Times New Roman" w:hAnsi="Times New Roman" w:cs="Times New Roman"/>
        </w:rPr>
        <w:t xml:space="preserve">patterns of behaviour over time. On the other hand, </w:t>
      </w:r>
      <w:r w:rsidR="001D7206">
        <w:rPr>
          <w:rFonts w:ascii="Times New Roman" w:hAnsi="Times New Roman" w:cs="Times New Roman"/>
        </w:rPr>
        <w:t xml:space="preserve">computational </w:t>
      </w:r>
      <w:r w:rsidR="008A4FF5" w:rsidRPr="001D7206">
        <w:rPr>
          <w:rFonts w:ascii="Times New Roman" w:hAnsi="Times New Roman" w:cs="Times New Roman"/>
        </w:rPr>
        <w:t>decision models</w:t>
      </w:r>
      <w:r w:rsidR="001D7206" w:rsidRPr="001D7206">
        <w:rPr>
          <w:rFonts w:ascii="Arial" w:hAnsi="Arial" w:cs="Arial"/>
          <w:sz w:val="21"/>
          <w:szCs w:val="21"/>
          <w:shd w:val="clear" w:color="auto" w:fill="FFFFFF"/>
        </w:rPr>
        <w:t>—</w:t>
      </w:r>
      <w:r w:rsidR="001D7206" w:rsidRPr="001D7206">
        <w:rPr>
          <w:rFonts w:ascii="Times New Roman" w:hAnsi="Times New Roman" w:cs="Times New Roman"/>
        </w:rPr>
        <w:t xml:space="preserve">such as </w:t>
      </w:r>
      <w:r w:rsidR="008A4FF5" w:rsidRPr="001D7206">
        <w:rPr>
          <w:rFonts w:ascii="Times New Roman" w:hAnsi="Times New Roman" w:cs="Times New Roman"/>
        </w:rPr>
        <w:t>the DDM</w:t>
      </w:r>
      <w:r w:rsidR="001D7206" w:rsidRPr="001D7206">
        <w:rPr>
          <w:rFonts w:ascii="Arial" w:hAnsi="Arial" w:cs="Arial"/>
          <w:sz w:val="21"/>
          <w:szCs w:val="21"/>
          <w:shd w:val="clear" w:color="auto" w:fill="FFFFFF"/>
        </w:rPr>
        <w:t>—</w:t>
      </w:r>
      <w:r w:rsidR="008A4FF5" w:rsidRPr="00F23463">
        <w:rPr>
          <w:rFonts w:ascii="Times New Roman" w:hAnsi="Times New Roman" w:cs="Times New Roman"/>
        </w:rPr>
        <w:t>originated in the field of cognitive neuroscience and are molecular in nature, providing insight into the internal mechanics that determine</w:t>
      </w:r>
      <w:r w:rsidR="001D7206">
        <w:rPr>
          <w:rFonts w:ascii="Times New Roman" w:hAnsi="Times New Roman" w:cs="Times New Roman"/>
        </w:rPr>
        <w:t xml:space="preserve"> discrete</w:t>
      </w:r>
      <w:r w:rsidR="008A4FF5" w:rsidRPr="00F23463">
        <w:rPr>
          <w:rFonts w:ascii="Times New Roman" w:hAnsi="Times New Roman" w:cs="Times New Roman"/>
        </w:rPr>
        <w:t xml:space="preserve"> decisions made. </w:t>
      </w:r>
      <w:r w:rsidR="001D7206">
        <w:rPr>
          <w:rFonts w:ascii="Times New Roman" w:hAnsi="Times New Roman" w:cs="Times New Roman"/>
        </w:rPr>
        <w:t>Although t</w:t>
      </w:r>
      <w:r w:rsidR="008A4FF5" w:rsidRPr="00F23463">
        <w:rPr>
          <w:rFonts w:ascii="Times New Roman" w:hAnsi="Times New Roman" w:cs="Times New Roman"/>
        </w:rPr>
        <w:t>hese models have been successfully applied to other domains</w:t>
      </w:r>
      <w:r w:rsidR="00D81AAD">
        <w:rPr>
          <w:rFonts w:ascii="Times New Roman" w:hAnsi="Times New Roman" w:cs="Times New Roman"/>
        </w:rPr>
        <w:t xml:space="preserve">, </w:t>
      </w:r>
      <w:r w:rsidR="008A4FF5" w:rsidRPr="00F23463">
        <w:rPr>
          <w:rFonts w:ascii="Times New Roman" w:hAnsi="Times New Roman" w:cs="Times New Roman"/>
        </w:rPr>
        <w:t xml:space="preserve">they have not yet been utilised in research exploring recovery from addiction.  </w:t>
      </w:r>
    </w:p>
    <w:p w14:paraId="575E1473" w14:textId="77777777" w:rsidR="008A4FF5" w:rsidRPr="00F23463" w:rsidRDefault="008A4FF5" w:rsidP="00A3110A">
      <w:pPr>
        <w:pStyle w:val="NoSpacing"/>
        <w:spacing w:line="480" w:lineRule="auto"/>
        <w:rPr>
          <w:rFonts w:ascii="Times New Roman" w:hAnsi="Times New Roman" w:cs="Times New Roman"/>
        </w:rPr>
      </w:pPr>
    </w:p>
    <w:p w14:paraId="4F435BCA" w14:textId="29D1180F" w:rsidR="008A4FF5" w:rsidRPr="00F23463" w:rsidRDefault="008A4FF5" w:rsidP="00AC0B06">
      <w:pPr>
        <w:pStyle w:val="NoSpacing"/>
        <w:spacing w:line="480" w:lineRule="auto"/>
        <w:rPr>
          <w:rFonts w:ascii="Times New Roman" w:hAnsi="Times New Roman" w:cs="Times New Roman"/>
        </w:rPr>
      </w:pPr>
      <w:r w:rsidRPr="00F23463">
        <w:rPr>
          <w:rFonts w:ascii="Times New Roman" w:hAnsi="Times New Roman" w:cs="Times New Roman"/>
        </w:rPr>
        <w:t xml:space="preserve">This PhD is important because currently there is not a validated VBDM task that can be used in the field of addiction to explore how valuation processes impact </w:t>
      </w:r>
      <w:r w:rsidR="001D7206">
        <w:rPr>
          <w:rFonts w:ascii="Times New Roman" w:hAnsi="Times New Roman" w:cs="Times New Roman"/>
        </w:rPr>
        <w:t xml:space="preserve">“in-the-moment” </w:t>
      </w:r>
      <w:r w:rsidR="001D7206">
        <w:rPr>
          <w:rFonts w:ascii="Times New Roman" w:hAnsi="Times New Roman" w:cs="Times New Roman"/>
        </w:rPr>
        <w:lastRenderedPageBreak/>
        <w:t>decisions made</w:t>
      </w:r>
      <w:r w:rsidRPr="00F23463">
        <w:rPr>
          <w:rFonts w:ascii="Times New Roman" w:hAnsi="Times New Roman" w:cs="Times New Roman"/>
        </w:rPr>
        <w:t>. As a result, this impedes the exploration of whether recovery from addiction is characterised by alterations in VBDM parameters. In this PhD, computational modelling techniques will be fitted to behavioural data derived from a</w:t>
      </w:r>
      <w:r w:rsidR="009C7CA5">
        <w:rPr>
          <w:rFonts w:ascii="Times New Roman" w:hAnsi="Times New Roman" w:cs="Times New Roman"/>
        </w:rPr>
        <w:t xml:space="preserve"> novel</w:t>
      </w:r>
      <w:r w:rsidRPr="00F23463">
        <w:rPr>
          <w:rFonts w:ascii="Times New Roman" w:hAnsi="Times New Roman" w:cs="Times New Roman"/>
        </w:rPr>
        <w:t xml:space="preserve"> VBDM task to parameterise the internal processes that precede decisions made about substance and substance-free alternative cues. </w:t>
      </w:r>
    </w:p>
    <w:p w14:paraId="66253051" w14:textId="77777777" w:rsidR="008A4FF5" w:rsidRPr="00F23463" w:rsidRDefault="008A4FF5" w:rsidP="00AC0B06">
      <w:pPr>
        <w:pStyle w:val="NoSpacing"/>
        <w:spacing w:line="480" w:lineRule="auto"/>
        <w:rPr>
          <w:rFonts w:ascii="Times New Roman" w:hAnsi="Times New Roman" w:cs="Times New Roman"/>
        </w:rPr>
      </w:pPr>
    </w:p>
    <w:p w14:paraId="3BBB8EC2" w14:textId="5945A4EF" w:rsidR="008A4FF5" w:rsidRPr="00F23463" w:rsidRDefault="008A4FF5" w:rsidP="00AC0B06">
      <w:pPr>
        <w:pStyle w:val="Heading3"/>
        <w:spacing w:line="480" w:lineRule="auto"/>
      </w:pPr>
      <w:bookmarkStart w:id="99" w:name="_Toc109901462"/>
      <w:bookmarkStart w:id="100" w:name="_Toc109901935"/>
      <w:bookmarkStart w:id="101" w:name="_Toc109911329"/>
      <w:bookmarkStart w:id="102" w:name="_Toc110612732"/>
      <w:bookmarkStart w:id="103" w:name="_Toc110629042"/>
      <w:bookmarkStart w:id="104" w:name="_Toc110870950"/>
      <w:r w:rsidRPr="00F23463">
        <w:t>1.8.1</w:t>
      </w:r>
      <w:r w:rsidR="00174DF4" w:rsidRPr="00F23463">
        <w:t>.</w:t>
      </w:r>
      <w:r w:rsidRPr="00F23463">
        <w:t xml:space="preserve"> Core PhD aims:</w:t>
      </w:r>
      <w:bookmarkEnd w:id="99"/>
      <w:bookmarkEnd w:id="100"/>
      <w:bookmarkEnd w:id="101"/>
      <w:bookmarkEnd w:id="102"/>
      <w:bookmarkEnd w:id="103"/>
      <w:bookmarkEnd w:id="104"/>
    </w:p>
    <w:p w14:paraId="675AA53A" w14:textId="2FCB12F0" w:rsidR="008A4FF5" w:rsidRPr="00F23463" w:rsidRDefault="008A4FF5" w:rsidP="001D7206">
      <w:pPr>
        <w:pStyle w:val="NoSpacing"/>
        <w:spacing w:line="480" w:lineRule="auto"/>
        <w:rPr>
          <w:rFonts w:ascii="Times New Roman" w:hAnsi="Times New Roman" w:cs="Times New Roman"/>
        </w:rPr>
      </w:pPr>
      <w:r w:rsidRPr="00F23463">
        <w:rPr>
          <w:rFonts w:ascii="Times New Roman" w:hAnsi="Times New Roman" w:cs="Times New Roman"/>
        </w:rPr>
        <w:t xml:space="preserve">There are two core aims of this PhD. The first aim is to develop a VBDM task that can be applied in addiction-related research to generate the behavioural data required to parameterise the internal processes of decision-making. </w:t>
      </w:r>
      <w:bookmarkStart w:id="105" w:name="_Hlk110705217"/>
      <w:r w:rsidRPr="00F23463">
        <w:rPr>
          <w:rFonts w:ascii="Times New Roman" w:hAnsi="Times New Roman" w:cs="Times New Roman"/>
        </w:rPr>
        <w:t xml:space="preserve">The second aim is to empirically test predictions from recent conceptual accounts </w:t>
      </w:r>
      <w:r w:rsidR="009C7CA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{"citationID":"NuQAGRgh","properties":{"formattedCitation":"(Field,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9C7CA5">
        <w:rPr>
          <w:rFonts w:ascii="Times New Roman" w:hAnsi="Times New Roman" w:cs="Times New Roman"/>
        </w:rPr>
        <w:fldChar w:fldCharType="separate"/>
      </w:r>
      <w:r w:rsidR="001D7206" w:rsidRPr="001D7206">
        <w:rPr>
          <w:rFonts w:ascii="Times New Roman" w:hAnsi="Times New Roman" w:cs="Times New Roman"/>
        </w:rPr>
        <w:t>(Field, Heather, et al., 2020)</w:t>
      </w:r>
      <w:r w:rsidR="009C7CA5">
        <w:rPr>
          <w:rFonts w:ascii="Times New Roman" w:hAnsi="Times New Roman" w:cs="Times New Roman"/>
        </w:rPr>
        <w:fldChar w:fldCharType="end"/>
      </w:r>
      <w:r w:rsidRPr="00F23463">
        <w:rPr>
          <w:rFonts w:ascii="Times New Roman" w:hAnsi="Times New Roman" w:cs="Times New Roman"/>
        </w:rPr>
        <w:t xml:space="preserve"> by exploring whether decision parameters recovered from the VBDM task are sensitive to experimental manipulations of substance value and whether they characterise stable behaviour change and recovery from addiction.</w:t>
      </w:r>
    </w:p>
    <w:bookmarkEnd w:id="105"/>
    <w:p w14:paraId="5D9AAFED" w14:textId="125BF18A" w:rsidR="003A7189" w:rsidRPr="00F23463" w:rsidRDefault="003A7189" w:rsidP="003A7189">
      <w:pPr>
        <w:pStyle w:val="NoSpacing"/>
        <w:rPr>
          <w:rFonts w:ascii="Times New Roman" w:hAnsi="Times New Roman" w:cs="Times New Roman"/>
        </w:rPr>
      </w:pPr>
    </w:p>
    <w:p w14:paraId="2A69E5AF" w14:textId="3B9D2E03" w:rsidR="003A7189" w:rsidRPr="00F23463" w:rsidRDefault="003A7189" w:rsidP="003A7189">
      <w:pPr>
        <w:pStyle w:val="NoSpacing"/>
        <w:rPr>
          <w:rFonts w:ascii="Times New Roman" w:hAnsi="Times New Roman" w:cs="Times New Roman"/>
        </w:rPr>
      </w:pPr>
    </w:p>
    <w:p w14:paraId="17FAEEDA" w14:textId="10A9D8CC" w:rsidR="003A7189" w:rsidRPr="00F23463" w:rsidRDefault="003A7189" w:rsidP="003A7189">
      <w:pPr>
        <w:pStyle w:val="NoSpacing"/>
        <w:rPr>
          <w:rFonts w:ascii="Times New Roman" w:hAnsi="Times New Roman" w:cs="Times New Roman"/>
        </w:rPr>
      </w:pPr>
    </w:p>
    <w:p w14:paraId="5EEEB50B" w14:textId="06A443E9" w:rsidR="003A7189" w:rsidRPr="00F23463" w:rsidRDefault="003A7189" w:rsidP="003A7189">
      <w:pPr>
        <w:pStyle w:val="NoSpacing"/>
        <w:rPr>
          <w:rFonts w:ascii="Times New Roman" w:hAnsi="Times New Roman" w:cs="Times New Roman"/>
        </w:rPr>
      </w:pPr>
    </w:p>
    <w:p w14:paraId="66CDFE1C" w14:textId="079A686B" w:rsidR="003A7189" w:rsidRPr="00F23463" w:rsidRDefault="003A7189" w:rsidP="003A7189">
      <w:pPr>
        <w:pStyle w:val="NoSpacing"/>
        <w:rPr>
          <w:rFonts w:ascii="Times New Roman" w:hAnsi="Times New Roman" w:cs="Times New Roman"/>
        </w:rPr>
      </w:pPr>
    </w:p>
    <w:p w14:paraId="49A48818" w14:textId="4805D58A" w:rsidR="003A7189" w:rsidRDefault="003A7189" w:rsidP="003A7189">
      <w:pPr>
        <w:pStyle w:val="NoSpacing"/>
      </w:pPr>
    </w:p>
    <w:p w14:paraId="22DDDA4A" w14:textId="340C037A" w:rsidR="003A7189" w:rsidRDefault="003A7189" w:rsidP="003A7189">
      <w:pPr>
        <w:pStyle w:val="NoSpacing"/>
      </w:pPr>
    </w:p>
    <w:p w14:paraId="4BEE3ACF" w14:textId="0D52E8BA" w:rsidR="003A7189" w:rsidRDefault="003A7189" w:rsidP="003A7189">
      <w:pPr>
        <w:pStyle w:val="NoSpacing"/>
      </w:pPr>
    </w:p>
    <w:p w14:paraId="40B6CCA9" w14:textId="3FD645DD" w:rsidR="003A7189" w:rsidRDefault="003A7189" w:rsidP="003A7189">
      <w:pPr>
        <w:pStyle w:val="NoSpacing"/>
      </w:pPr>
    </w:p>
    <w:p w14:paraId="1A42FA4A" w14:textId="1688BBE8" w:rsidR="003A7189" w:rsidRDefault="003A7189" w:rsidP="003A7189">
      <w:pPr>
        <w:pStyle w:val="NoSpacing"/>
      </w:pPr>
    </w:p>
    <w:p w14:paraId="169D70A6" w14:textId="30F76114" w:rsidR="003A7189" w:rsidRDefault="003A7189" w:rsidP="003A7189">
      <w:pPr>
        <w:pStyle w:val="NoSpacing"/>
      </w:pPr>
    </w:p>
    <w:p w14:paraId="1D540EC4" w14:textId="3CC72828" w:rsidR="003A7189" w:rsidRDefault="003A7189" w:rsidP="003A7189">
      <w:pPr>
        <w:pStyle w:val="NoSpacing"/>
      </w:pPr>
    </w:p>
    <w:p w14:paraId="3F5C4DCA" w14:textId="53210E41" w:rsidR="003A7189" w:rsidRDefault="003A7189" w:rsidP="003A7189">
      <w:pPr>
        <w:pStyle w:val="NoSpacing"/>
      </w:pPr>
    </w:p>
    <w:p w14:paraId="362CC595" w14:textId="6EA4A32B" w:rsidR="003A7189" w:rsidRDefault="003A7189" w:rsidP="003A7189">
      <w:pPr>
        <w:pStyle w:val="NoSpacing"/>
      </w:pPr>
    </w:p>
    <w:p w14:paraId="3D1491BF" w14:textId="5928203B" w:rsidR="003A7189" w:rsidRDefault="003A7189" w:rsidP="003A7189">
      <w:pPr>
        <w:pStyle w:val="NoSpacing"/>
      </w:pPr>
    </w:p>
    <w:p w14:paraId="73695B16" w14:textId="2BD84B29" w:rsidR="003A7189" w:rsidRDefault="003A7189" w:rsidP="003A7189">
      <w:pPr>
        <w:pStyle w:val="NoSpacing"/>
      </w:pPr>
    </w:p>
    <w:p w14:paraId="36B7C7D5" w14:textId="36826654" w:rsidR="00093B56" w:rsidRDefault="00093B56" w:rsidP="003A7189">
      <w:pPr>
        <w:pStyle w:val="NoSpacing"/>
      </w:pPr>
    </w:p>
    <w:p w14:paraId="439C634E" w14:textId="77777777" w:rsidR="00301975" w:rsidRDefault="00301975" w:rsidP="003A7189">
      <w:pPr>
        <w:pStyle w:val="NoSpacing"/>
      </w:pPr>
    </w:p>
    <w:p w14:paraId="43517452" w14:textId="4DC18D84" w:rsidR="00093B56" w:rsidRDefault="00093B56" w:rsidP="00107EBB">
      <w:pPr>
        <w:pStyle w:val="Heading1"/>
      </w:pPr>
      <w:bookmarkStart w:id="106" w:name="_Toc109911330"/>
      <w:bookmarkStart w:id="107" w:name="_Toc110612733"/>
      <w:bookmarkStart w:id="108" w:name="_Toc110629043"/>
      <w:bookmarkStart w:id="109" w:name="_Toc110870951"/>
      <w:r w:rsidRPr="00093B56">
        <w:lastRenderedPageBreak/>
        <w:t>Chapter 2: Meaning in life: Investigating protective and risk factors for harmful alcohol consumption</w:t>
      </w:r>
      <w:bookmarkEnd w:id="106"/>
      <w:bookmarkEnd w:id="107"/>
      <w:bookmarkEnd w:id="108"/>
      <w:bookmarkEnd w:id="109"/>
    </w:p>
    <w:p w14:paraId="0C8DADBE" w14:textId="6D6C23FB" w:rsidR="00BB1BAF" w:rsidRPr="00BB1BAF" w:rsidRDefault="00BB1BAF" w:rsidP="00572DF1">
      <w:pPr>
        <w:pStyle w:val="NoSpacing"/>
        <w:spacing w:line="480" w:lineRule="auto"/>
        <w:rPr>
          <w:rFonts w:ascii="Times New Roman" w:hAnsi="Times New Roman" w:cs="Times New Roman"/>
        </w:rPr>
      </w:pPr>
      <w:r w:rsidRPr="00BB1BAF">
        <w:rPr>
          <w:rFonts w:ascii="Times New Roman" w:hAnsi="Times New Roman" w:cs="Times New Roman"/>
        </w:rPr>
        <w:t xml:space="preserve">Before focusing on value-based decision-making (VBDM), I first wanted to explore links between constructs that I studied in my pre-PhD research (meaning in life;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{"citationID":"yp2ppOIo","properties":{"formattedCitation":"(Copeland et al., 2020)","plainCitation":"(Copeland et al., 2020)","dontUpdate":true,"noteIndex":0},"citationItems":[{"id":1273,"uris":["http://zotero.org/users/7873587/items/R5Q63SAR"],"itemData":{"id":1273,"type":"article-journal","abstract":"Introduction\nThe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Pr>
          <w:rFonts w:ascii="Times New Roman" w:hAnsi="Times New Roman" w:cs="Times New Roman"/>
        </w:rPr>
        <w:fldChar w:fldCharType="separate"/>
      </w:r>
      <w:r w:rsidR="00572DF1" w:rsidRPr="00572DF1">
        <w:rPr>
          <w:rFonts w:ascii="Times New Roman" w:hAnsi="Times New Roman" w:cs="Times New Roman"/>
        </w:rPr>
        <w:t>Copeland et al., 2020)</w:t>
      </w:r>
      <w:r>
        <w:rPr>
          <w:rFonts w:ascii="Times New Roman" w:hAnsi="Times New Roman" w:cs="Times New Roman"/>
        </w:rPr>
        <w:fldChar w:fldCharType="end"/>
      </w:r>
      <w:r w:rsidRPr="00BB1BAF">
        <w:rPr>
          <w:rFonts w:ascii="Times New Roman" w:hAnsi="Times New Roman" w:cs="Times New Roman"/>
        </w:rPr>
        <w:t xml:space="preserve"> and established </w:t>
      </w:r>
      <w:r w:rsidR="00572DF1">
        <w:rPr>
          <w:rFonts w:ascii="Times New Roman" w:hAnsi="Times New Roman" w:cs="Times New Roman"/>
        </w:rPr>
        <w:t xml:space="preserve">self-report </w:t>
      </w:r>
      <w:r w:rsidRPr="00BB1BAF">
        <w:rPr>
          <w:rFonts w:ascii="Times New Roman" w:hAnsi="Times New Roman" w:cs="Times New Roman"/>
        </w:rPr>
        <w:t xml:space="preserve">behavioural economic measures of reinforcer value. This Chapter therefore extends upon my master’s thesis </w:t>
      </w:r>
      <w:r w:rsidR="00572DF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{"citationID":"zjUx8Dn8","properties":{"formattedCitation":"(Copeland et al., 2020)","plainCitation":"(Copeland et al.,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572DF1">
        <w:rPr>
          <w:rFonts w:ascii="Times New Roman" w:hAnsi="Times New Roman" w:cs="Times New Roman"/>
        </w:rPr>
        <w:fldChar w:fldCharType="separate"/>
      </w:r>
      <w:r w:rsidR="00572DF1" w:rsidRPr="00572DF1">
        <w:rPr>
          <w:rFonts w:ascii="Times New Roman" w:hAnsi="Times New Roman" w:cs="Times New Roman"/>
        </w:rPr>
        <w:t>(Copeland et al., 2020)</w:t>
      </w:r>
      <w:r w:rsidR="00572DF1">
        <w:rPr>
          <w:rFonts w:ascii="Times New Roman" w:hAnsi="Times New Roman" w:cs="Times New Roman"/>
        </w:rPr>
        <w:fldChar w:fldCharType="end"/>
      </w:r>
      <w:r w:rsidR="00572DF1">
        <w:rPr>
          <w:rFonts w:ascii="Times New Roman" w:hAnsi="Times New Roman" w:cs="Times New Roman"/>
        </w:rPr>
        <w:t xml:space="preserve"> by investigating</w:t>
      </w:r>
      <w:r w:rsidRPr="00BB1BAF">
        <w:rPr>
          <w:rFonts w:ascii="Times New Roman" w:hAnsi="Times New Roman" w:cs="Times New Roman"/>
        </w:rPr>
        <w:t xml:space="preserve"> whether the association between meaning in life and AUDIT scores (alcohol use and related problems) can be explained via individual differences in alcohol value, reinforcement derived from alcohol-free activities, depressive symptoms, and drinking to cope.</w:t>
      </w:r>
    </w:p>
    <w:p w14:paraId="1AFAA38A" w14:textId="77777777" w:rsidR="00BB1BAF" w:rsidRPr="00BB1BAF" w:rsidRDefault="00BB1BAF" w:rsidP="00BB1BAF">
      <w:pPr>
        <w:pStyle w:val="NoSpacing"/>
        <w:spacing w:line="480" w:lineRule="auto"/>
        <w:rPr>
          <w:rFonts w:ascii="Times New Roman" w:hAnsi="Times New Roman" w:cs="Times New Roman"/>
        </w:rPr>
      </w:pPr>
    </w:p>
    <w:p w14:paraId="14386FB3" w14:textId="3916FCEE" w:rsidR="00BB1BAF" w:rsidRDefault="00BB1BAF" w:rsidP="00BB1BAF">
      <w:pPr>
        <w:pStyle w:val="NoSpacing"/>
        <w:spacing w:line="480" w:lineRule="auto"/>
        <w:rPr>
          <w:rFonts w:ascii="Times New Roman" w:hAnsi="Times New Roman" w:cs="Times New Roman"/>
        </w:rPr>
      </w:pPr>
      <w:r w:rsidRPr="00BB1BAF">
        <w:rPr>
          <w:rFonts w:ascii="Times New Roman" w:hAnsi="Times New Roman" w:cs="Times New Roman"/>
          <w:b/>
          <w:bCs/>
        </w:rPr>
        <w:t>Contributions:</w:t>
      </w:r>
      <w:r w:rsidRPr="00BB1BAF">
        <w:rPr>
          <w:rFonts w:ascii="Times New Roman" w:hAnsi="Times New Roman" w:cs="Times New Roman"/>
        </w:rPr>
        <w:t xml:space="preserve"> I designed the study, which was approved by Matt Field (primary supervisor). Third year undergraduate students at the University of Sheffield collected the data as part of their dissertation projects; I assisted with data collection. I analysed the data and wrote the </w:t>
      </w:r>
      <w:r w:rsidR="00463E60">
        <w:rPr>
          <w:rFonts w:ascii="Times New Roman" w:hAnsi="Times New Roman" w:cs="Times New Roman"/>
        </w:rPr>
        <w:t>C</w:t>
      </w:r>
      <w:r w:rsidRPr="00BB1BAF">
        <w:rPr>
          <w:rFonts w:ascii="Times New Roman" w:hAnsi="Times New Roman" w:cs="Times New Roman"/>
        </w:rPr>
        <w:t>hapter. Matt Field, and collaborators Andrew Jones, Samuel F. Acuff, and James G. Murphy provided feedback on the draft.</w:t>
      </w:r>
    </w:p>
    <w:p w14:paraId="304ECACC" w14:textId="77777777" w:rsidR="00BB1BAF" w:rsidRDefault="00BB1BAF" w:rsidP="00BB1BAF">
      <w:pPr>
        <w:pStyle w:val="NoSpacing"/>
        <w:spacing w:line="480" w:lineRule="auto"/>
        <w:rPr>
          <w:rFonts w:ascii="Times New Roman" w:hAnsi="Times New Roman" w:cs="Times New Roman"/>
        </w:rPr>
      </w:pPr>
    </w:p>
    <w:p w14:paraId="3FFE99EB" w14:textId="0A76ECBF" w:rsidR="00107EBB" w:rsidRPr="00BB1BAF" w:rsidRDefault="00BB1BAF" w:rsidP="00BB1BAF">
      <w:pPr>
        <w:pStyle w:val="NoSpacing"/>
        <w:spacing w:line="480" w:lineRule="auto"/>
        <w:rPr>
          <w:rFonts w:ascii="Times New Roman" w:hAnsi="Times New Roman" w:cs="Times New Roman"/>
        </w:rPr>
      </w:pPr>
      <w:bookmarkStart w:id="110" w:name="_Hlk110515987"/>
      <w:r w:rsidRPr="00BB1BAF">
        <w:rPr>
          <w:rFonts w:ascii="Times New Roman" w:hAnsi="Times New Roman" w:cs="Times New Roman"/>
        </w:rPr>
        <w:t xml:space="preserve">As mentioned previously </w:t>
      </w:r>
      <w:r w:rsidRPr="00262265">
        <w:rPr>
          <w:rFonts w:ascii="Times New Roman" w:hAnsi="Times New Roman" w:cs="Times New Roman"/>
        </w:rPr>
        <w:t>(p.</w:t>
      </w:r>
      <w:r w:rsidR="00262265" w:rsidRPr="00262265">
        <w:rPr>
          <w:rFonts w:ascii="Times New Roman" w:hAnsi="Times New Roman" w:cs="Times New Roman"/>
        </w:rPr>
        <w:t>4</w:t>
      </w:r>
      <w:r w:rsidRPr="00262265">
        <w:rPr>
          <w:rFonts w:ascii="Times New Roman" w:hAnsi="Times New Roman" w:cs="Times New Roman"/>
        </w:rPr>
        <w:t>),</w:t>
      </w:r>
      <w:r w:rsidRPr="00BB1BAF">
        <w:rPr>
          <w:rFonts w:ascii="Times New Roman" w:hAnsi="Times New Roman" w:cs="Times New Roman"/>
        </w:rPr>
        <w:t xml:space="preserve"> a variant of this thesis Chapter </w:t>
      </w:r>
      <w:r w:rsidR="00107EBB" w:rsidRPr="00000B41">
        <w:rPr>
          <w:rFonts w:ascii="Times New Roman" w:hAnsi="Times New Roman" w:cs="Times New Roman"/>
        </w:rPr>
        <w:t xml:space="preserve">is published online at </w:t>
      </w:r>
      <w:r w:rsidR="00107EBB">
        <w:rPr>
          <w:rFonts w:ascii="Times New Roman" w:hAnsi="Times New Roman" w:cs="Times New Roman"/>
          <w:i/>
          <w:iCs/>
        </w:rPr>
        <w:t>Addiction Research &amp; Theory</w:t>
      </w:r>
      <w:r w:rsidR="00107EBB" w:rsidRPr="00000B41">
        <w:rPr>
          <w:rFonts w:ascii="Times New Roman" w:hAnsi="Times New Roman" w:cs="Times New Roman"/>
          <w:i/>
          <w:iCs/>
        </w:rPr>
        <w:t>:</w:t>
      </w:r>
    </w:p>
    <w:bookmarkEnd w:id="110"/>
    <w:p w14:paraId="145FA093" w14:textId="77777777" w:rsidR="00107EBB" w:rsidRDefault="00107EBB" w:rsidP="00107EBB">
      <w:pPr>
        <w:pStyle w:val="NoSpacing"/>
        <w:spacing w:line="480" w:lineRule="auto"/>
        <w:ind w:left="720" w:hanging="720"/>
        <w:rPr>
          <w:rFonts w:ascii="Times New Roman" w:hAnsi="Times New Roman" w:cs="Times New Roman"/>
        </w:rPr>
      </w:pPr>
      <w:r w:rsidRPr="00814616">
        <w:rPr>
          <w:rFonts w:ascii="Times New Roman" w:hAnsi="Times New Roman" w:cs="Times New Roman"/>
        </w:rPr>
        <w:t xml:space="preserve">Copeland, A., Jones, A., Acuff, S. F., Murphy, J. G., &amp; Field, M. (2022). Meaning in life: Investigating protective and risk factors for harmful alcohol consumption. </w:t>
      </w:r>
      <w:r w:rsidRPr="0088246A">
        <w:rPr>
          <w:rFonts w:ascii="Times New Roman" w:hAnsi="Times New Roman" w:cs="Times New Roman"/>
          <w:i/>
          <w:iCs/>
        </w:rPr>
        <w:t>Addiction Research &amp; Theory.</w:t>
      </w:r>
      <w:r w:rsidRPr="0088246A">
        <w:rPr>
          <w:rFonts w:ascii="Times New Roman" w:hAnsi="Times New Roman" w:cs="Times New Roman"/>
        </w:rPr>
        <w:t xml:space="preserve"> https://doi.org/10.1080/16066359.2022.2134991</w:t>
      </w:r>
    </w:p>
    <w:p w14:paraId="1947927E" w14:textId="77777777" w:rsidR="00BB1BAF" w:rsidRPr="00BB1BAF" w:rsidRDefault="00BB1BAF" w:rsidP="00BB1BAF">
      <w:pPr>
        <w:pStyle w:val="NoSpacing"/>
        <w:spacing w:line="480" w:lineRule="auto"/>
        <w:ind w:left="720" w:hanging="720"/>
      </w:pPr>
    </w:p>
    <w:p w14:paraId="3ABEFDAF" w14:textId="4C16EEDA" w:rsidR="00093B56" w:rsidRDefault="00093B56" w:rsidP="00301975">
      <w:pPr>
        <w:pStyle w:val="NoSpacing"/>
        <w:spacing w:line="480" w:lineRule="auto"/>
      </w:pPr>
    </w:p>
    <w:p w14:paraId="26D5F797" w14:textId="79881FE3" w:rsidR="00093B56" w:rsidRDefault="00093B56" w:rsidP="003A7189">
      <w:pPr>
        <w:pStyle w:val="NoSpacing"/>
      </w:pPr>
    </w:p>
    <w:p w14:paraId="763C44F7" w14:textId="012EC187" w:rsidR="00093B56" w:rsidRDefault="00093B56" w:rsidP="003A7189">
      <w:pPr>
        <w:pStyle w:val="NoSpacing"/>
      </w:pPr>
    </w:p>
    <w:p w14:paraId="79C30D04" w14:textId="4AD73C67" w:rsidR="00093B56" w:rsidRDefault="00093B56" w:rsidP="003A7189">
      <w:pPr>
        <w:pStyle w:val="NoSpacing"/>
      </w:pPr>
    </w:p>
    <w:p w14:paraId="3E351AA7" w14:textId="164C4D57" w:rsidR="00093B56" w:rsidRDefault="00093B56" w:rsidP="003A7189">
      <w:pPr>
        <w:pStyle w:val="NoSpacing"/>
      </w:pPr>
    </w:p>
    <w:p w14:paraId="083FBFD3" w14:textId="318367DE" w:rsidR="00093B56" w:rsidRDefault="00572DF1" w:rsidP="00572DF1">
      <w:pPr>
        <w:pStyle w:val="Heading4"/>
        <w:spacing w:line="480" w:lineRule="auto"/>
      </w:pPr>
      <w:bookmarkStart w:id="111" w:name="_Toc110629044"/>
      <w:bookmarkStart w:id="112" w:name="_Toc110870952"/>
      <w:r>
        <w:lastRenderedPageBreak/>
        <w:t>Abstract</w:t>
      </w:r>
      <w:bookmarkEnd w:id="111"/>
      <w:bookmarkEnd w:id="112"/>
    </w:p>
    <w:p w14:paraId="1BB4CA27" w14:textId="6126EE89" w:rsidR="00093B56" w:rsidRPr="00572DF1" w:rsidRDefault="00572DF1" w:rsidP="00572DF1">
      <w:pPr>
        <w:pStyle w:val="NoSpacing"/>
        <w:spacing w:line="480" w:lineRule="auto"/>
        <w:rPr>
          <w:rFonts w:ascii="Times New Roman" w:hAnsi="Times New Roman" w:cs="Times New Roman"/>
        </w:rPr>
      </w:pPr>
      <w:r w:rsidRPr="00572DF1">
        <w:rPr>
          <w:rFonts w:ascii="Times New Roman" w:hAnsi="Times New Roman" w:cs="Times New Roman"/>
          <w:b/>
          <w:bCs/>
        </w:rPr>
        <w:t>Background:</w:t>
      </w:r>
      <w:r w:rsidRPr="00572DF1">
        <w:rPr>
          <w:rFonts w:ascii="Times New Roman" w:hAnsi="Times New Roman" w:cs="Times New Roman"/>
        </w:rPr>
        <w:t xml:space="preserve"> Individuals who report greater meaning in life tend to consume less alcohol. However, research elucidating pathways through which meaning in life influences consumption is lacking. Behavioural economic theories posit that distortions in valuation processes, whilst negative reinforcement models posit that avoidance or regulation of negative internal states, are central in decisions to consume alcohol. </w:t>
      </w:r>
      <w:r w:rsidRPr="00572DF1">
        <w:rPr>
          <w:rFonts w:ascii="Times New Roman" w:hAnsi="Times New Roman" w:cs="Times New Roman"/>
          <w:b/>
          <w:bCs/>
        </w:rPr>
        <w:t>Method:</w:t>
      </w:r>
      <w:r w:rsidRPr="00572DF1">
        <w:rPr>
          <w:rFonts w:ascii="Times New Roman" w:hAnsi="Times New Roman" w:cs="Times New Roman"/>
        </w:rPr>
        <w:t xml:space="preserve"> Pre-registered, cross-sectional design. Five hundred forty-six regular alcohol consumers (≥ 18 years old) completed an online questionnaire which asked about their alcohol use and related problems, meaning in life, alcohol-free reinforcement, alcohol value, depressive symptoms, and drinking to cope motives. </w:t>
      </w:r>
      <w:r w:rsidRPr="00572DF1">
        <w:rPr>
          <w:rFonts w:ascii="Times New Roman" w:hAnsi="Times New Roman" w:cs="Times New Roman"/>
          <w:b/>
          <w:bCs/>
        </w:rPr>
        <w:t>Results:</w:t>
      </w:r>
      <w:r w:rsidRPr="00572DF1">
        <w:rPr>
          <w:rFonts w:ascii="Times New Roman" w:hAnsi="Times New Roman" w:cs="Times New Roman"/>
        </w:rPr>
        <w:t xml:space="preserve"> Presence of meaning in life had a significant negative association with AUDIT scores (β = -.26, </w:t>
      </w:r>
      <w:r w:rsidRPr="00572DF1">
        <w:rPr>
          <w:rFonts w:ascii="Times New Roman" w:hAnsi="Times New Roman" w:cs="Times New Roman"/>
          <w:i/>
          <w:iCs/>
        </w:rPr>
        <w:t>p</w:t>
      </w:r>
      <w:r w:rsidRPr="00572DF1">
        <w:rPr>
          <w:rFonts w:ascii="Times New Roman" w:hAnsi="Times New Roman" w:cs="Times New Roman"/>
        </w:rPr>
        <w:t xml:space="preserve"> &lt; .001), but neither search for meaning in life nor total alcohol-free reinforcement were significant predictors (</w:t>
      </w:r>
      <w:proofErr w:type="spellStart"/>
      <w:r w:rsidRPr="00572DF1">
        <w:rPr>
          <w:rFonts w:ascii="Times New Roman" w:hAnsi="Times New Roman" w:cs="Times New Roman"/>
          <w:i/>
          <w:iCs/>
        </w:rPr>
        <w:t>p</w:t>
      </w:r>
      <w:r w:rsidRPr="00572DF1">
        <w:rPr>
          <w:rFonts w:ascii="Times New Roman" w:hAnsi="Times New Roman" w:cs="Times New Roman"/>
        </w:rPr>
        <w:t>s</w:t>
      </w:r>
      <w:proofErr w:type="spellEnd"/>
      <w:r w:rsidRPr="00572DF1">
        <w:rPr>
          <w:rFonts w:ascii="Times New Roman" w:hAnsi="Times New Roman" w:cs="Times New Roman"/>
        </w:rPr>
        <w:t xml:space="preserve"> &gt; .53). Subsequent path analyses revealed a significant indirect effect of presence of meaning in life on AUDIT scores through lower alcohol value (95% CI = -.17 to -.08) and drinking to cope (95% CI = -.07 to -.00), and a </w:t>
      </w:r>
      <w:r w:rsidR="003A7B95">
        <w:rPr>
          <w:rFonts w:ascii="Times New Roman" w:hAnsi="Times New Roman" w:cs="Times New Roman"/>
        </w:rPr>
        <w:t xml:space="preserve">serial </w:t>
      </w:r>
      <w:r w:rsidRPr="00572DF1">
        <w:rPr>
          <w:rFonts w:ascii="Times New Roman" w:hAnsi="Times New Roman" w:cs="Times New Roman"/>
        </w:rPr>
        <w:t xml:space="preserve">mediation effect through both lower depressive symptoms and drinking to cope (95% CI = -.09 to -.04). Although search for meaning in life was not a direct predictor of AUDIT scores, there was a significant indirect effect through greater drinking to cope (95% CI = .01 to .06) and a </w:t>
      </w:r>
      <w:r w:rsidR="003A7B95">
        <w:rPr>
          <w:rFonts w:ascii="Times New Roman" w:hAnsi="Times New Roman" w:cs="Times New Roman"/>
        </w:rPr>
        <w:t xml:space="preserve">serial </w:t>
      </w:r>
      <w:r w:rsidRPr="00572DF1">
        <w:rPr>
          <w:rFonts w:ascii="Times New Roman" w:hAnsi="Times New Roman" w:cs="Times New Roman"/>
        </w:rPr>
        <w:t xml:space="preserve">mediation effect through both greater depressive symptoms and drinking to cope (95% CI = .01 to .04). </w:t>
      </w:r>
      <w:r w:rsidRPr="00572DF1">
        <w:rPr>
          <w:rFonts w:ascii="Times New Roman" w:hAnsi="Times New Roman" w:cs="Times New Roman"/>
          <w:b/>
          <w:bCs/>
        </w:rPr>
        <w:t>Conclusions:</w:t>
      </w:r>
      <w:r w:rsidRPr="00572DF1">
        <w:rPr>
          <w:rFonts w:ascii="Times New Roman" w:hAnsi="Times New Roman" w:cs="Times New Roman"/>
        </w:rPr>
        <w:t xml:space="preserve"> </w:t>
      </w:r>
      <w:r w:rsidR="003A7B95" w:rsidRPr="003A7B95">
        <w:rPr>
          <w:rFonts w:ascii="Times New Roman" w:hAnsi="Times New Roman" w:cs="Times New Roman"/>
        </w:rPr>
        <w:t>Meaning in life subscales predict alcohol consumption indirectly via individual differences in alcohol value, depressive symptoms, and drinking to cope.</w:t>
      </w:r>
    </w:p>
    <w:p w14:paraId="2167C6D0" w14:textId="2542EC4A" w:rsidR="00093B56" w:rsidRDefault="00093B56" w:rsidP="003A7189">
      <w:pPr>
        <w:pStyle w:val="NoSpacing"/>
      </w:pPr>
    </w:p>
    <w:p w14:paraId="136F8B62" w14:textId="3942E06E" w:rsidR="00093B56" w:rsidRDefault="00093B56" w:rsidP="003A7189">
      <w:pPr>
        <w:pStyle w:val="NoSpacing"/>
      </w:pPr>
    </w:p>
    <w:p w14:paraId="55A8ADC8" w14:textId="431FB8FC" w:rsidR="00093B56" w:rsidRDefault="00093B56" w:rsidP="003A7189">
      <w:pPr>
        <w:pStyle w:val="NoSpacing"/>
      </w:pPr>
    </w:p>
    <w:p w14:paraId="33086188" w14:textId="754B0B79" w:rsidR="00093B56" w:rsidRDefault="00093B56" w:rsidP="003A7189">
      <w:pPr>
        <w:pStyle w:val="NoSpacing"/>
      </w:pPr>
    </w:p>
    <w:p w14:paraId="5B04171E" w14:textId="46F7C4F9" w:rsidR="00572DF1" w:rsidRDefault="00572DF1" w:rsidP="003A7189">
      <w:pPr>
        <w:pStyle w:val="NoSpacing"/>
      </w:pPr>
    </w:p>
    <w:p w14:paraId="2A4C4D97" w14:textId="07076512" w:rsidR="00572DF1" w:rsidRPr="00572DF1" w:rsidRDefault="00707E4B" w:rsidP="00572DF1">
      <w:pPr>
        <w:pStyle w:val="Heading4"/>
        <w:spacing w:line="480" w:lineRule="auto"/>
        <w:rPr>
          <w:rFonts w:cs="Times New Roman"/>
        </w:rPr>
      </w:pPr>
      <w:bookmarkStart w:id="113" w:name="_Toc110629045"/>
      <w:bookmarkStart w:id="114" w:name="_Toc110870953"/>
      <w:r>
        <w:rPr>
          <w:rFonts w:cs="Times New Roman"/>
        </w:rPr>
        <w:lastRenderedPageBreak/>
        <w:t xml:space="preserve">2.1. </w:t>
      </w:r>
      <w:r w:rsidR="00572DF1" w:rsidRPr="00572DF1">
        <w:rPr>
          <w:rFonts w:cs="Times New Roman"/>
        </w:rPr>
        <w:t>Introduction</w:t>
      </w:r>
      <w:bookmarkEnd w:id="113"/>
      <w:bookmarkEnd w:id="114"/>
    </w:p>
    <w:p w14:paraId="167FF3B2" w14:textId="353B4A6A" w:rsidR="00572DF1" w:rsidRPr="00572DF1" w:rsidRDefault="00572DF1" w:rsidP="00574B38">
      <w:pPr>
        <w:pStyle w:val="NoSpacing"/>
        <w:spacing w:line="480" w:lineRule="auto"/>
        <w:rPr>
          <w:rFonts w:ascii="Times New Roman" w:hAnsi="Times New Roman" w:cs="Times New Roman"/>
        </w:rPr>
      </w:pPr>
      <w:r w:rsidRPr="00572DF1">
        <w:rPr>
          <w:rFonts w:ascii="Times New Roman" w:hAnsi="Times New Roman" w:cs="Times New Roman"/>
        </w:rPr>
        <w:t xml:space="preserve">Excessive alcohol consumption results in an array of adverse social and economic outcomes </w:t>
      </w:r>
      <w:r w:rsidR="00F9262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{"citationID":"Id2x15Qu","properties":{"formattedCitation":"(Rehm &amp; Imtiaz, 2016)","plainCitation":"(Rehm &amp; Imtiaz, 2016)","noteIndex":0},"citationItems":[{"id":988,"uris":["http://zotero.org/users/7873587/items/GZMQKME4"],"itemData":{"id":988,"type":"article-journal","abstract":"Since the original Comparative Risk Assessment (CRA) for alcohol consumption as part of the Global Burden of Disease Study for 1990, there had been regular updates of CRAs for alcohol from the World Health Organization and/or the Institute for Health Metrics and Evaluation. These studies have become more and more refined with respect to establishing causality between dimensions of alcohol consumption and different disease and mortality (cause of death) outcomes, refining risk relations, and improving the methodology for estimating exposure and alcohol-attributable burden. The present review will give an overview on the main results of the CRAs with respect to alcohol consumption as a risk factor, sketch out new trends and developments, and draw implications for future research and policy.","container-title":"Substance Abuse Treatment, Prevention, and Policy","DOI":"10.1186/s13011-016-0081-2","ISSN":"1747-597X","issue":"1","journalAbbreviation":"Subst Abuse Treat Prev Policy","language":"eng","note":"PMID: 27793173\nPMCID: PMC5084343","page":"37","source":"PubMed","title":"A narrative review of alcohol consumption as a risk factor for global burden of disease","volume":"11","author":[{"family":"Rehm","given":"Jürgen"},{"family":"Imtiaz","given":"Sameer"}],"issued":{"date-parts":[["2016",10,28]]}}}],"schema":"https://github.com/citation-style-language/schema/raw/master/csl-citation.json"} </w:instrText>
      </w:r>
      <w:r w:rsidR="00F92626">
        <w:rPr>
          <w:rFonts w:ascii="Times New Roman" w:hAnsi="Times New Roman" w:cs="Times New Roman"/>
        </w:rPr>
        <w:fldChar w:fldCharType="separate"/>
      </w:r>
      <w:r w:rsidR="00B05C6B" w:rsidRPr="00B05C6B">
        <w:rPr>
          <w:rFonts w:ascii="Times New Roman" w:hAnsi="Times New Roman" w:cs="Times New Roman"/>
        </w:rPr>
        <w:t>(Rehm &amp; Imtiaz, 2016)</w:t>
      </w:r>
      <w:r w:rsidR="00F92626">
        <w:rPr>
          <w:rFonts w:ascii="Times New Roman" w:hAnsi="Times New Roman" w:cs="Times New Roman"/>
        </w:rPr>
        <w:fldChar w:fldCharType="end"/>
      </w:r>
      <w:r w:rsidRPr="00572DF1">
        <w:rPr>
          <w:rFonts w:ascii="Times New Roman" w:hAnsi="Times New Roman" w:cs="Times New Roman"/>
        </w:rPr>
        <w:t>. Meaning in life (defined as the pursuit of goals that are intrinsically valued) is often divided into two subscales</w:t>
      </w:r>
      <w:r w:rsidR="00574B38">
        <w:rPr>
          <w:rFonts w:ascii="Times New Roman" w:hAnsi="Times New Roman" w:cs="Times New Roman"/>
        </w:rPr>
        <w:t xml:space="preserve"> </w:t>
      </w:r>
      <w:r w:rsidR="00574B3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{"citationID":"FFXauoFx","properties":{"formattedCitation":"(Steger et al., 2006)","plainCitation":"(Steger et al., 2006)","noteIndex":0},"citationItems":[{"id":150,"uris":["http://zotero.org/users/7873587/items/YKB4XFFI"],"itemData":{"id":150,"type":"article-journal","abstract":"Counseling psychologists often work with clients to increase their well-being as well as to decrease their distress. One important aspect of well-being, highlighted particularly in humanistic theories of the counseling process, is perceived meaning in life. However, poor measurement has hampered research on meaning in life. In 3 studies, evidence is provided for the internal consistency, temporal stability, factor structure, and validity of the Meaning in Life Questionnaire (MLQ), a new 10-item measure of the presence of, and the search for, meaning in life. A multitrait-multimethod matrix demonstrates the convergent and discriminant validity of the MLQ subscales across time and informants, in comparison with 2 other meaning scales. The MLQ offers several improvements over current meaning in life measures, including no item overlap with distress measures, a stable factor structure, better discriminant validity, a briefer format, and the ability to measure the search for meaning.","container-title":"Journal of Counseling Psychology","DOI":"10.1037/0022-0167.53.1.80","issue":"1","journalAbbreviation":"Journal of Counseling Psychology","page":"80-93","source":"ResearchGate","title":"The meaning in life questionnaire: Assessing the presence of and search for meaning in life","title-short":"The Meaning in Life Questionnaire","volume":"53","author":[{"family":"Steger","given":"Michael F."},{"family":"Frazier","given":"Patricia"},{"family":"Oishi","given":"Shigehiro"},{"family":"Kaler","given":"Matthew"}],"issued":{"date-parts":[["2006",1,1]]}}}],"schema":"https://github.com/citation-style-language/schema/raw/master/csl-citation.json"} </w:instrText>
      </w:r>
      <w:r w:rsidR="00574B38">
        <w:rPr>
          <w:rFonts w:ascii="Times New Roman" w:hAnsi="Times New Roman" w:cs="Times New Roman"/>
        </w:rPr>
        <w:fldChar w:fldCharType="separate"/>
      </w:r>
      <w:r w:rsidR="00574B38" w:rsidRPr="00574B38">
        <w:rPr>
          <w:rFonts w:ascii="Times New Roman" w:hAnsi="Times New Roman" w:cs="Times New Roman"/>
        </w:rPr>
        <w:t>(Steger et al., 2006)</w:t>
      </w:r>
      <w:r w:rsidR="00574B38">
        <w:rPr>
          <w:rFonts w:ascii="Times New Roman" w:hAnsi="Times New Roman" w:cs="Times New Roman"/>
        </w:rPr>
        <w:fldChar w:fldCharType="end"/>
      </w:r>
      <w:r w:rsidR="00B05C6B">
        <w:rPr>
          <w:rFonts w:ascii="Times New Roman" w:hAnsi="Times New Roman" w:cs="Times New Roman"/>
        </w:rPr>
        <w:t>:</w:t>
      </w:r>
      <w:r w:rsidRPr="00572DF1">
        <w:rPr>
          <w:rFonts w:ascii="Times New Roman" w:hAnsi="Times New Roman" w:cs="Times New Roman"/>
        </w:rPr>
        <w:t xml:space="preserve"> ‘presence’ reflects the extent to which a person currently experiences life meaning and ‘search’ reflects the extent to which a person is actively seeking life meaning. Research reliably demonstrates that presence of meaning in life is inversely associated with alcohol consumption </w:t>
      </w:r>
      <w:r w:rsidR="00B05C6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{"citationID":"2IC7fogq","properties":{"formattedCitation":"(Copeland et al., 2020; Csabonyi &amp; Phillips, 2017; A. R. Krentzman et al., 2017; E. A. R. Robinson et al., 2007; Schnetzer et al., 2013)","plainCitation":"(Copeland et al., 2020; Csabonyi &amp; Phillips, 2017; A. R. Krentzman et al., 2017; E. A. R. Robinson et al., 2007; Schnetzer et al., 2013)","dontUpdate":true,"noteIndex":0},"citationItems":[{"id":1273,"uris":["http://zotero.org/users/7873587/items/R5Q63SAR"],"itemData":{"id":1273,"type":"article-journal","abstract":"Introduction\nThe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act"},{"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J."}],"issued":{"date-parts":[["2017"]]}},"label":"act"},{"id":437,"uris":["http://zotero.org/users/7873587/items/7QF648H9"],"itemData":{"id":437,"type":"article-journal","abstract":"Alcoholics Anonymous (AA) is a spiritual program and involvement in it has been associated with increases in spirituality. Some who pursue recovery outside AA also use spirituality for support. Decreasing drinking without AA involvement might result in spiritual change, but this has not been explored in previous research. This study investigates drinking and AA behavior to determine their association with seven dimensions of subsequent spirituality.\nMETHODS: A 30-month panel study recruited 364 individuals with alcohol dependence. Multilevel models examined drinking and AA at six months as predictors of both the levels and trajectories of seven dimensions of spirituality assessed five times over 6 - 30 months.\nRESULTS: Controlling for AA involvement, less drinking was associated with higher levels of purpose in life, self-forgiveness, and spiritual/religious practices. Controlling for drinking, greater AA involvement was associated with higher levels of positive religious coping, daily spiritual experiences, forgiveness of others, and spiritual/religious practices. Neither AA nor drinking predicted trajectories of spirituality. Data visualizations identified a pattern of elevated purpose in life and self-forgiveness among individuals who were abstinent and among individuals who drank less intensely.\nCONCLUSIONS: Reduced drinking influenced aspects of spirituality that have been shown to respond to experience and maturation. AA was associated with aspects of spirituality embedded in the 12 steps which have been shown to be responsive to learning and modeling. This knowledge has the potential to inform decisions about recovery options, and contributes to theoretical understandings of the nature of spiritual change over the course of addiction recovery.","container-title":"Psychology of Religion and Spirituality","DOI":"10.1037/rel0000121","ISSN":"1941-1022","issue":"Suppl 1","journalAbbreviation":"Psycholog Relig Spiritual","language":"eng","note":"PMID: 29057032\nPMCID: PMC5646828","page":"S40-S48","source":"PubMed","title":"Decreased drinking and alcoholics anonymous are associated with different dimensions of spirituality","volume":"9","author":[{"family":"Krentzman","given":"Amy R."},{"family":"Strobbe","given":"Stephen"},{"family":"Harris","given":"J. Irene"},{"family":"Jester","given":"Jennifer M."},{"family":"Robinson","given":"Elizabeth A. R."}],"issued":{"date-parts":[["2017",9]]}},"label":"act"},{"id":205,"uris":["http://zotero.org/users/7873587/items/258ZMR7W"],"itemData":{"id":205,"type":"article-journal","abstract":"Objective: This descriptive and exploratory study investigated change in alcoholics' spirituality and/or religiousness (S/R) from treatment entry to 6 months later and whether those changes were associated with drinking outcomes. Method: Longitudinal survey data were collected from 123 outpatients with alcohol use disorders (66% male; mean age = 39; 83% white) on 10 measures of S/R, covering behaviors, beliefs, and experiences, including the Daily Spiritual Experiences and Purpose in Life scales. Drinking behaviors were assessed with the Timeline Followback interview. Alcoholics Anonymous (AA) participation and attendance were also measured. Results: Over 6 months, there were statistically significant increases in half of the S/R measures, specifically the Daily Spiritual Experiences scale, the Purpose in Life scale, S/R practices scale, Forgiveness scale, and the Positive Religious Coping scale. There were also clinically and statistically significant decreases in alcohol use. Multiple logistic regression analyses showed that increases in Daily Spiritual Experiences and in Purpose in Life scores were associated with increased odds of no heavy drinking at 6 months, even after controlling for AA involvement and gender. Conclusions: In the first 6 months of recovery, many dimensions of S/R increased, particularly those associated with behaviors and experiences. Values, beliefs, self-assessed religiousness, perceptions of God, and the use of negative religious coping did not change. Increases in day-to-day experiences of spirituality and sense of purpose/meaning in life were associated with absence of heavy drinking at 6 months, regardless of gender and AA involvement. The results of this descriptive study support the perspective of many clinicians and recovering individuals that changes in alcoholics' S/R occur in recovery and that such changes are important to sobriety. (J. Stud. Alcohol Drugs 68: 282-290, 2007)","container-title":"Journal of Studies on Alcohol and Drugs","DOI":"10.15288/jsad.2007.68.282","ISSN":"1937-1888","issue":"2","journalAbbreviation":"J. Stud. Alcohol Drugs","note":"publisher: Alcohol Research Documentation, Inc.","page":"282-290","source":"jsad.com (Atypon)","title":"Six-month changes in spirituality, religiousness, and heavy drinking in a treatment-seeking sample","volume":"68","author":[{"family":"Robinson","given":"Elizabeth A.R."},{"family":"Cranford","given":"James A."},{"family":"Webb","given":"Jon R."},{"family":"Brower","given":"Kirk J."}],"issued":{"date-parts":[["2007",3,1]]}},"label":"act"},{"id":157,"uris":["http://zotero.org/users/7873587/items/MAHUQBKC"],"itemData":{"id":157,"type":"article-journal","abstract":"Excessive alcohol consumption is a chronic issue on college campuses nationwide and presents a significant public health concern. Compared with non-college peers, college students consume alcohol at substantially higher rates and encounter more negative consequences resulting from drinking. This study aimed to examine the role of depression and perceived life meaning in college student drinking, with a focus on potential sex differences. Participants recruited from a large southern university in the United States (mean age = 19.14, SD age = 2.05; 75.7% female; 75.7% Caucasian, 17.2% African American) completed surveys assessing perceived meaning, depression and alcohol use. Results indicated a significant inverse relationship between perceived meaning and alcohol use, while no significant association was found between depression and alcohol use. Although the regression model including perceived meaning and depression was significant in the prediction of alcohol use, it was meaning that accounted for significant variance in alcohol use. When the sample was split by sex, there was an interaction between meaning and depression in predicting male alcohol use. This study expands upon previous research pertaining to college student alcohol use and reveals potentially clinically relevant differences in patterns of association between men and women. Limitations, clinical implications and directions for research are discussed.","container-title":"Journal of Substance Use","DOI":"10.3109/14659891.2012.661026","issue":"4","journalAbbreviation":"Journal of Substance Use","page":"311-319","source":"ResearchGate","title":"Differential associations among alcohol use, depression and perceived life meaning in male and female college students","volume":"18","author":[{"family":"Schnetzer","given":"Lindsay"},{"family":"Schulenberg","given":"Stefan"},{"family":"Buchanan","given":"Erin"}],"issued":{"date-parts":[["2013",6,14]]}},"label":"act"}],"schema":"https://github.com/citation-style-language/schema/raw/master/csl-citation.json"} </w:instrText>
      </w:r>
      <w:r w:rsidR="00B05C6B">
        <w:rPr>
          <w:rFonts w:ascii="Times New Roman" w:hAnsi="Times New Roman" w:cs="Times New Roman"/>
        </w:rPr>
        <w:fldChar w:fldCharType="separate"/>
      </w:r>
      <w:r w:rsidR="00B05C6B" w:rsidRPr="00B05C6B">
        <w:rPr>
          <w:rFonts w:ascii="Times New Roman" w:hAnsi="Times New Roman" w:cs="Times New Roman"/>
        </w:rPr>
        <w:t>(Copeland et al., 2020; Csabonyi &amp; Phillips, 2017; Krentzman et al., 2017; Robinson et al., 2007; Schnetzer et al., 2013)</w:t>
      </w:r>
      <w:r w:rsidR="00B05C6B">
        <w:rPr>
          <w:rFonts w:ascii="Times New Roman" w:hAnsi="Times New Roman" w:cs="Times New Roman"/>
        </w:rPr>
        <w:fldChar w:fldCharType="end"/>
      </w:r>
      <w:r w:rsidRPr="00572DF1">
        <w:rPr>
          <w:rFonts w:ascii="Times New Roman" w:hAnsi="Times New Roman" w:cs="Times New Roman"/>
        </w:rPr>
        <w:t xml:space="preserve">, however the relationship between search for meaning in life and alcohol consumption is less clear: one study found a positive association </w:t>
      </w:r>
      <w:r w:rsidR="00B05C6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{"citationID":"InhNEt3O","properties":{"formattedCitation":"(Copeland et al., 2020)","plainCitation":"(Copeland et al.,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B05C6B">
        <w:rPr>
          <w:rFonts w:ascii="Times New Roman" w:hAnsi="Times New Roman" w:cs="Times New Roman"/>
        </w:rPr>
        <w:fldChar w:fldCharType="separate"/>
      </w:r>
      <w:r w:rsidR="00B05C6B" w:rsidRPr="00B05C6B">
        <w:rPr>
          <w:rFonts w:ascii="Times New Roman" w:hAnsi="Times New Roman" w:cs="Times New Roman"/>
        </w:rPr>
        <w:t>(Copeland et al., 2020)</w:t>
      </w:r>
      <w:r w:rsidR="00B05C6B">
        <w:rPr>
          <w:rFonts w:ascii="Times New Roman" w:hAnsi="Times New Roman" w:cs="Times New Roman"/>
        </w:rPr>
        <w:fldChar w:fldCharType="end"/>
      </w:r>
      <w:r w:rsidRPr="00572DF1">
        <w:rPr>
          <w:rFonts w:ascii="Times New Roman" w:hAnsi="Times New Roman" w:cs="Times New Roman"/>
        </w:rPr>
        <w:t xml:space="preserve"> whilst another study found no significant association </w:t>
      </w:r>
      <w:r w:rsidR="00B05C6B">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{"citationID":"d24fimGi","properties":{"formattedCitation":"(Csabonyi &amp; Phillips, 2017)","plainCitation":"(Csabonyi &amp; Phillips, 2017)","noteIndex":0},"citationItems":[{"id":1272,"uris":["http://zotero.org/users/7873587/items/UIMMBKBM"],"itemData":{"id":1272,"type":"article-journal","abstract":"Viktor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J."}],"issued":{"date-parts":[["2017"]]}}}],"schema":"https://github.com/citation-style-language/schema/raw/master/csl-citation.json"} </w:instrText>
      </w:r>
      <w:r w:rsidR="00B05C6B">
        <w:rPr>
          <w:rFonts w:ascii="Times New Roman" w:hAnsi="Times New Roman" w:cs="Times New Roman"/>
        </w:rPr>
        <w:fldChar w:fldCharType="separate"/>
      </w:r>
      <w:r w:rsidR="00B05C6B" w:rsidRPr="00B05C6B">
        <w:rPr>
          <w:rFonts w:ascii="Times New Roman" w:hAnsi="Times New Roman" w:cs="Times New Roman"/>
        </w:rPr>
        <w:t>(Csabonyi &amp; Phillips, 2017)</w:t>
      </w:r>
      <w:r w:rsidR="00B05C6B">
        <w:rPr>
          <w:rFonts w:ascii="Times New Roman" w:hAnsi="Times New Roman" w:cs="Times New Roman"/>
        </w:rPr>
        <w:fldChar w:fldCharType="end"/>
      </w:r>
      <w:r w:rsidRPr="00572DF1">
        <w:rPr>
          <w:rFonts w:ascii="Times New Roman" w:hAnsi="Times New Roman" w:cs="Times New Roman"/>
        </w:rPr>
        <w:t xml:space="preserve"> between the two. Less is currently understood about what characterises a meaningful life and how this construct in turn influences alcohol consumption.</w:t>
      </w:r>
    </w:p>
    <w:p w14:paraId="45B4C0EA" w14:textId="77777777" w:rsidR="00572DF1" w:rsidRPr="00572DF1" w:rsidRDefault="00572DF1" w:rsidP="00572DF1">
      <w:pPr>
        <w:pStyle w:val="NoSpacing"/>
        <w:spacing w:line="480" w:lineRule="auto"/>
        <w:rPr>
          <w:rFonts w:ascii="Times New Roman" w:hAnsi="Times New Roman" w:cs="Times New Roman"/>
        </w:rPr>
      </w:pPr>
    </w:p>
    <w:p w14:paraId="4259B543" w14:textId="17A1F9EB" w:rsidR="00572DF1" w:rsidRPr="00572DF1" w:rsidRDefault="00572DF1" w:rsidP="00BA5D4A">
      <w:pPr>
        <w:pStyle w:val="NoSpacing"/>
        <w:spacing w:line="480" w:lineRule="auto"/>
        <w:rPr>
          <w:rFonts w:ascii="Times New Roman" w:hAnsi="Times New Roman" w:cs="Times New Roman"/>
        </w:rPr>
      </w:pPr>
      <w:r w:rsidRPr="00572DF1">
        <w:rPr>
          <w:rFonts w:ascii="Times New Roman" w:hAnsi="Times New Roman" w:cs="Times New Roman"/>
        </w:rPr>
        <w:t xml:space="preserve">Behavioural economic theories emphasise that harmful alcohol consumption and dependence arise from, and are maintained by, excessive valuation of alcohol relative to alcohol-free alternative reinforcers </w:t>
      </w:r>
      <w:r w:rsidR="000A2E8B">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{"citationID":"Xzb2UsPM","properties":{"formattedCitation":"(Bickel et al., 2014; Hogarth &amp; Field, 2020)","plainCitation":"(Bickel et al., 2014; Hogarth &amp; Field, 2020)","noteIndex":0},"citationItems":[{"id":816,"uris":["http://zotero.org/users/7873587/items/R9KVGRWU"],"itemData":{"id":816,"type":"article-journal","abstract":"The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addiction","volume":"394","author":[{"family":"Hogarth","given":"Lee"},{"family":"Field","given":"Matt"}],"issued":{"date-parts":[["2020",9,15]]}},"label":"act"}],"schema":"https://github.com/citation-style-language/schema/raw/master/csl-citation.json"} </w:instrText>
      </w:r>
      <w:r w:rsidR="000A2E8B">
        <w:rPr>
          <w:rFonts w:ascii="Times New Roman" w:hAnsi="Times New Roman" w:cs="Times New Roman"/>
        </w:rPr>
        <w:fldChar w:fldCharType="separate"/>
      </w:r>
      <w:r w:rsidR="000A2E8B" w:rsidRPr="000A2E8B">
        <w:rPr>
          <w:rFonts w:ascii="Times New Roman" w:hAnsi="Times New Roman" w:cs="Times New Roman"/>
        </w:rPr>
        <w:t>(Bickel et al., 2014; Hogarth &amp; Field, 2020)</w:t>
      </w:r>
      <w:r w:rsidR="000A2E8B">
        <w:rPr>
          <w:rFonts w:ascii="Times New Roman" w:hAnsi="Times New Roman" w:cs="Times New Roman"/>
        </w:rPr>
        <w:fldChar w:fldCharType="end"/>
      </w:r>
      <w:r w:rsidRPr="00572DF1">
        <w:rPr>
          <w:rFonts w:ascii="Times New Roman" w:hAnsi="Times New Roman" w:cs="Times New Roman"/>
        </w:rPr>
        <w:t xml:space="preserve">. Alcohol’s reinforcing value (also termed </w:t>
      </w:r>
      <w:r w:rsidR="000A2E8B">
        <w:rPr>
          <w:rFonts w:ascii="Times New Roman" w:hAnsi="Times New Roman" w:cs="Times New Roman"/>
        </w:rPr>
        <w:t>‘</w:t>
      </w:r>
      <w:r w:rsidRPr="00572DF1">
        <w:rPr>
          <w:rFonts w:ascii="Times New Roman" w:hAnsi="Times New Roman" w:cs="Times New Roman"/>
        </w:rPr>
        <w:t>demand</w:t>
      </w:r>
      <w:r w:rsidR="000A2E8B">
        <w:rPr>
          <w:rFonts w:ascii="Times New Roman" w:hAnsi="Times New Roman" w:cs="Times New Roman"/>
        </w:rPr>
        <w:t>’</w:t>
      </w:r>
      <w:r w:rsidRPr="00572DF1">
        <w:rPr>
          <w:rFonts w:ascii="Times New Roman" w:hAnsi="Times New Roman" w:cs="Times New Roman"/>
        </w:rPr>
        <w:t xml:space="preserve">) is commonly measured using hypothetical purchase tasks which instruct participants to estimate consumption of alcohol across a set of prices that gradually increase </w:t>
      </w:r>
      <w:r w:rsidR="000A2E8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{"citationID":"8JxnjFEk","properties":{"formattedCitation":"(Murphy &amp; MacKillop, 2006; Owens et al., 2015)","plainCitation":"(Murphy &amp; MacKillop, 2006; Owens et al., 2015)","noteIndex":0},"citationItems":[{"id":1395,"uris":["http://zotero.org/users/7873587/items/RL3F96YW"],"itemData":{"id":1395,"type":"article-journal","abstract":"The construct of relative reinforcing efficacy (RRE) is central to many laboratory and theoretical models of drug abuse, but it has not been widely measured in applied clinical research contexts. The authors used a simulated alcohol purchase task to measure RRE in a sample of 267 college student drinkers. Participants reported their alcohol consumption across a range of prices, and their responses were well-described by a regression equation that has been used to construct demand curves in drug self-administration studies. Several measures of relative reinforcing efficacy were generated, including breakpoint, intensity of demand, elasticity, P-sub(max) (price at which response output is maximized), and O-sub(max) (maximum alcohol expenditures). Demand for alcohol was inelastic across the initial range of prices but became elastic as price increased. Students who reported recent heavy drinking reported significantly greater intensity of demand, O-sub(max), and breakpoint. These results provide initial support for the validity of the RRE indices generated with the alcohol purchase task. These results also provide empirical support for programs that attempt to reduce alcohol abuse by eliminating low-cost access to alcohol.","container-title":"Experimental and Clinical Psychopharmacology","DOI":"10.1037/1064-1297.14.2.219","ISSN":"1064-1297","issue":"2","journalAbbreviation":"Exp Clin Psychopharmacol","language":"eng","note":"PMID: 16756426","page":"219-227","source":"PubMed","title":"Relative reinforcing efficacy of alcohol among college student drinkers","volume":"14","author":[{"family":"Murphy","given":"James G."},{"family":"MacKillop","given":"James"}],"issued":{"date-parts":[["2006",5]]}},"label":"act"},{"id":1403,"uris":["http://zotero.org/users/7873587/items/BTEE922L"],"itemData":{"id":1403,"type":"article-journal","abstract":"Because of difficulties with definition and measurement, the role of conscious craving in substance use disorders remains contentious. To address this, behavioral economics is increasingly being used to quantify aspects of an individual’s acute motivation to use a substance. Doing so typically involves the use of a purchase task, in which participants make choices about consuming alcohol or other substances at various prices and multiple indices of alcohol demand are generated. However, purchase tasks can be limited by the time required to administer and score them. In the current study, a brief 3-item measure, designed to capture 3 important indices of demand that are derived from demand curve modeling (intensity, Omax, and breakpoint), was investigated in a group of 84 heavy drinkers. Participants underwent a cue-reactivity paradigm that is established to increase both conscious craving and alcohol demand on traditional purchase tasks. All 3 indices of demand for alcohol measured using the abbreviated measure increased significantly in response to alcohol cues, analogous to what has been observed using a traditional purchase task. Additionally, the correlations between these indices and subjective craving were modest to moderate, as has been found in studies comparing craving to the indices derived from purchase tasks. These findings suggest that this abbreviated measure may be a useful and efficient way to capture important and distinct aspects of motivation for alcohol. If these results are confirmed, this measure may be able to help increase the portability of behavioral economic indices of demand into novel research and clinical contexts. (PsycInfo Database Record (c) 2020 APA, all rights reserved)","container-title":"Psychology of Consciousness: Theory, Research, and Practice","DOI":"10.1037/cns0000056","ISSN":"2326-5531","issue":"2","note":"publisher-place: US\npublisher: Educational Publishing Foundation","page":"144-152","source":"APA PsycNet","title":"Initial development of a brief behavioral economic assessment of alcohol demand","volume":"2","author":[{"family":"Owens","given":"Max M."},{"family":"Murphy","given":"Cara M."},{"family":"MacKillop","given":"James"}],"issued":{"date-parts":[["2015"]]}},"label":"act"}],"schema":"https://github.com/citation-style-language/schema/raw/master/csl-citation.json"} </w:instrText>
      </w:r>
      <w:r w:rsidR="000A2E8B">
        <w:rPr>
          <w:rFonts w:ascii="Times New Roman" w:hAnsi="Times New Roman" w:cs="Times New Roman"/>
        </w:rPr>
        <w:fldChar w:fldCharType="separate"/>
      </w:r>
      <w:r w:rsidR="000A2E8B" w:rsidRPr="000A2E8B">
        <w:rPr>
          <w:rFonts w:ascii="Times New Roman" w:hAnsi="Times New Roman" w:cs="Times New Roman"/>
        </w:rPr>
        <w:t>(Murphy &amp; MacKillop, 2006; Owens et al., 2015)</w:t>
      </w:r>
      <w:r w:rsidR="000A2E8B">
        <w:rPr>
          <w:rFonts w:ascii="Times New Roman" w:hAnsi="Times New Roman" w:cs="Times New Roman"/>
        </w:rPr>
        <w:fldChar w:fldCharType="end"/>
      </w:r>
      <w:r w:rsidRPr="00572DF1">
        <w:rPr>
          <w:rFonts w:ascii="Times New Roman" w:hAnsi="Times New Roman" w:cs="Times New Roman"/>
        </w:rPr>
        <w:t xml:space="preserve">. Alternatively, alcohol-free reinforcement is often measured using reinforcement surveys which capture the frequency of participation in, and enjoyment derived from, activities that do not involve consuming alcohol </w:t>
      </w:r>
      <w:r w:rsidR="000A2E8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{"citationID":"JiImTaxL","properties":{"formattedCitation":"(Murphy et al., 2005)","plainCitation":"(Murphy et al., 2005)","noteIndex":0},"citationItems":[{"id":215,"uris":["http://zotero.org/users/7873587/items/IZDTDDSU"],"itemData":{"id":215,"type":"article-journal","abstract":"Behavioral theories of choice predict that substance use is partly a function of the relative value of drugs in relation to other available reinforcers. This study evaluated this hypothesis in the context of predicting drinking outcomes following an alcohol abuse intervention. Participants (N = 54, 69% female, 31% male) were college student heavy drinkers who completed a single-session motivational intervention. Students completed a baseline measure of substance-related and substance-free activity participation and enjoyment. Only women showed a significant reduction in drinking at the 6-month follow-up, and the ratio of substance-related to substance-free reinforcement accounted for unique variance in their drinking outcomes. Women who at baseline derived a smaller proportion of their total reinforcement from substance use showed lower levels of follow-up drinking, even after the authors controlled for baseline drinking level. Male and female participants who reduced their drinking showed increased proportional reinforcement from substance-free activities.","container-title":"Experimental and Clinical Psychopharmacology","DOI":"10.1037/1064-1297.13.2.93","ISSN":"1064-1297","issue":"2","journalAbbreviation":"Exp Clin Psychopharmacol","language":"eng","note":"PMID: 15943542","page":"93-101","source":"PubMed","title":"Using behavioral theories of choice to predict drinking outcomes following a brief intervention","volume":"13","author":[{"family":"Murphy","given":"James G."},{"family":"Correia","given":"Christopher J."},{"family":"Colby","given":"Suzanne M."},{"family":"Vuchinich","given":"Rudy E."}],"issued":{"date-parts":[["2005",5]]}}}],"schema":"https://github.com/citation-style-language/schema/raw/master/csl-citation.json"} </w:instrText>
      </w:r>
      <w:r w:rsidR="000A2E8B">
        <w:rPr>
          <w:rFonts w:ascii="Times New Roman" w:hAnsi="Times New Roman" w:cs="Times New Roman"/>
        </w:rPr>
        <w:fldChar w:fldCharType="separate"/>
      </w:r>
      <w:r w:rsidR="000A2E8B" w:rsidRPr="000A2E8B">
        <w:rPr>
          <w:rFonts w:ascii="Times New Roman" w:hAnsi="Times New Roman" w:cs="Times New Roman"/>
        </w:rPr>
        <w:t>(Murphy et al., 2005)</w:t>
      </w:r>
      <w:r w:rsidR="000A2E8B">
        <w:rPr>
          <w:rFonts w:ascii="Times New Roman" w:hAnsi="Times New Roman" w:cs="Times New Roman"/>
        </w:rPr>
        <w:fldChar w:fldCharType="end"/>
      </w:r>
      <w:r w:rsidRPr="00572DF1">
        <w:rPr>
          <w:rFonts w:ascii="Times New Roman" w:hAnsi="Times New Roman" w:cs="Times New Roman"/>
        </w:rPr>
        <w:t xml:space="preserve">. There is robust evidence to show that alcohol value is positively associated </w:t>
      </w:r>
      <w:r w:rsidR="000A2E8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{"citationID":"5VkobXtp","properties":{"formattedCitation":"(Mart\\uc0\\u237{}nez-Loredo et al., 2021)","plainCitation":"(Martínez-Loredo et al., 2021)","noteIndex":0},"citationItems":[{"id":1392,"uris":["http://zotero.org/users/7873587/items/93TGD9F7"],"itemData":{"id":1392,"type":"article-journal","abstract":"BACKGROUND AND AIMS: An early meta-analysis testing the concurrent validity of the Alcohol Purchase Task (APT), a measure of alcohol's relative reinforcing value, reported mixed associations, but predated a large number of studies. This systematic review and meta-analysis sought to: (1) estimate the relationships between trait-based alcohol demand indices from the APT and multiple alcohol indicators, (2) test several moderators and (3) analyze small study effects.\nMETHODS: A meta-analysis of 50 cross-sectional studies in four databases (n = 18 466, females = 43.32%). Sex, year of publication, number of APT prices and index transformations (logarithmic, square root or none) were considered as moderators. Small study effects were examined by using the Begg-Mazumdar, Egger's and Duval &amp; Tweedie's trim-and-fill tests. Alcohol indicators were quantity of alcohol use, number of heavy drinking episodes, alcohol-related problems and hazardous drinking. APT indices were intensity (i.e. consumption at zero cost), elasticity (i.e. sensitivity to increases in costs), Omax (i.e. maximum expenditure), Pmax (i.e. price associated to Omax ) and breakpoint (i.e. price at which consumption ceases).\nRESULTS: All alcohol demand indices were significantly associated with all alcohol-related outcomes (r = 0.132-0.494), except Pmax , which was significantly associated with alcohol-related problems only (r = 0.064). The greatest associations were evinced between intensity in relation to alcohol use, hazardous drinking and heavy drinking and between Omax and alcohol use. All the tested moderators emerged as significant moderators. Evidence of small-study effects was limited.\nCONCLUSIONS: The Alcohol Purchase Task appears to have concurrent validity in alcohol research. Intensity and Omax are the most relevant indices to account for alcohol involvement.","container-title":"Addiction","DOI":"10.1111/add.15379","ISSN":"1360-0443","issue":"10","journalAbbreviation":"Addiction","language":"eng","note":"PMID: 33338263\nPMCID: PMC9186155","page":"2635-2650","source":"PubMed","title":"Concurrent validity of the Alcohol Purchase Task for measuring the reinforcing efficacy of alcohol: an updated systematic review and meta-analysis","title-short":"Concurrent validity of the Alcohol Purchase Task for measuring the reinforcing efficacy of alcohol","volume":"116","author":[{"family":"Martínez-Loredo","given":"Victor"},{"family":"González-Roz","given":"Alba"},{"family":"Secades-Villa","given":"Roberto"},{"family":"Fernández-Hermida","given":"José R."},{"family":"MacKillop","given":"James"}],"issued":{"date-parts":[["2021",10]]}}}],"schema":"https://github.com/citation-style-language/schema/raw/master/csl-citation.json"} </w:instrText>
      </w:r>
      <w:r w:rsidR="000A2E8B">
        <w:rPr>
          <w:rFonts w:ascii="Times New Roman" w:hAnsi="Times New Roman" w:cs="Times New Roman"/>
        </w:rPr>
        <w:fldChar w:fldCharType="separate"/>
      </w:r>
      <w:r w:rsidR="000A2E8B" w:rsidRPr="000A2E8B">
        <w:rPr>
          <w:rFonts w:ascii="Times New Roman" w:hAnsi="Times New Roman" w:cs="Times New Roman"/>
        </w:rPr>
        <w:t>(Martínez-Loredo et al., 2021)</w:t>
      </w:r>
      <w:r w:rsidR="000A2E8B">
        <w:rPr>
          <w:rFonts w:ascii="Times New Roman" w:hAnsi="Times New Roman" w:cs="Times New Roman"/>
        </w:rPr>
        <w:fldChar w:fldCharType="end"/>
      </w:r>
      <w:r w:rsidRPr="00572DF1">
        <w:rPr>
          <w:rFonts w:ascii="Times New Roman" w:hAnsi="Times New Roman" w:cs="Times New Roman"/>
        </w:rPr>
        <w:t xml:space="preserve">, whilst alcohol-free reinforcement is negatively associated </w:t>
      </w:r>
      <w:r w:rsidR="00574B38">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{"citationID":"sNsEsqEK","properties":{"formattedCitation":"(Acuff et al., 2019)","plainCitation":"(Acuff et al., 2019)","noteIndex":0},"citationItems":[{"id":1452,"uris":["http://zotero.org/users/7873587/items/2ENG4DDR"],"itemData":{"id":1452,"type":"article-journal","abstract":"A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G."}],"issued":{"date-parts":[["2019"]]}}}],"schema":"https://github.com/citation-style-language/schema/raw/master/csl-citation.json"} </w:instrText>
      </w:r>
      <w:r w:rsidR="00574B38">
        <w:rPr>
          <w:rFonts w:ascii="Times New Roman" w:hAnsi="Times New Roman" w:cs="Times New Roman"/>
        </w:rPr>
        <w:fldChar w:fldCharType="separate"/>
      </w:r>
      <w:r w:rsidR="00BA5D4A" w:rsidRPr="00BA5D4A">
        <w:rPr>
          <w:rFonts w:ascii="Times New Roman" w:hAnsi="Times New Roman" w:cs="Times New Roman"/>
        </w:rPr>
        <w:t>(Acuff et al., 2019)</w:t>
      </w:r>
      <w:r w:rsidR="00574B38">
        <w:rPr>
          <w:rFonts w:ascii="Times New Roman" w:hAnsi="Times New Roman" w:cs="Times New Roman"/>
        </w:rPr>
        <w:fldChar w:fldCharType="end"/>
      </w:r>
      <w:r w:rsidRPr="00572DF1">
        <w:rPr>
          <w:rFonts w:ascii="Times New Roman" w:hAnsi="Times New Roman" w:cs="Times New Roman"/>
        </w:rPr>
        <w:t xml:space="preserve"> with harmful alcohol consumption. To date few </w:t>
      </w:r>
      <w:r w:rsidRPr="00572DF1">
        <w:rPr>
          <w:rFonts w:ascii="Times New Roman" w:hAnsi="Times New Roman" w:cs="Times New Roman"/>
        </w:rPr>
        <w:lastRenderedPageBreak/>
        <w:t xml:space="preserve">studies have attempted to link these behavioural economic constructs with research on meaning in life. </w:t>
      </w:r>
    </w:p>
    <w:p w14:paraId="068BA688" w14:textId="77777777" w:rsidR="00572DF1" w:rsidRPr="00572DF1" w:rsidRDefault="00572DF1" w:rsidP="00572DF1">
      <w:pPr>
        <w:pStyle w:val="NoSpacing"/>
        <w:spacing w:line="480" w:lineRule="auto"/>
        <w:rPr>
          <w:rFonts w:ascii="Times New Roman" w:hAnsi="Times New Roman" w:cs="Times New Roman"/>
        </w:rPr>
      </w:pPr>
    </w:p>
    <w:p w14:paraId="3680650E" w14:textId="7235D925" w:rsidR="00572DF1" w:rsidRPr="00572DF1" w:rsidRDefault="00572DF1" w:rsidP="006A277B">
      <w:pPr>
        <w:pStyle w:val="NoSpacing"/>
        <w:spacing w:line="480" w:lineRule="auto"/>
        <w:rPr>
          <w:rFonts w:ascii="Times New Roman" w:hAnsi="Times New Roman" w:cs="Times New Roman"/>
        </w:rPr>
      </w:pPr>
      <w:r w:rsidRPr="00572DF1">
        <w:rPr>
          <w:rFonts w:ascii="Times New Roman" w:hAnsi="Times New Roman" w:cs="Times New Roman"/>
        </w:rPr>
        <w:t xml:space="preserve">One recent cross-sectional study found that people with high presence of meaning have lowered behavioural economic demand for alcohol and lower scores on the alcohol use disorders identification test (AUDIT; </w:t>
      </w:r>
      <w:r w:rsidR="00574B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{"citationID":"jKglmfIW","properties":{"formattedCitation":"(Copeland et al., 2020)","plainCitation":"(Copeland et al., 2020)","dontUpdate":true,"noteIndex":0},"citationItems":[{"id":1273,"uris":["http://zotero.org/users/7873587/items/R5Q63SAR"],"itemData":{"id":1273,"type":"article-journal","abstract":"Introduction\nThe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574B38">
        <w:rPr>
          <w:rFonts w:ascii="Times New Roman" w:hAnsi="Times New Roman" w:cs="Times New Roman"/>
        </w:rPr>
        <w:fldChar w:fldCharType="separate"/>
      </w:r>
      <w:r w:rsidR="00574B38" w:rsidRPr="00574B38">
        <w:rPr>
          <w:rFonts w:ascii="Times New Roman" w:hAnsi="Times New Roman" w:cs="Times New Roman"/>
        </w:rPr>
        <w:t>Copeland et al., 2020)</w:t>
      </w:r>
      <w:r w:rsidR="00574B38">
        <w:rPr>
          <w:rFonts w:ascii="Times New Roman" w:hAnsi="Times New Roman" w:cs="Times New Roman"/>
        </w:rPr>
        <w:fldChar w:fldCharType="end"/>
      </w:r>
      <w:r w:rsidRPr="00572DF1">
        <w:rPr>
          <w:rFonts w:ascii="Times New Roman" w:hAnsi="Times New Roman" w:cs="Times New Roman"/>
        </w:rPr>
        <w:t xml:space="preserve">, which may in part be due to elevated alcohol-free alternative reinforcement. Different factors may contribute to increasing alcohol-free reinforcement, one of them being age. To elaborate, age-related declines in alcohol consumption are common </w:t>
      </w:r>
      <w:r w:rsidR="00574B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{"citationID":"xAdm68nA","properties":{"formattedCitation":"(Britton et al., 2015)","plainCitation":"(Britton et al., 2015)","noteIndex":0},"citationItems":[{"id":1286,"uris":["http://zotero.org/users/7873587/items/68UVERYX"],"itemData":{"id":1286,"type":"article-journal","abstract":"BACKGROUND: Alcohol consumption patterns change across life and this is not fully captured in cross-sectional series data. Analysis of longitudinal data, with repeat alcohol measures, is necessary to reveal changes within the same individuals as they age. Such data are scarce and few studies are able to capture multiple decades of the life course. Therefore, we examined alcohol consumption trajectories, reporting both average weekly volume and frequency, using data from cohorts with repeated measures that cover different and overlapping periods of life.\nMETHODS: Data were from nine UK-based prospective cohorts with at least three repeated alcohol consumption measures on individuals (combined sample size of 59,397 with 174,666 alcohol observations), with data spanning from adolescence to very old age (90 years plus). Information on volume and frequency of drinking were harmonised across the cohorts. Predicted volume of alcohol by age was estimated using random effect multilevel models fitted to each cohort. Quadratic and cubic polynomial terms were used to describe non-linear age trajectories. Changes in drinking frequency by age were calculated from observed data within each cohort and then smoothed using locally weighted scatterplot smoothing. Models were fitted for men and women separately.\nRESULTS: We found that, for men, mean consumption rose sharply during adolescence, peaked at around 25 years at 20 units per week, and then declined and plateaued during mid-life, before declining from around 60 years. A similar trajectory was seen for women, but with lower overall consumption (peak of around 7 to 8 units per week). Frequent drinking (daily or most days of the week) became more common during mid to older age, most notably among men, reaching above 50% of men.\nCONCLUSIONS: This is the first attempt to synthesise longitudinal data on alcohol consumption from several overlapping cohorts to represent the entire life course and illustrates the importance of recognising that this behaviour is dynamic. The aetiological findings from epidemiological studies using just one exposure measure of alcohol, as is typically done, should be treated with caution. Having a better understanding of how drinking changes with age may help design intervention strategies.","container-title":"BMC medicine","DOI":"10.1186/s12916-015-0273-z","ISSN":"1741-7015","journalAbbreviation":"BMC Med","language":"eng","note":"PMID: 25858476\nPMCID: PMC4351673","page":"47","source":"PubMed","title":"Life course trajectories of alcohol consumption in the United Kingdom using longitudinal data from nine cohort studies","volume":"13","author":[{"family":"Britton","given":"Annie"},{"family":"Ben-Shlomo","given":"Yoav"},{"family":"Benzeval","given":"Michaela"},{"family":"Kuh","given":"Diana"},{"family":"Bell","given":"Steven"}],"issued":{"date-parts":[["2015",3,6]]}}}],"schema":"https://github.com/citation-style-language/schema/raw/master/csl-citation.json"} </w:instrText>
      </w:r>
      <w:r w:rsidR="00574B38">
        <w:rPr>
          <w:rFonts w:ascii="Times New Roman" w:hAnsi="Times New Roman" w:cs="Times New Roman"/>
        </w:rPr>
        <w:fldChar w:fldCharType="separate"/>
      </w:r>
      <w:r w:rsidR="00574B38" w:rsidRPr="00574B38">
        <w:rPr>
          <w:rFonts w:ascii="Times New Roman" w:hAnsi="Times New Roman" w:cs="Times New Roman"/>
        </w:rPr>
        <w:t>(Britton et al., 2015)</w:t>
      </w:r>
      <w:r w:rsidR="00574B38">
        <w:rPr>
          <w:rFonts w:ascii="Times New Roman" w:hAnsi="Times New Roman" w:cs="Times New Roman"/>
        </w:rPr>
        <w:fldChar w:fldCharType="end"/>
      </w:r>
      <w:r w:rsidRPr="00572DF1">
        <w:rPr>
          <w:rFonts w:ascii="Times New Roman" w:hAnsi="Times New Roman" w:cs="Times New Roman"/>
        </w:rPr>
        <w:t xml:space="preserve">, and alongside age, presence of meaning increases whilst search for meaning decreases </w:t>
      </w:r>
      <w:r w:rsidR="00574B3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{"citationID":"0EJ8LukH","properties":{"formattedCitation":"(Steger et al., 2009)","plainCitation":"(Steger et al., 2009)","noteIndex":0},"citationItems":[{"id":221,"uris":["http://zotero.org/users/7873587/items/WUWSR7QK"],"itemData":{"id":221,"type":"article-journal","abstract":"Meaning in life is thought to be important to well-being throughout the human life span. We assessed the structure, levels, and correlates of the presence of meaning in life, and the search for meaning, within four life stage groups: emerging adulthood, young adulthood, middle-age adulthood, and older adulthood. Results from a sample of Internet users (N = 8756) demonstrated the structural invariance of the meaning measure used across life stages. Those at later life stages generally reported a greater presence of meaning in their lives, whereas those at earlier life stages reported higher levels of searching for meaning. Correlations revealed that the presence of meaning has similar relations to well-being across life stages, whereas searching for meaning is more strongly associated with well-being deficits at later life stages.","container-title":"The Journal of Positive Psychology","DOI":"10.1080/17439760802303127","ISSN":"1743-9760","issue":"1","note":"publisher: Routledge\n_eprint: https://doi.org/10.1080/17439760802303127","page":"43-52","source":"Taylor and Francis+NEJM","title":"Meaning in life across the life span: Levels and correlates of meaning in life from emerging adulthood to older adulthood","title-short":"Meaning in life across the life span","volume":"4","author":[{"family":"Steger","given":"Michael F."},{"family":"Oishi","given":"Shigehiro"},{"family":"Kashdan","given":"Todd B."}],"issued":{"date-parts":[["2009",1,1]]}}}],"schema":"https://github.com/citation-style-language/schema/raw/master/csl-citation.json"} </w:instrText>
      </w:r>
      <w:r w:rsidR="00574B38">
        <w:rPr>
          <w:rFonts w:ascii="Times New Roman" w:hAnsi="Times New Roman" w:cs="Times New Roman"/>
        </w:rPr>
        <w:fldChar w:fldCharType="separate"/>
      </w:r>
      <w:r w:rsidR="00574B38" w:rsidRPr="00574B38">
        <w:rPr>
          <w:rFonts w:ascii="Times New Roman" w:hAnsi="Times New Roman" w:cs="Times New Roman"/>
        </w:rPr>
        <w:t>(Steger et al., 2009)</w:t>
      </w:r>
      <w:r w:rsidR="00574B38">
        <w:rPr>
          <w:rFonts w:ascii="Times New Roman" w:hAnsi="Times New Roman" w:cs="Times New Roman"/>
        </w:rPr>
        <w:fldChar w:fldCharType="end"/>
      </w:r>
      <w:r w:rsidRPr="00572DF1">
        <w:rPr>
          <w:rFonts w:ascii="Times New Roman" w:hAnsi="Times New Roman" w:cs="Times New Roman"/>
        </w:rPr>
        <w:t xml:space="preserve">, an observed pattern which may be attributable to shifts to more alcohol-free reinforcement. For example, “maturing-out” </w:t>
      </w:r>
      <w:r w:rsidR="00574B3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{"citationID":"obQfCGUA","properties":{"formattedCitation":"(O\\uc0\\u8217{}Malley, 2004)","plainCitation":"(O’Malley, 2004)","noteIndex":0},"citationItems":[{"id":1284,"uris":["http://zotero.org/users/7873587/items/VF5VMN8A"],"itemData":{"id":1284,"type":"article-journal","container-title":"Alcohol Research &amp; Health","ISSN":"1535-7414","issue":"4","journalAbbreviation":"Alcohol Res Health","note":"PMID: null\nPMCID: PMC6601682","page":"202-204","source":"PubMed Central","title":"Maturing out of problematic alcohol use","volume":"28","author":[{"family":"O’Malley","given":"Patrick M."}],"issued":{"date-parts":[["2004"]]}}}],"schema":"https://github.com/citation-style-language/schema/raw/master/csl-citation.json"} </w:instrText>
      </w:r>
      <w:r w:rsidR="00574B38">
        <w:rPr>
          <w:rFonts w:ascii="Times New Roman" w:hAnsi="Times New Roman" w:cs="Times New Roman"/>
        </w:rPr>
        <w:fldChar w:fldCharType="separate"/>
      </w:r>
      <w:r w:rsidR="006A277B" w:rsidRPr="006A277B">
        <w:rPr>
          <w:rFonts w:ascii="Times New Roman" w:hAnsi="Times New Roman" w:cs="Times New Roman"/>
        </w:rPr>
        <w:t>(O’Malley, 2004)</w:t>
      </w:r>
      <w:r w:rsidR="00574B38">
        <w:rPr>
          <w:rFonts w:ascii="Times New Roman" w:hAnsi="Times New Roman" w:cs="Times New Roman"/>
        </w:rPr>
        <w:fldChar w:fldCharType="end"/>
      </w:r>
      <w:r w:rsidRPr="00572DF1">
        <w:rPr>
          <w:rFonts w:ascii="Times New Roman" w:hAnsi="Times New Roman" w:cs="Times New Roman"/>
        </w:rPr>
        <w:t xml:space="preserve"> of alcohol use is often accompanied by the acquisition of adult roles that are incompatible with heavy drinking (e.g., parenthood and employment; </w:t>
      </w:r>
      <w:r w:rsidR="006A277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{"citationID":"mlcQ36q2","properties":{"formattedCitation":"(Staff et al., 2010, 2014)","plainCitation":"(Staff et al., 2010, 2014)","dontUpdate":true,"noteIndex":0},"citationItems":[{"id":1280,"uris":["http://zotero.org/users/7873587/items/SN98ZQBV"],"itemData":{"id":1280,"type":"article-journal","abstract":"Substance use changes rapidly during late adolescence and early adulthood. This time in the life course is also dense with social role changes, as role changes provide dynamic context for individual developmental change. Using nationally representative, multiwave longitudinal data from age 18 to 28, we examine proximal links between changes in social roles and changes in substance use during the transition to adulthood. We find that changes in family roles, such as marriage, divorce, and parenthood, have clear and consistent associations with changes in substance use. With some notable exceptions, changes in school and work roles have weaker effects on changes in substance use compared to family roles. Changes in socializing (i.e., nights out for fun and recreation) and in religiosity were found to mediate the relationship of social role transitions to substance use. Two time-invariant covariates, socioeconomic background and heavy adolescent substance use, predicted social role status, but did not moderate associations, as within-person links between social roles and substance use were largely equivalent across groups. This paper adds to the cascading effects literature by considering how, within individuals, more proximal variations in school, work, and family roles relate to variations in substance use, and which roles appear to be most influential in precipitating changes in substance use during the transition to adulthood.","container-title":"Development and Psychopathology","DOI":"10.1017/S0954579410000544","ISSN":"1469-2198","issue":"4","journalAbbreviation":"Dev Psychopathol","language":"eng","note":"PMID: 20883590\nPMCID: PMC2951309","page":"917-932","source":"PubMed","title":"Substance use changes and social role transitions: proximal developmental effects on ongoing trajectories from late adolescence through early adulthood","title-short":"Substance use changes and social role transitions","volume":"22","author":[{"family":"Staff","given":"Jeremy"},{"family":"Schulenberg","given":"John E."},{"family":"Maslowsky","given":"Julie"},{"family":"Bachman","given":"Jerald G."},{"family":"O'Malley","given":"Patrick M."},{"family":"Maggs","given":"Jennifer L."},{"family":"Johnston","given":"Lloyd D."}],"issued":{"date-parts":[["2010",11]]}},"label":"act"},{"id":1279,"uris":["http://zotero.org/users/7873587/items/2A5PGSKX"],"itemData":{"id":1279,"type":"article-journal","abstract":"AIMS: To examine how changes in social roles, particularly in the family, predict rises and falls in alcohol consumption from ages 16 to 50 years.\nDESIGN: Longitudinal data from the National Child Development Study.\nSETTING: The birth cohort includes 99% of British infants born in 1 week in 1958. Participants After initial assessment of 17,415 infants, the cohort was interviewed at ages 7, 11, 16, 23, 33, 42, 46, and 50. This study uses the six adolescent to adult waves (n = 7212 women, 7377 men).\nMEASUREMENTS: Alcohol use [i.e. quantity consumed in past week and heavy daily drinking), symptoms of problem drinking (i.e. Cut-down, Annoyed, Guilt, Eye-opener (CAGE)] and social roles (i.e. union formation, parenthood and employment).\nFINDINGS: Estimates from fixed-effects models demonstrate that alcohol use is lower when women reside with child(ren) under age 5, compared to occasions when they do not [estimate = -0.38, 95% confidence interval (CI) = -0.43, -0.32 for past week units; odds ratio (OR) = 0.47, CI = 0.36, 0.62 for heavy-daily drinking; OR = 0.66, CI = 0.50, 0.87 for CAGE symptoms]. Associations are similar for men (estimate = -0.29, CI = -0.36, -0.23; OR = 0.64, CI = 0.53, 0.77; OR = 0.69, CI = 0.51, 0.94, respectively). When women and men are married, working and residing with young child(ren), past week units (estimate = -0.51, CI = -0.61, -0.41 for women; estimate = -0.34, CI = -0.44, -0.25 for men), heavy-daily drinking (OR = 0.49, CI = 0.30, 0.79 for women; OR = 0.47, CI = 0.35, 0.64 for men) and CAGE (OR = 0.44, CI = 0.23, 0.83 for women; OR = 0.39, CI = 0.18, 0.82 for men) are lower compared to occasions when they are not in these roles.\nCONCLUSIONS: From late adolescence to mid-life, women and men in Britain are most at risk for higher levels of alcohol consumption and problem drinking when family roles are absent.","container-title":"Addiction","DOI":"10.1111/add.12394","ISSN":"1360-0443","issue":"2","journalAbbreviation":"Addiction","language":"eng","note":"PMID: 24571025\nPMCID: PMC3937856","page":"227-236","source":"PubMed","title":"Family transitions and changes in drinking from adolescence through mid-life","volume":"109","author":[{"family":"Staff","given":"Jeremy"},{"family":"Greene","given":"Kaylin M."},{"family":"Maggs","given":"Jennifer L."},{"family":"Schoon","given":"Ingrid"}],"issued":{"date-parts":[["2014",2]]}},"label":"act"}],"schema":"https://github.com/citation-style-language/schema/raw/master/csl-citation.json"} </w:instrText>
      </w:r>
      <w:r w:rsidR="006A277B">
        <w:rPr>
          <w:rFonts w:ascii="Times New Roman" w:hAnsi="Times New Roman" w:cs="Times New Roman"/>
        </w:rPr>
        <w:fldChar w:fldCharType="separate"/>
      </w:r>
      <w:r w:rsidR="006A277B" w:rsidRPr="006A277B">
        <w:rPr>
          <w:rFonts w:ascii="Times New Roman" w:hAnsi="Times New Roman" w:cs="Times New Roman"/>
        </w:rPr>
        <w:t>Staff et al., 2010, 2014)</w:t>
      </w:r>
      <w:r w:rsidR="006A277B">
        <w:rPr>
          <w:rFonts w:ascii="Times New Roman" w:hAnsi="Times New Roman" w:cs="Times New Roman"/>
        </w:rPr>
        <w:fldChar w:fldCharType="end"/>
      </w:r>
      <w:r w:rsidR="006A277B">
        <w:rPr>
          <w:rFonts w:ascii="Times New Roman" w:hAnsi="Times New Roman" w:cs="Times New Roman"/>
        </w:rPr>
        <w:t>,</w:t>
      </w:r>
      <w:r w:rsidRPr="00572DF1">
        <w:rPr>
          <w:rFonts w:ascii="Times New Roman" w:hAnsi="Times New Roman" w:cs="Times New Roman"/>
        </w:rPr>
        <w:t xml:space="preserve"> but that might lead to increased opportunity to derive reinforcement from alcohol-free activities (e.g., after becoming a parent a person might enjoy spending more time with family). </w:t>
      </w:r>
    </w:p>
    <w:p w14:paraId="76B1A605" w14:textId="77777777" w:rsidR="00572DF1" w:rsidRPr="00572DF1" w:rsidRDefault="00572DF1" w:rsidP="00572DF1">
      <w:pPr>
        <w:pStyle w:val="NoSpacing"/>
        <w:spacing w:line="480" w:lineRule="auto"/>
        <w:rPr>
          <w:rFonts w:ascii="Times New Roman" w:hAnsi="Times New Roman" w:cs="Times New Roman"/>
        </w:rPr>
      </w:pPr>
    </w:p>
    <w:p w14:paraId="183B0927" w14:textId="3971012D" w:rsidR="00572DF1" w:rsidRPr="00572DF1" w:rsidRDefault="00572DF1" w:rsidP="003D0079">
      <w:pPr>
        <w:pStyle w:val="NoSpacing"/>
        <w:spacing w:line="480" w:lineRule="auto"/>
        <w:rPr>
          <w:rFonts w:ascii="Times New Roman" w:hAnsi="Times New Roman" w:cs="Times New Roman"/>
        </w:rPr>
      </w:pPr>
      <w:r w:rsidRPr="00572DF1">
        <w:rPr>
          <w:rFonts w:ascii="Times New Roman" w:hAnsi="Times New Roman" w:cs="Times New Roman"/>
        </w:rPr>
        <w:t xml:space="preserve">Further evidence for the tentative link between meaning in life and alcohol-free reinforcement stems from research by </w:t>
      </w:r>
      <w:r w:rsidR="006A277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{"citationID":"9M5G7jCR","properties":{"formattedCitation":"(Steger et al., 2013)","plainCitation":"(Steger et al., 2013)","dontUpdate":true,"noteIndex":0},"citationItems":[{"id":232,"uris":["http://zotero.org/users/7873587/items/RHPJT5S5"],"itemData":{"id":232,"type":"article-journal","abstract":"Although research relying on self-report inventories has built an increased appreciation of the importance of meaning in life, such research has strayed somewhat from the original promise of meaning in life research, which was to shed light on the individual experience of meaning. Some research has focused on understanding people’s sources of meaning. However, previous methods have relied on verbal ways of assessing sources of meaning in life. In recognition of the fact that not everyone has highly developed verbal skills – and that even those who do can find it hard to articulate what life means – we offer a new method for understanding individuals’ experiences with meaning in life. In this article, we describe the use of photography to elicit information about people’s sources of meaning and provide inductive qualitative analysis of a pilot study using this method. Photography holds great potential as a new method for seeing meaning through another’s eyes.","container-title":"The Journal of Positive Psychology","DOI":"10.1080/17439760.2013.830760","ISSN":"1743-9760","issue":"6","note":"publisher: Routledge\n_eprint: https://doi.org/10.1080/17439760.2013.830760","page":"530-542","source":"Taylor and Francis+NEJM","title":"The mind’s eye: A photographic method for understanding meaning in people’s lives","title-short":"The mind’s eye","volume":"8","author":[{"family":"Steger","given":"Michael F."},{"family":"Shim","given":"Yerin"},{"family":"Rush","given":"Brenna R."},{"family":"Brueske","given":"Libby A."},{"family":"Shin","given":"Joo Yeon"},{"family":"Merriman","given":"Leslie A."}],"issued":{"date-parts":[["2013",11,1]]}}}],"schema":"https://github.com/citation-style-language/schema/raw/master/csl-citation.json"} </w:instrText>
      </w:r>
      <w:r w:rsidR="006A277B">
        <w:rPr>
          <w:rFonts w:ascii="Times New Roman" w:hAnsi="Times New Roman" w:cs="Times New Roman"/>
        </w:rPr>
        <w:fldChar w:fldCharType="separate"/>
      </w:r>
      <w:r w:rsidR="006A277B" w:rsidRPr="006A277B">
        <w:rPr>
          <w:rFonts w:ascii="Times New Roman" w:hAnsi="Times New Roman" w:cs="Times New Roman"/>
        </w:rPr>
        <w:t xml:space="preserve">Steger et al. </w:t>
      </w:r>
      <w:r w:rsidR="006A277B">
        <w:rPr>
          <w:rFonts w:ascii="Times New Roman" w:hAnsi="Times New Roman" w:cs="Times New Roman"/>
        </w:rPr>
        <w:t>(</w:t>
      </w:r>
      <w:r w:rsidR="006A277B" w:rsidRPr="006A277B">
        <w:rPr>
          <w:rFonts w:ascii="Times New Roman" w:hAnsi="Times New Roman" w:cs="Times New Roman"/>
        </w:rPr>
        <w:t>2013)</w:t>
      </w:r>
      <w:r w:rsidR="006A277B">
        <w:rPr>
          <w:rFonts w:ascii="Times New Roman" w:hAnsi="Times New Roman" w:cs="Times New Roman"/>
        </w:rPr>
        <w:fldChar w:fldCharType="end"/>
      </w:r>
      <w:r w:rsidRPr="00572DF1">
        <w:rPr>
          <w:rFonts w:ascii="Times New Roman" w:hAnsi="Times New Roman" w:cs="Times New Roman"/>
        </w:rPr>
        <w:t xml:space="preserve"> who asked people to take photos of and write about things that made their life feel meaningful, and subsequently categorised these images to reflect different sources of meaning. Although multifaceted in nature, many categories of meaning were compatible with elevated alcohol-free reinforcement: work/occupation, relationships with others (e.g., family), engaging with hobbies (e.g., art/exercise/gardening) and activities (e.g., volunteering), were among the categories, for example. This is broadly consistent with other research that has aimed to identify important </w:t>
      </w:r>
      <w:r w:rsidRPr="00572DF1">
        <w:rPr>
          <w:rFonts w:ascii="Times New Roman" w:hAnsi="Times New Roman" w:cs="Times New Roman"/>
        </w:rPr>
        <w:lastRenderedPageBreak/>
        <w:t xml:space="preserve">sources of meaning in life </w:t>
      </w:r>
      <w:r w:rsidR="006A277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{"citationID":"ACn2WJto","properties":{"formattedCitation":"(Debats, 1999; Glaw et al., 2017; Hill et al., 2013)","plainCitation":"(Debats, 1999; Glaw et al., 2017; Hill et al., 2013)","noteIndex":0},"citationItems":[{"id":234,"uris":["http://zotero.org/users/7873587/items/Z7QL4YEV"],"itemData":{"id":234,"type":"article-journal","abstract":"This study investigates, combining qualitative and quantitative research methods, the sources of meaning in life of young adult patients and nonpatients. In addition to the exploratory concerns, the current investigation tested the following three predictions: (a) Relationships are the most frequent sources of meaning in life; (b) patients are less committed to their personal meanings than nonpatients; and (c) participants’ degrees of meaning in life, as operationalized with their scores on the Life Regard Index (LRI), are related to the degree of their commitment to their personal meanings. Findings from both the phenomenal and statistical analyses strongly support the predictions and generally confirm the clinical relevance of the meaning in life construct. Notably, the interpersonal dimension appears a critically relevant domain in the established differential effects in both nonpatients-patients and females-males comparisons. Implications for clinical practice and suggestions for future research are offered.","container-title":"Journal of Humanistic Psychology","DOI":"10.1177/0022167899394003","journalAbbreviation":"J HUM PSYCHOL","page":"30-57","source":"ResearchGate","title":"Sources of meaning: An investigation of significant commitments in life","title-short":"Sources of Meaning","volume":"39","author":[{"family":"Debats","given":"Dominique"}],"issued":{"date-parts":[["1999",10,1]]}},"label":"act"},{"id":236,"uris":["http://zotero.org/users/7873587/items/WA76RCMN"],"itemData":{"id":236,"type":"article-journal","abstract":"The aim of this integrative literature review was to identify high quality empirical research and theoretical literature on the sources of meaning in life and people's beliefs regarding the meaning of life. This will inform current mental health clinical practice and research by providing a synthesis of empirical and theoretical literature. Failure to address meaninglessness or the existential crisis can lead to psychopathologies such as depression, anxiety, addiction, aggression, hopelessness, apathy, lower levels of well-being, physical illness, and suicide. Integrative literature reviews incorporate empirical research and theoretical literature. The inclusion criteria were primary research and theoretical papers and books by prominent theorists. Thirty-nine items underwent the critical appraisal process. Thirty-two papers or books were included. Overwhelmingly the results revealed that relationships, particularly relationships with family, are cited as the most important source of meaning in people's lives in all cultures and age groups. There was no consensus identified to answer the meaning of life question. These results and future research will allow mental health clinicians to help patients deepen their understanding of themselves, identify where they find meaning and understand their beliefs about meaning of life, contributing to a reduction in symptomatology and meaninglessness, and an increase in happiness, life satisfaction, positive affect, better coping, psychosocial health and well-being, and more meaningfulness in life.","container-title":"Issues in Mental Health Nursing","DOI":"10.1080/01612840.2016.1253804","ISSN":"1096-4673","issue":"3","journalAbbreviation":"Issues Ment Health Nurs","language":"eng","note":"PMID: 27929687","page":"243-252","source":"PubMed","title":"Meaning in life and meaning of life in mental health care: An integrative literature review","title-short":"Meaning in Life and Meaning of Life in Mental Health Care","volume":"38","author":[{"family":"Glaw","given":"Xanthe"},{"family":"Kable","given":"Ashley"},{"family":"Hazelton","given":"Michael"},{"family":"Inder","given":"Kerry"}],"issued":{"date-parts":[["2017",3]]}},"label":"act"},{"id":238,"uris":["http://zotero.org/users/7873587/items/QSBQ5ELZ"],"itemData":{"id":238,"type":"article-journal","abstract":"Ten undergraduate students from psychology classes were interviewed regarding their beliefs about the meaning of life (definition, goals, limitations to goals, sources of meaning, and development of meaning). Interviews were analyzed using consensual qualitative research. These interviewees all indicated that meaning differs across people and time. Typical sources of meaning were relationships, altruism, career, personal growth, pursuit of happiness, and religion. Participants indicated that parents and life-changing experiences triggered changes in their thinking about meaning of life. Specific changes involved shifting from superficial to more meaningful pursuits and thinking more for themselves. Implications for further research and developing programs for helping undergraduate students examine issues related to meaning of life are offered.","container-title":"Journal of Humanistic Psychology","DOI":"10.1177/0022167813477733","journalAbbreviation":"Journal of Humanistic Psychology","page":"386-414","source":"ResearchGate","title":"What’s it all about? A qualitative study of undergraduate students’ beliefs about meaning of life","title-short":"What’s It All About?","volume":"53","author":[{"family":"Hill","given":"Clara"},{"family":"Bowers","given":"Gerald"},{"family":"Costello","given":"Anna"},{"family":"England","given":"Jessica"},{"family":"Houston-Ludlam","given":"Alexandra"},{"family":"Knowlton","given":"Graham"},{"family":"May","given":"Michael"},{"family":"Moraff","given":"Elizabeth"},{"family":"Pinto-Coelho","given":"Kristen"},{"family":"Rosenberg","given":"Lauren"},{"family":"Sauber","given":"Elizabeth"},{"family":"Crook-Lyon","given":"Rachel"},{"family":"Thompson","given":"Barbara"}],"issued":{"date-parts":[["2013",7,1]]}},"label":"act"}],"schema":"https://github.com/citation-style-language/schema/raw/master/csl-citation.json"} </w:instrText>
      </w:r>
      <w:r w:rsidR="006A277B">
        <w:rPr>
          <w:rFonts w:ascii="Times New Roman" w:hAnsi="Times New Roman" w:cs="Times New Roman"/>
        </w:rPr>
        <w:fldChar w:fldCharType="separate"/>
      </w:r>
      <w:r w:rsidR="006A277B" w:rsidRPr="006A277B">
        <w:rPr>
          <w:rFonts w:ascii="Times New Roman" w:hAnsi="Times New Roman" w:cs="Times New Roman"/>
        </w:rPr>
        <w:t>(Debats, 1999; Glaw et al., 2017; Hill et al., 2013)</w:t>
      </w:r>
      <w:r w:rsidR="006A277B">
        <w:rPr>
          <w:rFonts w:ascii="Times New Roman" w:hAnsi="Times New Roman" w:cs="Times New Roman"/>
        </w:rPr>
        <w:fldChar w:fldCharType="end"/>
      </w:r>
      <w:r w:rsidR="006A277B">
        <w:rPr>
          <w:rFonts w:ascii="Times New Roman" w:hAnsi="Times New Roman" w:cs="Times New Roman"/>
        </w:rPr>
        <w:t xml:space="preserve">. </w:t>
      </w:r>
      <w:r w:rsidRPr="00572DF1">
        <w:rPr>
          <w:rFonts w:ascii="Times New Roman" w:hAnsi="Times New Roman" w:cs="Times New Roman"/>
        </w:rPr>
        <w:t xml:space="preserve">In line with behavioural economic accounts </w:t>
      </w:r>
      <w:r w:rsidR="003D007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{"citationID":"ozRRfPlt","properties":{"formattedCitation":"(Murphy, MacKillop, et al., 2012)","plainCitation":"(Murphy, MacKillop, et al., 2012)","noteIndex":0},"citationItems":[{"id":1383,"uris":["http://zotero.org/users/7873587/items/3LEMY2LR"],"itemData":{"id":1383,"type":"chapter","abstract":"This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T."},{"family":"Rotgers.","given":"Frederick"}],"issued":{"date-parts":[["2012"]]}}}],"schema":"https://github.com/citation-style-language/schema/raw/master/csl-citation.json"} </w:instrText>
      </w:r>
      <w:r w:rsidR="003D0079">
        <w:rPr>
          <w:rFonts w:ascii="Times New Roman" w:hAnsi="Times New Roman" w:cs="Times New Roman"/>
        </w:rPr>
        <w:fldChar w:fldCharType="separate"/>
      </w:r>
      <w:r w:rsidR="003D0079" w:rsidRPr="003D0079">
        <w:rPr>
          <w:rFonts w:ascii="Times New Roman" w:hAnsi="Times New Roman" w:cs="Times New Roman"/>
        </w:rPr>
        <w:t>(Murphy, MacKillop, et al., 2012)</w:t>
      </w:r>
      <w:r w:rsidR="003D0079">
        <w:rPr>
          <w:rFonts w:ascii="Times New Roman" w:hAnsi="Times New Roman" w:cs="Times New Roman"/>
        </w:rPr>
        <w:fldChar w:fldCharType="end"/>
      </w:r>
      <w:r w:rsidR="003D0079">
        <w:rPr>
          <w:rFonts w:ascii="Times New Roman" w:hAnsi="Times New Roman" w:cs="Times New Roman"/>
        </w:rPr>
        <w:t xml:space="preserve"> </w:t>
      </w:r>
      <w:r w:rsidRPr="00572DF1">
        <w:rPr>
          <w:rFonts w:ascii="Times New Roman" w:hAnsi="Times New Roman" w:cs="Times New Roman"/>
        </w:rPr>
        <w:t xml:space="preserve">then, it may be that as a person increases reinforcement from alcohol-free activities that provide a sense of meaning, alcohol becomes less valuable as the perceived costs of harmful alcohol consumption (such as being hungover for childcare or work) increase and/or the benefits (such as intoxication) decrease. </w:t>
      </w:r>
    </w:p>
    <w:p w14:paraId="2BDAD00C" w14:textId="77777777" w:rsidR="00572DF1" w:rsidRPr="00572DF1" w:rsidRDefault="00572DF1" w:rsidP="00572DF1">
      <w:pPr>
        <w:pStyle w:val="NoSpacing"/>
        <w:spacing w:line="480" w:lineRule="auto"/>
        <w:rPr>
          <w:rFonts w:ascii="Times New Roman" w:hAnsi="Times New Roman" w:cs="Times New Roman"/>
        </w:rPr>
      </w:pPr>
    </w:p>
    <w:p w14:paraId="046C1CA7" w14:textId="1AB63ED6" w:rsidR="00572DF1" w:rsidRPr="00572DF1" w:rsidRDefault="00572DF1" w:rsidP="00A26007">
      <w:pPr>
        <w:pStyle w:val="NoSpacing"/>
        <w:spacing w:line="480" w:lineRule="auto"/>
        <w:rPr>
          <w:rFonts w:ascii="Times New Roman" w:hAnsi="Times New Roman" w:cs="Times New Roman"/>
        </w:rPr>
      </w:pPr>
      <w:r w:rsidRPr="00572DF1">
        <w:rPr>
          <w:rFonts w:ascii="Times New Roman" w:hAnsi="Times New Roman" w:cs="Times New Roman"/>
        </w:rPr>
        <w:t xml:space="preserve">Depression may be another important factor within the relationships between meaning in life and alcohol consumption. Elevated depressive symptoms are negatively correlated with presence of meaning and positively correlated with search for meaning </w:t>
      </w:r>
      <w:r w:rsidR="003D007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{"citationID":"F0fFtuek","properties":{"formattedCitation":"(Steger et al., 2009)","plainCitation":"(Steger et al., 2009)","noteIndex":0},"citationItems":[{"id":221,"uris":["http://zotero.org/users/7873587/items/WUWSR7QK"],"itemData":{"id":221,"type":"article-journal","abstract":"Meaning in life is thought to be important to well-being throughout the human life span. We assessed the structure, levels, and correlates of the presence of meaning in life, and the search for meaning, within four life stage groups: emerging adulthood, young adulthood, middle-age adulthood, and older adulthood. Results from a sample of Internet users (N = 8756) demonstrated the structural invariance of the meaning measure used across life stages. Those at later life stages generally reported a greater presence of meaning in their lives, whereas those at earlier life stages reported higher levels of searching for meaning. Correlations revealed that the presence of meaning has similar relations to well-being across life stages, whereas searching for meaning is more strongly associated with well-being deficits at later life stages.","container-title":"The Journal of Positive Psychology","DOI":"10.1080/17439760802303127","ISSN":"1743-9760","issue":"1","note":"publisher: Routledge\n_eprint: https://doi.org/10.1080/17439760802303127","page":"43-52","source":"Taylor and Francis+NEJM","title":"Meaning in life across the life span: Levels and correlates of meaning in life from emerging adulthood to older adulthood","title-short":"Meaning in life across the life span","volume":"4","author":[{"family":"Steger","given":"Michael F."},{"family":"Oishi","given":"Shigehiro"},{"family":"Kashdan","given":"Todd B."}],"issued":{"date-parts":[["2009",1,1]]}}}],"schema":"https://github.com/citation-style-language/schema/raw/master/csl-citation.json"} </w:instrText>
      </w:r>
      <w:r w:rsidR="003D0079">
        <w:rPr>
          <w:rFonts w:ascii="Times New Roman" w:hAnsi="Times New Roman" w:cs="Times New Roman"/>
        </w:rPr>
        <w:fldChar w:fldCharType="separate"/>
      </w:r>
      <w:r w:rsidR="003D0079" w:rsidRPr="003D0079">
        <w:rPr>
          <w:rFonts w:ascii="Times New Roman" w:hAnsi="Times New Roman" w:cs="Times New Roman"/>
        </w:rPr>
        <w:t>(Steger et al., 2009)</w:t>
      </w:r>
      <w:r w:rsidR="003D0079">
        <w:rPr>
          <w:rFonts w:ascii="Times New Roman" w:hAnsi="Times New Roman" w:cs="Times New Roman"/>
        </w:rPr>
        <w:fldChar w:fldCharType="end"/>
      </w:r>
      <w:r w:rsidRPr="00572DF1">
        <w:rPr>
          <w:rFonts w:ascii="Times New Roman" w:hAnsi="Times New Roman" w:cs="Times New Roman"/>
        </w:rPr>
        <w:t xml:space="preserve">, and a longitudinal study found that increased presence of meaning in life predicted decreased depressive symptoms over a 6-month period </w:t>
      </w:r>
      <w:r w:rsidR="003D007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{"citationID":"rnlpGKoF","properties":{"formattedCitation":"(Disabato et al., 2017)","plainCitation":"(Disabato et al., 2017)","noteIndex":0},"citationItems":[{"id":137,"uris":["http://zotero.org/users/7873587/items/L3NDCW6U"],"itemData":{"id":137,"type":"article-journal","abstract":"Decades of research have shown that positive life events contribute to the remission and recovery of depression; however, it is unclear how positive life events are generated. In this study, we sought to understand if personality strengths could predict positive life events that aid in the alleviation of depression. We tested a longitudinal mediation model where gratitude and meaning in life lead to increased positive life events and, in turn, decreased depression. The sample consisted of 797 adult participants from 43 different countries who completed online surveys at five timepoints. Higher levels of gratitude and meaning in life each predicted decreases in depression over 3 and 6 months time. Increases in positive life events mediated the effects of these personality strengths on depression over 3 months; however, not over 6 months. Goal pursuit and positive emotions are theorized to be the driving forces behind gratitude and meaning in life’s effects on positive life events. We used the hedonic treadmill to interpret the short-term impact of positive life events on depression. Our findings suggest the potential for gratitude and meaning in life interventions to facilitate depression remission. (PsycInfo Database Record (c) 2020 APA, all rights reserved)","container-title":"Cognitive Therapy and Research","DOI":"10.1007/s10608-016-9785-x","ISSN":"1573-2819(Electronic),0147-5916(Print)","issue":"3","note":"publisher-place: Germany\npublisher: Springer","page":"444-458","source":"APA PsycNET","title":"What predicts positive life events that influence the course of depression? A longitudinal examination of gratitude and meaning in life","title-short":"What predicts positive life events that influence the course of depression?","volume":"41","author":[{"family":"Disabato","given":"David J."},{"family":"Kashdan","given":"Todd B."},{"family":"Short","given":"Jerome L."},{"family":"Jarden","given":"Aaron"}],"issued":{"date-parts":[["2017"]]}}}],"schema":"https://github.com/citation-style-language/schema/raw/master/csl-citation.json"} </w:instrText>
      </w:r>
      <w:r w:rsidR="003D0079">
        <w:rPr>
          <w:rFonts w:ascii="Times New Roman" w:hAnsi="Times New Roman" w:cs="Times New Roman"/>
        </w:rPr>
        <w:fldChar w:fldCharType="separate"/>
      </w:r>
      <w:r w:rsidR="003D0079" w:rsidRPr="003D0079">
        <w:rPr>
          <w:rFonts w:ascii="Times New Roman" w:hAnsi="Times New Roman" w:cs="Times New Roman"/>
        </w:rPr>
        <w:t>(Disabato et al., 2017)</w:t>
      </w:r>
      <w:r w:rsidR="003D0079">
        <w:rPr>
          <w:rFonts w:ascii="Times New Roman" w:hAnsi="Times New Roman" w:cs="Times New Roman"/>
        </w:rPr>
        <w:fldChar w:fldCharType="end"/>
      </w:r>
      <w:r w:rsidRPr="00572DF1">
        <w:rPr>
          <w:rFonts w:ascii="Times New Roman" w:hAnsi="Times New Roman" w:cs="Times New Roman"/>
        </w:rPr>
        <w:t xml:space="preserve">. Furthermore, depressive symptoms are positively associated with alcohol consumption </w:t>
      </w:r>
      <w:r w:rsidR="00B270A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{"citationID":"NNRf8P7R","properties":{"formattedCitation":"(Bri\\uc0\\u232{}re et al., 2014; Graham et al., 2007; Lai et al., 2015; Pedrelli et al., 2016)","plainCitation":"(Brière et al., 2014; Graham et al., 2007; Lai et al., 2015; Pedrelli et al., 2016)","noteIndex":0},"citationItems":[{"id":254,"uris":["http://zotero.org/users/7873587/items/Y8YR2JL4"],"itemData":{"id":254,"type":"article-journal","abstract":"BACKGROUND: Limited information exists regarding the long-term development of comorbidity between Major Depressive Disorder (MDD) and Alcohol Use Disorder (AUD; abuse/dependence). Using a representative prospective study, we examine multiple aspects pertaining to MDD+AUD comorbidity, with a focus on the relation between disorders across periods (adolescence, early adulthood, adulthood) and cumulative impairments by age 30.\nMETHOD: 816 participants were diagnostically interviewed at ages 16, 17, 24, and 30.\nRESULTS: Rates of comorbid MDD+AUD were low in adolescence (2%), but increased in early adulthood (11%) and adulthood (7%). Rates of cumulative comorbidity were elevated (21%). Most individuals with a history of MDD or AUD had the other disorder, except for women with MDD. Prospectively, adolescent AUD predicted early adult MDD, while early adult MDD predicted adult AUD. Compared to pure disorders, MDD+AUD was associated with higher risk of alcohol dependence, suicide attempt, lower global functioning, and life dissatisfaction.\nCONCLUSIONS: Lifetime rates of comorbid MDD+AUD were considerably higher than in cross-sectional studies. Comorbidity was partly explained by bidirectional and developmentally-specific associations and predicted selected rather than generalized impairments. Clinically, our findings emphasize the need to always carefully assess comorbidity in patients with MDD or AUD, taking into account concurrency and developmental timing.","container-title":"Comprehensive Psychiatry","DOI":"10.1016/j.comppsych.2013.10.007","ISSN":"1532-8384","issue":"3","journalAbbreviation":"Compr Psychiatry","language":"eng","note":"PMID: 24246605\nPMCID: PMC4131538","page":"526-533","source":"PubMed","title":"Comorbidity between major depression and alcohol use disorder from adolescence to adulthood","volume":"55","author":[{"family":"Brière","given":"Frédéric N."},{"family":"Rohde","given":"Paul"},{"family":"Seeley","given":"John R."},{"family":"Klein","given":"Daniel"},{"family":"Lewinsohn","given":"Peter M."}],"issued":{"date-parts":[["2014",4]]}},"label":"act"},{"id":180,"uris":["http://zotero.org/users/7873587/items/87NK3M5M"],"itemData":{"id":180,"type":"article-journal","abstract":"BACKGROUND: Inconsistent findings regarding the relationship between alcohol consumption and depression, including whether the relationship is J-shaped or U-shaped, may be at least partly due to the types of measures used for both alcohol consumption and depression.\nMETHODS: We conducted a general population survey using random digit dialing (RDD) and computer-assisted telephone interviewing (CATI) with 6,009 males and 8,054 females aged 18 to 76 years. The survey included 4 types of alcohol measures (frequency, usual and maximum quantity per occasion, volume, and heavy episodic drinking) covering both the past week and the past year, and 2 types of depression measures (meeting DSM criteria for a clinical diagnosis of major depression, recent depressed affect).\nRESULTS: The overall relationship between depression and alcohol consumption did not vary by gender or type of depression measure but did vary significantly by type of alcohol measure, with the strongest relationship found for heavy episodic drinking and high quantity per occasion. There were also significant gender interactions with both depression and alcohol measures, with females showing a stronger relationship than males when depression was measured as meeting the criteria for major depression and when alcohol consumption was measured as quantity per occasion or heavy episodic drinking. There was some evidence of a J-shaped relationship, that is, greater depression among abstainers compared with those who usually drank 1 drink and never drank as much as 5 drinks for both former drinkers and lifetime abstainers when depression was measured as recent symptoms of depression but the J shape was found only for former drinkers when depression was measured as meeting the criteria for major depression and did not reach statistical significance in some analyses.\nCONCLUSIONS: The results of the present study suggest that measurement and gender are key issues in interpreting findings on the relationship between alcohol and depression. First, depression is primarily related to drinking larger quantities per occasion, less related to volume, and unrelated to drinking frequency, and this effect is stronger for women than for men. Second, the overall relationship between depression and alcohol consumption is stronger for women than for men only when depression is measured as meeting a clinical diagnosis of major depression and not when measured as recent depressed affect. Finally, while there was some evidence that former drinkers had slightly higher rates of major depression and higher scores on recent depressed affect compared with light drinkers, there was no evidence that light drinking was protective for major depression when compared with lifetime abstainers, although light drinkers did report fewer recent symptoms of depressed affect.","container-title":"Alcoholism, Clinical and Experimental Research","DOI":"10.1111/j.1530-0277.2006.00274.x","ISSN":"0145-6008","issue":"1","journalAbbreviation":"Alcohol Clin Exp Res","language":"eng","note":"PMID: 17207105","page":"78-88","source":"PubMed","title":"Does the association between alcohol consumption and depression depend on how they are measured?","volume":"31","author":[{"family":"Graham","given":"Kathryn"},{"family":"Massak","given":"Agnes"},{"family":"Demers","given":"Andrée"},{"family":"Rehm","given":"Jürgen"}],"issued":{"date-parts":[["2007",1]]}},"label":"act"},{"id":259,"uris":["http://zotero.org/users/7873587/items/9MPJVHZ7"],"itemData":{"id":259,"type":"article-journal","abstract":"Background\nComorbidity is highly prevalent between substance use disorders (SUDs), mood and anxiety disorders. We conducted a systematic review and meta-analysis to determine the strength of association between SUDs, mood and anxiety disorders in population-based epidemiological surveys.\nMethods\nA comprehensive literature search of Medline, EMBASE, CINAHL, PsychINFO, Web of Science, and Scopus was conducted from 1990 to 2014. Sources were chosen on the basis that they contained original research in non-clinical populations conducted in randomly selected adults living within defined boundaries. Prevalence of comorbid SUDs, mood and anxiety disorders and odds ratios (ORs) were extracted.\nResults\nThere were 115 articles identified by electronic searches that were reviewed in full text which yielded 22 unique epidemiological surveys to extract lifetime and 12-month prevalence data for psychiatric illness in respondents with an SUD. Meta-analysis indicated the strongest associations were between illicit drug use disorder and major depression (pooled OR 3.80, 95% CI 3.02–4.78), followed by illicit drug use and any anxiety disorder (OR 2.91, 95% CI 2.58–3.28), alcohol use disorders and major depression (OR 2.42, 95% CI 2.22–2.64) and alcohol use disorders and any anxiety disorder (OR 2.11, 95% CI 2.03–2.19). ORs for dependence were higher than those for abuse irrespective to diagnoses based on lifetime or 12-month prevalence.\nConclusions\nThis review confirms the strong association between SUDs, mood and anxiety disorders. The issue has now been recognised worldwide as a factor that affects the profile, course, patterns, severity and outcomes of these disorders.","container-title":"Drug and Alcohol Dependence","DOI":"10.1016/j.drugalcdep.2015.05.031","ISSN":"0376-8716","journalAbbreviation":"Drug and Alcohol Dependence","language":"en","page":"1-13","source":"ScienceDirect","title":"Prevalence of comorbid substance use, anxiety and mood disorders in epidemiological surveys, 1990–2014: A systematic review and meta-analysis","title-short":"Prevalence of comorbid substance use, anxiety and mood disorders in epidemiological surveys, 1990–2014","volume":"154","author":[{"family":"Lai","given":"Harry Man Xiong"},{"family":"Cleary","given":"Michelle"},{"family":"Sitharthan","given":"Thiagarajan"},{"family":"Hunt","given":"Glenn E."}],"issued":{"date-parts":[["2015",9,1]]}},"label":"act"},{"id":265,"uris":["http://zotero.org/users/7873587/items/3NHRL2VD"],"itemData":{"id":265,"type":"article-journal","abstract":"Alcohol Use Disorder (AUD) and alcohol misuse are common among adolescents and young adults and are associated with significant personal and societal problems. Similarly, Major Depressive Disorder (MDD) and depressive symptoms are prevalent in this population and when they co-occur with alcohol misuse lead to even more severe consequences. Numerous studies have investigated the association between depressive symptoms, AUD and various drinking behaviors presenting an unclear picture. In this review we summarize studies among adolescents and young adults that have examined these relationships. From this review it emerges that several factors affect results, including study design (cross-sectional vs longitudinal), participants' age (adolescents vs young adults), severity of problems considered (AUD vs heavy drinking; MDD vs depressive symptoms), and gender. Adolescents with AUD are at higher risk for MDD in particular at a younger age. During adolescence, several drinking behaviors, including weekly alcohol use and heavy drinking, increase the risk for depressive symptoms and MDD, while during young adulthood primarily AUD, but not other drinking behaviors, is associated with increased risk for MDD. Gender may have an effect on the association between depression and drinking behaviors but its role is still unclear. Some evidence suggests that the association between AUD and MDD is bidirectional such that mood problems contribute to the onset of alcohol problems and vice-versa. More longitudinal studies are needed to examine these associations in young adults and to clarify the effect of gender on these associations. To date, findings suggest the critical need to reduce any alcohol use at a young age and to treat both depressive symptoms and AUD to prevent the occurrence of comorbid disorders.","container-title":"Current Addiction Reports","DOI":"10.1007/s40429-016-0084-0","ISSN":"2196-2952","issue":"1","journalAbbreviation":"Curr Addict Rep","language":"eng","note":"PMID: 27162708\nPMCID: PMC4859438","page":"91-97","source":"PubMed","title":"Alcohol use and depression during adolescence and young adulthood: a summary and interpretation of mixed findings","title-short":"Alcohol use and depression during adolescence and young adulthood","volume":"3","author":[{"family":"Pedrelli","given":"P."},{"family":"Shapero","given":"B."},{"family":"Archibald","given":"A."},{"family":"Dale","given":"C."}],"issued":{"date-parts":[["2016",3]]}},"label":"act"}],"schema":"https://github.com/citation-style-language/schema/raw/master/csl-citation.json"} </w:instrText>
      </w:r>
      <w:r w:rsidR="00B270AC">
        <w:rPr>
          <w:rFonts w:ascii="Times New Roman" w:hAnsi="Times New Roman" w:cs="Times New Roman"/>
        </w:rPr>
        <w:fldChar w:fldCharType="separate"/>
      </w:r>
      <w:r w:rsidR="00B270AC" w:rsidRPr="00B270AC">
        <w:rPr>
          <w:rFonts w:ascii="Times New Roman" w:hAnsi="Times New Roman" w:cs="Times New Roman"/>
        </w:rPr>
        <w:t>(Brière et al., 2014; Graham et al., 2007; Lai et al., 2015; Pedrelli et al., 2016)</w:t>
      </w:r>
      <w:r w:rsidR="00B270AC">
        <w:rPr>
          <w:rFonts w:ascii="Times New Roman" w:hAnsi="Times New Roman" w:cs="Times New Roman"/>
        </w:rPr>
        <w:fldChar w:fldCharType="end"/>
      </w:r>
      <w:r w:rsidRPr="00572DF1">
        <w:rPr>
          <w:rFonts w:ascii="Times New Roman" w:hAnsi="Times New Roman" w:cs="Times New Roman"/>
        </w:rPr>
        <w:t xml:space="preserve">, although the high co-morbidity between the two makes it difficult to disentangle directional relationships </w:t>
      </w:r>
      <w:r w:rsidR="00B270A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{"citationID":"G7sxnstT","properties":{"formattedCitation":"(Puddephatt et al., 2021)","plainCitation":"(Puddephatt et al., 2021)","noteIndex":0},"citationItems":[{"id":1074,"uris":["http://zotero.org/users/7873587/items/VMB3Q8LI"],"itemData":{"id":1074,"type":"article-journal","abstract":"Background and Aims Research has shown that alcohol use and common mental disorders (CMDs) co-occur; however, little is known about how the global prevalence of alcohol use compares across different CMDs. We aimed to (i) report global associations of alcohol use (alcohol use disorder (AUD), binge drinking and consumption) comparing those with and without a CMD, (ii) examine how this differed among those with and without specific types of CMDs and (iii) examine how results may differ by study characteristics. Methods We used a systematic review and meta-analysis. Cross-sectional, cohort, prospective, longitudinal and case–control studies reporting the prevalence of alcohol use among those with and without a CMD in the general population were identified using PsycINFO, MEDLINE, PsyARTICLES, PubMed, Scopus and Web of Science until March 2020. Depression, anxiety and phobia were included as a CMD. Studies were included if they used a standardized measure of alcohol use. A random-effects meta-analysis was conducted to generate pooled prevalence and associations of AUD with CMD with 95% confidence intervals (CI). A narrative review is provided for binge drinking and alcohol consumption Results A total of 512 full-texts were reviewed, 51 included in our final review and 17 in our meta-analyses (n = 382 201). Individuals with a CMD had a twofold increase in the odds of reporting an AUD [odds ratio (OR) = 2.02, 95% CI = 1.72–2.36]. The odds of having an AUD were similar when stratified by the type of CMD (mood disorder: OR = 2.00, 95% CI = 1.62–2.47; anxiety/phobic disorder: OR = 1.94, 95% CI = 1.35–2.78). An analysis of study characteristics did not reveal any clear explanations for between-study heterogeneity (I2 &gt; 80%). There were no clear patterns for associations between having a CMD and binge drinking or alcohol consumption, respectively. Conclusions People with common mental disorders (depression, anxiety, phobia) are twice as likely to report an alcohol use disorder than people without common mental disorders.","container-title":"Addiction","DOI":"10.1111/add.15735","ISSN":"1360-0443","issue":"6","language":"en","note":"_eprint: https://onlinelibrary.wiley.com/doi/pdf/10.1111/add.15735","page":"1543-1572","source":"Wiley Online Library","title":"Associations of common mental disorder with alcohol use in the adult general population: a systematic review and meta-analysis","title-short":"Associations of common mental disorder with alcohol use in the adult general population","volume":"117","author":[{"family":"Puddephatt","given":"Jo-Anne"},{"family":"Irizar","given":"Patricia"},{"family":"Jones","given":"Andrew"},{"family":"Gage","given":"Suzanne H."},{"family":"Goodwin","given":"Laura"}],"issued":{"date-parts":[["2021"]]}}}],"schema":"https://github.com/citation-style-language/schema/raw/master/csl-citation.json"} </w:instrText>
      </w:r>
      <w:r w:rsidR="00B270AC">
        <w:rPr>
          <w:rFonts w:ascii="Times New Roman" w:hAnsi="Times New Roman" w:cs="Times New Roman"/>
        </w:rPr>
        <w:fldChar w:fldCharType="separate"/>
      </w:r>
      <w:r w:rsidR="00B270AC" w:rsidRPr="00B270AC">
        <w:rPr>
          <w:rFonts w:ascii="Times New Roman" w:hAnsi="Times New Roman" w:cs="Times New Roman"/>
        </w:rPr>
        <w:t>(Puddephatt et al., 2021)</w:t>
      </w:r>
      <w:r w:rsidR="00B270AC">
        <w:rPr>
          <w:rFonts w:ascii="Times New Roman" w:hAnsi="Times New Roman" w:cs="Times New Roman"/>
        </w:rPr>
        <w:fldChar w:fldCharType="end"/>
      </w:r>
      <w:r w:rsidRPr="00572DF1">
        <w:rPr>
          <w:rFonts w:ascii="Times New Roman" w:hAnsi="Times New Roman" w:cs="Times New Roman"/>
        </w:rPr>
        <w:t xml:space="preserve">. Negative reinforcement models are not incompatible with behavioural economic accounts; rather, they differ on their relative point of emphasis in that they posit that people are likely to consume alcohol to avoid or regulate negative internal states </w:t>
      </w:r>
      <w:r w:rsidR="00B270AC">
        <w:rPr>
          <w:rFonts w:ascii="Times New Roman" w:hAnsi="Times New Roman" w:cs="Times New Roman"/>
        </w:rPr>
        <w:fldChar w:fldCharType="begin"/>
      </w:r>
      <w:r w:rsidR="00A26007">
        <w:rPr>
          <w:rFonts w:ascii="Times New Roman" w:hAnsi="Times New Roman" w:cs="Times New Roman"/>
        </w:rPr>
        <w:instrText xml:space="preserve"> ADDIN ZOTERO_ITEM CSL_CITATION {"citationID":"XBF36jYW","properties":{"formattedCitation":"(T. B. Baker et al., 2004; Blevins et al., 2016; Cooper et al., 1995)","plainCitation":"(T. B. Baker et al., 2004; Blevins et al., 2016; Cooper et al., 1995)","noteIndex":0},"citationItems":[{"id":706,"uris":["http://zotero.org/users/7873587/items/BNCYFAUB"],"itemData":{"id":706,"type":"article-journal","abstract":"This article offers a reformulation of the negative reinforcement model of drug addiction and proposes that the escape and avoidance of negative affect is the prepotent motive for addictive drug use. The authors posit that negative affect is the motivational core of the withdrawal syndrome and argue that, through repeated cycles of drug use and withdrawal, addicted organisms learn to detect interoceptive cues of negative affect preconsciously. Thus, the motivational basis of much drug use is opaque and tends not to reflect cognitive control. When either stressors or abstinence causes negative affect to grow and enter consciousness, increasing negative affect biases information processing in ways that promote renewed drug administration. After explicating their model, the authors address previous critiques of negative reinforcement models in light of their reformulation and review predictions generated by their model.","container-title":"Psychological Review","DOI":"10.1037/0033-295X.111.1.33","ISSN":"0033-295X","issue":"1","journalAbbreviation":"Psychol Rev","language":"eng","note":"PMID: 14756584","page":"33-51","source":"PubMed","title":"Addiction motivation reformulated: an affective processing model of negative reinforcement","title-short":"Addiction motivation reformulated","volume":"111","author":[{"family":"Baker","given":"Timothy B."},{"family":"Piper","given":"Megan E."},{"family":"McCarthy","given":"Danielle E."},{"family":"Majeskie","given":"Matthew R."},{"family":"Fiore","given":"Michael C."}],"issued":{"date-parts":[["2004",1]]}},"label":"act"},{"id":268,"uris":["http://zotero.org/users/7873587/items/HBF7N8KI"],"itemData":{"id":268,"type":"article-journal","abstract":"Background: Drinking among college-aged individuals can be problematic. The motivational model of use, which examines various cognitive factors, personal characteristics, and environmental factors, can provide a greater understanding of what contributes toward the decision to drink in these young adults. Objectives: The current study evaluates proposed paths from risk factors for alcohol use, motives for drinking, and subsequent outcomes of alcohol use, drawing from seminal research on the motivational model and drinking motives. Methods: This model was tested in a sample of 303 undergraduate drinkers (77.9% female, mean age = 19.8 years), and evaluated the potential impact of gender and pattern of use. Results: Results indicate that expectancies, maladaptive coping, and negative affect personality styles are associated with coping motives for drinking, and that coping motives are significantly related to problems associated with use. These results are similar for males and females, and among heavy and lighter drinkers. Conclusion: Findings support the role of the coping motive in problematic outcomes associated with drinking and suggest that expectancies, negative affect personality styles, maladaptive coping, and drinking motives are potential targets of prevention and intervention. (PsycINFO Database Record (c) 2016 APA, all rights reserved)","container-title":"The American Journal of Drug and Alcohol Abuse","DOI":"10.3109/00952990.2016.1141915","ISSN":"1097-9891","issue":"4","note":"publisher-place: United Kingdom\npublisher: Taylor &amp; Francis","page":"395-403","source":"APA PsycNet","title":"Motivational pathways from antecedents of alcohol use to consequences: A structural model of using alcohol to cope with negative affect","title-short":"Motivational pathways from antecedents of alcohol use to consequences","volume":"42","author":[{"family":"Blevins","given":"Claire E."},{"family":"Abrantes","given":"Ana M."},{"family":"Stephens","given":"Robert S."}],"issued":{"date-parts":[["2016"]]}},"label":"act"},{"id":270,"uris":["http://zotero.org/users/7873587/items/5AXKHVL2"],"itemData":{"id":270,"type":"article-journal","abstract":"The present study proposed and tested a motivational model of alcohol use in which people are hypothesized to use alcohol to regulate both positive and negative emotions. Two central premises underpin this model: (a) that enhancement and coping motives for alcohol use are proximal determinants of alcohol use and abuse through which the influence of expectancies, emotions, and other individual differences are mediated and (b) that enhancement and coping motives represent phenomenologically distinct behaviors having both unique antecedents and consequences. This model was tested in 2 random samples (1 of adults, 1 of adolescents) using a combination of moderated regression and path analysis corrected for measurement error. Results revealed strong support for the hypothesized model in both samples and indicate the importance of distinguishing psychological motives for alcohol use.","container-title":"Journal of Personality and Social Psychology","DOI":"10.1037//0022-3514.69.5.990","ISSN":"0022-3514","issue":"5","journalAbbreviation":"J Pers Soc Psychol","language":"eng","note":"PMID: 7473043","page":"990-1005","source":"PubMed","title":"Drinking to regulate positive and negative emotions: a motivational model of alcohol use","title-short":"Drinking to regulate positive and negative emotions","volume":"69","author":[{"family":"Cooper","given":"M. L."},{"family":"Frone","given":"M. R."},{"family":"Russell","given":"M."},{"family":"Mudar","given":"P."}],"issued":{"date-parts":[["1995",11]]}},"label":"act"}],"schema":"https://github.com/citation-style-language/schema/raw/master/csl-citation.json"} </w:instrText>
      </w:r>
      <w:r w:rsidR="00B270AC">
        <w:rPr>
          <w:rFonts w:ascii="Times New Roman" w:hAnsi="Times New Roman" w:cs="Times New Roman"/>
        </w:rPr>
        <w:fldChar w:fldCharType="separate"/>
      </w:r>
      <w:r w:rsidR="00A26007" w:rsidRPr="00A26007">
        <w:rPr>
          <w:rFonts w:ascii="Times New Roman" w:hAnsi="Times New Roman" w:cs="Times New Roman"/>
        </w:rPr>
        <w:t>(Baker et al., 2004; Blevins et al., 2016; Cooper et al., 1995)</w:t>
      </w:r>
      <w:r w:rsidR="00B270AC">
        <w:rPr>
          <w:rFonts w:ascii="Times New Roman" w:hAnsi="Times New Roman" w:cs="Times New Roman"/>
        </w:rPr>
        <w:fldChar w:fldCharType="end"/>
      </w:r>
      <w:r w:rsidRPr="00572DF1">
        <w:rPr>
          <w:rFonts w:ascii="Times New Roman" w:hAnsi="Times New Roman" w:cs="Times New Roman"/>
        </w:rPr>
        <w:t xml:space="preserve">. Indeed, drinking to cope (i.e., consuming alcohol to relieve negative affective states) is consistently associated with alcohol consumption and problems </w:t>
      </w:r>
      <w:r w:rsidR="00B270A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{"citationID":"mHw6hmyD","properties":{"formattedCitation":"(Cooper et al., 2016)","plainCitation":"(Cooper et al., 2016)","noteIndex":0},"citationItems":[{"id":272,"uris":["http://zotero.org/users/7873587/items/9BYLYXUK"],"itemData":{"id":272,"type":"chapter","abstract":"\"Motivational Models of Substance Use\" published on  by Oxford University Press.","container-title":"The Oxford handbook of substance use and substance use disorders","event-place":"New York, NY","ISBN":"978-0-19-938167-8","language":"en","note":"DOI: 10.1093/oxfordhb/9780199381678.013.017","page":"375-421","publisher":"Oxford University Press","publisher-place":"New York, NY","title":"Motivational models of substance use: A review of theory and research on motives for using alcohol, marijuana, and tobacco.","URL":"https://www.oxfordhandbooks.com/view/10.1093/oxfordhb/9780199381678.001.0001/oxfordhb-9780199381678-e-017","volume":"1","author":[{"family":"Cooper","given":"M. Lynne"},{"family":"Kuntsche","given":"Emmanuel"},{"family":"Levitt","given":"Ash"},{"family":"Barber","given":"Lindsay L."},{"family":"Wolf","given":"Scott"}],"editor":[{"family":"Sher","given":"Kenneth J."}],"accessed":{"date-parts":[["2021",9,7]]},"issued":{"date-parts":[["2016",9,15]]}}}],"schema":"https://github.com/citation-style-language/schema/raw/master/csl-citation.json"} </w:instrText>
      </w:r>
      <w:r w:rsidR="00B270AC">
        <w:rPr>
          <w:rFonts w:ascii="Times New Roman" w:hAnsi="Times New Roman" w:cs="Times New Roman"/>
        </w:rPr>
        <w:fldChar w:fldCharType="separate"/>
      </w:r>
      <w:r w:rsidR="00B270AC" w:rsidRPr="00B270AC">
        <w:rPr>
          <w:rFonts w:ascii="Times New Roman" w:hAnsi="Times New Roman" w:cs="Times New Roman"/>
        </w:rPr>
        <w:t>(Cooper et al., 2016)</w:t>
      </w:r>
      <w:r w:rsidR="00B270AC">
        <w:rPr>
          <w:rFonts w:ascii="Times New Roman" w:hAnsi="Times New Roman" w:cs="Times New Roman"/>
        </w:rPr>
        <w:fldChar w:fldCharType="end"/>
      </w:r>
      <w:r w:rsidRPr="00572DF1">
        <w:rPr>
          <w:rFonts w:ascii="Times New Roman" w:hAnsi="Times New Roman" w:cs="Times New Roman"/>
        </w:rPr>
        <w:t xml:space="preserve">. The cross-sectional and longitudinal associations between depressive symptoms and drinking to cope </w:t>
      </w:r>
      <w:r w:rsidR="00707E4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{"citationID":"q2ChFFsq","properties":{"formattedCitation":"(Bravo et al., 2018; Grant et al., 2009; Holahan et al., 2003; Kenney et al., 2015)","plainCitation":"(Bravo et al., 2018; Grant et al., 2009; Holahan et al., 2003; Kenney et al., 2015)","noteIndex":0},"citationItems":[{"id":280,"uris":["http://zotero.org/users/7873587/items/LS69IBHL"],"itemData":{"id":280,"type":"article-journal","abstract":"BACKGROUND: Recent research suggests that ruminative thinking (specifically problem-focused thoughts) may explain why individuals engage in drinking to cope (DTC) when dealing with depressive symptoms; which in turn leads to increased negative alcohol-related consequences. Cross-cultural studies addressing these phenomena are scarce.\nOBJECTIVES: The present study cross-culturally tested whether four rumination facets (problem-focused thoughts, counterfactual thinking, repetitive thoughts, and anticipatory thoughts) uniquely mediate the relationships between depressive symptoms and drinking motives/alcohol outcomes in a multicultural sample of college student drinkers (n=1429) from Spain, Argentina, and the U.S.\nMETHOD: Structural equation modeling was conducted to test the models, controlling for sex. Further, we conducted invariance testing to determine whether our models were culturally-specific or culturally-universal.\nRESULTS: Within both proposed models, no rumination facet uniquely mediated the relationship between depressive symptoms and drinking motives. However, an exploratory model with a second-order latent factor of ruminative thinking did significantly mediate these associations (exception was conformity motives). Further, there were two significant double-mediated associations that suggested that increased depressive symptoms is associated with increased ruminative thinking, which is associated with higher DTC motives, which in turn is associated with higher alcohol consumption and negative alcohol-related consequences. All models were found to be invariant across countries and sex, suggesting that these associations may be relatively universal.\nCONCLUSIONS: Rumination is relevant to understand the increased vulnerability of college drinkers to exhibit greater alcohol consumption and negative consequences via DTC motives when dealing with depressive symptoms.","container-title":"Addictive Behaviors","DOI":"10.1016/j.addbeh.2017.08.028","ISSN":"1873-6327","journalAbbreviation":"Addict Behav","language":"eng","note":"PMID: 28889061","page":"319-327","source":"PubMed","title":"Depressive symptoms, ruminative thinking, drinking motives, and alcohol outcomes: A multiple mediation model among college students in three countries","title-short":"Depressive symptoms, ruminative thinking, drinking motives, and alcohol outcomes","volume":"76","author":[{"family":"Bravo","given":"Adrian J."},{"family":"Pilatti","given":"Angelina"},{"family":"Pearson","given":"Matthew R."},{"family":"Mezquita","given":"Laura"},{"family":"Ibáñez","given":"Manuel I."},{"family":"Ortet","given":"Generós"}],"issued":{"date-parts":[["2018",1]]}},"label":"act"},{"id":287,"uris":["http://zotero.org/users/7873587/items/AFZG9IJC"],"itemData":{"id":287,"type":"article-journal","abstract":"Individuals with different drinking motives show distinctive patterns of alcohol use and problems. Drinking to cope, or endorsing strong coping motives for alcohol use, has been shown to be particularly hazardous. It is important to determine the unique triggers associated with coping drinking. One limitation of past research has been the failure to contend with the complexities inherent in coping motives. Using the Modified Drinking Motives Questionnaire-Revised (Grant, Stewart, O'Connor, Blackwell, &amp; Conrod, 2007), which separates coping-anxiety and coping-depression motives, we investigated whether these motives moderated relationships between daily mood and subsequent drinking (statistically controlling for sex, baseline anxious and depressive symptomatology, initial alcohol problems, and additional drinking motives). College students (N=146) provided daily reports of mood and alcohol consumption online for 3 weeks. Multilevel modeling analyses revealed that, as hypothesized, stronger initial coping-depression motives predicted higher daily depressed mood-alcohol consumption slopes. Also consistent with expectation, stronger initial coping-anxiety motives predicted higher anxious mood-alcohol consumption slopes. We discuss how this identification of the unique mood triggers associated with each type of coping drinking motive can provide the basis for targeted interventions.","container-title":"Psychology of Addictive Behaviors","DOI":"10.1037/a0015006","ISSN":"0893-164X","issue":"2","journalAbbreviation":"Psychol Addict Behav","language":"eng","note":"PMID: 19586139","page":"226-237","source":"PubMed","title":"Coping-anxiety and coping-depression motives predict different daily mood-drinking relationships","volume":"23","author":[{"family":"Grant","given":"Valerie V."},{"family":"Stewart","given":"Sherry H."},{"family":"Mohr","given":"Cynthia D."}],"issued":{"date-parts":[["2009",6]]}},"label":"act"},{"id":289,"uris":["http://zotero.org/users/7873587/items/N3ZBU6GR"],"itemData":{"id":289,"type":"article-journal","abstract":"This study examined drinking to cope with distress and drinking behavior in a baseline sample of 412 unipolar depressed patients assessed 4 times over a 10-year period. Baseline drinking to cope operated prospectively as a risk factor for more alcohol consumption at 1-, 4-, and 10-year follow-ups and for more drinking problems at 1- and 4-year follow-ups. Findings elucidate a key mechanism in this process by showing that drinking to cope strengthened the link between depressive symptoms and drinking behavior. Individuals who had a stronger propensity to drink to cope at baseline showed a stronger connection between depressive symptoms and both alcohol consumption and drinking problems.","container-title":"Journal of Abnormal Psychology","DOI":"https://doi.org/10.1037/0021-843X.112.1.159","ISSN":"0021-843X","issue":"1","journalAbbreviation":"J Abnorm Psychol","language":"eng","note":"PMID: 12653424","page":"159-165","source":"PubMed","title":"Drinking to cope and alcohol use and abuse in unipolar depression: a 10-year model","title-short":"Drinking to cope and alcohol use and abuse in unipolar depression","volume":"112","author":[{"family":"Holahan","given":"Charles J."},{"family":"Moos","given":"Rudolf H."},{"family":"Holahan","given":"Carole K."},{"family":"Cronkite","given":"Ruth C."},{"family":"Randall","given":"Patrick K."}],"issued":{"date-parts":[["2003",2]]}},"label":"act"},{"id":284,"uris":["http://zotero.org/users/7873587/items/FK9AP6SI"],"itemData":{"id":284,"type":"article-journal","abstract":"Problematic alcohol use and risk for dependence peak during late adolescence, particularly among first-year college students. Although students matriculating into college with depressive symptoms experience elevated risk for alcohol problems, few studies have examined the intervening mechanisms of risk. In this study, we examined depressed mood at college entry on prospective alcohol expectancies, drinking motives, and alcohol outcomes during the first year of college, adjusting for pre-college factors. Participants (N = 614; 59% female, 33% non-White) were incoming college students from three universities who completed online self-report surveys prior to matriculating into college and at the end of their first year in college. We utilized path analysis to test our hypotheses. In women, the path that linked depressive symptoms to consequences was primarily attributable to the effect of pre-college drinking to cope on drinking to cope in college, which in turn was associated with alcohol consequences. In men, the effect of depressive symptoms on alcohol consequences in college was independent of pre-college and college factors, thus indicating the need for research that identifies mechanisms of risk in males. Interventions that address coping deficits and motivations for drinking may be particularly beneficial for depressed adolescent females during this high-risk developmental period.","container-title":"Journal of Youth and Adolescence","DOI":"10.1007/s10964-015-0311-3","ISSN":"1573-6601","issue":"10","journalAbbreviation":"J Youth Adolesc","language":"eng","note":"PMID: 26036995\nPMCID: PMC4565767","page":"1884-1897","source":"PubMed","title":"Gender differences in the effect of depressive symptoms on prospective alcohol expectancies, coping motives, and alcohol outcomes in the first year of college","volume":"44","author":[{"family":"Kenney","given":"Shannon"},{"family":"Jones","given":"Richard N."},{"family":"Barnett","given":"Nancy P."}],"issued":{"date-parts":[["2015",10]]}},"label":"act"}],"schema":"https://github.com/citation-style-language/schema/raw/master/csl-citation.json"} </w:instrText>
      </w:r>
      <w:r w:rsidR="00707E4B">
        <w:rPr>
          <w:rFonts w:ascii="Times New Roman" w:hAnsi="Times New Roman" w:cs="Times New Roman"/>
        </w:rPr>
        <w:fldChar w:fldCharType="separate"/>
      </w:r>
      <w:r w:rsidR="00707E4B" w:rsidRPr="00707E4B">
        <w:rPr>
          <w:rFonts w:ascii="Times New Roman" w:hAnsi="Times New Roman" w:cs="Times New Roman"/>
        </w:rPr>
        <w:t>(Bravo et al., 2018; Grant et al., 2009; Holahan et al., 2003; Kenney et al., 2015)</w:t>
      </w:r>
      <w:r w:rsidR="00707E4B">
        <w:rPr>
          <w:rFonts w:ascii="Times New Roman" w:hAnsi="Times New Roman" w:cs="Times New Roman"/>
        </w:rPr>
        <w:fldChar w:fldCharType="end"/>
      </w:r>
      <w:r w:rsidR="00707E4B">
        <w:rPr>
          <w:rFonts w:ascii="Times New Roman" w:hAnsi="Times New Roman" w:cs="Times New Roman"/>
        </w:rPr>
        <w:t xml:space="preserve"> </w:t>
      </w:r>
      <w:r w:rsidRPr="00572DF1">
        <w:rPr>
          <w:rFonts w:ascii="Times New Roman" w:hAnsi="Times New Roman" w:cs="Times New Roman"/>
        </w:rPr>
        <w:t xml:space="preserve">suggest that alcohol may be a crucial coping mechanism for people with elevated levels of depression. Interestingly, meaning in life plays an important role in a person’s ability to cope with stressful or demanding situations, and promotes adaptive coping </w:t>
      </w:r>
      <w:r w:rsidRPr="00572DF1">
        <w:rPr>
          <w:rFonts w:ascii="Times New Roman" w:hAnsi="Times New Roman" w:cs="Times New Roman"/>
        </w:rPr>
        <w:lastRenderedPageBreak/>
        <w:t xml:space="preserve">strategies </w:t>
      </w:r>
      <w:r w:rsidR="00707E4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{"citationID":"OhKKUcNU","properties":{"formattedCitation":"(Frankl, 1985; Hooker et al., 2018; Miao &amp; Gan, 2018)","plainCitation":"(Frankl, 1985; Hooker et al., 2018; Miao &amp; Gan, 2018)","noteIndex":0},"citationItems":[{"id":291,"uris":["http://zotero.org/users/7873587/items/JDZDUED9"],"itemData":{"id":291,"type":"book","abstract":"Now in its 60th year -- the landmark bestseller by the great Viennese psychiatrist remembered for his tremendous impact on humanity  Internationally renowned psychiatrist Viktor E. Frankl endured years of unspeakable horror in Nazi death camps. During, and partly because of, his suffering, Dr. Frankl developed a revolutionary approach to psychotherapy known as logotherapy. At the core of his theory is the belief that man's primary motivational force is his search for meaning.  Cited in Dr. Frankl's New York Times obituary in 1997 as \"an enduring work of survival literature,\" Man's Search for Meaning is more than the story of Viktor E. Frankl's triumph: It is a remarkable blend of science and humanism and \"a compelling introduction to the most significant psychological movement of our day\" (Gordon W. Allport).","ISBN":"978-0-671-02337-9","language":"en","note":"Google-Books-ID: W3q8R4dRZTwC","number-of-pages":"230","publisher":"Simon and Schuster","source":"Google Books","title":"Man's search for meaning","author":[{"family":"Frankl","given":"Viktor E."}],"issued":{"date-parts":[["1985"]]}},"label":"act"},{"id":295,"uris":["http://zotero.org/users/7873587/items/KAVFHRTU"],"itemData":{"id":295,"type":"article-journal","abstract":"Accumulating evidence suggests that a global sense of meaning in life is related to physical health, including increased longevity and reduced morbidity. However, the mechanisms responsible for these relationships remain largely unknown and uninvestigated. Moreover, there is no unifying conceptual framework linking meaning in life to physical health. Our aims are to (a) review the literature linking meaning in life to potential mechanisms associated with better physical health; (b) offer a comprehensive conceptual framework associating meaning in life with physical health; and (c) introduce a new construct, meaning salience, as a potentially important intermediary mechanism. Specifically, we review the evidence suggesting that meaning in life is associated with reduced stress, more adaptive coping, and greater engagement in health-promoting behaviors. Our model proposes that effects of global sense of meaning are potentiated through increased meaning salience, or daily awareness of meaning in the moment, which enhances self-regulation. Suggestions are proposed for empirically examining this new model. (PsycInfo Database Record (c) 2020 APA, all rights reserved)","container-title":"Review of General Psychology","DOI":"10.1037/gpr0000115","ISSN":"1939-1552","issue":"1","note":"publisher-place: US\npublisher: Educational Publishing Foundation","page":"11-24","source":"APA PsycNet","title":"A meaningful life is a healthy life: A conceptual model linking meaning and meaning salience to health","title-short":"A meaningful life is a healthy life","volume":"22","author":[{"family":"Hooker","given":"Stephanie A."},{"family":"Masters","given":"Kevin S."},{"family":"Park","given":"Crystal L."}],"issued":{"date-parts":[["2018"]]}},"label":"act"},{"id":299,"uris":["http://zotero.org/users/7873587/items/5L657S2C"],"itemData":{"id":299,"type":"article-journal","abstract":"Objective\nThis study examined the effectiveness of a photographic intervention method on meaning in life (MIL) and further investigated the self‐regulatory mechanism responsible for the effect of MIL in the promotion of proactive coping.\n\nMethod\nParticipants were 145 Chinese adults (Mage = 27.82; 71.3% female), who were randomly assigned into one of three conditions: intervention (taking photos and writing expressively), a taking photos only control, or an assessment only control. MIL, positive affect, future temporal focus, and proactive coping were measured before and after the intervention, with follow‐up assessments conducted one week and one month later. Additionally, daily assessments were conducted during the intervention week.\n\nResults\nMIL improved daily in the intervention condition, an effect that was also found post‐intervention and at follow‐up. Significant increases in positive affect, future temporal focus, and proactive coping were also observed after the intervention. Hierarchical linear modeling demonstrated that daily MIL positively predicted daily future temporal focus and positive affect. Furthermore, longitudinal mediation analysis confirmed that future temporal focus and positive affect mediated the relationship between MIL and proactive coping.\n\nConclusions\nMIL's self‐regulatory mechanism is reflected in both cognitive (future temporal focus) and emotional (positive affect) dimensions, which promotes proactive coping with future stressors.\nThis article is protected by copyright. All rights reserved.","container-title":"Journal of Personality","DOI":"10.1111/jopy.12416","issue":"3","journalAbbreviation":"Journal of Personality","page":"579-592","source":"ResearchGate","title":"How does meaning in life predict proactive coping? The self‐regulatory mechanism on emotion and cognition","title-short":"How Does Meaning in Life Predict Proactive Coping?","volume":"87","author":[{"family":"Miao","given":"Miao"},{"family":"Gan","given":"Yiqun"}],"issued":{"date-parts":[["2018",7,1]]}},"label":"act"}],"schema":"https://github.com/citation-style-language/schema/raw/master/csl-citation.json"} </w:instrText>
      </w:r>
      <w:r w:rsidR="00707E4B">
        <w:rPr>
          <w:rFonts w:ascii="Times New Roman" w:hAnsi="Times New Roman" w:cs="Times New Roman"/>
        </w:rPr>
        <w:fldChar w:fldCharType="separate"/>
      </w:r>
      <w:r w:rsidR="00707E4B" w:rsidRPr="00707E4B">
        <w:rPr>
          <w:rFonts w:ascii="Times New Roman" w:hAnsi="Times New Roman" w:cs="Times New Roman"/>
        </w:rPr>
        <w:t>(Frankl, 1985; Hooker et al., 2018; Miao &amp; Gan, 2018)</w:t>
      </w:r>
      <w:r w:rsidR="00707E4B">
        <w:rPr>
          <w:rFonts w:ascii="Times New Roman" w:hAnsi="Times New Roman" w:cs="Times New Roman"/>
        </w:rPr>
        <w:fldChar w:fldCharType="end"/>
      </w:r>
      <w:r w:rsidRPr="00572DF1">
        <w:rPr>
          <w:rFonts w:ascii="Times New Roman" w:hAnsi="Times New Roman" w:cs="Times New Roman"/>
        </w:rPr>
        <w:t xml:space="preserve">. For example, </w:t>
      </w:r>
      <w:r w:rsidR="00707E4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{"citationID":"Ekfjt6Yh","properties":{"formattedCitation":"(Ostafin &amp; Proulx, 2020)","plainCitation":"(Ostafin &amp; Proulx, 2020)","dontUpdate":true,"noteIndex":0},"citationItems":[{"id":301,"uris":["http://zotero.org/users/7873587/items/85YYLFWR"],"itemData":{"id":301,"type":"article-journal","abstract":"Background: and Objectives: This research examined whether life meaning promotes resilience to stressor-related psychological distress and repetitive negative thinking. Design and Methods: Three studies (total N = 273) used cross-sectional (Study 1) and prospective (Studies 2 and 3) designs to assess the relation between life meaning and response to various stressors. Results: Results showed that in Study 1, greater life meaning was inversely related with repetitive negative thinking and psychological distress. Further, a mediation analysis showed an indirect effect for the life meaning-repetitive negative thinking relation through psychological distress. In Study 2, baseline life meaning predicted less repetitive negative thinking about a subsequent city-wide flood. In Study 3, baseline life meaning was inversely related to distress and repetitive negative thinking after writing about an aversive memory. A mediation analysis showed an indirect effect for the life meaning-repetitive negative thinking relation through distress. Conclusions: In all studies, life meaning predicted outcomes when controlling for other positive well-being variables. Overall, the findings suggest that individuals with greater trait life meaning experience less stressor-related distress and repetitive negative thinking and that the life meaning-repetitive negative thinking relation may be mediated by distress. (PsycInfo Database Record (c) 2020 APA, all rights reserved)","container-title":"Anxiety, Stress &amp; Coping","DOI":"10.1080/10615806.2020.1800655","ISSN":"1477-2205","issue":"6","note":"publisher-place: United Kingdom\npublisher: Taylor &amp; Francis","page":"603-622","source":"APA PsycNet","title":"Meaning in life and resilience to stressors","volume":"33","author":[{"family":"Ostafin","given":"Brian D."},{"family":"Proulx","given":"Travis"}],"issued":{"date-parts":[["2020"]]}}}],"schema":"https://github.com/citation-style-language/schema/raw/master/csl-citation.json"} </w:instrText>
      </w:r>
      <w:r w:rsidR="00707E4B">
        <w:rPr>
          <w:rFonts w:ascii="Times New Roman" w:hAnsi="Times New Roman" w:cs="Times New Roman"/>
        </w:rPr>
        <w:fldChar w:fldCharType="separate"/>
      </w:r>
      <w:r w:rsidR="00707E4B" w:rsidRPr="00707E4B">
        <w:rPr>
          <w:rFonts w:ascii="Times New Roman" w:hAnsi="Times New Roman" w:cs="Times New Roman"/>
        </w:rPr>
        <w:t xml:space="preserve">Ostafin </w:t>
      </w:r>
      <w:r w:rsidR="00707E4B">
        <w:rPr>
          <w:rFonts w:ascii="Times New Roman" w:hAnsi="Times New Roman" w:cs="Times New Roman"/>
        </w:rPr>
        <w:t>and</w:t>
      </w:r>
      <w:r w:rsidR="00707E4B" w:rsidRPr="00707E4B">
        <w:rPr>
          <w:rFonts w:ascii="Times New Roman" w:hAnsi="Times New Roman" w:cs="Times New Roman"/>
        </w:rPr>
        <w:t xml:space="preserve"> Proulx </w:t>
      </w:r>
      <w:r w:rsidR="00707E4B">
        <w:rPr>
          <w:rFonts w:ascii="Times New Roman" w:hAnsi="Times New Roman" w:cs="Times New Roman"/>
        </w:rPr>
        <w:t>(</w:t>
      </w:r>
      <w:r w:rsidR="00707E4B" w:rsidRPr="00707E4B">
        <w:rPr>
          <w:rFonts w:ascii="Times New Roman" w:hAnsi="Times New Roman" w:cs="Times New Roman"/>
        </w:rPr>
        <w:t>2020)</w:t>
      </w:r>
      <w:r w:rsidR="00707E4B">
        <w:rPr>
          <w:rFonts w:ascii="Times New Roman" w:hAnsi="Times New Roman" w:cs="Times New Roman"/>
        </w:rPr>
        <w:fldChar w:fldCharType="end"/>
      </w:r>
      <w:r w:rsidR="00707E4B">
        <w:rPr>
          <w:rFonts w:ascii="Times New Roman" w:hAnsi="Times New Roman" w:cs="Times New Roman"/>
        </w:rPr>
        <w:t xml:space="preserve"> </w:t>
      </w:r>
      <w:r w:rsidRPr="00572DF1">
        <w:rPr>
          <w:rFonts w:ascii="Times New Roman" w:hAnsi="Times New Roman" w:cs="Times New Roman"/>
        </w:rPr>
        <w:t xml:space="preserve">demonstrated that following aversive states, meaning in life is linked to reduced levels of psychological distress and repetitive negative thinking. This in turn may enable or facilitate the use of adaptive coping strategies, including acceptance, self-efficacy, and positive reframing </w:t>
      </w:r>
      <w:r w:rsidR="00707E4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{"citationID":"ENGBN5ko","properties":{"formattedCitation":"(Hooker et al., 2018; Park et al., 2008)","plainCitation":"(Hooker et al., 2018; Park et al., 2008)","noteIndex":0},"citationItems":[{"id":295,"uris":["http://zotero.org/users/7873587/items/KAVFHRTU"],"itemData":{"id":295,"type":"article-journal","abstract":"Accumulating evidence suggests that a global sense of meaning in life is related to physical health, including increased longevity and reduced morbidity. However, the mechanisms responsible for these relationships remain largely unknown and uninvestigated. Moreover, there is no unifying conceptual framework linking meaning in life to physical health. Our aims are to (a) review the literature linking meaning in life to potential mechanisms associated with better physical health; (b) offer a comprehensive conceptual framework associating meaning in life with physical health; and (c) introduce a new construct, meaning salience, as a potentially important intermediary mechanism. Specifically, we review the evidence suggesting that meaning in life is associated with reduced stress, more adaptive coping, and greater engagement in health-promoting behaviors. Our model proposes that effects of global sense of meaning are potentiated through increased meaning salience, or daily awareness of meaning in the moment, which enhances self-regulation. Suggestions are proposed for empirically examining this new model. (PsycInfo Database Record (c) 2020 APA, all rights reserved)","container-title":"Review of General Psychology","DOI":"10.1037/gpr0000115","ISSN":"1939-1552","issue":"1","note":"publisher-place: US\npublisher: Educational Publishing Foundation","page":"11-24","source":"APA PsycNet","title":"A meaningful life is a healthy life: A conceptual model linking meaning and meaning salience to health","title-short":"A meaningful life is a healthy life","volume":"22","author":[{"family":"Hooker","given":"Stephanie A."},{"family":"Masters","given":"Kevin S."},{"family":"Park","given":"Crystal L."}],"issued":{"date-parts":[["2018"]]}},"label":"act"},{"id":202,"uris":["http://zotero.org/users/7873587/items/4GMY6Z7H"],"itemData":{"id":202,"type":"article-journal","abstract":"The present study examined (1) whether particular coping strategies used to deal with congestive heart failure (CHF) are related to meaning in life across time, and (2) whether meaning in life mediates the effect of coping on health-related quality of life.\nA sample of 155 CHF patients received questionnaire packets at two time points, 6 months apart. Main outcome measures included Meaning in Life and Mental and Physical Health-Related Quality of Life (HRQOL).\nCoping (particularly acceptance/positive reinterpretation and religious coping) was not only related to meaning in life, but also to increased meaning over time. Further, meaning in life was related to both mental and physical components of HRQOL. However, coping was minimally related to HRQOL and its effects were not mediated by meaning in life.\nThese results add to accumulating evidence that life meaning is important in the context of living with a chronic, life-threatening illness. Further, coping--especially acceptance and religious coping--is related to increased life meaning over time in the context of life limiting illness.","container-title":"Quality of life research","DOI":"10.1007/s11136-007-9279-0","journalAbbreviation":"Quality of life research : an international journal of quality of life aspects of treatment, care and rehabilitation","page":"21-6","source":"ResearchGate","title":"Coping, meaning in life, and quality of life in congestive heart failure patients","volume":"17","author":[{"family":"Park","given":"Crystal L."},{"family":"Malone","given":"Marc"},{"family":"Suresh","given":"D"},{"family":"Bliss","given":"D"},{"family":"Rosen","given":"Rivkah"}],"issued":{"date-parts":[["2008",3,1]]}},"label":"act"}],"schema":"https://github.com/citation-style-language/schema/raw/master/csl-citation.json"} </w:instrText>
      </w:r>
      <w:r w:rsidR="00707E4B">
        <w:rPr>
          <w:rFonts w:ascii="Times New Roman" w:hAnsi="Times New Roman" w:cs="Times New Roman"/>
        </w:rPr>
        <w:fldChar w:fldCharType="separate"/>
      </w:r>
      <w:r w:rsidR="00707E4B" w:rsidRPr="00707E4B">
        <w:rPr>
          <w:rFonts w:ascii="Times New Roman" w:hAnsi="Times New Roman" w:cs="Times New Roman"/>
        </w:rPr>
        <w:t>(Hooker et al., 2018; Park et al., 2008)</w:t>
      </w:r>
      <w:r w:rsidR="00707E4B">
        <w:rPr>
          <w:rFonts w:ascii="Times New Roman" w:hAnsi="Times New Roman" w:cs="Times New Roman"/>
        </w:rPr>
        <w:fldChar w:fldCharType="end"/>
      </w:r>
      <w:r w:rsidRPr="00572DF1">
        <w:rPr>
          <w:rFonts w:ascii="Times New Roman" w:hAnsi="Times New Roman" w:cs="Times New Roman"/>
        </w:rPr>
        <w:t>. Therefore, presence of meaning is associated with reduced levels of depression and increased adaptive coping which may represent a potential pathway through which meaning protects against harmful alcohol consumption, however this has not yet been explored.</w:t>
      </w:r>
    </w:p>
    <w:p w14:paraId="0A692BE9" w14:textId="77777777" w:rsidR="003A7B95" w:rsidRPr="00572DF1" w:rsidRDefault="003A7B95" w:rsidP="00572DF1">
      <w:pPr>
        <w:pStyle w:val="NoSpacing"/>
        <w:spacing w:line="480" w:lineRule="auto"/>
        <w:rPr>
          <w:rFonts w:ascii="Times New Roman" w:hAnsi="Times New Roman" w:cs="Times New Roman"/>
        </w:rPr>
      </w:pPr>
    </w:p>
    <w:p w14:paraId="22044D74" w14:textId="23B0675E" w:rsidR="00572DF1" w:rsidRPr="00572DF1" w:rsidRDefault="00572DF1" w:rsidP="00F92626">
      <w:pPr>
        <w:pStyle w:val="NoSpacing"/>
        <w:spacing w:line="480" w:lineRule="auto"/>
        <w:rPr>
          <w:rFonts w:ascii="Times New Roman" w:hAnsi="Times New Roman" w:cs="Times New Roman"/>
        </w:rPr>
      </w:pPr>
      <w:r w:rsidRPr="00572DF1">
        <w:rPr>
          <w:rFonts w:ascii="Times New Roman" w:hAnsi="Times New Roman" w:cs="Times New Roman"/>
        </w:rPr>
        <w:t xml:space="preserve">This study aimed to clarify the role of search for meaning in life and explore the </w:t>
      </w:r>
      <w:r w:rsidR="00463E60">
        <w:rPr>
          <w:rFonts w:ascii="Times New Roman" w:hAnsi="Times New Roman" w:cs="Times New Roman"/>
        </w:rPr>
        <w:t>mediating</w:t>
      </w:r>
      <w:r w:rsidRPr="00572DF1">
        <w:rPr>
          <w:rFonts w:ascii="Times New Roman" w:hAnsi="Times New Roman" w:cs="Times New Roman"/>
        </w:rPr>
        <w:t xml:space="preserve"> effects of alcohol-free reinforcement, alcohol value, depression, and drinking to cope within the relationships between meaning in life and AUDIT scores. Design, hypotheses, and analysis strategy were pre-registered before data collection commenced (</w:t>
      </w:r>
      <w:hyperlink r:id="rId22" w:history="1">
        <w:r w:rsidR="00F92626" w:rsidRPr="00FE45C8">
          <w:rPr>
            <w:rStyle w:val="Hyperlink"/>
            <w:rFonts w:ascii="Times New Roman" w:hAnsi="Times New Roman" w:cs="Times New Roman"/>
          </w:rPr>
          <w:t>https://aspredicted.org/blind.php?x=/6SF_RQ8</w:t>
        </w:r>
      </w:hyperlink>
      <w:r w:rsidR="00F92626">
        <w:rPr>
          <w:rFonts w:ascii="Times New Roman" w:hAnsi="Times New Roman" w:cs="Times New Roman"/>
        </w:rPr>
        <w:t>)</w:t>
      </w:r>
      <w:r w:rsidRPr="00572DF1">
        <w:rPr>
          <w:rFonts w:ascii="Times New Roman" w:hAnsi="Times New Roman" w:cs="Times New Roman"/>
        </w:rPr>
        <w:t xml:space="preserve">. Specifically, </w:t>
      </w:r>
      <w:r w:rsidR="00F92626">
        <w:rPr>
          <w:rFonts w:ascii="Times New Roman" w:hAnsi="Times New Roman" w:cs="Times New Roman"/>
        </w:rPr>
        <w:t xml:space="preserve">it was </w:t>
      </w:r>
      <w:r w:rsidRPr="00572DF1">
        <w:rPr>
          <w:rFonts w:ascii="Times New Roman" w:hAnsi="Times New Roman" w:cs="Times New Roman"/>
        </w:rPr>
        <w:t>hypothesised that:</w:t>
      </w:r>
    </w:p>
    <w:p w14:paraId="0EDDB0AF" w14:textId="77777777" w:rsidR="003A7B95" w:rsidRDefault="00572DF1" w:rsidP="003A7189">
      <w:pPr>
        <w:pStyle w:val="NoSpacing"/>
        <w:numPr>
          <w:ilvl w:val="0"/>
          <w:numId w:val="8"/>
        </w:numPr>
        <w:spacing w:line="480" w:lineRule="auto"/>
        <w:rPr>
          <w:rFonts w:ascii="Times New Roman" w:hAnsi="Times New Roman" w:cs="Times New Roman"/>
        </w:rPr>
      </w:pPr>
      <w:r w:rsidRPr="00572DF1">
        <w:rPr>
          <w:rFonts w:ascii="Times New Roman" w:hAnsi="Times New Roman" w:cs="Times New Roman"/>
        </w:rPr>
        <w:t>Elevated AUDIT scores will be significantly negatively associated (</w:t>
      </w:r>
      <w:r w:rsidRPr="00F92626">
        <w:rPr>
          <w:rFonts w:ascii="Times New Roman" w:hAnsi="Times New Roman" w:cs="Times New Roman"/>
          <w:i/>
          <w:iCs/>
        </w:rPr>
        <w:t xml:space="preserve">p </w:t>
      </w:r>
      <w:r w:rsidRPr="00572DF1">
        <w:rPr>
          <w:rFonts w:ascii="Times New Roman" w:hAnsi="Times New Roman" w:cs="Times New Roman"/>
        </w:rPr>
        <w:t xml:space="preserve">&lt; .05) with presence of meaning in life, but significantly positively associated with search for meaning in life. We also hypothesise that elevated AUDIT scores will be significantly negatively associated with alcohol-free </w:t>
      </w:r>
      <w:r w:rsidRPr="00F92626">
        <w:rPr>
          <w:rFonts w:ascii="Times New Roman" w:hAnsi="Times New Roman" w:cs="Times New Roman"/>
        </w:rPr>
        <w:t>reinforcement</w:t>
      </w:r>
      <w:r w:rsidR="00F92626" w:rsidRPr="004B73B2">
        <w:rPr>
          <w:rStyle w:val="FootnoteReference"/>
        </w:rPr>
        <w:footnoteReference w:id="1"/>
      </w:r>
      <w:r w:rsidRPr="00F92626">
        <w:rPr>
          <w:rFonts w:ascii="Times New Roman" w:hAnsi="Times New Roman" w:cs="Times New Roman"/>
        </w:rPr>
        <w:t>.</w:t>
      </w:r>
    </w:p>
    <w:p w14:paraId="6B6BEE21" w14:textId="49EC71FC" w:rsidR="003A7B95" w:rsidRPr="003A7B95" w:rsidRDefault="003A7B95" w:rsidP="003A7189">
      <w:pPr>
        <w:pStyle w:val="NoSpacing"/>
        <w:numPr>
          <w:ilvl w:val="0"/>
          <w:numId w:val="8"/>
        </w:numPr>
        <w:spacing w:line="480" w:lineRule="auto"/>
        <w:rPr>
          <w:rFonts w:ascii="Times New Roman" w:hAnsi="Times New Roman" w:cs="Times New Roman"/>
        </w:rPr>
      </w:pPr>
      <w:r w:rsidRPr="003A7B95">
        <w:rPr>
          <w:rFonts w:ascii="Times New Roman" w:hAnsi="Times New Roman" w:cs="Times New Roman"/>
        </w:rPr>
        <w:t>There will be significant indirect effects of meaning in life subscales (presence of meaning and search for meaning) on AUDIT scores through alcohol-free reinforcement, depressive symptoms, drinking to cope, and alcohol value.</w:t>
      </w:r>
    </w:p>
    <w:p w14:paraId="312186C2" w14:textId="77777777" w:rsidR="003A7B95" w:rsidRDefault="003A7B95" w:rsidP="003A7189">
      <w:pPr>
        <w:pStyle w:val="NoSpacing"/>
      </w:pPr>
    </w:p>
    <w:p w14:paraId="5BE72D26" w14:textId="12AFAA20" w:rsidR="00707E4B" w:rsidRPr="00707E4B" w:rsidRDefault="00B3225C" w:rsidP="00707E4B">
      <w:pPr>
        <w:pStyle w:val="Heading4"/>
      </w:pPr>
      <w:bookmarkStart w:id="115" w:name="_Toc110629046"/>
      <w:bookmarkStart w:id="116" w:name="_Toc110870954"/>
      <w:r>
        <w:lastRenderedPageBreak/>
        <w:t xml:space="preserve">2.2. </w:t>
      </w:r>
      <w:r w:rsidR="00707E4B" w:rsidRPr="00707E4B">
        <w:t>Method</w:t>
      </w:r>
      <w:bookmarkEnd w:id="115"/>
      <w:bookmarkEnd w:id="116"/>
    </w:p>
    <w:p w14:paraId="266E978F" w14:textId="77777777" w:rsidR="00707E4B" w:rsidRPr="00B3225C" w:rsidRDefault="00707E4B" w:rsidP="00B3225C">
      <w:pPr>
        <w:pStyle w:val="NoSpacing"/>
        <w:spacing w:line="480" w:lineRule="auto"/>
        <w:rPr>
          <w:rFonts w:ascii="Times New Roman" w:hAnsi="Times New Roman" w:cs="Times New Roman"/>
          <w:b/>
          <w:bCs/>
        </w:rPr>
      </w:pPr>
      <w:r w:rsidRPr="00B3225C">
        <w:rPr>
          <w:rFonts w:ascii="Times New Roman" w:hAnsi="Times New Roman" w:cs="Times New Roman"/>
          <w:b/>
          <w:bCs/>
        </w:rPr>
        <w:t>Design</w:t>
      </w:r>
    </w:p>
    <w:p w14:paraId="7AD808BD" w14:textId="47513A34" w:rsidR="00093B56" w:rsidRDefault="00707E4B" w:rsidP="00B3225C">
      <w:pPr>
        <w:pStyle w:val="NoSpacing"/>
        <w:spacing w:line="480" w:lineRule="auto"/>
        <w:rPr>
          <w:rFonts w:ascii="Times New Roman" w:hAnsi="Times New Roman" w:cs="Times New Roman"/>
        </w:rPr>
      </w:pPr>
      <w:r w:rsidRPr="00B3225C">
        <w:rPr>
          <w:rFonts w:ascii="Times New Roman" w:hAnsi="Times New Roman" w:cs="Times New Roman"/>
        </w:rPr>
        <w:t xml:space="preserve">Cross-sectional observational study. The dependent variable was scores on the AUDIT, which provides an indication of hazardous drinking. Predictor variables included presence of meaning in life, search for meaning in life, and alcohol-free reinforcement. In the structural equation model (SEM), alcohol value, alcohol-free reinforcement, depression, and coping drinking motives were included as both independent and dependent variables as this technique enables the exploration of complex direct and indirect relationships. For SEM analyses, it has been recommended that the sample size is a minimum of 200 </w:t>
      </w:r>
      <w:r w:rsidR="00B3225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{"citationID":"qmsKFss6","properties":{"formattedCitation":"(Kline, 2005)","plainCitation":"(Kline, 2005)","noteIndex":0},"citationItems":[{"id":341,"uris":["http://zotero.org/users/7873587/items/BYQ5GXJU"],"itemData":{"id":341,"type":"book","abstract":"Second editions, like movie sequels, are usually not as good as the originals, except in unique cases. This is one of them. Just as the field of structural equation modeling (SEM) has evolved, so has Kline's book. Like the first edition, this second edition is intended as an accessible work about the principles and practice of structural equation modeling (SEM) for readers without extensive quantitative backgrounds. Accordingly, fundamental concepts of SEM are presented here in words and figures and not matrix algebra. Matrix algebra can convey a lot of information in a relatively small amount of space, but one must already be familiar with linear algebra to decode the message. Other works that better explain the mathematical foundations of SEM are cited throughout this book, and these works should be consulted by those interested in such presentations. Also, as in the first edition, many examples from various disciplines illustrate the application of SEM to actual research problems. Some of these examples were selected because there were technical problems in the analysis, such as when a computer program terminates its run with error messages. These examples give a context for discussing how to handle various problems that can crop up in SEM analyses. (PsycINFO Database Record (c) 2016 APA, all rights reserved)","collection-title":"Principles and practice of structural equation modeling, 2nd ed","event-place":"New York, NY, US","ISBN":"978-1-59385-075-3","publisher":"Guilford Press","publisher-place":"New York, NY, US","source":"APA PsycNet","title":"Principles and practice of structural equation modeling, 2nd ed","author":[{"family":"Kline","given":"Rex B."}],"issued":{"date-parts":[["2005"]]}}}],"schema":"https://github.com/citation-style-language/schema/raw/master/csl-citation.json"} </w:instrText>
      </w:r>
      <w:r w:rsidR="00B3225C">
        <w:rPr>
          <w:rFonts w:ascii="Times New Roman" w:hAnsi="Times New Roman" w:cs="Times New Roman"/>
        </w:rPr>
        <w:fldChar w:fldCharType="separate"/>
      </w:r>
      <w:r w:rsidR="00B3225C" w:rsidRPr="00B3225C">
        <w:rPr>
          <w:rFonts w:ascii="Times New Roman" w:hAnsi="Times New Roman" w:cs="Times New Roman"/>
        </w:rPr>
        <w:t>(Kline, 2005)</w:t>
      </w:r>
      <w:r w:rsidR="00B3225C">
        <w:rPr>
          <w:rFonts w:ascii="Times New Roman" w:hAnsi="Times New Roman" w:cs="Times New Roman"/>
        </w:rPr>
        <w:fldChar w:fldCharType="end"/>
      </w:r>
      <w:r w:rsidRPr="00B3225C">
        <w:rPr>
          <w:rFonts w:ascii="Times New Roman" w:hAnsi="Times New Roman" w:cs="Times New Roman"/>
        </w:rPr>
        <w:t xml:space="preserve"> however we aimed for a minimum of 400 participants. We oversampled because our recruitment target was reached prior to the end of our testing period, and this allowed us to increase the robustness of our parameter estimates.</w:t>
      </w:r>
    </w:p>
    <w:p w14:paraId="405D3A0B" w14:textId="53888685" w:rsidR="008F6059" w:rsidRDefault="008F6059" w:rsidP="00B3225C">
      <w:pPr>
        <w:pStyle w:val="NoSpacing"/>
        <w:spacing w:line="480" w:lineRule="auto"/>
        <w:rPr>
          <w:rFonts w:ascii="Times New Roman" w:hAnsi="Times New Roman" w:cs="Times New Roman"/>
        </w:rPr>
      </w:pPr>
    </w:p>
    <w:p w14:paraId="379D83F1" w14:textId="7E0C7EA7" w:rsidR="008F6059" w:rsidRDefault="008F6059" w:rsidP="00B3225C">
      <w:pPr>
        <w:pStyle w:val="NoSpacing"/>
        <w:spacing w:line="480" w:lineRule="auto"/>
        <w:rPr>
          <w:rFonts w:ascii="Times New Roman" w:hAnsi="Times New Roman" w:cs="Times New Roman"/>
        </w:rPr>
      </w:pPr>
      <w:r w:rsidRPr="008F6059">
        <w:rPr>
          <w:rFonts w:ascii="Times New Roman" w:hAnsi="Times New Roman" w:cs="Times New Roman"/>
          <w:b/>
          <w:bCs/>
        </w:rPr>
        <w:t>Participants</w:t>
      </w:r>
    </w:p>
    <w:p w14:paraId="4063B8B7" w14:textId="00037FA5" w:rsidR="008F6059" w:rsidRDefault="008F6059" w:rsidP="008F6059">
      <w:pPr>
        <w:pStyle w:val="NoSpacing"/>
        <w:spacing w:line="480" w:lineRule="auto"/>
        <w:rPr>
          <w:rFonts w:ascii="Times New Roman" w:hAnsi="Times New Roman" w:cs="Times New Roman"/>
        </w:rPr>
      </w:pPr>
      <w:r w:rsidRPr="008F6059">
        <w:rPr>
          <w:rFonts w:ascii="Times New Roman" w:hAnsi="Times New Roman" w:cs="Times New Roman"/>
        </w:rPr>
        <w:t>An initial 959 volunteers accessed the study link; however, after removal of data from participants who withdrew from participation before completing the survey (</w:t>
      </w:r>
      <w:r w:rsidRPr="008F6059">
        <w:rPr>
          <w:rFonts w:ascii="Times New Roman" w:hAnsi="Times New Roman" w:cs="Times New Roman"/>
          <w:i/>
          <w:iCs/>
        </w:rPr>
        <w:t>n</w:t>
      </w:r>
      <w:r w:rsidRPr="008F6059">
        <w:rPr>
          <w:rFonts w:ascii="Times New Roman" w:hAnsi="Times New Roman" w:cs="Times New Roman"/>
        </w:rPr>
        <w:t xml:space="preserve"> = 352), responded ‘never’ to consuming alcohol (</w:t>
      </w:r>
      <w:r w:rsidRPr="008F6059">
        <w:rPr>
          <w:rFonts w:ascii="Times New Roman" w:hAnsi="Times New Roman" w:cs="Times New Roman"/>
          <w:i/>
          <w:iCs/>
        </w:rPr>
        <w:t>n</w:t>
      </w:r>
      <w:r w:rsidRPr="008F6059">
        <w:rPr>
          <w:rFonts w:ascii="Times New Roman" w:hAnsi="Times New Roman" w:cs="Times New Roman"/>
        </w:rPr>
        <w:t xml:space="preserve"> = 4), demonstrated misunderstanding of questionnaire instructions (</w:t>
      </w:r>
      <w:r w:rsidRPr="008F6059">
        <w:rPr>
          <w:rFonts w:ascii="Times New Roman" w:hAnsi="Times New Roman" w:cs="Times New Roman"/>
          <w:i/>
          <w:iCs/>
        </w:rPr>
        <w:t>n</w:t>
      </w:r>
      <w:r w:rsidRPr="008F6059">
        <w:rPr>
          <w:rFonts w:ascii="Times New Roman" w:hAnsi="Times New Roman" w:cs="Times New Roman"/>
        </w:rPr>
        <w:t xml:space="preserve"> = 50; see Appendix A for further detail), had a duration below our specified minimum cut-off of 3 minutes (</w:t>
      </w:r>
      <w:r w:rsidRPr="008F6059">
        <w:rPr>
          <w:rFonts w:ascii="Times New Roman" w:hAnsi="Times New Roman" w:cs="Times New Roman"/>
          <w:i/>
          <w:iCs/>
        </w:rPr>
        <w:t>n</w:t>
      </w:r>
      <w:r w:rsidRPr="008F6059">
        <w:rPr>
          <w:rFonts w:ascii="Times New Roman" w:hAnsi="Times New Roman" w:cs="Times New Roman"/>
        </w:rPr>
        <w:t xml:space="preserve"> = 1), and failed over 75% of the attention checks (</w:t>
      </w:r>
      <w:r w:rsidRPr="008F6059">
        <w:rPr>
          <w:rFonts w:ascii="Times New Roman" w:hAnsi="Times New Roman" w:cs="Times New Roman"/>
          <w:i/>
          <w:iCs/>
        </w:rPr>
        <w:t>n</w:t>
      </w:r>
      <w:r w:rsidRPr="008F6059">
        <w:rPr>
          <w:rFonts w:ascii="Times New Roman" w:hAnsi="Times New Roman" w:cs="Times New Roman"/>
        </w:rPr>
        <w:t xml:space="preserve"> = 6), a total sample of 546 volunteers remained in our analytical sample. Ages ranged from 18 to 75 years old (mean </w:t>
      </w:r>
      <w:r>
        <w:rPr>
          <w:rFonts w:ascii="Times New Roman" w:hAnsi="Times New Roman" w:cs="Times New Roman"/>
        </w:rPr>
        <w:t xml:space="preserve">age </w:t>
      </w:r>
      <w:r w:rsidRPr="008F6059">
        <w:rPr>
          <w:rFonts w:ascii="Times New Roman" w:hAnsi="Times New Roman" w:cs="Times New Roman"/>
        </w:rPr>
        <w:t>= 32.95, SD = 14.22), 351 volunteers were female, 190 were male, 3 were non-binary, and 2 did not disclose their gender. The inclusion criterion was consumption of alcohol (at least one occasion per week), and the exclusion criterion was any history of treatment for alcohol use disorder. Data were collected between November 2020 and January 2021. Participants were recruited via social media platforms</w:t>
      </w:r>
      <w:r w:rsidR="00883D0C">
        <w:rPr>
          <w:rFonts w:ascii="Times New Roman" w:hAnsi="Times New Roman" w:cs="Times New Roman"/>
        </w:rPr>
        <w:t xml:space="preserve"> </w:t>
      </w:r>
      <w:r w:rsidR="00883D0C">
        <w:rPr>
          <w:rFonts w:ascii="Times New Roman" w:hAnsi="Times New Roman" w:cs="Times New Roman"/>
        </w:rPr>
        <w:lastRenderedPageBreak/>
        <w:t>(e.g., Facebook and Twitter)</w:t>
      </w:r>
      <w:r w:rsidRPr="008F6059">
        <w:rPr>
          <w:rFonts w:ascii="Times New Roman" w:hAnsi="Times New Roman" w:cs="Times New Roman"/>
        </w:rPr>
        <w:t xml:space="preserve"> and an online research participation system (ORPS) for undergraduate students. There was no financial reimbursement for participation, however undergraduate students who took part through ORPS (</w:t>
      </w:r>
      <w:r w:rsidRPr="00D25A1A">
        <w:rPr>
          <w:rFonts w:ascii="Times New Roman" w:hAnsi="Times New Roman" w:cs="Times New Roman"/>
          <w:i/>
          <w:iCs/>
        </w:rPr>
        <w:t>n</w:t>
      </w:r>
      <w:r w:rsidRPr="008F6059">
        <w:rPr>
          <w:rFonts w:ascii="Times New Roman" w:hAnsi="Times New Roman" w:cs="Times New Roman"/>
        </w:rPr>
        <w:t xml:space="preserve"> = 49) were reimbursed with a course credit. The study was approved by the University of Sheffield research ethics committee, and all volunteers provided informed consent.</w:t>
      </w:r>
    </w:p>
    <w:p w14:paraId="4589C317" w14:textId="510E16FB" w:rsidR="00D25A1A" w:rsidRDefault="00D25A1A" w:rsidP="008F6059">
      <w:pPr>
        <w:pStyle w:val="NoSpacing"/>
        <w:spacing w:line="480" w:lineRule="auto"/>
        <w:rPr>
          <w:rFonts w:ascii="Times New Roman" w:hAnsi="Times New Roman" w:cs="Times New Roman"/>
        </w:rPr>
      </w:pPr>
    </w:p>
    <w:p w14:paraId="24947BEB" w14:textId="53FA272B" w:rsidR="00D25A1A" w:rsidRDefault="00D25A1A" w:rsidP="00D25A1A">
      <w:pPr>
        <w:pStyle w:val="NoSpacing"/>
        <w:spacing w:line="480" w:lineRule="auto"/>
        <w:rPr>
          <w:rFonts w:ascii="Times New Roman" w:hAnsi="Times New Roman" w:cs="Times New Roman"/>
          <w:b/>
          <w:bCs/>
        </w:rPr>
      </w:pPr>
      <w:r w:rsidRPr="00D25A1A">
        <w:rPr>
          <w:rFonts w:ascii="Times New Roman" w:hAnsi="Times New Roman" w:cs="Times New Roman"/>
          <w:b/>
          <w:bCs/>
        </w:rPr>
        <w:t>Materials</w:t>
      </w:r>
    </w:p>
    <w:p w14:paraId="54A5CB07" w14:textId="1BD4B40D" w:rsidR="0089284C"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Alcohol Use Disorders Identification Test</w:t>
      </w:r>
      <w:r w:rsidRPr="00D25A1A">
        <w:rPr>
          <w:rFonts w:ascii="Times New Roman" w:hAnsi="Times New Roman" w:cs="Times New Roman"/>
        </w:rPr>
        <w:t xml:space="preserve"> (AUDIT; </w:t>
      </w:r>
      <w:r w:rsidR="007F2332">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{"citationID":"omezgue4","properties":{"formattedCitation":"(Saunders et al., 1993)","plainCitation":"(Saunders et al., 1993)","dontUpdate":true,"noteIndex":0},"citationItems":[{"id":1097,"uris":["http://zotero.org/users/7873587/items/H8CAYUDE"],"itemData":{"id":1097,"type":"article-journal","abstract":"The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7F2332">
        <w:rPr>
          <w:rFonts w:ascii="Times New Roman" w:hAnsi="Times New Roman" w:cs="Times New Roman"/>
        </w:rPr>
        <w:fldChar w:fldCharType="separate"/>
      </w:r>
      <w:r w:rsidR="00AF2F03">
        <w:rPr>
          <w:rFonts w:ascii="Times New Roman" w:hAnsi="Times New Roman" w:cs="Times New Roman"/>
          <w:noProof/>
        </w:rPr>
        <w:t>Saunders et al., 1993)</w:t>
      </w:r>
      <w:r w:rsidR="007F2332">
        <w:rPr>
          <w:rFonts w:ascii="Times New Roman" w:hAnsi="Times New Roman" w:cs="Times New Roman"/>
        </w:rPr>
        <w:fldChar w:fldCharType="end"/>
      </w:r>
      <w:r w:rsidRPr="00D25A1A">
        <w:rPr>
          <w:rFonts w:ascii="Times New Roman" w:hAnsi="Times New Roman" w:cs="Times New Roman"/>
        </w:rPr>
        <w:t xml:space="preserve">: This 10–item scale was used to detect patterns of alcohol consumption that are harmful or hazardous to health. Total scores range between 0 and 40. The AUDIT had acceptable internal reliability in the current study, McDonald’s ω = .79 </w:t>
      </w:r>
      <w:r w:rsidR="0089284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{"citationID":"FJlsvvgK","properties":{"formattedCitation":"(McDonald, 1970, 1999)","plainCitation":"(McDonald, 1970, 1999)","noteIndex":0},"citationItems":[{"id":347,"uris":["http://zotero.org/users/7873587/items/6CKH7JLG"],"itemData":{"id":347,"type":"article-journal","abstract":"Showed that principle (PFA), canonical (CFA), and alpha (AFA) factor analyses are particular cases of a scale-invariant factoring procedure based on variance ratios of certain weighted combinations of variables. Standard derivations in the literature are shown, in contrast, to have unsatisfactory features. It is suggested that the choice between PFA, CFA, and AFA involves relatively independent choices of features of each, and that in most cases CFA is to be preferred. (26 ref.) (PsycINFO Database Record (c) 2016 APA, all rights reserved)","container-title":"British Journal of Mathematical and Statistical Psychology","DOI":"10.1111/j.2044-8317.1970.tb00432.x","ISSN":"2044-8317","issue":"1","note":"publisher-place: United Kingdom\npublisher: British Psychological Society","page":"1-21","source":"APA PsycNet","title":"The theoretical foundations of principal factor analysis, canonical factor analysis, and alpha factor analysis","volume":"23","author":[{"family":"McDonald","given":"Roderick P."}],"issued":{"date-parts":[["1970"]]}},"label":"page"},{"id":349,"uris":["http://zotero.org/users/7873587/items/TGIPRRCH"],"itemData":{"id":349,"type":"book","abstract":"This book is an outcome of McDonald's experience in teaching a laboratory course on test theory in a university department of psychology. The object of such a course on test theory is to introduce students to the main quantitative concepts, methods, and computational techniques needed for the development, evaluation, and application of tests in the behavioral/social sciences, including educational tests. The implicit unifying principle throughout this book is a general nonlinear common factor model, which includes item response models as special cases, and includes also the (linear) common factor model as an approximation. The account of the field in this text is developed from that unifying perspective, while giving appropriate coverage of the conventional topics. This book is intended primarily for students of psychology, including educational psychology, and any other fields of social science where tests are constructed and used. (PsycINFO Database Record (c) 2016 APA, all rights reserved)","collection-title":"Test theory:  A unified treatment","event-place":"Mahwah, NJ, US","ISBN":"978-0-8058-3075-0","publisher":"Lawrence Erlbaum Associates Publishers","publisher-place":"Mahwah, NJ, US","source":"APA PsycNet","title":"Test theory:  A unified treatment","title-short":"Test theory","author":[{"family":"McDonald","given":"Roderick P."}],"issued":{"date-parts":[["1999"]]}},"label":"page"}],"schema":"https://github.com/citation-style-language/schema/raw/master/csl-citation.json"} </w:instrText>
      </w:r>
      <w:r w:rsidR="0089284C">
        <w:rPr>
          <w:rFonts w:ascii="Times New Roman" w:hAnsi="Times New Roman" w:cs="Times New Roman"/>
        </w:rPr>
        <w:fldChar w:fldCharType="separate"/>
      </w:r>
      <w:r w:rsidR="0089284C">
        <w:rPr>
          <w:rFonts w:ascii="Times New Roman" w:hAnsi="Times New Roman" w:cs="Times New Roman"/>
          <w:noProof/>
        </w:rPr>
        <w:t>(McDonald, 1970, 1999)</w:t>
      </w:r>
      <w:r w:rsidR="0089284C">
        <w:rPr>
          <w:rFonts w:ascii="Times New Roman" w:hAnsi="Times New Roman" w:cs="Times New Roman"/>
        </w:rPr>
        <w:fldChar w:fldCharType="end"/>
      </w:r>
      <w:r w:rsidR="0089284C">
        <w:rPr>
          <w:rFonts w:ascii="Times New Roman" w:hAnsi="Times New Roman" w:cs="Times New Roman"/>
        </w:rPr>
        <w:t>.</w:t>
      </w:r>
    </w:p>
    <w:p w14:paraId="22D04D35" w14:textId="77777777" w:rsidR="00D25A1A" w:rsidRPr="00D25A1A" w:rsidRDefault="00D25A1A" w:rsidP="00D25A1A">
      <w:pPr>
        <w:pStyle w:val="NoSpacing"/>
        <w:spacing w:line="480" w:lineRule="auto"/>
        <w:rPr>
          <w:rFonts w:ascii="Times New Roman" w:hAnsi="Times New Roman" w:cs="Times New Roman"/>
        </w:rPr>
      </w:pPr>
    </w:p>
    <w:p w14:paraId="2C2EABF8" w14:textId="66188E2E"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The Meaning in Life Questionnaire</w:t>
      </w:r>
      <w:r w:rsidRPr="00D25A1A">
        <w:rPr>
          <w:rFonts w:ascii="Times New Roman" w:hAnsi="Times New Roman" w:cs="Times New Roman"/>
        </w:rPr>
        <w:t xml:space="preserve"> (MLQ; </w:t>
      </w:r>
      <w:r w:rsidR="0089284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{"citationID":"VDggan03","properties":{"formattedCitation":"(Steger et al., 2006)","plainCitation":"(Steger et al., 2006)","dontUpdate":true,"noteIndex":0},"citationItems":[{"id":150,"uris":["http://zotero.org/users/7873587/items/YKB4XFFI"],"itemData":{"id":150,"type":"article-journal","abstract":"Counseling psychologists often work with clients to increase their well-being as well as to decrease their distress. One important aspect of well-being, highlighted particularly in humanistic theories of the counseling process, is perceived meaning in life. However, poor measurement has hampered research on meaning in life. In 3 studies, evidence is provided for the internal consistency, temporal stability, factor structure, and validity of the Meaning in Life Questionnaire (MLQ), a new 10-item measure of the presence of, and the search for, meaning in life. A multitrait-multimethod matrix demonstrates the convergent and discriminant validity of the MLQ subscales across time and informants, in comparison with 2 other meaning scales. The MLQ offers several improvements over current meaning in life measures, including no item overlap with distress measures, a stable factor structure, better discriminant validity, a briefer format, and the ability to measure the search for meaning.","container-title":"Journal of Counseling Psychology","DOI":"10.1037/0022-0167.53.1.80","issue":"1","journalAbbreviation":"Journal of Counseling Psychology","page":"80-93","source":"ResearchGate","title":"The meaning in life questionnaire: Assessing the presence of and search for meaning in life","title-short":"The Meaning in Life Questionnaire","volume":"53","author":[{"family":"Steger","given":"Michael F."},{"family":"Frazier","given":"Patricia"},{"family":"Oishi","given":"Shigehiro"},{"family":"Kaler","given":"Matthew"}],"issued":{"date-parts":[["2006",1,1]]}}}],"schema":"https://github.com/citation-style-language/schema/raw/master/csl-citation.json"} </w:instrText>
      </w:r>
      <w:r w:rsidR="0089284C">
        <w:rPr>
          <w:rFonts w:ascii="Times New Roman" w:hAnsi="Times New Roman" w:cs="Times New Roman"/>
        </w:rPr>
        <w:fldChar w:fldCharType="separate"/>
      </w:r>
      <w:r w:rsidR="0089284C">
        <w:rPr>
          <w:rFonts w:ascii="Times New Roman" w:hAnsi="Times New Roman" w:cs="Times New Roman"/>
          <w:noProof/>
        </w:rPr>
        <w:t>Steger et al., 2006)</w:t>
      </w:r>
      <w:r w:rsidR="0089284C">
        <w:rPr>
          <w:rFonts w:ascii="Times New Roman" w:hAnsi="Times New Roman" w:cs="Times New Roman"/>
        </w:rPr>
        <w:fldChar w:fldCharType="end"/>
      </w:r>
      <w:r w:rsidRPr="00D25A1A">
        <w:rPr>
          <w:rFonts w:ascii="Times New Roman" w:hAnsi="Times New Roman" w:cs="Times New Roman"/>
        </w:rPr>
        <w:t xml:space="preserve">: This 10-item scale was used to measure (1) presence (how much meaning people perceive their life to have), and (2) search (how much people are striving to find meaning in their life) for meaning in life. Each construct is evaluated by 5 items and participants responded on a scale ranging from 1 (absolutely untrue) to 7 (absolutely true). Total scores on each subscale range from 5 to 35, with higher scores indicating higher presence of meaning and search for meaning. Both subscales had excellent internal reliability in this study; presence subscale ω = .92, search subscale ω = .91. </w:t>
      </w:r>
    </w:p>
    <w:p w14:paraId="15880809" w14:textId="77777777" w:rsidR="00D25A1A" w:rsidRPr="00D25A1A" w:rsidRDefault="00D25A1A" w:rsidP="00D25A1A">
      <w:pPr>
        <w:pStyle w:val="NoSpacing"/>
        <w:spacing w:line="480" w:lineRule="auto"/>
        <w:rPr>
          <w:rFonts w:ascii="Times New Roman" w:hAnsi="Times New Roman" w:cs="Times New Roman"/>
        </w:rPr>
      </w:pPr>
    </w:p>
    <w:p w14:paraId="1EA90AED" w14:textId="05836B5B"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Personal Health Questionnaire Depression Scale</w:t>
      </w:r>
      <w:r w:rsidRPr="00D25A1A">
        <w:rPr>
          <w:rFonts w:ascii="Times New Roman" w:hAnsi="Times New Roman" w:cs="Times New Roman"/>
        </w:rPr>
        <w:t xml:space="preserve"> (PHQ-8; </w:t>
      </w:r>
      <w:r w:rsidR="0089284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{"citationID":"A3TDVbmK","properties":{"formattedCitation":"(Kroenke et al., 2009)","plainCitation":"(Kroenke et al., 2009)","dontUpdate":true,"noteIndex":0},"citationItems":[{"id":351,"uris":["http://zotero.org/users/7873587/items/EKKGAAX9"],"itemData":{"id":351,"type":"article-journal","abstract":"BACKGROUND: The eight-item Patient Health Questionnaire depression scale (PHQ-8) is established as a valid diagnostic and severity measure for depressive disorders in large clinical studies. Our objectives were to assess the PHQ-8 as a depression measure in a large, epidemiological population-based study, and to determine the comparability of depression as defined by the PHQ-8 diagnostic algorithm vs. a PHQ-8 cutpoint &gt; or = 10.\nMETHODS: Random-digit-dialed telephone survey of 198,678 participants in the 2006 Behavioral Risk Factor Surveillance Survey (BRFSS), a population-based survey in the United States. Current depression as defined by either the DSM-IV based diagnostic algorithm (i.e., major depressive or other depressive disorder) of the PHQ-8 or a PHQ-8 score &gt; or = 10; respondent sociodemographic characteristics; number of days of impairment in the past 30 days in multiple domains of health-related quality of life (HRQoL).\nRESULTS: The prevalence of current depression was similar whether defined by the diagnostic algorithm or a PHQ-8 score &gt; or = 10 (9.1% vs. 8.6%). Depressed patients had substantially more days of impairment across multiple domains of HRQoL, and the impairment was nearly identical in depressed groups defined by either method. Of the 17,040 respondents with a PHQ-8 score &gt; or = 10, major depressive disorder was present in 49.7%, other depressive disorder in 23.9%, depressed mood or anhedonia in another 22.8%, and no evidence of depressive disorder or depressive symptoms in only 3.5%.\nLIMITATIONS: The PHQ-8 diagnostic algorithm rather than an independent structured psychiatric interview was used as the criterion standard.\nCONCLUSIONS: The PHQ-8 is a useful depression measure for population-based studies, and either its diagnostic algorithm or a cutpoint &gt; or = 10 can be used for defining current depression.","container-title":"Journal of Affective Disorders","DOI":"10.1016/j.jad.2008.06.026","ISSN":"1573-2517","issue":"1-3","journalAbbreviation":"J Affect Disord","language":"eng","note":"PMID: 18752852","page":"163-173","source":"PubMed","title":"The PHQ-8 as a measure of current depression in the general population","volume":"114","author":[{"family":"Kroenke","given":"Kurt"},{"family":"Strine","given":"Tara W."},{"family":"Spitzer","given":"Robert L."},{"family":"Williams","given":"Janet B. W."},{"family":"Berry","given":"Joyce T."},{"family":"Mokdad","given":"Ali H."}],"issued":{"date-parts":[["2009",4]]}}}],"schema":"https://github.com/citation-style-language/schema/raw/master/csl-citation.json"} </w:instrText>
      </w:r>
      <w:r w:rsidR="0089284C">
        <w:rPr>
          <w:rFonts w:ascii="Times New Roman" w:hAnsi="Times New Roman" w:cs="Times New Roman"/>
        </w:rPr>
        <w:fldChar w:fldCharType="separate"/>
      </w:r>
      <w:r w:rsidR="00A13173">
        <w:rPr>
          <w:rFonts w:ascii="Times New Roman" w:hAnsi="Times New Roman" w:cs="Times New Roman"/>
          <w:noProof/>
        </w:rPr>
        <w:t>Kroenke et al., 2009)</w:t>
      </w:r>
      <w:r w:rsidR="0089284C">
        <w:rPr>
          <w:rFonts w:ascii="Times New Roman" w:hAnsi="Times New Roman" w:cs="Times New Roman"/>
        </w:rPr>
        <w:fldChar w:fldCharType="end"/>
      </w:r>
      <w:r w:rsidRPr="00D25A1A">
        <w:rPr>
          <w:rFonts w:ascii="Times New Roman" w:hAnsi="Times New Roman" w:cs="Times New Roman"/>
        </w:rPr>
        <w:t xml:space="preserve">: This 8-item scale was used to measure depressive symptoms. Participants rated how often they experienced each item in the past two-weeks on a scale ranging from 0 (not at all) to 3 </w:t>
      </w:r>
      <w:r w:rsidRPr="00D25A1A">
        <w:rPr>
          <w:rFonts w:ascii="Times New Roman" w:hAnsi="Times New Roman" w:cs="Times New Roman"/>
        </w:rPr>
        <w:lastRenderedPageBreak/>
        <w:t>(nearly every day). Total scores range from 0 to 24. The PHQ-8 had good internal reliability in this study, ω = .89.</w:t>
      </w:r>
    </w:p>
    <w:p w14:paraId="5614EEC7" w14:textId="77777777" w:rsidR="00D25A1A" w:rsidRPr="00D25A1A" w:rsidRDefault="00D25A1A" w:rsidP="00D25A1A">
      <w:pPr>
        <w:pStyle w:val="NoSpacing"/>
        <w:spacing w:line="480" w:lineRule="auto"/>
        <w:rPr>
          <w:rFonts w:ascii="Times New Roman" w:hAnsi="Times New Roman" w:cs="Times New Roman"/>
        </w:rPr>
      </w:pPr>
    </w:p>
    <w:p w14:paraId="7C192979" w14:textId="71010C9F"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Activity Level Questionnaire</w:t>
      </w:r>
      <w:r w:rsidRPr="00D25A1A">
        <w:rPr>
          <w:rFonts w:ascii="Times New Roman" w:hAnsi="Times New Roman" w:cs="Times New Roman"/>
        </w:rPr>
        <w:t xml:space="preserve"> (ALQ; based on </w:t>
      </w:r>
      <w:r w:rsidR="00A1317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{"citationID":"UPRq22uI","properties":{"formattedCitation":"(Meshesha et al., 2020)","plainCitation":"(Meshesha et al., 2020)","dontUpdate":true,"noteIndex":0},"citationItems":[{"id":1510,"uris":["http://zotero.org/users/7873587/items/67UH7N3R"],"itemData":{"id":1510,"type":"article-journal","abstract":"Objective\nBehavioral economic research suggests that increasing the salience of a delayed reward may improve capacity for delaying gratification and increase behavior allocated toward obtaining larger, delayed substance-free reward rather than smaller, more immediate reward such as alcohol use. This study aimed to improve the efficacy of outpatient alcohol use disorder (AUD) treatment by adding elements that target behavioral economic mechanisms of change.\nMethod\nForty-one (N = 41) adults in outpatient AUD treatment were recruited and 37 participants were retained at follow-up. Following baseline assessment, participants received either the Substance Free Activity Session (SFAS), a single-session behavioral economic–informed intervention focused on increasing future orientation and engagement in values-based substance-free activities or a health education control intervention. Participants in both conditions received weekly prompts (via text or email) relevant to their respective intervention for four weeks. Participants (68.3% male; 70.7% Caucasian, M age = 38.24, SD = 12.69) reported an average of 3.95 (SD = 4.72) binge drinking episodes (4/5 drinks per occasion for a woman/man) and 5.05 (SD = 5.32) drinks per drinking day 30-days prior to treatment entry.\nResults\nThe study provided initial support for the feasibility and acceptability of implementing the SFAS within a treatment setting. Participants reported high levels of satisfaction with the SFAS (M = 9.08 (SD = 0.94), on a scale of 1–10). At 3-month follow-up, the SFAS was associated with reductions in the proportion of activity participation and enjoyment (reinforcement) related to substance-use relative to substance-free activities and in alcohol demand compared to control.\nConclusion\nThese preliminary results provide initial support for targeting behavioral economic mechanisms of change in an outpatient AUD treatment with a single-session intervention plus remote delivery of booster prompts.","container-title":"Journal of Substance Abuse Treatment","DOI":"10.1016/j.jsat.2020.108002","ISSN":"0740-5472","journalAbbreviation":"Journal of Substance Abuse Treatment","language":"en","page":"108002","source":"ScienceDirect","title":"Pilot trial investigating a brief behavioral economic intervention as an adjunctive treatment for alcohol use disorder","volume":"113","author":[{"family":"Meshesha","given":"Lidia Z."},{"family":"Soltis","given":"Kathryn E."},{"family":"Wise","given":"Edward A."},{"family":"Rohsenow","given":"Damaris J."},{"family":"Witkiewitz","given":"Katie"},{"family":"Murphy","given":"James G."}],"issued":{"date-parts":[["2020",6,1]]}}}],"schema":"https://github.com/citation-style-language/schema/raw/master/csl-citation.json"} </w:instrText>
      </w:r>
      <w:r w:rsidR="00A13173">
        <w:rPr>
          <w:rFonts w:ascii="Times New Roman" w:hAnsi="Times New Roman" w:cs="Times New Roman"/>
        </w:rPr>
        <w:fldChar w:fldCharType="separate"/>
      </w:r>
      <w:r w:rsidR="00A13173">
        <w:rPr>
          <w:rFonts w:ascii="Times New Roman" w:hAnsi="Times New Roman" w:cs="Times New Roman"/>
          <w:noProof/>
        </w:rPr>
        <w:t>Meshesha et al., 2020)</w:t>
      </w:r>
      <w:r w:rsidR="00A13173">
        <w:rPr>
          <w:rFonts w:ascii="Times New Roman" w:hAnsi="Times New Roman" w:cs="Times New Roman"/>
        </w:rPr>
        <w:fldChar w:fldCharType="end"/>
      </w:r>
      <w:r w:rsidRPr="00D25A1A">
        <w:rPr>
          <w:rFonts w:ascii="Times New Roman" w:hAnsi="Times New Roman" w:cs="Times New Roman"/>
        </w:rPr>
        <w:t xml:space="preserve">: This modified 17-item measure was used to assess past-month reinforcement derived from alcohol-free activities only. Past month ratings of frequency of engagement in each activity were made on a scale ranging from 0 (0 times in the past month) to 6 (several times per day) and enjoyment on a scale ranging from 0 (unpleasant or neutral) to 4 (extremely pleasant). Participants were explicitly instructed to only consider activities that did not involve alcohol when responding to the items. We modified this measure by extending the range of response options for frequency, reducing the number of items to reduce participant burden, and updating content to reflect currently common activities (see Appendix B). The frequency and enjoyment ratings were multiplied to obtain cross-product scores (range = 0–24 for each item) which reflected overall activity reinforcement. The cross-product scores were then averaged across all activities to compute a mean alcohol-free reinforcement score for each participant. This approach to measuring and calculating alcohol-free reinforcement is similar to that of previous research </w:t>
      </w:r>
      <w:r w:rsidR="00A1317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{"citationID":"2grh10m7","properties":{"formattedCitation":"(Murphy, Dennhardt, et al., 2012)","plainCitation":"(Murphy, Dennhardt, et al., 2012)","noteIndex":0},"citationItems":[{"id":1507,"uris":["http://zotero.org/users/7873587/items/WTDNLQ6L"],"itemData":{"id":1507,"type":"article-journal","abstract":"OBJECTIVE: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P."}],"issued":{"date-parts":[["2012",10]]}}}],"schema":"https://github.com/citation-style-language/schema/raw/master/csl-citation.json"} </w:instrText>
      </w:r>
      <w:r w:rsidR="00A13173">
        <w:rPr>
          <w:rFonts w:ascii="Times New Roman" w:hAnsi="Times New Roman" w:cs="Times New Roman"/>
        </w:rPr>
        <w:fldChar w:fldCharType="separate"/>
      </w:r>
      <w:r w:rsidR="00A13173">
        <w:rPr>
          <w:rFonts w:ascii="Times New Roman" w:hAnsi="Times New Roman" w:cs="Times New Roman"/>
          <w:noProof/>
        </w:rPr>
        <w:t>(Murphy, Dennhardt, et al., 2012)</w:t>
      </w:r>
      <w:r w:rsidR="00A13173">
        <w:rPr>
          <w:rFonts w:ascii="Times New Roman" w:hAnsi="Times New Roman" w:cs="Times New Roman"/>
        </w:rPr>
        <w:fldChar w:fldCharType="end"/>
      </w:r>
      <w:r w:rsidR="00A13173">
        <w:rPr>
          <w:rFonts w:ascii="Times New Roman" w:hAnsi="Times New Roman" w:cs="Times New Roman"/>
        </w:rPr>
        <w:t>.</w:t>
      </w:r>
      <w:r w:rsidRPr="00D25A1A">
        <w:rPr>
          <w:rFonts w:ascii="Times New Roman" w:hAnsi="Times New Roman" w:cs="Times New Roman"/>
        </w:rPr>
        <w:t xml:space="preserve"> </w:t>
      </w:r>
    </w:p>
    <w:p w14:paraId="6C58F759" w14:textId="77777777" w:rsidR="00D25A1A" w:rsidRPr="00D25A1A" w:rsidRDefault="00D25A1A" w:rsidP="00D25A1A">
      <w:pPr>
        <w:pStyle w:val="NoSpacing"/>
        <w:spacing w:line="480" w:lineRule="auto"/>
        <w:rPr>
          <w:rFonts w:ascii="Times New Roman" w:hAnsi="Times New Roman" w:cs="Times New Roman"/>
        </w:rPr>
      </w:pPr>
    </w:p>
    <w:p w14:paraId="2C15FCDB" w14:textId="32EA9F55"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Drinking Motives Questionnaire - Revised</w:t>
      </w:r>
      <w:r w:rsidRPr="00D25A1A">
        <w:rPr>
          <w:rFonts w:ascii="Times New Roman" w:hAnsi="Times New Roman" w:cs="Times New Roman"/>
        </w:rPr>
        <w:t xml:space="preserve"> (DMQ-R; </w:t>
      </w:r>
      <w:r w:rsidR="0021177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{"citationID":"XEzn4BRC","properties":{"formattedCitation":"(Cooper, 1994)","plainCitation":"(Cooper, 1994)","dontUpdate":true,"noteIndex":0},"citationItems":[{"id":274,"uris":["http://zotero.org/users/7873587/items/U2V4Y7XG"],"itemData":{"id":274,"type":"article-journal","abstract":"A 4-factor measure of drinking motives based on a conceptual model by M. Cox and E. Klinger (see PA, Vol 75:32975; see also 1990) is presented. Using data from a representative household sample of 1,243 Black and White adolescents, confirmatory factor analyses showed that the hypothesized model provided an excellent fit to the data and that the factor pattern was invariant across gender, race, and age. Each drinking motive was related to a distinct pattern of contextual antecedents and drinking-related outcomes, and these relationships did not generally vary across demographic subgroups. Results support both the conceptual validity of Cox and Klinger's model and the utility of this measure for clinical and research purposes across a diverse range of adolescent populations. (PsycINFO Database Record (c) 2016 APA, all rights reserved)","container-title":"Psychological Assessment","DOI":"10.1037/1040-3590.6.2.117","ISSN":"1939-134X","issue":"2","note":"publisher-place: US\npublisher: American Psychological Association","page":"117-128","source":"APA PsycNet","title":"Motivations for alcohol use among adolescents: Development and validation of a four-factor model","title-short":"Motivations for alcohol use among adolescents","volume":"6","author":[{"family":"Cooper","given":"M. Lynne"}],"issued":{"date-parts":[["1994"]]}}}],"schema":"https://github.com/citation-style-language/schema/raw/master/csl-citation.json"} </w:instrText>
      </w:r>
      <w:r w:rsidR="00211775">
        <w:rPr>
          <w:rFonts w:ascii="Times New Roman" w:hAnsi="Times New Roman" w:cs="Times New Roman"/>
        </w:rPr>
        <w:fldChar w:fldCharType="separate"/>
      </w:r>
      <w:r w:rsidR="00211775">
        <w:rPr>
          <w:rFonts w:ascii="Times New Roman" w:hAnsi="Times New Roman" w:cs="Times New Roman"/>
          <w:noProof/>
        </w:rPr>
        <w:t>Cooper, 1994)</w:t>
      </w:r>
      <w:r w:rsidR="00211775">
        <w:rPr>
          <w:rFonts w:ascii="Times New Roman" w:hAnsi="Times New Roman" w:cs="Times New Roman"/>
        </w:rPr>
        <w:fldChar w:fldCharType="end"/>
      </w:r>
      <w:r w:rsidRPr="00D25A1A">
        <w:rPr>
          <w:rFonts w:ascii="Times New Roman" w:hAnsi="Times New Roman" w:cs="Times New Roman"/>
        </w:rPr>
        <w:t>: We administered the 5-item coping subscale to measure participants’ coping motives for alcohol use. Participants responded on a scale ranging from 1 (almost never / never) to 5 (almost always / always). The coping subscale had good internal reliability in this study, ω = .83.</w:t>
      </w:r>
    </w:p>
    <w:p w14:paraId="62922A35" w14:textId="77777777" w:rsidR="00D25A1A" w:rsidRPr="00D25A1A" w:rsidRDefault="00D25A1A" w:rsidP="00D25A1A">
      <w:pPr>
        <w:pStyle w:val="NoSpacing"/>
        <w:spacing w:line="480" w:lineRule="auto"/>
        <w:rPr>
          <w:rFonts w:ascii="Times New Roman" w:hAnsi="Times New Roman" w:cs="Times New Roman"/>
        </w:rPr>
      </w:pPr>
    </w:p>
    <w:p w14:paraId="1C6A2C7E" w14:textId="32C558A0"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Brief Assessment of Alcohol Demand</w:t>
      </w:r>
      <w:r w:rsidRPr="00D25A1A">
        <w:rPr>
          <w:rFonts w:ascii="Times New Roman" w:hAnsi="Times New Roman" w:cs="Times New Roman"/>
        </w:rPr>
        <w:t xml:space="preserve"> (BAAD; </w:t>
      </w:r>
      <w:r w:rsidR="0021177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{"citationID":"iflYO338","properties":{"formattedCitation":"(Owens et al., 2015)","plainCitation":"(Owens et al., 2015)","dontUpdate":true,"noteIndex":0},"citationItems":[{"id":1403,"uris":["http://zotero.org/users/7873587/items/BTEE922L"],"itemData":{"id":1403,"type":"article-journal","abstract":"Because of difficulties with definition and measurement, the role of conscious craving in substance use disorders remains contentious. To address this, behavioral economics is increasingly being used to quantify aspects of an individual’s acute motivation to use a substance. Doing so typically involves the use of a purchase task, in which participants make choices about consuming alcohol or other substances at various prices and multiple indices of alcohol demand are generated. However, purchase tasks can be limited by the time required to administer and score them. In the current study, a brief 3-item measure, designed to capture 3 important indices of demand that are derived from demand curve modeling (intensity, Omax, and breakpoint), was investigated in a group of 84 heavy drinkers. Participants underwent a cue-reactivity paradigm that is established to increase both conscious craving and alcohol demand on traditional purchase tasks. All 3 indices of demand for alcohol measured using the abbreviated measure increased significantly in response to alcohol cues, analogous to what has been observed using a traditional purchase task. Additionally, the correlations between these indices and subjective craving were modest to moderate, as has been found in studies comparing craving to the indices derived from purchase tasks. These findings suggest that this abbreviated measure may be a useful and efficient way to capture important and distinct aspects of motivation for alcohol. If these results are confirmed, this measure may be able to help increase the portability of behavioral economic indices of demand into novel research and clinical contexts. (PsycInfo Database Record (c) 2020 APA, all rights reserved)","container-title":"Psychology of Consciousness: Theory, Research, and Practice","DOI":"10.1037/cns0000056","ISSN":"2326-5531","issue":"2","note":"publisher-place: US\npublisher: Educational Publishing Foundation","page":"144-152","source":"APA PsycNet","title":"Initial development of a brief behavioral economic assessment of alcohol demand","volume":"2","author":[{"family":"Owens","given":"Max M."},{"family":"Murphy","given":"Cara M."},{"family":"MacKillop","given":"James"}],"issued":{"date-parts":[["2015"]]}}}],"schema":"https://github.com/citation-style-language/schema/raw/master/csl-citation.json"} </w:instrText>
      </w:r>
      <w:r w:rsidR="00211775">
        <w:rPr>
          <w:rFonts w:ascii="Times New Roman" w:hAnsi="Times New Roman" w:cs="Times New Roman"/>
        </w:rPr>
        <w:fldChar w:fldCharType="separate"/>
      </w:r>
      <w:r w:rsidR="00211775">
        <w:rPr>
          <w:rFonts w:ascii="Times New Roman" w:hAnsi="Times New Roman" w:cs="Times New Roman"/>
          <w:noProof/>
        </w:rPr>
        <w:t>Owens et al., 2015)</w:t>
      </w:r>
      <w:r w:rsidR="00211775">
        <w:rPr>
          <w:rFonts w:ascii="Times New Roman" w:hAnsi="Times New Roman" w:cs="Times New Roman"/>
        </w:rPr>
        <w:fldChar w:fldCharType="end"/>
      </w:r>
      <w:r w:rsidRPr="00D25A1A">
        <w:rPr>
          <w:rFonts w:ascii="Times New Roman" w:hAnsi="Times New Roman" w:cs="Times New Roman"/>
        </w:rPr>
        <w:t xml:space="preserve">: This 3-item scale was used to measure three indices of alcohol demand. Intensity represents alcohol consumption </w:t>
      </w:r>
      <w:r w:rsidRPr="00D25A1A">
        <w:rPr>
          <w:rFonts w:ascii="Times New Roman" w:hAnsi="Times New Roman" w:cs="Times New Roman"/>
        </w:rPr>
        <w:lastRenderedPageBreak/>
        <w:t xml:space="preserve">independent of price (“If drinks were free, how many would you have?”) with responses ranging from 0 to 10 drinks. </w:t>
      </w:r>
      <w:proofErr w:type="spellStart"/>
      <w:r w:rsidRPr="00D25A1A">
        <w:rPr>
          <w:rFonts w:ascii="Times New Roman" w:hAnsi="Times New Roman" w:cs="Times New Roman"/>
        </w:rPr>
        <w:t>O</w:t>
      </w:r>
      <w:r w:rsidRPr="00211775">
        <w:rPr>
          <w:rFonts w:ascii="Times New Roman" w:hAnsi="Times New Roman" w:cs="Times New Roman"/>
          <w:vertAlign w:val="subscript"/>
        </w:rPr>
        <w:t>max</w:t>
      </w:r>
      <w:proofErr w:type="spellEnd"/>
      <w:r w:rsidRPr="00D25A1A">
        <w:rPr>
          <w:rFonts w:ascii="Times New Roman" w:hAnsi="Times New Roman" w:cs="Times New Roman"/>
        </w:rPr>
        <w:t xml:space="preserve"> represents the maximum expenditure a person is willing to spend on alcohol (“What is the maximum total amount you would spend on drinking during that drinking occasion?”) with responses ranging from £0 to £30. Breakpoint represents the first price that suppresses consumption to zero (“What is the maximum you would pay for a single drink?”) with responses ranging from £0 to £15. </w:t>
      </w:r>
    </w:p>
    <w:p w14:paraId="30398D34" w14:textId="77777777" w:rsidR="00D25A1A" w:rsidRPr="00D25A1A" w:rsidRDefault="00D25A1A" w:rsidP="00D25A1A">
      <w:pPr>
        <w:pStyle w:val="NoSpacing"/>
        <w:spacing w:line="480" w:lineRule="auto"/>
        <w:rPr>
          <w:rFonts w:ascii="Times New Roman" w:hAnsi="Times New Roman" w:cs="Times New Roman"/>
        </w:rPr>
      </w:pPr>
    </w:p>
    <w:p w14:paraId="2AEADCE8" w14:textId="77777777"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i/>
          <w:iCs/>
        </w:rPr>
        <w:t>Demographic questions</w:t>
      </w:r>
      <w:r w:rsidRPr="00D25A1A">
        <w:rPr>
          <w:rFonts w:ascii="Times New Roman" w:hAnsi="Times New Roman" w:cs="Times New Roman"/>
        </w:rPr>
        <w:t>: Participants answered questions about their age (continuous), gender (male / female / non-binary / prefer not to say), ethnic group (multiple options), and highest educational attainment (multiple options).</w:t>
      </w:r>
    </w:p>
    <w:p w14:paraId="30101342" w14:textId="77777777" w:rsidR="00D25A1A" w:rsidRPr="00D25A1A" w:rsidRDefault="00D25A1A" w:rsidP="00D25A1A">
      <w:pPr>
        <w:pStyle w:val="NoSpacing"/>
        <w:spacing w:line="480" w:lineRule="auto"/>
        <w:rPr>
          <w:rFonts w:ascii="Times New Roman" w:hAnsi="Times New Roman" w:cs="Times New Roman"/>
        </w:rPr>
      </w:pPr>
    </w:p>
    <w:p w14:paraId="466E26E7" w14:textId="2628EF57" w:rsidR="00D25A1A" w:rsidRPr="00D25A1A" w:rsidRDefault="00D25A1A" w:rsidP="00D25A1A">
      <w:pPr>
        <w:pStyle w:val="NoSpacing"/>
        <w:spacing w:line="480" w:lineRule="auto"/>
        <w:rPr>
          <w:rFonts w:ascii="Times New Roman" w:hAnsi="Times New Roman" w:cs="Times New Roman"/>
          <w:b/>
          <w:bCs/>
        </w:rPr>
      </w:pPr>
      <w:r w:rsidRPr="00D25A1A">
        <w:rPr>
          <w:rFonts w:ascii="Times New Roman" w:hAnsi="Times New Roman" w:cs="Times New Roman"/>
          <w:b/>
          <w:bCs/>
        </w:rPr>
        <w:t xml:space="preserve">Data preparation </w:t>
      </w:r>
      <w:r>
        <w:rPr>
          <w:rFonts w:ascii="Times New Roman" w:hAnsi="Times New Roman" w:cs="Times New Roman"/>
          <w:b/>
          <w:bCs/>
        </w:rPr>
        <w:t>and analysis</w:t>
      </w:r>
    </w:p>
    <w:p w14:paraId="0AD73607" w14:textId="1F34AA3F"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rPr>
        <w:t xml:space="preserve">We pre-registered that if the BAAD indices were significantly intercorrelated they would be combined into a proxy of alcohol value in line with previous research </w:t>
      </w:r>
      <w:r w:rsidR="0021177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{"citationID":"lia9bntS","properties":{"formattedCitation":"(Copeland et al., 2020)","plainCitation":"(Copeland et al.,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211775">
        <w:rPr>
          <w:rFonts w:ascii="Times New Roman" w:hAnsi="Times New Roman" w:cs="Times New Roman"/>
        </w:rPr>
        <w:fldChar w:fldCharType="separate"/>
      </w:r>
      <w:r w:rsidR="00211775">
        <w:rPr>
          <w:rFonts w:ascii="Times New Roman" w:hAnsi="Times New Roman" w:cs="Times New Roman"/>
          <w:noProof/>
        </w:rPr>
        <w:t>(Copeland et al., 2020)</w:t>
      </w:r>
      <w:r w:rsidR="00211775">
        <w:rPr>
          <w:rFonts w:ascii="Times New Roman" w:hAnsi="Times New Roman" w:cs="Times New Roman"/>
        </w:rPr>
        <w:fldChar w:fldCharType="end"/>
      </w:r>
      <w:r w:rsidRPr="00D25A1A">
        <w:rPr>
          <w:rFonts w:ascii="Times New Roman" w:hAnsi="Times New Roman" w:cs="Times New Roman"/>
        </w:rPr>
        <w:t xml:space="preserve">, however this was not the case (breakpoint and intensity, </w:t>
      </w:r>
      <w:r w:rsidRPr="00D25A1A">
        <w:rPr>
          <w:rFonts w:ascii="Times New Roman" w:hAnsi="Times New Roman" w:cs="Times New Roman"/>
          <w:i/>
          <w:iCs/>
        </w:rPr>
        <w:t>r</w:t>
      </w:r>
      <w:r w:rsidRPr="00D25A1A">
        <w:rPr>
          <w:rFonts w:ascii="Times New Roman" w:hAnsi="Times New Roman" w:cs="Times New Roman"/>
        </w:rPr>
        <w:t xml:space="preserve">(544) = -.02, </w:t>
      </w:r>
      <w:r w:rsidRPr="00D25A1A">
        <w:rPr>
          <w:rFonts w:ascii="Times New Roman" w:hAnsi="Times New Roman" w:cs="Times New Roman"/>
          <w:i/>
          <w:iCs/>
        </w:rPr>
        <w:t xml:space="preserve">p </w:t>
      </w:r>
      <w:r w:rsidRPr="00D25A1A">
        <w:rPr>
          <w:rFonts w:ascii="Times New Roman" w:hAnsi="Times New Roman" w:cs="Times New Roman"/>
        </w:rPr>
        <w:t xml:space="preserve">= .58; intensity and </w:t>
      </w:r>
      <w:proofErr w:type="spellStart"/>
      <w:r w:rsidRPr="00D25A1A">
        <w:rPr>
          <w:rFonts w:ascii="Times New Roman" w:hAnsi="Times New Roman" w:cs="Times New Roman"/>
        </w:rPr>
        <w:t>O</w:t>
      </w:r>
      <w:r w:rsidRPr="00D25A1A">
        <w:rPr>
          <w:rFonts w:ascii="Times New Roman" w:hAnsi="Times New Roman" w:cs="Times New Roman"/>
          <w:vertAlign w:val="subscript"/>
        </w:rPr>
        <w:t>max</w:t>
      </w:r>
      <w:proofErr w:type="spellEnd"/>
      <w:r w:rsidRPr="00D25A1A">
        <w:rPr>
          <w:rFonts w:ascii="Times New Roman" w:hAnsi="Times New Roman" w:cs="Times New Roman"/>
        </w:rPr>
        <w:t xml:space="preserve">, </w:t>
      </w:r>
      <w:r w:rsidRPr="00D25A1A">
        <w:rPr>
          <w:rFonts w:ascii="Times New Roman" w:hAnsi="Times New Roman" w:cs="Times New Roman"/>
          <w:i/>
          <w:iCs/>
        </w:rPr>
        <w:t>r</w:t>
      </w:r>
      <w:r w:rsidRPr="00D25A1A">
        <w:rPr>
          <w:rFonts w:ascii="Times New Roman" w:hAnsi="Times New Roman" w:cs="Times New Roman"/>
        </w:rPr>
        <w:t xml:space="preserve">(544) = .48, </w:t>
      </w:r>
      <w:r w:rsidRPr="00D25A1A">
        <w:rPr>
          <w:rFonts w:ascii="Times New Roman" w:hAnsi="Times New Roman" w:cs="Times New Roman"/>
          <w:i/>
          <w:iCs/>
        </w:rPr>
        <w:t>p</w:t>
      </w:r>
      <w:r w:rsidRPr="00D25A1A">
        <w:rPr>
          <w:rFonts w:ascii="Times New Roman" w:hAnsi="Times New Roman" w:cs="Times New Roman"/>
        </w:rPr>
        <w:t xml:space="preserve"> &lt; .001; </w:t>
      </w:r>
      <w:proofErr w:type="spellStart"/>
      <w:r w:rsidRPr="00D25A1A">
        <w:rPr>
          <w:rFonts w:ascii="Times New Roman" w:hAnsi="Times New Roman" w:cs="Times New Roman"/>
        </w:rPr>
        <w:t>O</w:t>
      </w:r>
      <w:r w:rsidRPr="007F2332">
        <w:rPr>
          <w:rFonts w:ascii="Times New Roman" w:hAnsi="Times New Roman" w:cs="Times New Roman"/>
          <w:vertAlign w:val="subscript"/>
        </w:rPr>
        <w:t>max</w:t>
      </w:r>
      <w:proofErr w:type="spellEnd"/>
      <w:r w:rsidRPr="00D25A1A">
        <w:rPr>
          <w:rFonts w:ascii="Times New Roman" w:hAnsi="Times New Roman" w:cs="Times New Roman"/>
        </w:rPr>
        <w:t xml:space="preserve"> and breakpoint, </w:t>
      </w:r>
      <w:r w:rsidRPr="00D25A1A">
        <w:rPr>
          <w:rFonts w:ascii="Times New Roman" w:hAnsi="Times New Roman" w:cs="Times New Roman"/>
          <w:i/>
          <w:iCs/>
        </w:rPr>
        <w:t>r</w:t>
      </w:r>
      <w:r w:rsidRPr="00D25A1A">
        <w:rPr>
          <w:rFonts w:ascii="Times New Roman" w:hAnsi="Times New Roman" w:cs="Times New Roman"/>
        </w:rPr>
        <w:t xml:space="preserve">(544) = .40, </w:t>
      </w:r>
      <w:r w:rsidRPr="00D25A1A">
        <w:rPr>
          <w:rFonts w:ascii="Times New Roman" w:hAnsi="Times New Roman" w:cs="Times New Roman"/>
          <w:i/>
          <w:iCs/>
        </w:rPr>
        <w:t xml:space="preserve">p </w:t>
      </w:r>
      <w:r w:rsidRPr="00D25A1A">
        <w:rPr>
          <w:rFonts w:ascii="Times New Roman" w:hAnsi="Times New Roman" w:cs="Times New Roman"/>
        </w:rPr>
        <w:t xml:space="preserve">&lt; .001). Similar to other research </w:t>
      </w:r>
      <w:r w:rsidR="00CB349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{"citationID":"u7gfpOwN","properties":{"formattedCitation":"(Hardy et al., 2021; Rose et al., 2018)","plainCitation":"(Hardy et al., 2021; Rose et al., 2018)","noteIndex":0},"citationItems":[{"id":1644,"uris":["http://zotero.org/users/7873587/items/RY8WPZP6"],"itemData":{"id":1644,"type":"article-journal","abstract":"Value based choice and compulsion theories of addiction offer distinct explanations for the persistence of alcohol use despite harms. Choice theory argues that problematic drinkers ascribe such high value to alcohol that costs are outweighed, whereas compulsion theory argues that problematic drinkers discount costs in decision making. The current study evaluated these predictions by testing whether alcohol use disorder (AUD) symptom severity (indexed by the AUDIT) was more strongly associated with the intensity item (maximum alcohol consumption if free, indexing alcohol value) compared to the breakpoint item (maximum expenditure on a single drink, indexing sensitivity to monetary costs) of the Brief Assessment of Alcohol Demand (BAAD) questionnaire, in student (n = 579) and community (n = 120) drinkers. The community sample showed greater AUD than the student sample (p = .004). In both samples, AUD severity correlated with intensity (students, r = 0.63; community, r = 0.47), but not with breakpoint (students, r = −0.01; community, r = 0.12). Similarly, multiple regression analyses indicated that AUD severity was independently associated with intensity (student, ΔR2 = 0.20, p &lt; .001; community, ΔR2 = 0.09, p = .001) but not breakpoint (student, ΔR2 = 0.003, p = .118; community ΔR2 = 0.01, p = .294). There was no difference between samples in the strength of these associations. The value ascribed to alcohol may play a more important role in AUD severity than discounting of alcohol-associated costs (compulsivity), and there is no apparent difference between student and community drinkers in the contribution of these two mechanisms.","container-title":"Addictive Behaviors","DOI":"10.1016/j.addbeh.2020.106724","ISSN":"0306-4603","journalAbbreviation":"Addictive Behaviors","language":"en","page":"106724","source":"ScienceDirect","title":"Associations between the Brief Assessment of Alcohol Demand (BAAD) questionnaire and alcohol use disorder severity in UK samples of student and community drinkers","volume":"113","author":[{"family":"Hardy","given":"Lorna"},{"family":"Bakou","given":"Alexandra E."},{"family":"Shuai","given":"Ruichong"},{"family":"Acuff","given":"Samuel F."},{"family":"MacKillop","given":"James"},{"family":"Murphy","given":"Cara M."},{"family":"Murphy","given":"James G."},{"family":"Hogarth","given":"Lee"}],"issued":{"date-parts":[["2021",2,1]]}},"label":"page"},{"id":1352,"uris":["http://zotero.org/users/7873587/items/C77DAMBX"],"itemData":{"id":1352,"type":"article-journal","abstract":"RATIONALE: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label":"page"}],"schema":"https://github.com/citation-style-language/schema/raw/master/csl-citation.json"} </w:instrText>
      </w:r>
      <w:r w:rsidR="00CB349F">
        <w:rPr>
          <w:rFonts w:ascii="Times New Roman" w:hAnsi="Times New Roman" w:cs="Times New Roman"/>
        </w:rPr>
        <w:fldChar w:fldCharType="separate"/>
      </w:r>
      <w:r w:rsidR="00CB349F">
        <w:rPr>
          <w:rFonts w:ascii="Times New Roman" w:hAnsi="Times New Roman" w:cs="Times New Roman"/>
          <w:noProof/>
        </w:rPr>
        <w:t>(Hardy et al., 2021; Rose et al., 2018)</w:t>
      </w:r>
      <w:r w:rsidR="00CB349F">
        <w:rPr>
          <w:rFonts w:ascii="Times New Roman" w:hAnsi="Times New Roman" w:cs="Times New Roman"/>
        </w:rPr>
        <w:fldChar w:fldCharType="end"/>
      </w:r>
      <w:r w:rsidRPr="00D25A1A">
        <w:rPr>
          <w:rFonts w:ascii="Times New Roman" w:hAnsi="Times New Roman" w:cs="Times New Roman"/>
        </w:rPr>
        <w:t xml:space="preserve">, we used intensity to represent alcohol value which is a reliable index of demand </w:t>
      </w:r>
      <w:r w:rsidR="00CB349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{"citationID":"Semdyx2t","properties":{"formattedCitation":"(Acuff &amp; Murphy, 2017)","plainCitation":"(Acuff &amp; Murphy, 2017)","noteIndex":0},"citationItems":[{"id":681,"uris":["http://zotero.org/users/7873587/items/IRC8TBB3"],"itemData":{"id":681,"type":"article-journal","abstract":"Demand, or the amount of a substance consumed as a function of price, is a central dependent measure in behavioral economic research and represents the relative valuation of a substance. Although demand is often utilized as an index of substance use severity and is assumed to be relatively stable, recent experimental and clinical research has identified conditions in which demand can be manipulated, such as through craving and stress inductions, and treatment. Our study examines the 1-month reliability of the alcohol purchase task in a sample of heavy drinking college students. We also analyzed reliability in subgroup of individuals whose consumption decreased, increased, or stayed the same over the 1-month period, and in individuals with moderate/severe Alcohol Use Disorder (AUD) vs. those with no/mild AUD. Reliability was moderate in the full sample, high in the group with stable consumption, and did not differ appreciably between AUD groups. Observed indices and indices derived from an exponentiated equation (Koffarnus et al., 2015) were generally comparable, although Pmax observed had very low reliability. Area under the curve, Omax derived, and essential value showed the greatest reliability in the full sample (rs=0.75-0.77). These results provide evidence for the relative stability over time of demand and across AUD groups, particularly in those whose consumption remains stable.","container-title":"Behavioural Processes","DOI":"10.1016/j.beproc.2017.03.020","ISSN":"1872-8308","issue":"1","journalAbbreviation":"Behav Processes","language":"eng","note":"PMID: 28373056\nPMCID: PMC5524147","page":"33-41","source":"PubMed","title":"Further examination of the temporal stability of alcohol demand","volume":"141","author":[{"family":"Acuff","given":"Samuel F."},{"family":"Murphy","given":"James G."}],"issued":{"date-parts":[["2017",8]]}}}],"schema":"https://github.com/citation-style-language/schema/raw/master/csl-citation.json"} </w:instrText>
      </w:r>
      <w:r w:rsidR="00CB349F">
        <w:rPr>
          <w:rFonts w:ascii="Times New Roman" w:hAnsi="Times New Roman" w:cs="Times New Roman"/>
        </w:rPr>
        <w:fldChar w:fldCharType="separate"/>
      </w:r>
      <w:r w:rsidR="00CB349F">
        <w:rPr>
          <w:rFonts w:ascii="Times New Roman" w:hAnsi="Times New Roman" w:cs="Times New Roman"/>
          <w:noProof/>
        </w:rPr>
        <w:t>(Acuff &amp; Murphy, 2017)</w:t>
      </w:r>
      <w:r w:rsidR="00CB349F">
        <w:rPr>
          <w:rFonts w:ascii="Times New Roman" w:hAnsi="Times New Roman" w:cs="Times New Roman"/>
        </w:rPr>
        <w:fldChar w:fldCharType="end"/>
      </w:r>
      <w:r w:rsidRPr="00D25A1A">
        <w:rPr>
          <w:rFonts w:ascii="Times New Roman" w:hAnsi="Times New Roman" w:cs="Times New Roman"/>
        </w:rPr>
        <w:t xml:space="preserve">. See Appendix A for analyses repeated with </w:t>
      </w:r>
      <w:proofErr w:type="spellStart"/>
      <w:r w:rsidRPr="00D25A1A">
        <w:rPr>
          <w:rFonts w:ascii="Times New Roman" w:hAnsi="Times New Roman" w:cs="Times New Roman"/>
        </w:rPr>
        <w:t>O</w:t>
      </w:r>
      <w:r w:rsidRPr="00D25A1A">
        <w:rPr>
          <w:rFonts w:ascii="Times New Roman" w:hAnsi="Times New Roman" w:cs="Times New Roman"/>
          <w:vertAlign w:val="subscript"/>
        </w:rPr>
        <w:t>max</w:t>
      </w:r>
      <w:proofErr w:type="spellEnd"/>
      <w:r w:rsidRPr="00D25A1A">
        <w:rPr>
          <w:rFonts w:ascii="Times New Roman" w:hAnsi="Times New Roman" w:cs="Times New Roman"/>
        </w:rPr>
        <w:t xml:space="preserve"> and breakpoint. </w:t>
      </w:r>
    </w:p>
    <w:p w14:paraId="4567634B" w14:textId="77777777" w:rsidR="00D25A1A" w:rsidRDefault="00D25A1A" w:rsidP="00D25A1A">
      <w:pPr>
        <w:pStyle w:val="NoSpacing"/>
        <w:spacing w:line="480" w:lineRule="auto"/>
        <w:rPr>
          <w:rFonts w:ascii="Times New Roman" w:hAnsi="Times New Roman" w:cs="Times New Roman"/>
        </w:rPr>
      </w:pPr>
    </w:p>
    <w:p w14:paraId="1D2D5DE3" w14:textId="6964B9A6"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rPr>
        <w:t xml:space="preserve">Hierarchical regression was used to investigate whether the associations between meaning in life subscales and AUDIT scores from </w:t>
      </w:r>
      <w:r w:rsidR="0093453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{"citationID":"TLzfIQji","properties":{"formattedCitation":"(Copeland et al., 2020)","plainCitation":"(Copeland et al., 2020)","dontUpdate":true,"noteIndex":0},"citationItems":[{"id":1273,"uris":["http://zotero.org/users/7873587/items/R5Q63SAR"],"itemData":{"id":1273,"type":"article-journal","abstract":"Introduction\nThe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934535">
        <w:rPr>
          <w:rFonts w:ascii="Times New Roman" w:hAnsi="Times New Roman" w:cs="Times New Roman"/>
        </w:rPr>
        <w:fldChar w:fldCharType="separate"/>
      </w:r>
      <w:r w:rsidR="00934535">
        <w:rPr>
          <w:rFonts w:ascii="Times New Roman" w:hAnsi="Times New Roman" w:cs="Times New Roman"/>
          <w:noProof/>
        </w:rPr>
        <w:t>Copeland et al. (2020)</w:t>
      </w:r>
      <w:r w:rsidR="00934535">
        <w:rPr>
          <w:rFonts w:ascii="Times New Roman" w:hAnsi="Times New Roman" w:cs="Times New Roman"/>
        </w:rPr>
        <w:fldChar w:fldCharType="end"/>
      </w:r>
      <w:r w:rsidRPr="00D25A1A">
        <w:rPr>
          <w:rFonts w:ascii="Times New Roman" w:hAnsi="Times New Roman" w:cs="Times New Roman"/>
        </w:rPr>
        <w:t xml:space="preserve"> could be replicated. We expanded by including alcohol-free reinforcement as an additional step in the model to explore whether this can predict additional variance in AUDIT scores. Age and gender were adjusted for because they are associated with alcohol use </w:t>
      </w:r>
      <w:r w:rsidR="009D0A1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{"citationID":"acKVRCU7","properties":{"formattedCitation":"(Chaiyasong et al., 2018)","plainCitation":"(Chaiyasong et al., 2018)","noteIndex":0},"citationItems":[{"id":369,"uris":["http://zotero.org/users/7873587/items/KR99SKWT"],"itemData":{"id":369,"type":"article-journal","abstract":"INTRODUCTION AND AIMS: Gender and age patterns of drinking are important in guiding country responses to harmful use of alcohol. This study undertook cross-country analysis of drinking across gender, age groups in some high-and middle-income countries.\nDESIGN AND METHODS: Surveys of drinkers were conducted in Australia, England, Scotland, New Zealand, St Kitts and Nevis (high-income), Thailand, South Africa, Mongolia and Vietnam (middle-income) as part of the International Alcohol Control Study. Drinking pattern measures were high-frequency, heavier-typical quantity and higher-risk drinking. Differences in the drinking patterns across age and gender groups were calculated. Logistic regression models were applied including a measure of country-level income.\nRESULTS: Percentages of high-frequency, heavier-typical quantity and higher-risk drinking were greater among men than in women in all countries. Older age was associated with drinking more frequently but smaller typical quantities especially in high-income countries. Middle-income countries overall showed less frequent but heavier typical quantities; however, the lower frequencies meant the percentages of higher risk drinkers were lower overall compared with high-income countries (with the exception of South Africa).\nDISCUSSION AND CONCLUSIONS: High-frequency drinking was greater in high-income countries, particularly in older age groups. Middle-income countries overall showed less frequent drinking but heavier typical quantities. As alcohol use becomes more normalised as a result of the expansion of commercial alcohol it is likely frequency of drinking will increase with a likelihood of greater numbers drinking at higher risk levels.","container-title":"Drug and Alcohol Review","DOI":"10.1111/dar.12820","ISSN":"1465-3362","journalAbbreviation":"Drug Alcohol Rev","language":"eng","note":"PMID: 29900623\nPMCID: PMC6120521","page":"S53-S62","source":"PubMed","title":"Drinking patterns vary by gender, age and country-level income: Cross-country analysis of the International Alcohol Control Study","title-short":"Drinking patterns vary by gender, age and country-level income","volume":"37 Suppl 2","author":[{"family":"Chaiyasong","given":"Surasak"},{"family":"Huckle","given":"Taisia"},{"family":"Mackintosh","given":"Anne-Marie"},{"family":"Meier","given":"Petra"},{"family":"Parry","given":"Charles D. H."},{"family":"Callinan","given":"Sarah"},{"family":"Viet Cuong","given":"Pham"},{"family":"Kazantseva","given":"Elena"},{"family":"Gray-Phillip","given":"Gaile"},{"family":"Parker","given":"Karl"},{"family":"Casswell","given":"Sally"}],"issued":{"date-parts":[["2018",8]]}}}],"schema":"https://github.com/citation-style-language/schema/raw/master/csl-citation.json"} </w:instrText>
      </w:r>
      <w:r w:rsidR="009D0A11">
        <w:rPr>
          <w:rFonts w:ascii="Times New Roman" w:hAnsi="Times New Roman" w:cs="Times New Roman"/>
        </w:rPr>
        <w:fldChar w:fldCharType="separate"/>
      </w:r>
      <w:r w:rsidR="009A7B6C">
        <w:rPr>
          <w:rFonts w:ascii="Times New Roman" w:hAnsi="Times New Roman" w:cs="Times New Roman"/>
          <w:noProof/>
        </w:rPr>
        <w:t>(Chaiyasong et al., 2018)</w:t>
      </w:r>
      <w:r w:rsidR="009D0A11">
        <w:rPr>
          <w:rFonts w:ascii="Times New Roman" w:hAnsi="Times New Roman" w:cs="Times New Roman"/>
        </w:rPr>
        <w:fldChar w:fldCharType="end"/>
      </w:r>
      <w:r w:rsidRPr="00D25A1A">
        <w:rPr>
          <w:rFonts w:ascii="Times New Roman" w:hAnsi="Times New Roman" w:cs="Times New Roman"/>
        </w:rPr>
        <w:t xml:space="preserve">. Gender </w:t>
      </w:r>
      <w:r w:rsidRPr="00D25A1A">
        <w:rPr>
          <w:rFonts w:ascii="Times New Roman" w:hAnsi="Times New Roman" w:cs="Times New Roman"/>
        </w:rPr>
        <w:lastRenderedPageBreak/>
        <w:t xml:space="preserve">was entered into the model as a dichotomous variable (comprising male and female) as only a small subset of the sample identified as non-binary or preferred not to say (0.9%; </w:t>
      </w:r>
      <w:r w:rsidRPr="007F2332">
        <w:rPr>
          <w:rFonts w:ascii="Times New Roman" w:hAnsi="Times New Roman" w:cs="Times New Roman"/>
          <w:i/>
          <w:iCs/>
        </w:rPr>
        <w:t>n</w:t>
      </w:r>
      <w:r w:rsidRPr="00D25A1A">
        <w:rPr>
          <w:rFonts w:ascii="Times New Roman" w:hAnsi="Times New Roman" w:cs="Times New Roman"/>
        </w:rPr>
        <w:t xml:space="preserve"> = 5). Therefore, the minority of participants who identified as non-binary or preferred not to say were excluded from this analysis. </w:t>
      </w:r>
    </w:p>
    <w:p w14:paraId="70778476" w14:textId="77777777" w:rsidR="00D25A1A" w:rsidRPr="00D25A1A" w:rsidRDefault="00D25A1A" w:rsidP="00D25A1A">
      <w:pPr>
        <w:pStyle w:val="NoSpacing"/>
        <w:spacing w:line="480" w:lineRule="auto"/>
        <w:rPr>
          <w:rFonts w:ascii="Times New Roman" w:hAnsi="Times New Roman" w:cs="Times New Roman"/>
        </w:rPr>
      </w:pPr>
    </w:p>
    <w:p w14:paraId="34218925" w14:textId="77777777" w:rsidR="00D25A1A" w:rsidRPr="00D25A1A"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rPr>
        <w:t xml:space="preserve">SEM was used to explore direct and indirect relationships between meaning in life subscales and alcohol value, alcohol-free reinforcement, depressive symptoms, drinking to cope, and AUDIT scores. Maximum likelihood estimation was used to test the hypothesised model. </w:t>
      </w:r>
    </w:p>
    <w:p w14:paraId="0FDFE9AC" w14:textId="1D3F215F" w:rsidR="007F2332" w:rsidRDefault="00D25A1A" w:rsidP="00D25A1A">
      <w:pPr>
        <w:pStyle w:val="NoSpacing"/>
        <w:spacing w:line="480" w:lineRule="auto"/>
        <w:rPr>
          <w:rFonts w:ascii="Times New Roman" w:hAnsi="Times New Roman" w:cs="Times New Roman"/>
        </w:rPr>
      </w:pPr>
      <w:r w:rsidRPr="00D25A1A">
        <w:rPr>
          <w:rFonts w:ascii="Times New Roman" w:hAnsi="Times New Roman" w:cs="Times New Roman"/>
        </w:rPr>
        <w:t>Multiple indices of model fit were calculated. A normed chi-square value was calculated (Χ</w:t>
      </w:r>
      <w:r w:rsidRPr="007F2332">
        <w:rPr>
          <w:rFonts w:ascii="Times New Roman" w:hAnsi="Times New Roman" w:cs="Times New Roman"/>
          <w:vertAlign w:val="superscript"/>
        </w:rPr>
        <w:t>2</w:t>
      </w:r>
      <w:r w:rsidRPr="00D25A1A">
        <w:rPr>
          <w:rFonts w:ascii="Times New Roman" w:hAnsi="Times New Roman" w:cs="Times New Roman"/>
        </w:rPr>
        <w:t>/</w:t>
      </w:r>
      <w:proofErr w:type="spellStart"/>
      <w:r w:rsidRPr="007F2332">
        <w:rPr>
          <w:rFonts w:ascii="Times New Roman" w:hAnsi="Times New Roman" w:cs="Times New Roman"/>
          <w:i/>
          <w:iCs/>
        </w:rPr>
        <w:t>df</w:t>
      </w:r>
      <w:proofErr w:type="spellEnd"/>
      <w:r w:rsidRPr="00D25A1A">
        <w:rPr>
          <w:rFonts w:ascii="Times New Roman" w:hAnsi="Times New Roman" w:cs="Times New Roman"/>
        </w:rPr>
        <w:t xml:space="preserve">) because in larger sample sizes the standard chi-square test is highly sensitive </w:t>
      </w:r>
      <w:r w:rsidR="009A7B6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{"citationID":"qvUwCS9x","properties":{"formattedCitation":"(Kenny, 2020; Kline, 1998)","plainCitation":"(Kenny, 2020; Kline, 1998)","noteIndex":0},"citationItems":[{"id":374,"uris":["http://zotero.org/users/7873587/items/NWRJ3TPV"],"itemData":{"id":374,"type":"webpage","title":"Measuring model fit","URL":"http://www.davidakenny.net/cm/fit.htm","author":[{"family":"Kenny","given":"D. A"}],"accessed":{"date-parts":[["2021",9,8]]},"issued":{"date-parts":[["2020"]]}},"label":"page"},{"id":278,"uris":["http://zotero.org/users/7873587/items/66MHZV23"],"itemData":{"id":278,"type":"book","abstract":"Designed for students and researchers without an extensive quantitative background, this book offers an informative guide to the application, interpretation, and pitfalls of structural equation modeling (SEM) in the social sciences. This is an accessible volume which covers introductory techniques, including path analysis and confirmatory factor analysis, and provides an overview of more advanced methods, such as the evaluation of nonlinear effects, the analysis of means in covariance structure models, and latent growth methods for longitudinal data. (PsycINFO Database Record (c) 2016 APA, all rights reserved)","collection-title":"Principles and practice of structural equation modeling","event-place":"New York, NY, US","ISBN":"978-1-57230-336-2","publisher":"Guilford Press","publisher-place":"New York, NY, US","source":"APA PsycNet","title":"Principles and practice of structural equation modeling","author":[{"family":"Kline","given":"Rex B."}],"issued":{"date-parts":[["1998"]]}},"label":"page"}],"schema":"https://github.com/citation-style-language/schema/raw/master/csl-citation.json"} </w:instrText>
      </w:r>
      <w:r w:rsidR="009A7B6C">
        <w:rPr>
          <w:rFonts w:ascii="Times New Roman" w:hAnsi="Times New Roman" w:cs="Times New Roman"/>
        </w:rPr>
        <w:fldChar w:fldCharType="separate"/>
      </w:r>
      <w:r w:rsidR="009A7B6C">
        <w:rPr>
          <w:rFonts w:ascii="Times New Roman" w:hAnsi="Times New Roman" w:cs="Times New Roman"/>
          <w:noProof/>
        </w:rPr>
        <w:t>(Kenny, 2020; Kline, 1998)</w:t>
      </w:r>
      <w:r w:rsidR="009A7B6C">
        <w:rPr>
          <w:rFonts w:ascii="Times New Roman" w:hAnsi="Times New Roman" w:cs="Times New Roman"/>
        </w:rPr>
        <w:fldChar w:fldCharType="end"/>
      </w:r>
      <w:r w:rsidRPr="00D25A1A">
        <w:rPr>
          <w:rFonts w:ascii="Times New Roman" w:hAnsi="Times New Roman" w:cs="Times New Roman"/>
        </w:rPr>
        <w:t xml:space="preserve">; values up to 5 are indicative of acceptable model fit </w:t>
      </w:r>
      <w:r w:rsidR="003A20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{"citationID":"sJnRFhMe","properties":{"formattedCitation":"(Schumacker &amp; Lomax, 2004)","plainCitation":"(Schumacker &amp; Lomax, 2004)","noteIndex":0},"citationItems":[{"id":372,"uris":["http://zotero.org/users/7873587/items/4RSTHUPT"],"itemData":{"id":372,"type":"book","abstract":"The book's goal is to introduce readers to the building blocks of structural equation modeling (SEM) so they can conduct their own analysis and understand and critique related research. Utilizing an application oriented approach, each chapter covers basic concepts, principles, and practices, and then utilizes SEM software to provide examples. Most chapters follow the SEM basic steps: specification; identification; estimation; testing; and modification. A checklist is included to guide the reader's model analysis according to the basic steps a researcher takes. The text includes numerous examples using Amos, EQS, and LISREL software. The book's early chapters provide an understanding how missing data, non-normality, scale of measurement, non-linearity, outliers, and restrictions of range in scores affect SEM analysis. Chapters 6 through 10 follow the basic SEM steps of modeling using regression, path, confirmatory factor, and structural equation models. Chapter 12 introduces several approaches to model validation, the final step in obtaining an acceptable theoretical model. The book concludes with a description of the matrix approach to SEM by using examples from previous chapters. (PsycINFO Database Record (c) 2016 APA, all rights reserved)","collection-title":"A beginner's guide to structural equation modeling, 2nd ed","edition":"2nd","event-place":"Mahwah, NJ, US","ISBN":"978-0-8058-4017-9","publisher":"Lawrence Erlbaum Associates Publishers","publisher-place":"Mahwah, NJ, US","source":"APA PsycNet","title":"A beginner's guide to structural equation modeling","author":[{"family":"Schumacker","given":"Randall E."},{"family":"Lomax","given":"Richard G."}],"issued":{"date-parts":[["2004"]]}}}],"schema":"https://github.com/citation-style-language/schema/raw/master/csl-citation.json"} </w:instrText>
      </w:r>
      <w:r w:rsidR="003A2008">
        <w:rPr>
          <w:rFonts w:ascii="Times New Roman" w:hAnsi="Times New Roman" w:cs="Times New Roman"/>
        </w:rPr>
        <w:fldChar w:fldCharType="separate"/>
      </w:r>
      <w:r w:rsidR="003A2008">
        <w:rPr>
          <w:rFonts w:ascii="Times New Roman" w:hAnsi="Times New Roman" w:cs="Times New Roman"/>
          <w:noProof/>
        </w:rPr>
        <w:t>(Schumacker &amp; Lomax, 2004)</w:t>
      </w:r>
      <w:r w:rsidR="003A2008">
        <w:rPr>
          <w:rFonts w:ascii="Times New Roman" w:hAnsi="Times New Roman" w:cs="Times New Roman"/>
        </w:rPr>
        <w:fldChar w:fldCharType="end"/>
      </w:r>
      <w:r w:rsidRPr="00D25A1A">
        <w:rPr>
          <w:rFonts w:ascii="Times New Roman" w:hAnsi="Times New Roman" w:cs="Times New Roman"/>
        </w:rPr>
        <w:t xml:space="preserve">. Standardized root mean residual (SRMR) values under .08 are indicative of a good model fit, and Tucker-Lewis index (TLI) values of above .90 are considered acceptable </w:t>
      </w:r>
      <w:r w:rsidR="003A20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{"citationID":"K4dRzSA4","properties":{"formattedCitation":"(Hu &amp; Bentler, 1999)","plainCitation":"(Hu &amp; Bentler, 1999)","noteIndex":0},"citationItems":[{"id":376,"uris":["http://zotero.org/users/7873587/items/RVBA49NU"],"itemData":{"id":376,"type":"article-journal","abstract":"This article examines the adequacy of the “rules of thumb” conventional cutoff criteria and several new alternatives for various fit indexes used to evaluate model fit in practice. Using a 2‐index presentation strategy, which includes using the maximum likelihood (ML)‐based standardized root mean squared residual (SRMR) and supplementing it with either Tucker‐Lewis Index (TLI), Bollen's (1989) Fit Index (BL89), Relative Noncentrality Index (RNI), Comparative Fit Index (CFI), Gamma Hat, McDonald's Centrality Index (Mc), or root mean squared error of approximation (RMSEA), various combinations of cutoff values from selected ranges of cutoff criteria for the ML‐based SRMR and a given supplemental fit index were used to calculate rejection rates for various types of true‐population and misspecified models; that is, models with misspecified factor covariance(s) and models with misspecified factor loading(s). The results suggest that, for the ML method, a cutoff value close to .95 for TLI, BL89, CFI, RNI, and Gamma Hat; a cutoff value close to .90 for Mc; a cutoff value close to .08 for SRMR; and a cutoff value close to .06 for RMSEA are needed before we can conclude that there is a relatively good fit between the hypothesized model and the observed data. Furthermore, the 2‐index presentation strategy is required to reject reasonable proportions of various types of true‐population and misspecified models. Finally, using the proposed cutoff criteria, the ML‐based TLI, Mc, and RMSEA tend to overreject true‐population models at small sample size and thus are less preferable when sample size is small.","container-title":"Structural Equation Modeling","DOI":"10.1080/10705519909540118","ISSN":"1070-5511","issue":"1","note":"publisher: Routledge\n_eprint: https://doi.org/10.1080/10705519909540118","page":"1-55","source":"Taylor and Francis+NEJM","title":"Cutoff criteria for fit indexes in covariance structure analysis: Conventional criteria versus new alternatives","title-short":"Cutoff criteria for fit indexes in covariance structure analysis","volume":"6","author":[{"family":"Hu","given":"Li‐tze"},{"family":"Bentler","given":"Peter M."}],"issued":{"date-parts":[["1999",1,1]]}}}],"schema":"https://github.com/citation-style-language/schema/raw/master/csl-citation.json"} </w:instrText>
      </w:r>
      <w:r w:rsidR="003A2008">
        <w:rPr>
          <w:rFonts w:ascii="Times New Roman" w:hAnsi="Times New Roman" w:cs="Times New Roman"/>
        </w:rPr>
        <w:fldChar w:fldCharType="separate"/>
      </w:r>
      <w:r w:rsidR="003A2008">
        <w:rPr>
          <w:rFonts w:ascii="Times New Roman" w:hAnsi="Times New Roman" w:cs="Times New Roman"/>
          <w:noProof/>
        </w:rPr>
        <w:t>(Hu &amp; Bentler, 1999)</w:t>
      </w:r>
      <w:r w:rsidR="003A2008">
        <w:rPr>
          <w:rFonts w:ascii="Times New Roman" w:hAnsi="Times New Roman" w:cs="Times New Roman"/>
        </w:rPr>
        <w:fldChar w:fldCharType="end"/>
      </w:r>
      <w:r w:rsidRPr="00D25A1A">
        <w:rPr>
          <w:rFonts w:ascii="Times New Roman" w:hAnsi="Times New Roman" w:cs="Times New Roman"/>
        </w:rPr>
        <w:t xml:space="preserve">. Additionally, comparative fit index (CFI) values of .90 or greater are considered acceptable, while root mean square error of approximation (RMSEA) values of lower than .08 indicate an acceptable fit </w:t>
      </w:r>
      <w:r w:rsidR="003A20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{"citationID":"LvVx8nG4","properties":{"formattedCitation":"(Browne &amp; Cudeck, 1993)","plainCitation":"(Browne &amp; Cudeck, 1993)","noteIndex":0},"citationItems":[{"id":379,"uris":["http://zotero.org/users/7873587/items/QXM9JYBY"],"itemData":{"id":379,"type":"chapter","container-title":"Testing Structural Equation Models","event-place":"Newbury Park, CA","page":"136-162","publisher":"Sage","publisher-place":"Newbury Park, CA","title":"Alternative ways of assessing model fit","author":[{"family":"Browne","given":"Michael W."},{"family":"Cudeck","given":"Robert"}],"editor":[{"family":"Bollen","given":"K. A"},{"family":"Long","given":"J. S"}],"issued":{"date-parts":[["1993"]]}}}],"schema":"https://github.com/citation-style-language/schema/raw/master/csl-citation.json"} </w:instrText>
      </w:r>
      <w:r w:rsidR="003A2008">
        <w:rPr>
          <w:rFonts w:ascii="Times New Roman" w:hAnsi="Times New Roman" w:cs="Times New Roman"/>
        </w:rPr>
        <w:fldChar w:fldCharType="separate"/>
      </w:r>
      <w:r w:rsidR="003A2008">
        <w:rPr>
          <w:rFonts w:ascii="Times New Roman" w:hAnsi="Times New Roman" w:cs="Times New Roman"/>
          <w:noProof/>
        </w:rPr>
        <w:t>(Browne &amp; Cudeck, 1993)</w:t>
      </w:r>
      <w:r w:rsidR="003A2008">
        <w:rPr>
          <w:rFonts w:ascii="Times New Roman" w:hAnsi="Times New Roman" w:cs="Times New Roman"/>
        </w:rPr>
        <w:fldChar w:fldCharType="end"/>
      </w:r>
      <w:r w:rsidR="003A2008">
        <w:rPr>
          <w:rFonts w:ascii="Times New Roman" w:hAnsi="Times New Roman" w:cs="Times New Roman"/>
        </w:rPr>
        <w:t>.</w:t>
      </w:r>
      <w:r w:rsidRPr="00D25A1A">
        <w:rPr>
          <w:rFonts w:ascii="Times New Roman" w:hAnsi="Times New Roman" w:cs="Times New Roman"/>
        </w:rPr>
        <w:t xml:space="preserve"> Following inspection of the modification indices, where appropriate covariance pathways were added between error terms to improve model fit. The relationships within the model were described using standardised regression coefficients and bias-corrected bootstrapping (5000 times) was used to generate confidence intervals (95% CI) for all regression coefficients and indirect effects in the structural model. Statistical analyses were conducted in RStudio version 4.0.2 </w:t>
      </w:r>
      <w:r w:rsidR="00AF657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{"citationID":"EuFyLHvo","properties":{"formattedCitation":"(R Core Team, 2020)","plainCitation":"(R Core Team, 2020)","noteIndex":0},"citationItems":[{"id":59,"uris":["http://zotero.org/users/7873587/items/YGGZGPSX"],"itemData":{"id":59,"type":"software","event-place":"Vienna, Austria","publisher":"R Foundation for Statistical Computing","publisher-place":"Vienna, Austria","title":"A language and environment for statistical computing","URL":"https://www.R-project.org/","author":[{"literal":"R Core Team"}],"issued":{"date-parts":[["2020"]]}}}],"schema":"https://github.com/citation-style-language/schema/raw/master/csl-citation.json"} </w:instrText>
      </w:r>
      <w:r w:rsidR="00AF6576">
        <w:rPr>
          <w:rFonts w:ascii="Times New Roman" w:hAnsi="Times New Roman" w:cs="Times New Roman"/>
        </w:rPr>
        <w:fldChar w:fldCharType="separate"/>
      </w:r>
      <w:r w:rsidR="00AF6576">
        <w:rPr>
          <w:rFonts w:ascii="Times New Roman" w:hAnsi="Times New Roman" w:cs="Times New Roman"/>
          <w:noProof/>
        </w:rPr>
        <w:t>(R Core Team, 2020)</w:t>
      </w:r>
      <w:r w:rsidR="00AF6576">
        <w:rPr>
          <w:rFonts w:ascii="Times New Roman" w:hAnsi="Times New Roman" w:cs="Times New Roman"/>
        </w:rPr>
        <w:fldChar w:fldCharType="end"/>
      </w:r>
      <w:r w:rsidRPr="00D25A1A">
        <w:rPr>
          <w:rFonts w:ascii="Times New Roman" w:hAnsi="Times New Roman" w:cs="Times New Roman"/>
        </w:rPr>
        <w:t>. For the SEM, we used the “</w:t>
      </w:r>
      <w:proofErr w:type="spellStart"/>
      <w:r w:rsidRPr="007F2332">
        <w:rPr>
          <w:rFonts w:ascii="Times New Roman" w:hAnsi="Times New Roman" w:cs="Times New Roman"/>
          <w:i/>
          <w:iCs/>
        </w:rPr>
        <w:t>lavaan</w:t>
      </w:r>
      <w:proofErr w:type="spellEnd"/>
      <w:r w:rsidRPr="00D25A1A">
        <w:rPr>
          <w:rFonts w:ascii="Times New Roman" w:hAnsi="Times New Roman" w:cs="Times New Roman"/>
        </w:rPr>
        <w:t xml:space="preserve">” package </w:t>
      </w:r>
      <w:r w:rsidR="003A200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{"citationID":"9krmMvAl","properties":{"formattedCitation":"(Rosseel, 2012)","plainCitation":"(Rosseel, 2012)","noteIndex":0},"citationItems":[{"id":380,"uris":["http://zotero.org/users/7873587/items/GJYJSTSN"],"itemData":{"id":380,"type":"article-journal","abstract":"Structural equation modeling (SEM) is a vast field and widely used by many applied researchers in the social and behavioral sciences. Over the years, many software pack-ages for structural equation modeling have been developed, both free and commercial. However, perhaps the best state-of-the-art software packages in this field are still closed-source and/or commercial. The R package lavaan has been developed to provide applied researchers, teachers, and statisticians, a free, fully open-source, but commercial-quality package for latent variable modeling. This paper explains the aims behind the develop-ment of the package, gives an overview of its most important features, and provides some examples to illustrate how lavaan works in practice.","container-title":"Journal of statistical software","DOI":"10.18637/jss.v048.i02","issue":"2","journalAbbreviation":"J Stat Softw","page":"1-36","source":"ResearchGate","title":"lavaan: An R package for structural equation modeling","title-short":"lavaan","volume":"48","author":[{"family":"Rosseel","given":"Yves"}],"issued":{"date-parts":[["2012"]]}}}],"schema":"https://github.com/citation-style-language/schema/raw/master/csl-citation.json"} </w:instrText>
      </w:r>
      <w:r w:rsidR="003A2008">
        <w:rPr>
          <w:rFonts w:ascii="Times New Roman" w:hAnsi="Times New Roman" w:cs="Times New Roman"/>
        </w:rPr>
        <w:fldChar w:fldCharType="separate"/>
      </w:r>
      <w:r w:rsidR="003A2008">
        <w:rPr>
          <w:rFonts w:ascii="Times New Roman" w:hAnsi="Times New Roman" w:cs="Times New Roman"/>
          <w:noProof/>
        </w:rPr>
        <w:t>(Rosseel, 2012)</w:t>
      </w:r>
      <w:r w:rsidR="003A2008">
        <w:rPr>
          <w:rFonts w:ascii="Times New Roman" w:hAnsi="Times New Roman" w:cs="Times New Roman"/>
        </w:rPr>
        <w:fldChar w:fldCharType="end"/>
      </w:r>
      <w:r w:rsidRPr="00D25A1A">
        <w:rPr>
          <w:rFonts w:ascii="Times New Roman" w:hAnsi="Times New Roman" w:cs="Times New Roman"/>
        </w:rPr>
        <w:t xml:space="preserve">. Data and analysis scripts are available and can be found here: </w:t>
      </w:r>
      <w:r w:rsidR="007F2332">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{"citationID":"MylUngJz","properties":{"formattedCitation":"(Saunders et al., 1993)","plainCitation":"(Saunders et al., 1993)","dontUpdate":true,"noteIndex":0},"citationItems":[{"id":1097,"uris":["http://zotero.org/users/7873587/items/H8CAYUDE"],"itemData":{"id":1097,"type":"article-journal","abstract":"The Alcohol Use Disorders Identification Test (AUDIT) has been developed from a six-country WHO collaborative project as a screening instrument for hazardous and harmful alcohol consumption. It is a 10-item questionnaire which covers the domains of alcohol consumption, drinking behaviour, and alcohol-related problems. Questions were selected from a 150-item assessment schedule (which was administered to 1888 persons attending representative primary health care facilities) on the basis of their representativeness for these conceptual domains and their perceived usefulness for intervention. Responses to each question are scored from 0 to 4, giving a maximum possible score of 40. Among those diagnosed as having hazardous or harmful alcohol use, 92% had an AUDIT score of 8 or more, and 94% of those with non-hazardous consumption had a score of less than 8. AUDIT provides a simple method of early detection of hazardous and harmful alcohol use in primary health care settings and is the first instrument of its type to be derived on the basis of a cross-national study.","container-title":"Addiction","DOI":"10.1111/j.1360-0443.1993.tb02093.x","ISSN":"0965-2140","issue":"6","journalAbbreviation":"Addiction","language":"eng","note":"PMID: 8329970","page":"791-804","source":"PubMed","title":"Development of the Alcohol Use Disorders Identification Test (AUDIT): WHO collaborative project on early detection of persons with harmful alcohol consumption--II","title-short":"Development of the Alcohol Use Disorders Identification Test (AUDIT)","volume":"88","author":[{"family":"Saunders","given":"J. B."},{"family":"Aasland","given":"O. G."},{"family":"Babor","given":"T. F."},{"family":"Fuente","given":"J. R.","non-dropping-particle":"de la"},{"family":"Grant","given":"M."}],"issued":{"date-parts":[["1993",6]]}}}],"schema":"https://github.com/citation-style-language/schema/raw/master/csl-citation.json"} </w:instrText>
      </w:r>
      <w:r w:rsidR="007F2332">
        <w:rPr>
          <w:rFonts w:ascii="Times New Roman" w:hAnsi="Times New Roman" w:cs="Times New Roman"/>
        </w:rPr>
        <w:fldChar w:fldCharType="separate"/>
      </w:r>
      <w:r w:rsidR="007F2332" w:rsidRPr="0057190E">
        <w:rPr>
          <w:rStyle w:val="Hyperlink"/>
          <w:rFonts w:ascii="Times New Roman" w:hAnsi="Times New Roman" w:cs="Times New Roman"/>
        </w:rPr>
        <w:t>https://researchbox.org/677&amp;PEER_REVIEW_passcode=JGMCYR</w:t>
      </w:r>
      <w:r w:rsidR="007F2332">
        <w:rPr>
          <w:rFonts w:ascii="Times New Roman" w:hAnsi="Times New Roman" w:cs="Times New Roman"/>
        </w:rPr>
        <w:fldChar w:fldCharType="end"/>
      </w:r>
      <w:r w:rsidR="007F2332">
        <w:rPr>
          <w:rFonts w:ascii="Times New Roman" w:hAnsi="Times New Roman" w:cs="Times New Roman"/>
        </w:rPr>
        <w:t>.</w:t>
      </w:r>
    </w:p>
    <w:p w14:paraId="675C818D" w14:textId="0209AF6A" w:rsidR="00AF6576" w:rsidRDefault="00AF6576" w:rsidP="00AF6576">
      <w:pPr>
        <w:pStyle w:val="Heading4"/>
      </w:pPr>
      <w:bookmarkStart w:id="117" w:name="_Toc110629047"/>
      <w:bookmarkStart w:id="118" w:name="_Toc110870955"/>
      <w:r>
        <w:lastRenderedPageBreak/>
        <w:t>2.3. Results</w:t>
      </w:r>
      <w:bookmarkEnd w:id="117"/>
      <w:bookmarkEnd w:id="118"/>
    </w:p>
    <w:p w14:paraId="4D661EED" w14:textId="77777777" w:rsidR="00496486" w:rsidRPr="00496486" w:rsidRDefault="00496486" w:rsidP="00496486">
      <w:pPr>
        <w:pStyle w:val="NoSpacing"/>
        <w:spacing w:line="480" w:lineRule="auto"/>
        <w:rPr>
          <w:rFonts w:ascii="Times New Roman" w:hAnsi="Times New Roman" w:cs="Times New Roman"/>
          <w:b/>
          <w:bCs/>
        </w:rPr>
      </w:pPr>
      <w:bookmarkStart w:id="119" w:name="_Hlk110515382"/>
      <w:r w:rsidRPr="00496486">
        <w:rPr>
          <w:rFonts w:ascii="Times New Roman" w:hAnsi="Times New Roman" w:cs="Times New Roman"/>
          <w:b/>
          <w:bCs/>
        </w:rPr>
        <w:t>Table 2.1</w:t>
      </w:r>
    </w:p>
    <w:p w14:paraId="7B9CF880" w14:textId="510B28CA" w:rsidR="00496486" w:rsidRPr="00496486" w:rsidRDefault="00496486" w:rsidP="00496486">
      <w:pPr>
        <w:pStyle w:val="NoSpacing"/>
        <w:spacing w:line="480" w:lineRule="auto"/>
        <w:rPr>
          <w:rFonts w:ascii="Times New Roman" w:hAnsi="Times New Roman" w:cs="Times New Roman"/>
          <w:i/>
          <w:iCs/>
        </w:rPr>
      </w:pPr>
      <w:r w:rsidRPr="00496486">
        <w:rPr>
          <w:rFonts w:ascii="Times New Roman" w:hAnsi="Times New Roman" w:cs="Times New Roman"/>
          <w:i/>
          <w:iCs/>
        </w:rPr>
        <w:t xml:space="preserve">Descriptive statistics (mean, standard deviations (SD) and range) of the total sample (n = 546). Two-thirds of the sample (n = 364; 66.67%) were likely hazardous or harmful drinkers (AUDIT </w:t>
      </w:r>
      <w:r>
        <w:rPr>
          <w:rFonts w:ascii="Times New Roman" w:hAnsi="Times New Roman" w:cs="Times New Roman"/>
          <w:i/>
          <w:iCs/>
        </w:rPr>
        <w:t>&gt;</w:t>
      </w:r>
      <w:r w:rsidRPr="00496486">
        <w:rPr>
          <w:rFonts w:ascii="Times New Roman" w:hAnsi="Times New Roman" w:cs="Times New Roman"/>
          <w:i/>
          <w:iCs/>
        </w:rPr>
        <w:t xml:space="preserve"> </w:t>
      </w:r>
      <w:r>
        <w:rPr>
          <w:rFonts w:ascii="Times New Roman" w:hAnsi="Times New Roman" w:cs="Times New Roman"/>
          <w:i/>
          <w:iCs/>
        </w:rPr>
        <w:t>7</w:t>
      </w:r>
      <w:r w:rsidRPr="00496486">
        <w:rPr>
          <w:rFonts w:ascii="Times New Roman" w:hAnsi="Times New Roman" w:cs="Times New Roman"/>
          <w:i/>
          <w:iCs/>
        </w:rPr>
        <w:t>)</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8"/>
        <w:gridCol w:w="4468"/>
      </w:tblGrid>
      <w:tr w:rsidR="00496486" w:rsidRPr="00496486" w14:paraId="3F76A5F4" w14:textId="77777777" w:rsidTr="00496486">
        <w:trPr>
          <w:trHeight w:val="488"/>
        </w:trPr>
        <w:tc>
          <w:tcPr>
            <w:tcW w:w="4468" w:type="dxa"/>
            <w:tcBorders>
              <w:top w:val="single" w:sz="18" w:space="0" w:color="auto"/>
              <w:left w:val="nil"/>
              <w:right w:val="nil"/>
            </w:tcBorders>
          </w:tcPr>
          <w:bookmarkEnd w:id="119"/>
          <w:p w14:paraId="56A7B5B2" w14:textId="4CC05FDF"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Variable</w:t>
            </w:r>
          </w:p>
        </w:tc>
        <w:tc>
          <w:tcPr>
            <w:tcW w:w="4468" w:type="dxa"/>
            <w:tcBorders>
              <w:top w:val="single" w:sz="18" w:space="0" w:color="auto"/>
              <w:left w:val="nil"/>
              <w:right w:val="nil"/>
            </w:tcBorders>
          </w:tcPr>
          <w:p w14:paraId="7AF260C0"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Mean (SD, range)</w:t>
            </w:r>
          </w:p>
        </w:tc>
      </w:tr>
      <w:tr w:rsidR="00496486" w:rsidRPr="00496486" w14:paraId="6B878341" w14:textId="77777777" w:rsidTr="00496486">
        <w:trPr>
          <w:trHeight w:val="475"/>
        </w:trPr>
        <w:tc>
          <w:tcPr>
            <w:tcW w:w="4468" w:type="dxa"/>
            <w:tcBorders>
              <w:left w:val="nil"/>
              <w:bottom w:val="nil"/>
              <w:right w:val="nil"/>
            </w:tcBorders>
          </w:tcPr>
          <w:p w14:paraId="45C95363"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AUDIT</w:t>
            </w:r>
          </w:p>
        </w:tc>
        <w:tc>
          <w:tcPr>
            <w:tcW w:w="4468" w:type="dxa"/>
            <w:tcBorders>
              <w:left w:val="nil"/>
              <w:bottom w:val="nil"/>
              <w:right w:val="nil"/>
            </w:tcBorders>
          </w:tcPr>
          <w:p w14:paraId="5790DD52"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10.83 (±5.80; 1–31)</w:t>
            </w:r>
          </w:p>
        </w:tc>
      </w:tr>
      <w:tr w:rsidR="00496486" w:rsidRPr="00496486" w14:paraId="3569BFFB" w14:textId="77777777" w:rsidTr="00496486">
        <w:trPr>
          <w:trHeight w:val="488"/>
        </w:trPr>
        <w:tc>
          <w:tcPr>
            <w:tcW w:w="4468" w:type="dxa"/>
            <w:tcBorders>
              <w:top w:val="nil"/>
              <w:left w:val="nil"/>
              <w:bottom w:val="nil"/>
              <w:right w:val="nil"/>
            </w:tcBorders>
          </w:tcPr>
          <w:p w14:paraId="48C3471A"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Alcohol-free reinforcement</w:t>
            </w:r>
          </w:p>
        </w:tc>
        <w:tc>
          <w:tcPr>
            <w:tcW w:w="4468" w:type="dxa"/>
            <w:tcBorders>
              <w:top w:val="nil"/>
              <w:left w:val="nil"/>
              <w:bottom w:val="nil"/>
              <w:right w:val="nil"/>
            </w:tcBorders>
          </w:tcPr>
          <w:p w14:paraId="068B9F45"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6.19 (±2.62; 0–19.06)</w:t>
            </w:r>
          </w:p>
        </w:tc>
      </w:tr>
      <w:tr w:rsidR="00496486" w:rsidRPr="00496486" w14:paraId="226F229E" w14:textId="77777777" w:rsidTr="00496486">
        <w:trPr>
          <w:trHeight w:val="475"/>
        </w:trPr>
        <w:tc>
          <w:tcPr>
            <w:tcW w:w="4468" w:type="dxa"/>
            <w:tcBorders>
              <w:top w:val="nil"/>
              <w:left w:val="nil"/>
              <w:bottom w:val="nil"/>
              <w:right w:val="nil"/>
            </w:tcBorders>
          </w:tcPr>
          <w:p w14:paraId="34F6D694"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Presence</w:t>
            </w:r>
          </w:p>
        </w:tc>
        <w:tc>
          <w:tcPr>
            <w:tcW w:w="4468" w:type="dxa"/>
            <w:tcBorders>
              <w:top w:val="nil"/>
              <w:left w:val="nil"/>
              <w:bottom w:val="nil"/>
              <w:right w:val="nil"/>
            </w:tcBorders>
          </w:tcPr>
          <w:p w14:paraId="7C92AFCC"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23.76 (±7.02; 5–35)</w:t>
            </w:r>
          </w:p>
        </w:tc>
      </w:tr>
      <w:tr w:rsidR="00496486" w:rsidRPr="00496486" w14:paraId="4FFA98C1" w14:textId="77777777" w:rsidTr="00496486">
        <w:trPr>
          <w:trHeight w:val="488"/>
        </w:trPr>
        <w:tc>
          <w:tcPr>
            <w:tcW w:w="4468" w:type="dxa"/>
            <w:tcBorders>
              <w:top w:val="nil"/>
              <w:left w:val="nil"/>
              <w:bottom w:val="nil"/>
              <w:right w:val="nil"/>
            </w:tcBorders>
          </w:tcPr>
          <w:p w14:paraId="1C8FC478"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Search</w:t>
            </w:r>
          </w:p>
        </w:tc>
        <w:tc>
          <w:tcPr>
            <w:tcW w:w="4468" w:type="dxa"/>
            <w:tcBorders>
              <w:top w:val="nil"/>
              <w:left w:val="nil"/>
              <w:bottom w:val="nil"/>
              <w:right w:val="nil"/>
            </w:tcBorders>
          </w:tcPr>
          <w:p w14:paraId="5270E47E"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21.08 (±7.38; 5–35)</w:t>
            </w:r>
          </w:p>
        </w:tc>
      </w:tr>
      <w:tr w:rsidR="00496486" w:rsidRPr="00496486" w14:paraId="7309EA67" w14:textId="77777777" w:rsidTr="00496486">
        <w:trPr>
          <w:trHeight w:val="475"/>
        </w:trPr>
        <w:tc>
          <w:tcPr>
            <w:tcW w:w="4468" w:type="dxa"/>
            <w:tcBorders>
              <w:top w:val="nil"/>
              <w:left w:val="nil"/>
              <w:bottom w:val="nil"/>
              <w:right w:val="nil"/>
            </w:tcBorders>
          </w:tcPr>
          <w:p w14:paraId="5BC2FBEE"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 xml:space="preserve">Depressive symptoms </w:t>
            </w:r>
          </w:p>
        </w:tc>
        <w:tc>
          <w:tcPr>
            <w:tcW w:w="4468" w:type="dxa"/>
            <w:tcBorders>
              <w:top w:val="nil"/>
              <w:left w:val="nil"/>
              <w:bottom w:val="nil"/>
              <w:right w:val="nil"/>
            </w:tcBorders>
          </w:tcPr>
          <w:p w14:paraId="6247AECD"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6.57 (±5.39; 0–24)</w:t>
            </w:r>
          </w:p>
        </w:tc>
      </w:tr>
      <w:tr w:rsidR="00496486" w:rsidRPr="00496486" w14:paraId="7072114A" w14:textId="77777777" w:rsidTr="00496486">
        <w:trPr>
          <w:trHeight w:val="488"/>
        </w:trPr>
        <w:tc>
          <w:tcPr>
            <w:tcW w:w="4468" w:type="dxa"/>
            <w:tcBorders>
              <w:top w:val="nil"/>
              <w:left w:val="nil"/>
              <w:bottom w:val="nil"/>
              <w:right w:val="nil"/>
            </w:tcBorders>
          </w:tcPr>
          <w:p w14:paraId="5E725BE4"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Drinking to cope</w:t>
            </w:r>
          </w:p>
        </w:tc>
        <w:tc>
          <w:tcPr>
            <w:tcW w:w="4468" w:type="dxa"/>
            <w:tcBorders>
              <w:top w:val="nil"/>
              <w:left w:val="nil"/>
              <w:bottom w:val="nil"/>
              <w:right w:val="nil"/>
            </w:tcBorders>
          </w:tcPr>
          <w:p w14:paraId="643C1803"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1.80 (±0.73; 1–4.80)</w:t>
            </w:r>
          </w:p>
        </w:tc>
      </w:tr>
      <w:tr w:rsidR="00496486" w:rsidRPr="00496486" w14:paraId="749DD593" w14:textId="77777777" w:rsidTr="00496486">
        <w:trPr>
          <w:trHeight w:val="475"/>
        </w:trPr>
        <w:tc>
          <w:tcPr>
            <w:tcW w:w="4468" w:type="dxa"/>
            <w:tcBorders>
              <w:top w:val="nil"/>
              <w:left w:val="nil"/>
              <w:bottom w:val="single" w:sz="18" w:space="0" w:color="auto"/>
              <w:right w:val="nil"/>
            </w:tcBorders>
          </w:tcPr>
          <w:p w14:paraId="630E3ACB" w14:textId="77777777" w:rsidR="00496486" w:rsidRPr="00496486" w:rsidRDefault="00496486" w:rsidP="00496486">
            <w:pPr>
              <w:pStyle w:val="NoSpacing"/>
              <w:rPr>
                <w:rFonts w:ascii="Times New Roman" w:hAnsi="Times New Roman" w:cs="Times New Roman"/>
              </w:rPr>
            </w:pPr>
            <w:r w:rsidRPr="00496486">
              <w:rPr>
                <w:rFonts w:ascii="Times New Roman" w:hAnsi="Times New Roman" w:cs="Times New Roman"/>
              </w:rPr>
              <w:t>Alcohol value (intensity)</w:t>
            </w:r>
          </w:p>
        </w:tc>
        <w:tc>
          <w:tcPr>
            <w:tcW w:w="4468" w:type="dxa"/>
            <w:tcBorders>
              <w:top w:val="nil"/>
              <w:left w:val="nil"/>
              <w:bottom w:val="single" w:sz="18" w:space="0" w:color="auto"/>
              <w:right w:val="nil"/>
            </w:tcBorders>
          </w:tcPr>
          <w:p w14:paraId="33F261C7" w14:textId="77777777" w:rsidR="00496486" w:rsidRPr="00496486" w:rsidRDefault="00496486" w:rsidP="00496486">
            <w:pPr>
              <w:pStyle w:val="NoSpacing"/>
              <w:jc w:val="center"/>
              <w:rPr>
                <w:rFonts w:ascii="Times New Roman" w:hAnsi="Times New Roman" w:cs="Times New Roman"/>
              </w:rPr>
            </w:pPr>
            <w:r w:rsidRPr="00496486">
              <w:rPr>
                <w:rFonts w:ascii="Times New Roman" w:hAnsi="Times New Roman" w:cs="Times New Roman"/>
              </w:rPr>
              <w:t>5.68 (±2.65; 1–10)</w:t>
            </w:r>
          </w:p>
        </w:tc>
      </w:tr>
    </w:tbl>
    <w:p w14:paraId="62AE1FE6" w14:textId="77777777" w:rsidR="00496486" w:rsidRDefault="00496486" w:rsidP="00496486">
      <w:pPr>
        <w:pStyle w:val="NoSpacing"/>
        <w:spacing w:line="480" w:lineRule="auto"/>
        <w:rPr>
          <w:rFonts w:ascii="Times New Roman" w:hAnsi="Times New Roman" w:cs="Times New Roman"/>
        </w:rPr>
      </w:pPr>
      <w:r w:rsidRPr="00496486">
        <w:rPr>
          <w:rFonts w:ascii="Times New Roman" w:hAnsi="Times New Roman" w:cs="Times New Roman"/>
          <w:i/>
          <w:iCs/>
        </w:rPr>
        <w:t>Note.</w:t>
      </w:r>
      <w:r w:rsidRPr="00496486">
        <w:rPr>
          <w:rFonts w:ascii="Times New Roman" w:hAnsi="Times New Roman" w:cs="Times New Roman"/>
        </w:rPr>
        <w:t xml:space="preserve"> AUDIT = Alcohol Use Disorders Identification Test (alcohol use and related problems; 1 UK unit = 8g of alcohol; possible range of values = 0 to 40). Presence = presence of meaning in life; Search = search for meaning in life (possible range of values = 5 to 35). Alcohol value (intensity) = how many drinks would be consumed if they were free (possible range of values = 0 to 10). Alcohol-free reinforcement (possible range of values = 0 to 24). Depressive symptoms (possible range of values = 0 to 24). Drinking to cope (possible range of values = 1 to 5).</w:t>
      </w:r>
    </w:p>
    <w:p w14:paraId="2BD46261" w14:textId="77777777" w:rsidR="00496486" w:rsidRDefault="00496486" w:rsidP="00496486">
      <w:pPr>
        <w:pStyle w:val="NoSpacing"/>
        <w:spacing w:line="480" w:lineRule="auto"/>
        <w:rPr>
          <w:rFonts w:ascii="Times New Roman" w:hAnsi="Times New Roman" w:cs="Times New Roman"/>
        </w:rPr>
      </w:pPr>
    </w:p>
    <w:p w14:paraId="4A121629" w14:textId="4D0AA122" w:rsidR="00496486" w:rsidRPr="00496486" w:rsidRDefault="00496486" w:rsidP="00496486">
      <w:pPr>
        <w:pStyle w:val="NoSpacing"/>
        <w:spacing w:line="480" w:lineRule="auto"/>
        <w:rPr>
          <w:rFonts w:ascii="Times New Roman" w:hAnsi="Times New Roman" w:cs="Times New Roman"/>
          <w:b/>
          <w:bCs/>
        </w:rPr>
      </w:pPr>
      <w:r w:rsidRPr="00496486">
        <w:rPr>
          <w:rFonts w:ascii="Times New Roman" w:hAnsi="Times New Roman" w:cs="Times New Roman"/>
          <w:b/>
          <w:bCs/>
        </w:rPr>
        <w:t>Pre-registered analyses</w:t>
      </w:r>
    </w:p>
    <w:p w14:paraId="19838077" w14:textId="53A5770E" w:rsidR="00403E7C" w:rsidRDefault="00496486" w:rsidP="00496486">
      <w:pPr>
        <w:pStyle w:val="NoSpacing"/>
        <w:spacing w:line="480" w:lineRule="auto"/>
        <w:rPr>
          <w:rFonts w:ascii="Times New Roman" w:hAnsi="Times New Roman" w:cs="Times New Roman"/>
        </w:rPr>
      </w:pPr>
      <w:r w:rsidRPr="00496486">
        <w:rPr>
          <w:rFonts w:ascii="Times New Roman" w:hAnsi="Times New Roman" w:cs="Times New Roman"/>
        </w:rPr>
        <w:t>See Table 2.1 for descriptive statistics. To test our first hypothesis, we conducted a hierarchical regression</w:t>
      </w:r>
      <w:r w:rsidRPr="004B73B2">
        <w:rPr>
          <w:rStyle w:val="FootnoteReference"/>
        </w:rPr>
        <w:footnoteReference w:id="2"/>
      </w:r>
      <w:r w:rsidRPr="00496486">
        <w:rPr>
          <w:rFonts w:ascii="Times New Roman" w:hAnsi="Times New Roman" w:cs="Times New Roman"/>
        </w:rPr>
        <w:t xml:space="preserve">. The first step of the regression consisted of age and gender, whilst </w:t>
      </w:r>
      <w:r w:rsidRPr="00496486">
        <w:rPr>
          <w:rFonts w:ascii="Times New Roman" w:hAnsi="Times New Roman" w:cs="Times New Roman"/>
        </w:rPr>
        <w:lastRenderedPageBreak/>
        <w:t>presence of meaning and search for meaning in life scores were added on the second step, and average alcohol-free reinforcement was added on the third step. The overall regression model significantly predicted approximately 12% of variance in AUDIT scores (</w:t>
      </w:r>
      <w:r w:rsidRPr="00D77F45">
        <w:rPr>
          <w:rFonts w:ascii="Times New Roman" w:hAnsi="Times New Roman" w:cs="Times New Roman"/>
          <w:i/>
          <w:iCs/>
        </w:rPr>
        <w:t>R</w:t>
      </w:r>
      <w:r w:rsidRPr="00496486">
        <w:rPr>
          <w:rFonts w:ascii="Times New Roman" w:hAnsi="Times New Roman" w:cs="Times New Roman"/>
        </w:rPr>
        <w:t xml:space="preserve">² = .12, </w:t>
      </w:r>
      <w:proofErr w:type="gramStart"/>
      <w:r w:rsidRPr="00D77F45">
        <w:rPr>
          <w:rFonts w:ascii="Times New Roman" w:hAnsi="Times New Roman" w:cs="Times New Roman"/>
          <w:i/>
          <w:iCs/>
        </w:rPr>
        <w:t>F</w:t>
      </w:r>
      <w:r w:rsidRPr="00496486">
        <w:rPr>
          <w:rFonts w:ascii="Times New Roman" w:hAnsi="Times New Roman" w:cs="Times New Roman"/>
        </w:rPr>
        <w:t>(</w:t>
      </w:r>
      <w:proofErr w:type="gramEnd"/>
      <w:r w:rsidRPr="00496486">
        <w:rPr>
          <w:rFonts w:ascii="Times New Roman" w:hAnsi="Times New Roman" w:cs="Times New Roman"/>
        </w:rPr>
        <w:t xml:space="preserve">5, 535) = 14.25, </w:t>
      </w:r>
      <w:r w:rsidRPr="00D77F45">
        <w:rPr>
          <w:rFonts w:ascii="Times New Roman" w:hAnsi="Times New Roman" w:cs="Times New Roman"/>
          <w:i/>
          <w:iCs/>
        </w:rPr>
        <w:t>p</w:t>
      </w:r>
      <w:r w:rsidRPr="00496486">
        <w:rPr>
          <w:rFonts w:ascii="Times New Roman" w:hAnsi="Times New Roman" w:cs="Times New Roman"/>
        </w:rPr>
        <w:t xml:space="preserve"> &lt; .001). Age and gender predicted approximately 6% of variance in AUDIT scores. After adjusting for age and gender, presence of meaning and search for meaning in life predicted a further 6% of variance in AUDIT scores. The addition of alcohol-free reinforcement did not account for any additional variance in AUDIT scores (see Table 2.2). Multi-collinearity indices were low (VIFs &lt; 1.29).</w:t>
      </w:r>
    </w:p>
    <w:p w14:paraId="0DD54635" w14:textId="49F304DE" w:rsidR="00D77F45" w:rsidRDefault="00D77F45" w:rsidP="00496486">
      <w:pPr>
        <w:pStyle w:val="NoSpacing"/>
        <w:spacing w:line="480" w:lineRule="auto"/>
        <w:rPr>
          <w:rFonts w:ascii="Times New Roman" w:hAnsi="Times New Roman" w:cs="Times New Roman"/>
        </w:rPr>
      </w:pPr>
    </w:p>
    <w:p w14:paraId="371853E1" w14:textId="07E2C3BA" w:rsidR="00D77F45" w:rsidRPr="00D77F45" w:rsidRDefault="00D77F45" w:rsidP="00496486">
      <w:pPr>
        <w:pStyle w:val="NoSpacing"/>
        <w:spacing w:line="480" w:lineRule="auto"/>
        <w:rPr>
          <w:rFonts w:ascii="Times New Roman" w:hAnsi="Times New Roman" w:cs="Times New Roman"/>
          <w:b/>
          <w:bCs/>
        </w:rPr>
      </w:pPr>
      <w:bookmarkStart w:id="120" w:name="_Hlk110515393"/>
      <w:r w:rsidRPr="00D77F45">
        <w:rPr>
          <w:rFonts w:ascii="Times New Roman" w:hAnsi="Times New Roman" w:cs="Times New Roman"/>
          <w:b/>
          <w:bCs/>
        </w:rPr>
        <w:t>Table 2.2</w:t>
      </w:r>
    </w:p>
    <w:p w14:paraId="036FDCF2" w14:textId="17BCB33B" w:rsidR="00403E7C" w:rsidRPr="00D77F45" w:rsidRDefault="00D77F45" w:rsidP="00D77F45">
      <w:pPr>
        <w:pStyle w:val="NoSpacing"/>
        <w:spacing w:line="480" w:lineRule="auto"/>
        <w:rPr>
          <w:rFonts w:ascii="Times New Roman" w:hAnsi="Times New Roman" w:cs="Times New Roman"/>
          <w:i/>
          <w:iCs/>
        </w:rPr>
      </w:pPr>
      <w:r w:rsidRPr="00D77F45">
        <w:rPr>
          <w:rFonts w:ascii="Times New Roman" w:hAnsi="Times New Roman" w:cs="Times New Roman"/>
          <w:i/>
          <w:iCs/>
        </w:rPr>
        <w:t>Hierarchical regression predicting AUDIT scores, predictor variables are presence of meaning, search for meaning, and average alcohol-free reinforcement after controlling for age and gender</w:t>
      </w:r>
    </w:p>
    <w:tbl>
      <w:tblPr>
        <w:tblW w:w="8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9"/>
        <w:gridCol w:w="1252"/>
        <w:gridCol w:w="2355"/>
        <w:gridCol w:w="869"/>
        <w:gridCol w:w="890"/>
        <w:gridCol w:w="817"/>
        <w:gridCol w:w="1040"/>
      </w:tblGrid>
      <w:tr w:rsidR="00D77F45" w:rsidRPr="00D77F45" w14:paraId="1DCA382A" w14:textId="77777777" w:rsidTr="00D77F45">
        <w:trPr>
          <w:trHeight w:val="491"/>
        </w:trPr>
        <w:tc>
          <w:tcPr>
            <w:tcW w:w="1669" w:type="dxa"/>
            <w:tcBorders>
              <w:top w:val="single" w:sz="12" w:space="0" w:color="000000"/>
              <w:left w:val="nil"/>
              <w:bottom w:val="nil"/>
              <w:right w:val="nil"/>
            </w:tcBorders>
          </w:tcPr>
          <w:bookmarkEnd w:id="120"/>
          <w:p w14:paraId="2A7A7ABB"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Variable</w:t>
            </w:r>
          </w:p>
        </w:tc>
        <w:tc>
          <w:tcPr>
            <w:tcW w:w="3607" w:type="dxa"/>
            <w:gridSpan w:val="2"/>
            <w:tcBorders>
              <w:top w:val="single" w:sz="12" w:space="0" w:color="000000"/>
              <w:left w:val="nil"/>
              <w:bottom w:val="nil"/>
              <w:right w:val="nil"/>
            </w:tcBorders>
          </w:tcPr>
          <w:p w14:paraId="37C3130E"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Cumulative</w:t>
            </w:r>
          </w:p>
        </w:tc>
        <w:tc>
          <w:tcPr>
            <w:tcW w:w="3616" w:type="dxa"/>
            <w:gridSpan w:val="4"/>
            <w:tcBorders>
              <w:top w:val="single" w:sz="12" w:space="0" w:color="000000"/>
              <w:left w:val="nil"/>
              <w:bottom w:val="nil"/>
              <w:right w:val="nil"/>
            </w:tcBorders>
          </w:tcPr>
          <w:p w14:paraId="51BEBFA0" w14:textId="25095DCA" w:rsidR="00D77F45" w:rsidRPr="00D77F45" w:rsidRDefault="00D77F45" w:rsidP="00D77F45">
            <w:pPr>
              <w:pStyle w:val="NoSpacing"/>
              <w:jc w:val="both"/>
              <w:rPr>
                <w:rFonts w:ascii="Times New Roman" w:hAnsi="Times New Roman" w:cs="Times New Roman"/>
              </w:rPr>
            </w:pPr>
            <w:r w:rsidRPr="00D77F45">
              <w:rPr>
                <w:rFonts w:ascii="Times New Roman" w:hAnsi="Times New Roman" w:cs="Times New Roman"/>
              </w:rPr>
              <w:t>Simultaneous</w:t>
            </w:r>
          </w:p>
        </w:tc>
      </w:tr>
      <w:tr w:rsidR="00D77F45" w:rsidRPr="00D77F45" w14:paraId="1BB11D41" w14:textId="77777777" w:rsidTr="00D77F45">
        <w:trPr>
          <w:trHeight w:val="491"/>
        </w:trPr>
        <w:tc>
          <w:tcPr>
            <w:tcW w:w="1669" w:type="dxa"/>
            <w:tcBorders>
              <w:top w:val="nil"/>
              <w:left w:val="nil"/>
              <w:right w:val="nil"/>
            </w:tcBorders>
          </w:tcPr>
          <w:p w14:paraId="71D97155" w14:textId="77777777" w:rsidR="00D77F45" w:rsidRPr="00D77F45" w:rsidRDefault="00D77F45" w:rsidP="00D77F45">
            <w:pPr>
              <w:pStyle w:val="NoSpacing"/>
              <w:rPr>
                <w:rFonts w:ascii="Times New Roman" w:hAnsi="Times New Roman" w:cs="Times New Roman"/>
              </w:rPr>
            </w:pPr>
          </w:p>
        </w:tc>
        <w:tc>
          <w:tcPr>
            <w:tcW w:w="1252" w:type="dxa"/>
            <w:tcBorders>
              <w:top w:val="nil"/>
              <w:left w:val="nil"/>
              <w:right w:val="nil"/>
            </w:tcBorders>
          </w:tcPr>
          <w:p w14:paraId="3DDDAE0F"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i/>
                <w:iCs/>
              </w:rPr>
              <w:t>R</w:t>
            </w:r>
            <w:r w:rsidRPr="00D77F45">
              <w:rPr>
                <w:rFonts w:ascii="Times New Roman" w:hAnsi="Times New Roman" w:cs="Times New Roman"/>
                <w:vertAlign w:val="superscript"/>
              </w:rPr>
              <w:t>2</w:t>
            </w:r>
            <w:r w:rsidRPr="00D77F45">
              <w:rPr>
                <w:rFonts w:ascii="Times New Roman" w:hAnsi="Times New Roman" w:cs="Times New Roman"/>
              </w:rPr>
              <w:t>-change</w:t>
            </w:r>
          </w:p>
        </w:tc>
        <w:tc>
          <w:tcPr>
            <w:tcW w:w="2355" w:type="dxa"/>
            <w:tcBorders>
              <w:top w:val="nil"/>
              <w:left w:val="nil"/>
              <w:right w:val="nil"/>
            </w:tcBorders>
          </w:tcPr>
          <w:p w14:paraId="7C6B49BD"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i/>
                <w:iCs/>
              </w:rPr>
              <w:t>F</w:t>
            </w:r>
            <w:r w:rsidRPr="00D77F45">
              <w:rPr>
                <w:rFonts w:ascii="Times New Roman" w:hAnsi="Times New Roman" w:cs="Times New Roman"/>
              </w:rPr>
              <w:t>-change</w:t>
            </w:r>
          </w:p>
        </w:tc>
        <w:tc>
          <w:tcPr>
            <w:tcW w:w="869" w:type="dxa"/>
            <w:tcBorders>
              <w:top w:val="nil"/>
              <w:left w:val="nil"/>
              <w:right w:val="nil"/>
            </w:tcBorders>
          </w:tcPr>
          <w:p w14:paraId="3AF8E520" w14:textId="77777777" w:rsidR="00D77F45" w:rsidRPr="00D77F45" w:rsidRDefault="00D77F45" w:rsidP="00D77F45">
            <w:pPr>
              <w:pStyle w:val="NoSpacing"/>
              <w:jc w:val="center"/>
              <w:rPr>
                <w:rFonts w:ascii="Times New Roman" w:hAnsi="Times New Roman" w:cs="Times New Roman"/>
                <w:iCs/>
              </w:rPr>
            </w:pPr>
            <w:r w:rsidRPr="00D77F45">
              <w:rPr>
                <w:rFonts w:ascii="Times New Roman" w:hAnsi="Times New Roman" w:cs="Times New Roman"/>
                <w:iCs/>
              </w:rPr>
              <w:t>B</w:t>
            </w:r>
          </w:p>
        </w:tc>
        <w:tc>
          <w:tcPr>
            <w:tcW w:w="890" w:type="dxa"/>
            <w:tcBorders>
              <w:top w:val="nil"/>
              <w:left w:val="nil"/>
              <w:right w:val="nil"/>
            </w:tcBorders>
          </w:tcPr>
          <w:p w14:paraId="797AD410"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Cs/>
              </w:rPr>
              <w:t>B</w:t>
            </w:r>
            <w:r w:rsidRPr="00D77F45">
              <w:rPr>
                <w:rFonts w:ascii="Times New Roman" w:hAnsi="Times New Roman" w:cs="Times New Roman"/>
              </w:rPr>
              <w:t>(SE)</w:t>
            </w:r>
          </w:p>
        </w:tc>
        <w:tc>
          <w:tcPr>
            <w:tcW w:w="817" w:type="dxa"/>
            <w:tcBorders>
              <w:top w:val="nil"/>
              <w:left w:val="nil"/>
              <w:right w:val="nil"/>
            </w:tcBorders>
          </w:tcPr>
          <w:p w14:paraId="7826690A"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β</w:t>
            </w:r>
          </w:p>
        </w:tc>
        <w:tc>
          <w:tcPr>
            <w:tcW w:w="1038" w:type="dxa"/>
            <w:tcBorders>
              <w:top w:val="nil"/>
              <w:left w:val="nil"/>
              <w:right w:val="nil"/>
            </w:tcBorders>
          </w:tcPr>
          <w:p w14:paraId="74988EF4" w14:textId="77777777" w:rsidR="00D77F45" w:rsidRPr="00D77F45" w:rsidRDefault="00D77F45" w:rsidP="00D77F45">
            <w:pPr>
              <w:pStyle w:val="NoSpacing"/>
              <w:jc w:val="center"/>
              <w:rPr>
                <w:rFonts w:ascii="Times New Roman" w:hAnsi="Times New Roman" w:cs="Times New Roman"/>
                <w:i/>
              </w:rPr>
            </w:pPr>
            <w:r w:rsidRPr="00D77F45">
              <w:rPr>
                <w:rFonts w:ascii="Times New Roman" w:hAnsi="Times New Roman" w:cs="Times New Roman"/>
                <w:i/>
              </w:rPr>
              <w:t>p</w:t>
            </w:r>
          </w:p>
        </w:tc>
      </w:tr>
      <w:tr w:rsidR="00D77F45" w:rsidRPr="00D77F45" w14:paraId="2E5C9641" w14:textId="77777777" w:rsidTr="00D77F45">
        <w:trPr>
          <w:trHeight w:val="367"/>
        </w:trPr>
        <w:tc>
          <w:tcPr>
            <w:tcW w:w="1669" w:type="dxa"/>
            <w:tcBorders>
              <w:left w:val="nil"/>
              <w:bottom w:val="nil"/>
              <w:right w:val="nil"/>
            </w:tcBorders>
          </w:tcPr>
          <w:p w14:paraId="74BC0EC4" w14:textId="77777777" w:rsidR="00D77F45" w:rsidRPr="00D77F45" w:rsidRDefault="00D77F45" w:rsidP="00D77F45">
            <w:pPr>
              <w:pStyle w:val="NoSpacing"/>
              <w:rPr>
                <w:rFonts w:ascii="Times New Roman" w:hAnsi="Times New Roman" w:cs="Times New Roman"/>
                <w:i/>
              </w:rPr>
            </w:pPr>
            <w:r w:rsidRPr="00D77F45">
              <w:rPr>
                <w:rFonts w:ascii="Times New Roman" w:hAnsi="Times New Roman" w:cs="Times New Roman"/>
                <w:i/>
              </w:rPr>
              <w:t>Step 1</w:t>
            </w:r>
          </w:p>
        </w:tc>
        <w:tc>
          <w:tcPr>
            <w:tcW w:w="1252" w:type="dxa"/>
            <w:tcBorders>
              <w:left w:val="nil"/>
              <w:bottom w:val="nil"/>
              <w:right w:val="nil"/>
            </w:tcBorders>
          </w:tcPr>
          <w:p w14:paraId="6D8F7255" w14:textId="77777777" w:rsidR="00D77F45" w:rsidRPr="00D77F45" w:rsidRDefault="00D77F45" w:rsidP="00D77F45">
            <w:pPr>
              <w:pStyle w:val="NoSpacing"/>
              <w:rPr>
                <w:rFonts w:ascii="Times New Roman" w:hAnsi="Times New Roman" w:cs="Times New Roman"/>
              </w:rPr>
            </w:pPr>
          </w:p>
        </w:tc>
        <w:tc>
          <w:tcPr>
            <w:tcW w:w="2355" w:type="dxa"/>
            <w:tcBorders>
              <w:left w:val="nil"/>
              <w:bottom w:val="nil"/>
              <w:right w:val="nil"/>
            </w:tcBorders>
          </w:tcPr>
          <w:p w14:paraId="33220DE8" w14:textId="77777777" w:rsidR="00D77F45" w:rsidRPr="00D77F45" w:rsidRDefault="00D77F45" w:rsidP="00D77F45">
            <w:pPr>
              <w:pStyle w:val="NoSpacing"/>
              <w:rPr>
                <w:rFonts w:ascii="Times New Roman" w:hAnsi="Times New Roman" w:cs="Times New Roman"/>
              </w:rPr>
            </w:pPr>
          </w:p>
        </w:tc>
        <w:tc>
          <w:tcPr>
            <w:tcW w:w="869" w:type="dxa"/>
            <w:tcBorders>
              <w:left w:val="nil"/>
              <w:bottom w:val="nil"/>
              <w:right w:val="nil"/>
            </w:tcBorders>
          </w:tcPr>
          <w:p w14:paraId="3C7C4DD4" w14:textId="77777777" w:rsidR="00D77F45" w:rsidRPr="00D77F45" w:rsidRDefault="00D77F45" w:rsidP="00D77F45">
            <w:pPr>
              <w:pStyle w:val="NoSpacing"/>
              <w:jc w:val="center"/>
              <w:rPr>
                <w:rFonts w:ascii="Times New Roman" w:hAnsi="Times New Roman" w:cs="Times New Roman"/>
              </w:rPr>
            </w:pPr>
          </w:p>
        </w:tc>
        <w:tc>
          <w:tcPr>
            <w:tcW w:w="890" w:type="dxa"/>
            <w:tcBorders>
              <w:left w:val="nil"/>
              <w:bottom w:val="nil"/>
              <w:right w:val="nil"/>
            </w:tcBorders>
          </w:tcPr>
          <w:p w14:paraId="07C2A1F9" w14:textId="77777777" w:rsidR="00D77F45" w:rsidRPr="00D77F45" w:rsidRDefault="00D77F45" w:rsidP="00D77F45">
            <w:pPr>
              <w:pStyle w:val="NoSpacing"/>
              <w:jc w:val="center"/>
              <w:rPr>
                <w:rFonts w:ascii="Times New Roman" w:hAnsi="Times New Roman" w:cs="Times New Roman"/>
              </w:rPr>
            </w:pPr>
          </w:p>
        </w:tc>
        <w:tc>
          <w:tcPr>
            <w:tcW w:w="817" w:type="dxa"/>
            <w:tcBorders>
              <w:left w:val="nil"/>
              <w:bottom w:val="nil"/>
              <w:right w:val="nil"/>
            </w:tcBorders>
          </w:tcPr>
          <w:p w14:paraId="50CC8CC5" w14:textId="77777777" w:rsidR="00D77F45" w:rsidRPr="00D77F45" w:rsidRDefault="00D77F45" w:rsidP="00D77F45">
            <w:pPr>
              <w:pStyle w:val="NoSpacing"/>
              <w:jc w:val="center"/>
              <w:rPr>
                <w:rFonts w:ascii="Times New Roman" w:hAnsi="Times New Roman" w:cs="Times New Roman"/>
              </w:rPr>
            </w:pPr>
          </w:p>
        </w:tc>
        <w:tc>
          <w:tcPr>
            <w:tcW w:w="1038" w:type="dxa"/>
            <w:tcBorders>
              <w:left w:val="nil"/>
              <w:bottom w:val="nil"/>
              <w:right w:val="nil"/>
            </w:tcBorders>
          </w:tcPr>
          <w:p w14:paraId="52414E10" w14:textId="77777777" w:rsidR="00D77F45" w:rsidRPr="00D77F45" w:rsidRDefault="00D77F45" w:rsidP="00D77F45">
            <w:pPr>
              <w:pStyle w:val="NoSpacing"/>
              <w:jc w:val="center"/>
              <w:rPr>
                <w:rFonts w:ascii="Times New Roman" w:hAnsi="Times New Roman" w:cs="Times New Roman"/>
              </w:rPr>
            </w:pPr>
          </w:p>
        </w:tc>
      </w:tr>
      <w:tr w:rsidR="00D77F45" w:rsidRPr="00D77F45" w14:paraId="377FF8D6" w14:textId="77777777" w:rsidTr="00D77F45">
        <w:trPr>
          <w:trHeight w:val="408"/>
        </w:trPr>
        <w:tc>
          <w:tcPr>
            <w:tcW w:w="1669" w:type="dxa"/>
            <w:tcBorders>
              <w:top w:val="nil"/>
              <w:left w:val="nil"/>
              <w:bottom w:val="nil"/>
              <w:right w:val="nil"/>
            </w:tcBorders>
          </w:tcPr>
          <w:p w14:paraId="30FCF84E"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Age</w:t>
            </w:r>
          </w:p>
        </w:tc>
        <w:tc>
          <w:tcPr>
            <w:tcW w:w="1252" w:type="dxa"/>
            <w:tcBorders>
              <w:top w:val="nil"/>
              <w:left w:val="nil"/>
              <w:bottom w:val="nil"/>
              <w:right w:val="nil"/>
            </w:tcBorders>
          </w:tcPr>
          <w:p w14:paraId="73CEA71E"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.06</w:t>
            </w:r>
          </w:p>
        </w:tc>
        <w:tc>
          <w:tcPr>
            <w:tcW w:w="2355" w:type="dxa"/>
            <w:tcBorders>
              <w:top w:val="nil"/>
              <w:left w:val="nil"/>
              <w:bottom w:val="nil"/>
              <w:right w:val="nil"/>
            </w:tcBorders>
          </w:tcPr>
          <w:p w14:paraId="59EE217C" w14:textId="77777777" w:rsidR="00D77F45" w:rsidRPr="00D77F45" w:rsidRDefault="00D77F45" w:rsidP="00D77F45">
            <w:pPr>
              <w:pStyle w:val="NoSpacing"/>
              <w:rPr>
                <w:rFonts w:ascii="Times New Roman" w:hAnsi="Times New Roman" w:cs="Times New Roman"/>
              </w:rPr>
            </w:pPr>
            <w:proofErr w:type="gramStart"/>
            <w:r w:rsidRPr="00D77F45">
              <w:rPr>
                <w:rFonts w:ascii="Times New Roman" w:hAnsi="Times New Roman" w:cs="Times New Roman"/>
                <w:i/>
                <w:iCs/>
              </w:rPr>
              <w:t>F</w:t>
            </w:r>
            <w:r w:rsidRPr="00D77F45">
              <w:rPr>
                <w:rFonts w:ascii="Times New Roman" w:hAnsi="Times New Roman" w:cs="Times New Roman"/>
              </w:rPr>
              <w:t>(</w:t>
            </w:r>
            <w:proofErr w:type="gramEnd"/>
            <w:r w:rsidRPr="00D77F45">
              <w:rPr>
                <w:rFonts w:ascii="Times New Roman" w:hAnsi="Times New Roman" w:cs="Times New Roman"/>
              </w:rPr>
              <w:t>2, 538) = 15.56***</w:t>
            </w:r>
          </w:p>
        </w:tc>
        <w:tc>
          <w:tcPr>
            <w:tcW w:w="869" w:type="dxa"/>
            <w:tcBorders>
              <w:top w:val="nil"/>
              <w:left w:val="nil"/>
              <w:bottom w:val="nil"/>
              <w:right w:val="nil"/>
            </w:tcBorders>
          </w:tcPr>
          <w:p w14:paraId="1F8767FE"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-.07</w:t>
            </w:r>
          </w:p>
        </w:tc>
        <w:tc>
          <w:tcPr>
            <w:tcW w:w="890" w:type="dxa"/>
            <w:tcBorders>
              <w:top w:val="nil"/>
              <w:left w:val="nil"/>
              <w:bottom w:val="nil"/>
              <w:right w:val="nil"/>
            </w:tcBorders>
          </w:tcPr>
          <w:p w14:paraId="28AD3BDD"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.02</w:t>
            </w:r>
          </w:p>
        </w:tc>
        <w:tc>
          <w:tcPr>
            <w:tcW w:w="817" w:type="dxa"/>
            <w:tcBorders>
              <w:top w:val="nil"/>
              <w:left w:val="nil"/>
              <w:bottom w:val="nil"/>
              <w:right w:val="nil"/>
            </w:tcBorders>
          </w:tcPr>
          <w:p w14:paraId="18DE56CB"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-.18</w:t>
            </w:r>
          </w:p>
        </w:tc>
        <w:tc>
          <w:tcPr>
            <w:tcW w:w="1038" w:type="dxa"/>
            <w:tcBorders>
              <w:top w:val="nil"/>
              <w:left w:val="nil"/>
              <w:bottom w:val="nil"/>
              <w:right w:val="nil"/>
            </w:tcBorders>
          </w:tcPr>
          <w:p w14:paraId="24B4647E"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
              </w:rPr>
              <w:t xml:space="preserve">p </w:t>
            </w:r>
            <w:r w:rsidRPr="00D77F45">
              <w:rPr>
                <w:rFonts w:ascii="Times New Roman" w:hAnsi="Times New Roman" w:cs="Times New Roman"/>
              </w:rPr>
              <w:t>&lt; .001</w:t>
            </w:r>
          </w:p>
        </w:tc>
      </w:tr>
      <w:tr w:rsidR="00D77F45" w:rsidRPr="00D77F45" w14:paraId="65052B9F" w14:textId="77777777" w:rsidTr="00D77F45">
        <w:trPr>
          <w:trHeight w:val="468"/>
        </w:trPr>
        <w:tc>
          <w:tcPr>
            <w:tcW w:w="1669" w:type="dxa"/>
            <w:tcBorders>
              <w:top w:val="nil"/>
              <w:left w:val="nil"/>
              <w:bottom w:val="nil"/>
              <w:right w:val="nil"/>
            </w:tcBorders>
          </w:tcPr>
          <w:p w14:paraId="4379F306"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Gender</w:t>
            </w:r>
          </w:p>
        </w:tc>
        <w:tc>
          <w:tcPr>
            <w:tcW w:w="1252" w:type="dxa"/>
            <w:tcBorders>
              <w:top w:val="nil"/>
              <w:left w:val="nil"/>
              <w:bottom w:val="nil"/>
              <w:right w:val="nil"/>
            </w:tcBorders>
          </w:tcPr>
          <w:p w14:paraId="386CF962" w14:textId="77777777" w:rsidR="00D77F45" w:rsidRPr="00D77F45" w:rsidRDefault="00D77F45" w:rsidP="00D77F45">
            <w:pPr>
              <w:pStyle w:val="NoSpacing"/>
              <w:rPr>
                <w:rFonts w:ascii="Times New Roman" w:hAnsi="Times New Roman" w:cs="Times New Roman"/>
              </w:rPr>
            </w:pPr>
          </w:p>
        </w:tc>
        <w:tc>
          <w:tcPr>
            <w:tcW w:w="2355" w:type="dxa"/>
            <w:tcBorders>
              <w:top w:val="nil"/>
              <w:left w:val="nil"/>
              <w:bottom w:val="nil"/>
              <w:right w:val="nil"/>
            </w:tcBorders>
          </w:tcPr>
          <w:p w14:paraId="47A7F407" w14:textId="77777777" w:rsidR="00D77F45" w:rsidRPr="00D77F45" w:rsidRDefault="00D77F45" w:rsidP="00D77F45">
            <w:pPr>
              <w:pStyle w:val="NoSpacing"/>
              <w:rPr>
                <w:rFonts w:ascii="Times New Roman" w:hAnsi="Times New Roman" w:cs="Times New Roman"/>
              </w:rPr>
            </w:pPr>
          </w:p>
        </w:tc>
        <w:tc>
          <w:tcPr>
            <w:tcW w:w="869" w:type="dxa"/>
            <w:tcBorders>
              <w:top w:val="nil"/>
              <w:left w:val="nil"/>
              <w:bottom w:val="nil"/>
              <w:right w:val="nil"/>
            </w:tcBorders>
          </w:tcPr>
          <w:p w14:paraId="114978B4"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.23</w:t>
            </w:r>
          </w:p>
        </w:tc>
        <w:tc>
          <w:tcPr>
            <w:tcW w:w="890" w:type="dxa"/>
            <w:tcBorders>
              <w:top w:val="nil"/>
              <w:left w:val="nil"/>
              <w:bottom w:val="nil"/>
              <w:right w:val="nil"/>
            </w:tcBorders>
          </w:tcPr>
          <w:p w14:paraId="4AA841CB"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.51</w:t>
            </w:r>
          </w:p>
        </w:tc>
        <w:tc>
          <w:tcPr>
            <w:tcW w:w="817" w:type="dxa"/>
            <w:tcBorders>
              <w:top w:val="nil"/>
              <w:left w:val="nil"/>
              <w:bottom w:val="nil"/>
              <w:right w:val="nil"/>
            </w:tcBorders>
          </w:tcPr>
          <w:p w14:paraId="33F0EFA0"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.02</w:t>
            </w:r>
          </w:p>
        </w:tc>
        <w:tc>
          <w:tcPr>
            <w:tcW w:w="1038" w:type="dxa"/>
            <w:tcBorders>
              <w:top w:val="nil"/>
              <w:left w:val="nil"/>
              <w:bottom w:val="nil"/>
              <w:right w:val="nil"/>
            </w:tcBorders>
          </w:tcPr>
          <w:p w14:paraId="3D258FA9"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
              </w:rPr>
              <w:t xml:space="preserve">p </w:t>
            </w:r>
            <w:r w:rsidRPr="00D77F45">
              <w:rPr>
                <w:rFonts w:ascii="Times New Roman" w:hAnsi="Times New Roman" w:cs="Times New Roman"/>
              </w:rPr>
              <w:t>= .65</w:t>
            </w:r>
          </w:p>
        </w:tc>
      </w:tr>
      <w:tr w:rsidR="00D77F45" w:rsidRPr="00D77F45" w14:paraId="397B1B6E" w14:textId="77777777" w:rsidTr="00D77F45">
        <w:trPr>
          <w:trHeight w:val="345"/>
        </w:trPr>
        <w:tc>
          <w:tcPr>
            <w:tcW w:w="1669" w:type="dxa"/>
            <w:tcBorders>
              <w:top w:val="nil"/>
              <w:left w:val="nil"/>
              <w:bottom w:val="nil"/>
              <w:right w:val="nil"/>
            </w:tcBorders>
          </w:tcPr>
          <w:p w14:paraId="12675BD0" w14:textId="77777777" w:rsidR="00D77F45" w:rsidRPr="00D77F45" w:rsidRDefault="00D77F45" w:rsidP="00D77F45">
            <w:pPr>
              <w:pStyle w:val="NoSpacing"/>
              <w:rPr>
                <w:rFonts w:ascii="Times New Roman" w:hAnsi="Times New Roman" w:cs="Times New Roman"/>
                <w:i/>
              </w:rPr>
            </w:pPr>
            <w:r w:rsidRPr="00D77F45">
              <w:rPr>
                <w:rFonts w:ascii="Times New Roman" w:hAnsi="Times New Roman" w:cs="Times New Roman"/>
                <w:i/>
              </w:rPr>
              <w:t>Step 2</w:t>
            </w:r>
          </w:p>
        </w:tc>
        <w:tc>
          <w:tcPr>
            <w:tcW w:w="1252" w:type="dxa"/>
            <w:tcBorders>
              <w:top w:val="nil"/>
              <w:left w:val="nil"/>
              <w:bottom w:val="nil"/>
              <w:right w:val="nil"/>
            </w:tcBorders>
          </w:tcPr>
          <w:p w14:paraId="223A075E" w14:textId="77777777" w:rsidR="00D77F45" w:rsidRPr="00D77F45" w:rsidRDefault="00D77F45" w:rsidP="00D77F45">
            <w:pPr>
              <w:pStyle w:val="NoSpacing"/>
              <w:rPr>
                <w:rFonts w:ascii="Times New Roman" w:hAnsi="Times New Roman" w:cs="Times New Roman"/>
              </w:rPr>
            </w:pPr>
          </w:p>
        </w:tc>
        <w:tc>
          <w:tcPr>
            <w:tcW w:w="2355" w:type="dxa"/>
            <w:tcBorders>
              <w:top w:val="nil"/>
              <w:left w:val="nil"/>
              <w:bottom w:val="nil"/>
              <w:right w:val="nil"/>
            </w:tcBorders>
          </w:tcPr>
          <w:p w14:paraId="27395B98" w14:textId="77777777" w:rsidR="00D77F45" w:rsidRPr="00D77F45" w:rsidRDefault="00D77F45" w:rsidP="00D77F45">
            <w:pPr>
              <w:pStyle w:val="NoSpacing"/>
              <w:rPr>
                <w:rFonts w:ascii="Times New Roman" w:hAnsi="Times New Roman" w:cs="Times New Roman"/>
              </w:rPr>
            </w:pPr>
          </w:p>
        </w:tc>
        <w:tc>
          <w:tcPr>
            <w:tcW w:w="869" w:type="dxa"/>
            <w:tcBorders>
              <w:top w:val="nil"/>
              <w:left w:val="nil"/>
              <w:bottom w:val="nil"/>
              <w:right w:val="nil"/>
            </w:tcBorders>
          </w:tcPr>
          <w:p w14:paraId="5E7BA3C5" w14:textId="77777777" w:rsidR="00D77F45" w:rsidRPr="00D77F45" w:rsidRDefault="00D77F45" w:rsidP="00D77F45">
            <w:pPr>
              <w:pStyle w:val="NoSpacing"/>
              <w:jc w:val="center"/>
              <w:rPr>
                <w:rFonts w:ascii="Times New Roman" w:hAnsi="Times New Roman" w:cs="Times New Roman"/>
              </w:rPr>
            </w:pPr>
          </w:p>
        </w:tc>
        <w:tc>
          <w:tcPr>
            <w:tcW w:w="890" w:type="dxa"/>
            <w:tcBorders>
              <w:top w:val="nil"/>
              <w:left w:val="nil"/>
              <w:bottom w:val="nil"/>
              <w:right w:val="nil"/>
            </w:tcBorders>
          </w:tcPr>
          <w:p w14:paraId="48469655" w14:textId="77777777" w:rsidR="00D77F45" w:rsidRPr="00D77F45" w:rsidRDefault="00D77F45" w:rsidP="00D77F45">
            <w:pPr>
              <w:pStyle w:val="NoSpacing"/>
              <w:jc w:val="center"/>
              <w:rPr>
                <w:rFonts w:ascii="Times New Roman" w:hAnsi="Times New Roman" w:cs="Times New Roman"/>
              </w:rPr>
            </w:pPr>
          </w:p>
        </w:tc>
        <w:tc>
          <w:tcPr>
            <w:tcW w:w="817" w:type="dxa"/>
            <w:tcBorders>
              <w:top w:val="nil"/>
              <w:left w:val="nil"/>
              <w:bottom w:val="nil"/>
              <w:right w:val="nil"/>
            </w:tcBorders>
          </w:tcPr>
          <w:p w14:paraId="57020595" w14:textId="77777777" w:rsidR="00D77F45" w:rsidRPr="00D77F45" w:rsidRDefault="00D77F45" w:rsidP="00D77F45">
            <w:pPr>
              <w:pStyle w:val="NoSpacing"/>
              <w:jc w:val="center"/>
              <w:rPr>
                <w:rFonts w:ascii="Times New Roman" w:hAnsi="Times New Roman" w:cs="Times New Roman"/>
              </w:rPr>
            </w:pPr>
          </w:p>
        </w:tc>
        <w:tc>
          <w:tcPr>
            <w:tcW w:w="1038" w:type="dxa"/>
            <w:tcBorders>
              <w:top w:val="nil"/>
              <w:left w:val="nil"/>
              <w:bottom w:val="nil"/>
              <w:right w:val="nil"/>
            </w:tcBorders>
          </w:tcPr>
          <w:p w14:paraId="039D02A5" w14:textId="77777777" w:rsidR="00D77F45" w:rsidRPr="00D77F45" w:rsidRDefault="00D77F45" w:rsidP="00D77F45">
            <w:pPr>
              <w:pStyle w:val="NoSpacing"/>
              <w:jc w:val="center"/>
              <w:rPr>
                <w:rFonts w:ascii="Times New Roman" w:hAnsi="Times New Roman" w:cs="Times New Roman"/>
              </w:rPr>
            </w:pPr>
          </w:p>
        </w:tc>
      </w:tr>
      <w:tr w:rsidR="00D77F45" w:rsidRPr="00D77F45" w14:paraId="6CE43710" w14:textId="77777777" w:rsidTr="00D77F45">
        <w:trPr>
          <w:trHeight w:val="373"/>
        </w:trPr>
        <w:tc>
          <w:tcPr>
            <w:tcW w:w="1669" w:type="dxa"/>
            <w:tcBorders>
              <w:top w:val="nil"/>
              <w:left w:val="nil"/>
              <w:bottom w:val="nil"/>
              <w:right w:val="nil"/>
            </w:tcBorders>
          </w:tcPr>
          <w:p w14:paraId="42D81A3C"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Presence</w:t>
            </w:r>
          </w:p>
        </w:tc>
        <w:tc>
          <w:tcPr>
            <w:tcW w:w="1252" w:type="dxa"/>
            <w:tcBorders>
              <w:top w:val="nil"/>
              <w:left w:val="nil"/>
              <w:bottom w:val="nil"/>
              <w:right w:val="nil"/>
            </w:tcBorders>
          </w:tcPr>
          <w:p w14:paraId="77735060"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.06</w:t>
            </w:r>
          </w:p>
        </w:tc>
        <w:tc>
          <w:tcPr>
            <w:tcW w:w="2355" w:type="dxa"/>
            <w:tcBorders>
              <w:top w:val="nil"/>
              <w:left w:val="nil"/>
              <w:bottom w:val="nil"/>
              <w:right w:val="nil"/>
            </w:tcBorders>
          </w:tcPr>
          <w:p w14:paraId="1DDF7840" w14:textId="77777777" w:rsidR="00D77F45" w:rsidRPr="00D77F45" w:rsidRDefault="00D77F45" w:rsidP="00D77F45">
            <w:pPr>
              <w:pStyle w:val="NoSpacing"/>
              <w:rPr>
                <w:rFonts w:ascii="Times New Roman" w:hAnsi="Times New Roman" w:cs="Times New Roman"/>
              </w:rPr>
            </w:pPr>
            <w:proofErr w:type="gramStart"/>
            <w:r w:rsidRPr="00D77F45">
              <w:rPr>
                <w:rFonts w:ascii="Times New Roman" w:hAnsi="Times New Roman" w:cs="Times New Roman"/>
                <w:i/>
                <w:iCs/>
              </w:rPr>
              <w:t>F</w:t>
            </w:r>
            <w:r w:rsidRPr="00D77F45">
              <w:rPr>
                <w:rFonts w:ascii="Times New Roman" w:hAnsi="Times New Roman" w:cs="Times New Roman"/>
              </w:rPr>
              <w:t>(</w:t>
            </w:r>
            <w:proofErr w:type="gramEnd"/>
            <w:r w:rsidRPr="00D77F45">
              <w:rPr>
                <w:rFonts w:ascii="Times New Roman" w:hAnsi="Times New Roman" w:cs="Times New Roman"/>
              </w:rPr>
              <w:t>2, 536) = 18.96***</w:t>
            </w:r>
          </w:p>
        </w:tc>
        <w:tc>
          <w:tcPr>
            <w:tcW w:w="869" w:type="dxa"/>
            <w:tcBorders>
              <w:top w:val="nil"/>
              <w:left w:val="nil"/>
              <w:bottom w:val="nil"/>
              <w:right w:val="nil"/>
            </w:tcBorders>
          </w:tcPr>
          <w:p w14:paraId="2114EF04"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-.22</w:t>
            </w:r>
          </w:p>
        </w:tc>
        <w:tc>
          <w:tcPr>
            <w:tcW w:w="890" w:type="dxa"/>
            <w:tcBorders>
              <w:top w:val="nil"/>
              <w:left w:val="nil"/>
              <w:bottom w:val="nil"/>
              <w:right w:val="nil"/>
            </w:tcBorders>
          </w:tcPr>
          <w:p w14:paraId="3B223609"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.04</w:t>
            </w:r>
          </w:p>
        </w:tc>
        <w:tc>
          <w:tcPr>
            <w:tcW w:w="817" w:type="dxa"/>
            <w:tcBorders>
              <w:top w:val="nil"/>
              <w:left w:val="nil"/>
              <w:bottom w:val="nil"/>
              <w:right w:val="nil"/>
            </w:tcBorders>
          </w:tcPr>
          <w:p w14:paraId="2A7FB8FC"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-.26</w:t>
            </w:r>
          </w:p>
        </w:tc>
        <w:tc>
          <w:tcPr>
            <w:tcW w:w="1038" w:type="dxa"/>
            <w:tcBorders>
              <w:top w:val="nil"/>
              <w:left w:val="nil"/>
              <w:bottom w:val="nil"/>
              <w:right w:val="nil"/>
            </w:tcBorders>
          </w:tcPr>
          <w:p w14:paraId="00E85A7E"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
              </w:rPr>
              <w:t xml:space="preserve">p </w:t>
            </w:r>
            <w:r w:rsidRPr="00D77F45">
              <w:rPr>
                <w:rFonts w:ascii="Times New Roman" w:hAnsi="Times New Roman" w:cs="Times New Roman"/>
              </w:rPr>
              <w:t>&lt; .001</w:t>
            </w:r>
          </w:p>
        </w:tc>
      </w:tr>
      <w:tr w:rsidR="00D77F45" w:rsidRPr="00D77F45" w14:paraId="07134749" w14:textId="77777777" w:rsidTr="00D77F45">
        <w:trPr>
          <w:trHeight w:val="491"/>
        </w:trPr>
        <w:tc>
          <w:tcPr>
            <w:tcW w:w="1669" w:type="dxa"/>
            <w:tcBorders>
              <w:top w:val="nil"/>
              <w:left w:val="nil"/>
              <w:bottom w:val="nil"/>
              <w:right w:val="nil"/>
            </w:tcBorders>
          </w:tcPr>
          <w:p w14:paraId="0A214FDC"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Search</w:t>
            </w:r>
          </w:p>
        </w:tc>
        <w:tc>
          <w:tcPr>
            <w:tcW w:w="1252" w:type="dxa"/>
            <w:tcBorders>
              <w:top w:val="nil"/>
              <w:left w:val="nil"/>
              <w:bottom w:val="nil"/>
              <w:right w:val="nil"/>
            </w:tcBorders>
          </w:tcPr>
          <w:p w14:paraId="3B017148" w14:textId="77777777" w:rsidR="00D77F45" w:rsidRPr="00D77F45" w:rsidRDefault="00D77F45" w:rsidP="00D77F45">
            <w:pPr>
              <w:pStyle w:val="NoSpacing"/>
              <w:rPr>
                <w:rFonts w:ascii="Times New Roman" w:hAnsi="Times New Roman" w:cs="Times New Roman"/>
              </w:rPr>
            </w:pPr>
          </w:p>
        </w:tc>
        <w:tc>
          <w:tcPr>
            <w:tcW w:w="2355" w:type="dxa"/>
            <w:tcBorders>
              <w:top w:val="nil"/>
              <w:left w:val="nil"/>
              <w:bottom w:val="nil"/>
              <w:right w:val="nil"/>
            </w:tcBorders>
          </w:tcPr>
          <w:p w14:paraId="4163A023" w14:textId="77777777" w:rsidR="00D77F45" w:rsidRPr="00D77F45" w:rsidRDefault="00D77F45" w:rsidP="00D77F45">
            <w:pPr>
              <w:pStyle w:val="NoSpacing"/>
              <w:rPr>
                <w:rFonts w:ascii="Times New Roman" w:hAnsi="Times New Roman" w:cs="Times New Roman"/>
              </w:rPr>
            </w:pPr>
          </w:p>
        </w:tc>
        <w:tc>
          <w:tcPr>
            <w:tcW w:w="869" w:type="dxa"/>
            <w:tcBorders>
              <w:top w:val="nil"/>
              <w:left w:val="nil"/>
              <w:bottom w:val="nil"/>
              <w:right w:val="nil"/>
            </w:tcBorders>
          </w:tcPr>
          <w:p w14:paraId="26033569"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-.02</w:t>
            </w:r>
          </w:p>
        </w:tc>
        <w:tc>
          <w:tcPr>
            <w:tcW w:w="890" w:type="dxa"/>
            <w:tcBorders>
              <w:top w:val="nil"/>
              <w:left w:val="nil"/>
              <w:bottom w:val="nil"/>
              <w:right w:val="nil"/>
            </w:tcBorders>
          </w:tcPr>
          <w:p w14:paraId="6424B6B0"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.04</w:t>
            </w:r>
          </w:p>
        </w:tc>
        <w:tc>
          <w:tcPr>
            <w:tcW w:w="817" w:type="dxa"/>
            <w:tcBorders>
              <w:top w:val="nil"/>
              <w:left w:val="nil"/>
              <w:bottom w:val="nil"/>
              <w:right w:val="nil"/>
            </w:tcBorders>
          </w:tcPr>
          <w:p w14:paraId="6F816AF5"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-.03</w:t>
            </w:r>
          </w:p>
        </w:tc>
        <w:tc>
          <w:tcPr>
            <w:tcW w:w="1038" w:type="dxa"/>
            <w:tcBorders>
              <w:top w:val="nil"/>
              <w:left w:val="nil"/>
              <w:bottom w:val="nil"/>
              <w:right w:val="nil"/>
            </w:tcBorders>
          </w:tcPr>
          <w:p w14:paraId="52F11DDB"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
              </w:rPr>
              <w:t xml:space="preserve">p </w:t>
            </w:r>
            <w:r w:rsidRPr="00D77F45">
              <w:rPr>
                <w:rFonts w:ascii="Times New Roman" w:hAnsi="Times New Roman" w:cs="Times New Roman"/>
              </w:rPr>
              <w:t>= .53</w:t>
            </w:r>
          </w:p>
        </w:tc>
      </w:tr>
      <w:tr w:rsidR="00D77F45" w:rsidRPr="00D77F45" w14:paraId="7EC9D167" w14:textId="77777777" w:rsidTr="00D77F45">
        <w:trPr>
          <w:trHeight w:val="318"/>
        </w:trPr>
        <w:tc>
          <w:tcPr>
            <w:tcW w:w="1669" w:type="dxa"/>
            <w:tcBorders>
              <w:top w:val="nil"/>
              <w:left w:val="nil"/>
              <w:bottom w:val="nil"/>
              <w:right w:val="nil"/>
            </w:tcBorders>
          </w:tcPr>
          <w:p w14:paraId="09A25E24" w14:textId="77777777" w:rsidR="00D77F45" w:rsidRPr="00D77F45" w:rsidRDefault="00D77F45" w:rsidP="00D77F45">
            <w:pPr>
              <w:pStyle w:val="NoSpacing"/>
              <w:rPr>
                <w:rFonts w:ascii="Times New Roman" w:hAnsi="Times New Roman" w:cs="Times New Roman"/>
                <w:i/>
              </w:rPr>
            </w:pPr>
            <w:r w:rsidRPr="00D77F45">
              <w:rPr>
                <w:rFonts w:ascii="Times New Roman" w:hAnsi="Times New Roman" w:cs="Times New Roman"/>
                <w:i/>
              </w:rPr>
              <w:t>Step 3</w:t>
            </w:r>
          </w:p>
        </w:tc>
        <w:tc>
          <w:tcPr>
            <w:tcW w:w="1252" w:type="dxa"/>
            <w:tcBorders>
              <w:top w:val="nil"/>
              <w:left w:val="nil"/>
              <w:bottom w:val="nil"/>
              <w:right w:val="nil"/>
            </w:tcBorders>
          </w:tcPr>
          <w:p w14:paraId="35023B68" w14:textId="77777777" w:rsidR="00D77F45" w:rsidRPr="00D77F45" w:rsidRDefault="00D77F45" w:rsidP="00D77F45">
            <w:pPr>
              <w:pStyle w:val="NoSpacing"/>
              <w:rPr>
                <w:rFonts w:ascii="Times New Roman" w:hAnsi="Times New Roman" w:cs="Times New Roman"/>
              </w:rPr>
            </w:pPr>
          </w:p>
        </w:tc>
        <w:tc>
          <w:tcPr>
            <w:tcW w:w="2355" w:type="dxa"/>
            <w:tcBorders>
              <w:top w:val="nil"/>
              <w:left w:val="nil"/>
              <w:bottom w:val="nil"/>
              <w:right w:val="nil"/>
            </w:tcBorders>
          </w:tcPr>
          <w:p w14:paraId="31ADE4B1" w14:textId="77777777" w:rsidR="00D77F45" w:rsidRPr="00D77F45" w:rsidRDefault="00D77F45" w:rsidP="00D77F45">
            <w:pPr>
              <w:pStyle w:val="NoSpacing"/>
              <w:rPr>
                <w:rFonts w:ascii="Times New Roman" w:hAnsi="Times New Roman" w:cs="Times New Roman"/>
              </w:rPr>
            </w:pPr>
          </w:p>
        </w:tc>
        <w:tc>
          <w:tcPr>
            <w:tcW w:w="869" w:type="dxa"/>
            <w:tcBorders>
              <w:top w:val="nil"/>
              <w:left w:val="nil"/>
              <w:bottom w:val="nil"/>
              <w:right w:val="nil"/>
            </w:tcBorders>
          </w:tcPr>
          <w:p w14:paraId="772B20F5" w14:textId="77777777" w:rsidR="00D77F45" w:rsidRPr="00D77F45" w:rsidRDefault="00D77F45" w:rsidP="00D77F45">
            <w:pPr>
              <w:pStyle w:val="NoSpacing"/>
              <w:jc w:val="center"/>
              <w:rPr>
                <w:rFonts w:ascii="Times New Roman" w:hAnsi="Times New Roman" w:cs="Times New Roman"/>
              </w:rPr>
            </w:pPr>
          </w:p>
        </w:tc>
        <w:tc>
          <w:tcPr>
            <w:tcW w:w="890" w:type="dxa"/>
            <w:tcBorders>
              <w:top w:val="nil"/>
              <w:left w:val="nil"/>
              <w:bottom w:val="nil"/>
              <w:right w:val="nil"/>
            </w:tcBorders>
          </w:tcPr>
          <w:p w14:paraId="4C9C3BDB" w14:textId="77777777" w:rsidR="00D77F45" w:rsidRPr="00D77F45" w:rsidRDefault="00D77F45" w:rsidP="00D77F45">
            <w:pPr>
              <w:pStyle w:val="NoSpacing"/>
              <w:jc w:val="center"/>
              <w:rPr>
                <w:rFonts w:ascii="Times New Roman" w:hAnsi="Times New Roman" w:cs="Times New Roman"/>
              </w:rPr>
            </w:pPr>
          </w:p>
        </w:tc>
        <w:tc>
          <w:tcPr>
            <w:tcW w:w="817" w:type="dxa"/>
            <w:tcBorders>
              <w:top w:val="nil"/>
              <w:left w:val="nil"/>
              <w:bottom w:val="nil"/>
              <w:right w:val="nil"/>
            </w:tcBorders>
          </w:tcPr>
          <w:p w14:paraId="20B12D48" w14:textId="77777777" w:rsidR="00D77F45" w:rsidRPr="00D77F45" w:rsidRDefault="00D77F45" w:rsidP="00D77F45">
            <w:pPr>
              <w:pStyle w:val="NoSpacing"/>
              <w:jc w:val="center"/>
              <w:rPr>
                <w:rFonts w:ascii="Times New Roman" w:hAnsi="Times New Roman" w:cs="Times New Roman"/>
              </w:rPr>
            </w:pPr>
          </w:p>
        </w:tc>
        <w:tc>
          <w:tcPr>
            <w:tcW w:w="1038" w:type="dxa"/>
            <w:tcBorders>
              <w:top w:val="nil"/>
              <w:left w:val="nil"/>
              <w:bottom w:val="nil"/>
              <w:right w:val="nil"/>
            </w:tcBorders>
          </w:tcPr>
          <w:p w14:paraId="4822EC23" w14:textId="77777777" w:rsidR="00D77F45" w:rsidRPr="00D77F45" w:rsidRDefault="00D77F45" w:rsidP="00D77F45">
            <w:pPr>
              <w:pStyle w:val="NoSpacing"/>
              <w:jc w:val="center"/>
              <w:rPr>
                <w:rFonts w:ascii="Times New Roman" w:hAnsi="Times New Roman" w:cs="Times New Roman"/>
              </w:rPr>
            </w:pPr>
          </w:p>
        </w:tc>
      </w:tr>
      <w:tr w:rsidR="00D77F45" w:rsidRPr="00D77F45" w14:paraId="0E718E60" w14:textId="77777777" w:rsidTr="00D77F45">
        <w:trPr>
          <w:trHeight w:val="659"/>
        </w:trPr>
        <w:tc>
          <w:tcPr>
            <w:tcW w:w="1669" w:type="dxa"/>
            <w:tcBorders>
              <w:top w:val="nil"/>
              <w:left w:val="nil"/>
              <w:bottom w:val="single" w:sz="12" w:space="0" w:color="000000"/>
              <w:right w:val="nil"/>
            </w:tcBorders>
          </w:tcPr>
          <w:p w14:paraId="1F7362B1"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Alcohol-free reinforcement</w:t>
            </w:r>
          </w:p>
        </w:tc>
        <w:tc>
          <w:tcPr>
            <w:tcW w:w="1252" w:type="dxa"/>
            <w:tcBorders>
              <w:top w:val="nil"/>
              <w:left w:val="nil"/>
              <w:bottom w:val="single" w:sz="12" w:space="0" w:color="000000"/>
              <w:right w:val="nil"/>
            </w:tcBorders>
          </w:tcPr>
          <w:p w14:paraId="289DE6F6" w14:textId="77777777" w:rsidR="00D77F45" w:rsidRPr="00D77F45" w:rsidRDefault="00D77F45" w:rsidP="00D77F45">
            <w:pPr>
              <w:pStyle w:val="NoSpacing"/>
              <w:rPr>
                <w:rFonts w:ascii="Times New Roman" w:hAnsi="Times New Roman" w:cs="Times New Roman"/>
              </w:rPr>
            </w:pPr>
            <w:r w:rsidRPr="00D77F45">
              <w:rPr>
                <w:rFonts w:ascii="Times New Roman" w:hAnsi="Times New Roman" w:cs="Times New Roman"/>
              </w:rPr>
              <w:t>.00</w:t>
            </w:r>
          </w:p>
        </w:tc>
        <w:tc>
          <w:tcPr>
            <w:tcW w:w="2355" w:type="dxa"/>
            <w:tcBorders>
              <w:top w:val="nil"/>
              <w:left w:val="nil"/>
              <w:bottom w:val="single" w:sz="12" w:space="0" w:color="000000"/>
              <w:right w:val="nil"/>
            </w:tcBorders>
          </w:tcPr>
          <w:p w14:paraId="4CB229DB" w14:textId="77777777" w:rsidR="00D77F45" w:rsidRPr="00D77F45" w:rsidRDefault="00D77F45" w:rsidP="00D77F45">
            <w:pPr>
              <w:pStyle w:val="NoSpacing"/>
              <w:rPr>
                <w:rFonts w:ascii="Times New Roman" w:hAnsi="Times New Roman" w:cs="Times New Roman"/>
              </w:rPr>
            </w:pPr>
            <w:proofErr w:type="gramStart"/>
            <w:r w:rsidRPr="00D77F45">
              <w:rPr>
                <w:rFonts w:ascii="Times New Roman" w:hAnsi="Times New Roman" w:cs="Times New Roman"/>
                <w:i/>
                <w:iCs/>
              </w:rPr>
              <w:t>F</w:t>
            </w:r>
            <w:r w:rsidRPr="00D77F45">
              <w:rPr>
                <w:rFonts w:ascii="Times New Roman" w:hAnsi="Times New Roman" w:cs="Times New Roman"/>
              </w:rPr>
              <w:t>(</w:t>
            </w:r>
            <w:proofErr w:type="gramEnd"/>
            <w:r w:rsidRPr="00D77F45">
              <w:rPr>
                <w:rFonts w:ascii="Times New Roman" w:hAnsi="Times New Roman" w:cs="Times New Roman"/>
              </w:rPr>
              <w:t>1, 535) = .21</w:t>
            </w:r>
          </w:p>
        </w:tc>
        <w:tc>
          <w:tcPr>
            <w:tcW w:w="869" w:type="dxa"/>
            <w:tcBorders>
              <w:top w:val="nil"/>
              <w:left w:val="nil"/>
              <w:bottom w:val="single" w:sz="12" w:space="0" w:color="000000"/>
              <w:right w:val="nil"/>
            </w:tcBorders>
          </w:tcPr>
          <w:p w14:paraId="69FCA321"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-.04</w:t>
            </w:r>
          </w:p>
        </w:tc>
        <w:tc>
          <w:tcPr>
            <w:tcW w:w="890" w:type="dxa"/>
            <w:tcBorders>
              <w:top w:val="nil"/>
              <w:left w:val="nil"/>
              <w:bottom w:val="single" w:sz="12" w:space="0" w:color="000000"/>
              <w:right w:val="nil"/>
            </w:tcBorders>
          </w:tcPr>
          <w:p w14:paraId="1C0B0A66"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.10</w:t>
            </w:r>
          </w:p>
        </w:tc>
        <w:tc>
          <w:tcPr>
            <w:tcW w:w="817" w:type="dxa"/>
            <w:tcBorders>
              <w:top w:val="nil"/>
              <w:left w:val="nil"/>
              <w:bottom w:val="single" w:sz="12" w:space="0" w:color="000000"/>
              <w:right w:val="nil"/>
            </w:tcBorders>
          </w:tcPr>
          <w:p w14:paraId="6E9AA39F"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rPr>
              <w:t>-.02</w:t>
            </w:r>
          </w:p>
        </w:tc>
        <w:tc>
          <w:tcPr>
            <w:tcW w:w="1038" w:type="dxa"/>
            <w:tcBorders>
              <w:top w:val="nil"/>
              <w:left w:val="nil"/>
              <w:bottom w:val="single" w:sz="12" w:space="0" w:color="000000"/>
              <w:right w:val="nil"/>
            </w:tcBorders>
          </w:tcPr>
          <w:p w14:paraId="3D841049" w14:textId="77777777" w:rsidR="00D77F45" w:rsidRPr="00D77F45" w:rsidRDefault="00D77F45" w:rsidP="00D77F45">
            <w:pPr>
              <w:pStyle w:val="NoSpacing"/>
              <w:jc w:val="center"/>
              <w:rPr>
                <w:rFonts w:ascii="Times New Roman" w:hAnsi="Times New Roman" w:cs="Times New Roman"/>
              </w:rPr>
            </w:pPr>
            <w:r w:rsidRPr="00D77F45">
              <w:rPr>
                <w:rFonts w:ascii="Times New Roman" w:hAnsi="Times New Roman" w:cs="Times New Roman"/>
                <w:i/>
              </w:rPr>
              <w:t xml:space="preserve">p </w:t>
            </w:r>
            <w:r w:rsidRPr="00D77F45">
              <w:rPr>
                <w:rFonts w:ascii="Times New Roman" w:hAnsi="Times New Roman" w:cs="Times New Roman"/>
              </w:rPr>
              <w:t>= .65</w:t>
            </w:r>
          </w:p>
        </w:tc>
      </w:tr>
    </w:tbl>
    <w:p w14:paraId="4F2947DF" w14:textId="75B68F88" w:rsidR="00657366" w:rsidRDefault="00D77F45" w:rsidP="00657366">
      <w:pPr>
        <w:pStyle w:val="NoSpacing"/>
        <w:spacing w:line="480" w:lineRule="auto"/>
        <w:rPr>
          <w:rFonts w:ascii="Times New Roman" w:hAnsi="Times New Roman" w:cs="Times New Roman"/>
        </w:rPr>
      </w:pPr>
      <w:r w:rsidRPr="00D77F45">
        <w:rPr>
          <w:rFonts w:ascii="Times New Roman" w:hAnsi="Times New Roman" w:cs="Times New Roman"/>
          <w:i/>
          <w:iCs/>
        </w:rPr>
        <w:t>Note</w:t>
      </w:r>
      <w:r w:rsidRPr="00D77F45">
        <w:rPr>
          <w:rFonts w:ascii="Times New Roman" w:hAnsi="Times New Roman" w:cs="Times New Roman"/>
        </w:rPr>
        <w:t xml:space="preserve">. </w:t>
      </w:r>
      <w:bookmarkStart w:id="121" w:name="_Hlk83396177"/>
      <w:r w:rsidRPr="00D77F45">
        <w:rPr>
          <w:rFonts w:ascii="Times New Roman" w:hAnsi="Times New Roman" w:cs="Times New Roman"/>
        </w:rPr>
        <w:t>Presence = presence of meaning in life; Search = search for meaning in life</w:t>
      </w:r>
      <w:bookmarkEnd w:id="121"/>
      <w:r w:rsidRPr="00D77F45">
        <w:rPr>
          <w:rFonts w:ascii="Times New Roman" w:hAnsi="Times New Roman" w:cs="Times New Roman"/>
        </w:rPr>
        <w:t>; Alcohol-free reinforcement = overall alcohol-free reinforcement (cross-product scores averaged across all activities). ***</w:t>
      </w:r>
      <w:r w:rsidRPr="00D77F45">
        <w:rPr>
          <w:rFonts w:ascii="Times New Roman" w:hAnsi="Times New Roman" w:cs="Times New Roman"/>
          <w:i/>
          <w:iCs/>
        </w:rPr>
        <w:t>p</w:t>
      </w:r>
      <w:r w:rsidRPr="00D77F45">
        <w:rPr>
          <w:rFonts w:ascii="Times New Roman" w:hAnsi="Times New Roman" w:cs="Times New Roman"/>
        </w:rPr>
        <w:t xml:space="preserve"> &lt; .001.</w:t>
      </w:r>
    </w:p>
    <w:p w14:paraId="77AD59B3" w14:textId="77777777" w:rsidR="00657366" w:rsidRDefault="00657366" w:rsidP="00657366">
      <w:pPr>
        <w:pStyle w:val="NoSpacing"/>
        <w:spacing w:line="480" w:lineRule="auto"/>
        <w:rPr>
          <w:rFonts w:ascii="Times New Roman" w:hAnsi="Times New Roman" w:cs="Times New Roman"/>
        </w:rPr>
      </w:pPr>
    </w:p>
    <w:p w14:paraId="2DC961A6" w14:textId="77777777" w:rsidR="00657366" w:rsidRPr="00657366" w:rsidRDefault="00657366" w:rsidP="00657366">
      <w:pPr>
        <w:pStyle w:val="NoSpacing"/>
        <w:spacing w:line="480" w:lineRule="auto"/>
        <w:rPr>
          <w:rFonts w:ascii="Times New Roman" w:hAnsi="Times New Roman" w:cs="Times New Roman"/>
          <w:b/>
          <w:bCs/>
        </w:rPr>
      </w:pPr>
      <w:r w:rsidRPr="00657366">
        <w:rPr>
          <w:rFonts w:ascii="Times New Roman" w:hAnsi="Times New Roman" w:cs="Times New Roman"/>
          <w:b/>
          <w:bCs/>
        </w:rPr>
        <w:lastRenderedPageBreak/>
        <w:t xml:space="preserve">Structural Model </w:t>
      </w:r>
    </w:p>
    <w:p w14:paraId="21B3E517" w14:textId="0088DD39" w:rsid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rPr>
        <w:t xml:space="preserve">To explore our second hypothesis, we conducted a SEM to investigate whether some of the variance in the relationship between meaning in life and AUDIT scores could be accounted for by individual differences in alcohol value, alcohol-free reinforcement, depressive symptoms, and drinking to cope. As clarified in our pre-registration, we wanted to explore the complex direct and indirect relationships between our observed variables from two angles: 1) A perspective that focuses on </w:t>
      </w:r>
      <w:r w:rsidRPr="00657366">
        <w:rPr>
          <w:rFonts w:ascii="Times New Roman" w:hAnsi="Times New Roman" w:cs="Times New Roman"/>
          <w:i/>
          <w:iCs/>
        </w:rPr>
        <w:t>risk</w:t>
      </w:r>
      <w:r w:rsidRPr="00657366">
        <w:rPr>
          <w:rFonts w:ascii="Times New Roman" w:hAnsi="Times New Roman" w:cs="Times New Roman"/>
        </w:rPr>
        <w:t xml:space="preserve"> factors for elevated alcohol use and related problems (stemming from the search subscale, with predicted positive associations with alcohol value, depressive symptoms, drinking to cope, and negative with alcohol-free reinforcement. 2) A perspective that focuses on </w:t>
      </w:r>
      <w:r w:rsidRPr="00657366">
        <w:rPr>
          <w:rFonts w:ascii="Times New Roman" w:hAnsi="Times New Roman" w:cs="Times New Roman"/>
          <w:i/>
          <w:iCs/>
        </w:rPr>
        <w:t>protective</w:t>
      </w:r>
      <w:r w:rsidRPr="00657366">
        <w:rPr>
          <w:rFonts w:ascii="Times New Roman" w:hAnsi="Times New Roman" w:cs="Times New Roman"/>
        </w:rPr>
        <w:t xml:space="preserve"> factors for lower alcohol use and related problems (stemming from the presence subscale, with predicted negative associations with alcohol value, depressive symptoms, drinking to cope, and positive with alcohol-free reinforcement). </w:t>
      </w:r>
    </w:p>
    <w:p w14:paraId="1D9B919A" w14:textId="77777777" w:rsidR="00657366" w:rsidRPr="00657366" w:rsidRDefault="00657366" w:rsidP="00657366">
      <w:pPr>
        <w:pStyle w:val="NoSpacing"/>
        <w:spacing w:line="480" w:lineRule="auto"/>
        <w:rPr>
          <w:rFonts w:ascii="Times New Roman" w:hAnsi="Times New Roman" w:cs="Times New Roman"/>
        </w:rPr>
      </w:pPr>
    </w:p>
    <w:p w14:paraId="4BE5D844" w14:textId="6B993AC7" w:rsid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b/>
          <w:bCs/>
        </w:rPr>
        <w:t>Model fit.</w:t>
      </w:r>
      <w:r w:rsidRPr="00657366">
        <w:rPr>
          <w:rFonts w:ascii="Times New Roman" w:hAnsi="Times New Roman" w:cs="Times New Roman"/>
        </w:rPr>
        <w:t xml:space="preserve"> Modification indices suggested covariances needed to be added (alcohol value and drinking to cope, and alcohol-free reinforcement and depressive symptoms) which led to a notable improvement in model fit</w:t>
      </w:r>
      <w:r w:rsidRPr="004B73B2">
        <w:rPr>
          <w:rStyle w:val="FootnoteReference"/>
        </w:rPr>
        <w:footnoteReference w:id="3"/>
      </w:r>
      <w:r w:rsidRPr="00657366">
        <w:rPr>
          <w:rFonts w:ascii="Times New Roman" w:hAnsi="Times New Roman" w:cs="Times New Roman"/>
        </w:rPr>
        <w:t>. After adding covariances, the hypothesized structural model proved to be a good fit of the data (SRMR = .03; CFI = .99: TLI = .92; RMSEA = .08 (90% CI = .03 to .14); Χ</w:t>
      </w:r>
      <w:r w:rsidRPr="00657366">
        <w:rPr>
          <w:rFonts w:ascii="Times New Roman" w:hAnsi="Times New Roman" w:cs="Times New Roman"/>
          <w:vertAlign w:val="superscript"/>
        </w:rPr>
        <w:t>2</w:t>
      </w:r>
      <w:r w:rsidRPr="00657366">
        <w:rPr>
          <w:rFonts w:ascii="Times New Roman" w:hAnsi="Times New Roman" w:cs="Times New Roman"/>
        </w:rPr>
        <w:t>/</w:t>
      </w:r>
      <w:proofErr w:type="spellStart"/>
      <w:r w:rsidRPr="00657366">
        <w:rPr>
          <w:rFonts w:ascii="Times New Roman" w:hAnsi="Times New Roman" w:cs="Times New Roman"/>
          <w:i/>
          <w:iCs/>
        </w:rPr>
        <w:t>df</w:t>
      </w:r>
      <w:proofErr w:type="spellEnd"/>
      <w:r w:rsidRPr="00657366">
        <w:rPr>
          <w:rFonts w:ascii="Times New Roman" w:hAnsi="Times New Roman" w:cs="Times New Roman"/>
        </w:rPr>
        <w:t xml:space="preserve"> = 4.65) and the overall model predicted approximately 43% of variance in AUDIT scores (</w:t>
      </w:r>
      <w:r w:rsidRPr="00657366">
        <w:rPr>
          <w:rFonts w:ascii="Times New Roman" w:hAnsi="Times New Roman" w:cs="Times New Roman"/>
          <w:i/>
          <w:iCs/>
        </w:rPr>
        <w:t>R</w:t>
      </w:r>
      <w:r w:rsidRPr="00657366">
        <w:rPr>
          <w:rFonts w:ascii="Times New Roman" w:hAnsi="Times New Roman" w:cs="Times New Roman"/>
          <w:vertAlign w:val="superscript"/>
        </w:rPr>
        <w:t>2</w:t>
      </w:r>
      <w:r w:rsidRPr="00657366">
        <w:rPr>
          <w:rFonts w:ascii="Times New Roman" w:hAnsi="Times New Roman" w:cs="Times New Roman"/>
        </w:rPr>
        <w:t xml:space="preserve"> = .43). </w:t>
      </w:r>
    </w:p>
    <w:p w14:paraId="7070C8D8" w14:textId="77777777" w:rsidR="00657366" w:rsidRPr="00657366" w:rsidRDefault="00657366" w:rsidP="00657366">
      <w:pPr>
        <w:pStyle w:val="NoSpacing"/>
        <w:spacing w:line="480" w:lineRule="auto"/>
        <w:rPr>
          <w:rFonts w:ascii="Times New Roman" w:hAnsi="Times New Roman" w:cs="Times New Roman"/>
        </w:rPr>
      </w:pPr>
    </w:p>
    <w:p w14:paraId="664120EE" w14:textId="77777777" w:rsidR="00657366" w:rsidRDefault="00657366" w:rsidP="00657366">
      <w:pPr>
        <w:pStyle w:val="NoSpacing"/>
        <w:spacing w:line="480" w:lineRule="auto"/>
        <w:rPr>
          <w:rFonts w:ascii="Times New Roman" w:hAnsi="Times New Roman" w:cs="Times New Roman"/>
          <w:b/>
          <w:bCs/>
          <w:iCs/>
        </w:rPr>
      </w:pPr>
      <w:bookmarkStart w:id="122" w:name="_Hlk110515402"/>
      <w:r w:rsidRPr="00657366">
        <w:rPr>
          <w:rFonts w:ascii="Times New Roman" w:hAnsi="Times New Roman" w:cs="Times New Roman"/>
          <w:b/>
          <w:bCs/>
          <w:iCs/>
        </w:rPr>
        <w:t>Figure 2.1</w:t>
      </w:r>
    </w:p>
    <w:p w14:paraId="2630D1D6" w14:textId="27AA99B7" w:rsidR="00657366" w:rsidRDefault="00657366" w:rsidP="00657366">
      <w:pPr>
        <w:pStyle w:val="NoSpacing"/>
        <w:spacing w:line="480" w:lineRule="auto"/>
        <w:rPr>
          <w:rFonts w:ascii="Times New Roman" w:hAnsi="Times New Roman" w:cs="Times New Roman"/>
          <w:i/>
          <w:iCs/>
        </w:rPr>
      </w:pPr>
      <w:r w:rsidRPr="00657366">
        <w:rPr>
          <w:rFonts w:ascii="Times New Roman" w:hAnsi="Times New Roman" w:cs="Times New Roman"/>
          <w:i/>
          <w:iCs/>
        </w:rPr>
        <w:lastRenderedPageBreak/>
        <w:t>Direct and indirect relationships between meaning in life, alcohol consumption, alcohol-free reinforcement, alcohol value, depressive symptoms, and drinking to cope</w:t>
      </w:r>
    </w:p>
    <w:bookmarkEnd w:id="122"/>
    <w:p w14:paraId="56D7C9EF" w14:textId="2E6B478D" w:rsidR="00657366" w:rsidRPr="00657366" w:rsidRDefault="00657366" w:rsidP="00657366">
      <w:pPr>
        <w:pStyle w:val="NoSpacing"/>
        <w:spacing w:line="480" w:lineRule="auto"/>
        <w:rPr>
          <w:rFonts w:ascii="Times New Roman" w:hAnsi="Times New Roman" w:cs="Times New Roman"/>
        </w:rPr>
      </w:pPr>
      <w:r w:rsidRPr="00657366">
        <w:rPr>
          <w:rFonts w:ascii="Calibri" w:eastAsia="DengXian" w:hAnsi="Calibri" w:cs="Arial"/>
          <w:noProof/>
          <w:sz w:val="22"/>
          <w:szCs w:val="22"/>
          <w:lang w:eastAsia="zh-CN"/>
        </w:rPr>
        <w:drawing>
          <wp:inline distT="0" distB="0" distL="0" distR="0" wp14:anchorId="64A4AE3C" wp14:editId="1D5A4C49">
            <wp:extent cx="5727700" cy="2855600"/>
            <wp:effectExtent l="0" t="0" r="6350" b="190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7700" cy="2855600"/>
                    </a:xfrm>
                    <a:prstGeom prst="rect">
                      <a:avLst/>
                    </a:prstGeom>
                    <a:noFill/>
                    <a:ln>
                      <a:noFill/>
                    </a:ln>
                  </pic:spPr>
                </pic:pic>
              </a:graphicData>
            </a:graphic>
          </wp:inline>
        </w:drawing>
      </w:r>
    </w:p>
    <w:p w14:paraId="5C12A039" w14:textId="55DC553B" w:rsid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i/>
          <w:iCs/>
        </w:rPr>
        <w:t>Note.</w:t>
      </w:r>
      <w:r w:rsidRPr="00657366">
        <w:rPr>
          <w:rFonts w:ascii="Times New Roman" w:hAnsi="Times New Roman" w:cs="Times New Roman"/>
        </w:rPr>
        <w:t xml:space="preserve"> Standardised parameter estimates are presented. Age is not modelled as a covariate; the analyses </w:t>
      </w:r>
      <w:r>
        <w:rPr>
          <w:rFonts w:ascii="Times New Roman" w:hAnsi="Times New Roman" w:cs="Times New Roman"/>
        </w:rPr>
        <w:t xml:space="preserve">were repeated </w:t>
      </w:r>
      <w:r w:rsidRPr="00657366">
        <w:rPr>
          <w:rFonts w:ascii="Times New Roman" w:hAnsi="Times New Roman" w:cs="Times New Roman"/>
        </w:rPr>
        <w:t>with age included as a covariate this did not alter model fit or the nature of the regression coefficients (this is placed in Appendix A). ***</w:t>
      </w:r>
      <w:r w:rsidRPr="00657366">
        <w:rPr>
          <w:rFonts w:ascii="Times New Roman" w:hAnsi="Times New Roman" w:cs="Times New Roman"/>
          <w:i/>
          <w:iCs/>
        </w:rPr>
        <w:t>p</w:t>
      </w:r>
      <w:r w:rsidRPr="00657366">
        <w:rPr>
          <w:rFonts w:ascii="Times New Roman" w:hAnsi="Times New Roman" w:cs="Times New Roman"/>
        </w:rPr>
        <w:t xml:space="preserve"> &lt; .001, **</w:t>
      </w:r>
      <w:r w:rsidRPr="00657366">
        <w:rPr>
          <w:rFonts w:ascii="Times New Roman" w:hAnsi="Times New Roman" w:cs="Times New Roman"/>
          <w:i/>
          <w:iCs/>
        </w:rPr>
        <w:t>p</w:t>
      </w:r>
      <w:r w:rsidRPr="00657366">
        <w:rPr>
          <w:rFonts w:ascii="Times New Roman" w:hAnsi="Times New Roman" w:cs="Times New Roman"/>
        </w:rPr>
        <w:t xml:space="preserve"> &lt; .01, *</w:t>
      </w:r>
      <w:r w:rsidRPr="00657366">
        <w:rPr>
          <w:rFonts w:ascii="Times New Roman" w:hAnsi="Times New Roman" w:cs="Times New Roman"/>
          <w:i/>
          <w:iCs/>
        </w:rPr>
        <w:t>p</w:t>
      </w:r>
      <w:r w:rsidRPr="00657366">
        <w:rPr>
          <w:rFonts w:ascii="Times New Roman" w:hAnsi="Times New Roman" w:cs="Times New Roman"/>
        </w:rPr>
        <w:t xml:space="preserve"> &lt; .05.</w:t>
      </w:r>
    </w:p>
    <w:p w14:paraId="00BE9ECA" w14:textId="77777777" w:rsidR="00657366" w:rsidRPr="00657366" w:rsidRDefault="00657366" w:rsidP="00657366">
      <w:pPr>
        <w:pStyle w:val="NoSpacing"/>
        <w:spacing w:line="480" w:lineRule="auto"/>
        <w:rPr>
          <w:rFonts w:ascii="Times New Roman" w:hAnsi="Times New Roman" w:cs="Times New Roman"/>
        </w:rPr>
      </w:pPr>
    </w:p>
    <w:p w14:paraId="1DF1F0F3" w14:textId="73D785BA" w:rsidR="00657366" w:rsidRDefault="00657366" w:rsidP="00657366">
      <w:pPr>
        <w:pStyle w:val="NoSpacing"/>
        <w:rPr>
          <w:rFonts w:ascii="Times New Roman" w:hAnsi="Times New Roman" w:cs="Times New Roman"/>
          <w:b/>
          <w:bCs/>
        </w:rPr>
      </w:pPr>
      <w:r w:rsidRPr="00657366">
        <w:rPr>
          <w:rFonts w:ascii="Times New Roman" w:hAnsi="Times New Roman" w:cs="Times New Roman"/>
          <w:b/>
          <w:bCs/>
        </w:rPr>
        <w:t>Model evaluation (Figure 2.1)</w:t>
      </w:r>
    </w:p>
    <w:p w14:paraId="2E322C5A" w14:textId="77777777" w:rsidR="00657366" w:rsidRPr="00657366" w:rsidRDefault="00657366" w:rsidP="00657366">
      <w:pPr>
        <w:pStyle w:val="NoSpacing"/>
        <w:rPr>
          <w:rFonts w:ascii="Times New Roman" w:hAnsi="Times New Roman" w:cs="Times New Roman"/>
          <w:b/>
          <w:bCs/>
        </w:rPr>
      </w:pPr>
    </w:p>
    <w:p w14:paraId="65B56355" w14:textId="77777777" w:rsidR="00657366" w:rsidRPr="00657366" w:rsidRDefault="00657366" w:rsidP="00657366">
      <w:pPr>
        <w:pStyle w:val="NoSpacing"/>
        <w:spacing w:line="480" w:lineRule="auto"/>
        <w:rPr>
          <w:rFonts w:ascii="Times New Roman" w:hAnsi="Times New Roman" w:cs="Times New Roman"/>
          <w:i/>
          <w:iCs/>
        </w:rPr>
      </w:pPr>
      <w:r w:rsidRPr="00657366">
        <w:rPr>
          <w:rFonts w:ascii="Times New Roman" w:hAnsi="Times New Roman" w:cs="Times New Roman"/>
          <w:i/>
          <w:iCs/>
        </w:rPr>
        <w:t xml:space="preserve">Direct effects </w:t>
      </w:r>
    </w:p>
    <w:p w14:paraId="7AB09189" w14:textId="77777777" w:rsidR="00657366" w:rsidRP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rPr>
        <w:t xml:space="preserve">Presence of meaning had a significant positive association with alcohol-free reinforcement (95% CI = .19 to .36), and a significant negative association with alcohol value (95% CI = -.36 to -.18), depressive symptoms (95% CI = -.54 to -.40) and drinking to cope (95% CI = -.21 to -.02). The direct effect of presence of meaning on AUDIT scores was not statistically significant (95% CI = -.16 to .01). </w:t>
      </w:r>
    </w:p>
    <w:p w14:paraId="62CC36EB" w14:textId="77777777" w:rsidR="00657366" w:rsidRPr="00657366" w:rsidRDefault="00657366" w:rsidP="00657366">
      <w:pPr>
        <w:pStyle w:val="NoSpacing"/>
        <w:spacing w:line="480" w:lineRule="auto"/>
        <w:rPr>
          <w:rFonts w:ascii="Times New Roman" w:hAnsi="Times New Roman" w:cs="Times New Roman"/>
        </w:rPr>
      </w:pPr>
    </w:p>
    <w:p w14:paraId="4F63C2D7" w14:textId="77777777" w:rsidR="00657366" w:rsidRP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rPr>
        <w:t xml:space="preserve">Search for meaning had a significant positive association with depressive symptoms (95% CI = .09 to .24) and drinking to cope (95% CI = .03 to .19). However, there were no significant </w:t>
      </w:r>
      <w:r w:rsidRPr="00657366">
        <w:rPr>
          <w:rFonts w:ascii="Times New Roman" w:hAnsi="Times New Roman" w:cs="Times New Roman"/>
        </w:rPr>
        <w:lastRenderedPageBreak/>
        <w:t xml:space="preserve">associations between search for meaning and alcohol-free reinforcement (95% CI = -.07 to .12), alcohol value (95% CI = -.05 to .13), and AUDIT scores (95% CI = -.14 to .01). </w:t>
      </w:r>
    </w:p>
    <w:p w14:paraId="41369A68" w14:textId="77777777" w:rsidR="00657366" w:rsidRPr="00657366" w:rsidRDefault="00657366" w:rsidP="00657366">
      <w:pPr>
        <w:pStyle w:val="NoSpacing"/>
        <w:spacing w:line="480" w:lineRule="auto"/>
        <w:rPr>
          <w:rFonts w:ascii="Times New Roman" w:hAnsi="Times New Roman" w:cs="Times New Roman"/>
        </w:rPr>
      </w:pPr>
    </w:p>
    <w:p w14:paraId="5F8063B2" w14:textId="57B5D260" w:rsidR="00657366" w:rsidRDefault="00657366" w:rsidP="00657366">
      <w:pPr>
        <w:pStyle w:val="NoSpacing"/>
        <w:spacing w:line="480" w:lineRule="auto"/>
        <w:rPr>
          <w:rFonts w:ascii="Times New Roman" w:hAnsi="Times New Roman" w:cs="Times New Roman"/>
        </w:rPr>
      </w:pPr>
      <w:r w:rsidRPr="00657366">
        <w:rPr>
          <w:rFonts w:ascii="Times New Roman" w:hAnsi="Times New Roman" w:cs="Times New Roman"/>
        </w:rPr>
        <w:t xml:space="preserve">Depressive symptoms had a significant positive association with drinking to cope (95% CI = .31 to .51) and drinking to cope had a significant positive association with AUDIT scores (95% CI = .22 to .41). Alcohol-free reinforcement had no significant association with alcohol value (95% CI = -.03 to .14), but alcohol value had a significant positive association with AUDIT scores (95% CI = .39 to .53). Neither alcohol-free reinforcement (95% CI = -.06 to .07) or depressive symptoms (95% CI = -.08 to .12) had any significant association with AUDIT scores. </w:t>
      </w:r>
    </w:p>
    <w:p w14:paraId="755490C0" w14:textId="77777777" w:rsidR="00657366" w:rsidRPr="00D77F45" w:rsidRDefault="00657366" w:rsidP="00657366">
      <w:pPr>
        <w:pStyle w:val="NoSpacing"/>
        <w:spacing w:line="480" w:lineRule="auto"/>
        <w:rPr>
          <w:rFonts w:ascii="Times New Roman" w:hAnsi="Times New Roman" w:cs="Times New Roman"/>
        </w:rPr>
      </w:pPr>
    </w:p>
    <w:p w14:paraId="15F74B84" w14:textId="6C555E91" w:rsidR="009B5699" w:rsidRDefault="00657366" w:rsidP="009B5699">
      <w:pPr>
        <w:pStyle w:val="NoSpacing"/>
        <w:spacing w:line="480" w:lineRule="auto"/>
        <w:rPr>
          <w:rFonts w:ascii="Times New Roman" w:hAnsi="Times New Roman" w:cs="Times New Roman"/>
          <w:i/>
          <w:iCs/>
        </w:rPr>
      </w:pPr>
      <w:r w:rsidRPr="00657366">
        <w:rPr>
          <w:rFonts w:ascii="Times New Roman" w:hAnsi="Times New Roman" w:cs="Times New Roman"/>
          <w:i/>
          <w:iCs/>
        </w:rPr>
        <w:t>Indirect effects</w:t>
      </w:r>
    </w:p>
    <w:p w14:paraId="2219C8E7" w14:textId="72ADBE6E" w:rsidR="009B5699" w:rsidRDefault="009B5699" w:rsidP="009B5699">
      <w:pPr>
        <w:pStyle w:val="NoSpacing"/>
        <w:spacing w:line="480" w:lineRule="auto"/>
        <w:rPr>
          <w:rFonts w:ascii="Times New Roman" w:hAnsi="Times New Roman" w:cs="Times New Roman"/>
        </w:rPr>
      </w:pPr>
      <w:r>
        <w:rPr>
          <w:rFonts w:ascii="Times New Roman" w:hAnsi="Times New Roman" w:cs="Times New Roman"/>
        </w:rPr>
        <w:t>S</w:t>
      </w:r>
      <w:r w:rsidRPr="009B5699">
        <w:rPr>
          <w:rFonts w:ascii="Times New Roman" w:hAnsi="Times New Roman" w:cs="Times New Roman"/>
        </w:rPr>
        <w:t xml:space="preserve">ee Table 2.3 for standardised coefficients, </w:t>
      </w:r>
      <w:r w:rsidRPr="009B5699">
        <w:rPr>
          <w:rFonts w:ascii="Times New Roman" w:hAnsi="Times New Roman" w:cs="Times New Roman"/>
          <w:i/>
          <w:iCs/>
        </w:rPr>
        <w:t>p</w:t>
      </w:r>
      <w:r w:rsidRPr="009B5699">
        <w:rPr>
          <w:rFonts w:ascii="Times New Roman" w:hAnsi="Times New Roman" w:cs="Times New Roman"/>
        </w:rPr>
        <w:t xml:space="preserve">-values, and 95% </w:t>
      </w:r>
      <w:r>
        <w:rPr>
          <w:rFonts w:ascii="Times New Roman" w:hAnsi="Times New Roman" w:cs="Times New Roman"/>
        </w:rPr>
        <w:t>confidence intervals (</w:t>
      </w:r>
      <w:r w:rsidRPr="009B5699">
        <w:rPr>
          <w:rFonts w:ascii="Times New Roman" w:hAnsi="Times New Roman" w:cs="Times New Roman"/>
        </w:rPr>
        <w:t>CI</w:t>
      </w:r>
      <w:r>
        <w:rPr>
          <w:rFonts w:ascii="Times New Roman" w:hAnsi="Times New Roman" w:cs="Times New Roman"/>
        </w:rPr>
        <w:t>)</w:t>
      </w:r>
      <w:r w:rsidRPr="009B5699">
        <w:rPr>
          <w:rFonts w:ascii="Times New Roman" w:hAnsi="Times New Roman" w:cs="Times New Roman"/>
        </w:rPr>
        <w:t xml:space="preserve"> for all possible indirect effects.</w:t>
      </w:r>
    </w:p>
    <w:p w14:paraId="3E444711" w14:textId="77777777" w:rsidR="009B5699" w:rsidRPr="009B5699" w:rsidRDefault="009B5699" w:rsidP="009B5699">
      <w:pPr>
        <w:pStyle w:val="NoSpacing"/>
        <w:spacing w:line="480" w:lineRule="auto"/>
        <w:rPr>
          <w:rFonts w:ascii="Times New Roman" w:hAnsi="Times New Roman" w:cs="Times New Roman"/>
        </w:rPr>
      </w:pPr>
    </w:p>
    <w:p w14:paraId="3A8A9B65" w14:textId="77777777" w:rsidR="009B5699" w:rsidRDefault="009B5699" w:rsidP="009B5699">
      <w:pPr>
        <w:pBdr>
          <w:top w:val="nil"/>
          <w:left w:val="nil"/>
          <w:bottom w:val="nil"/>
          <w:right w:val="nil"/>
          <w:between w:val="nil"/>
        </w:pBdr>
        <w:spacing w:line="480" w:lineRule="auto"/>
        <w:jc w:val="both"/>
        <w:rPr>
          <w:rFonts w:ascii="Times New Roman" w:eastAsia="DengXian" w:hAnsi="Times New Roman" w:cs="Times New Roman"/>
          <w:iCs/>
          <w:color w:val="000000"/>
        </w:rPr>
      </w:pPr>
      <w:bookmarkStart w:id="123" w:name="_Hlk110515414"/>
      <w:r w:rsidRPr="008C6B8F">
        <w:rPr>
          <w:rFonts w:ascii="Times New Roman" w:eastAsia="DengXian" w:hAnsi="Times New Roman" w:cs="Times New Roman"/>
          <w:b/>
          <w:bCs/>
          <w:iCs/>
          <w:color w:val="000000"/>
        </w:rPr>
        <w:t xml:space="preserve">Table </w:t>
      </w:r>
      <w:r>
        <w:rPr>
          <w:rFonts w:ascii="Times New Roman" w:eastAsia="DengXian" w:hAnsi="Times New Roman" w:cs="Times New Roman"/>
          <w:b/>
          <w:bCs/>
          <w:iCs/>
          <w:color w:val="000000"/>
        </w:rPr>
        <w:t>2.</w:t>
      </w:r>
      <w:r w:rsidRPr="008C6B8F">
        <w:rPr>
          <w:rFonts w:ascii="Times New Roman" w:eastAsia="DengXian" w:hAnsi="Times New Roman" w:cs="Times New Roman"/>
          <w:b/>
          <w:bCs/>
          <w:iCs/>
          <w:color w:val="000000"/>
        </w:rPr>
        <w:t>3</w:t>
      </w:r>
      <w:r w:rsidRPr="008C6B8F">
        <w:rPr>
          <w:rFonts w:ascii="Times New Roman" w:eastAsia="DengXian" w:hAnsi="Times New Roman" w:cs="Times New Roman"/>
          <w:iCs/>
          <w:color w:val="000000"/>
        </w:rPr>
        <w:t xml:space="preserve"> </w:t>
      </w:r>
    </w:p>
    <w:p w14:paraId="22D344DE" w14:textId="0BD113C3" w:rsidR="009B5699" w:rsidRDefault="009B5699" w:rsidP="009B5699">
      <w:pPr>
        <w:pBdr>
          <w:top w:val="nil"/>
          <w:left w:val="nil"/>
          <w:bottom w:val="nil"/>
          <w:right w:val="nil"/>
          <w:between w:val="nil"/>
        </w:pBdr>
        <w:spacing w:line="480" w:lineRule="auto"/>
        <w:jc w:val="both"/>
        <w:rPr>
          <w:rFonts w:ascii="Times New Roman" w:eastAsia="DengXian" w:hAnsi="Times New Roman" w:cs="Times New Roman"/>
          <w:i/>
          <w:color w:val="000000"/>
        </w:rPr>
      </w:pPr>
      <w:r w:rsidRPr="008C6B8F">
        <w:rPr>
          <w:rFonts w:ascii="Times New Roman" w:eastAsia="DengXian" w:hAnsi="Times New Roman" w:cs="Times New Roman"/>
          <w:i/>
          <w:color w:val="000000"/>
        </w:rPr>
        <w:t>Indirect associations between variables from the structural equation model</w:t>
      </w:r>
    </w:p>
    <w:tbl>
      <w:tblPr>
        <w:tblStyle w:val="TableGrid1"/>
        <w:tblW w:w="9237" w:type="dxa"/>
        <w:tblLook w:val="04A0" w:firstRow="1" w:lastRow="0" w:firstColumn="1" w:lastColumn="0" w:noHBand="0" w:noVBand="1"/>
      </w:tblPr>
      <w:tblGrid>
        <w:gridCol w:w="6366"/>
        <w:gridCol w:w="579"/>
        <w:gridCol w:w="1014"/>
        <w:gridCol w:w="1278"/>
      </w:tblGrid>
      <w:tr w:rsidR="009B5699" w:rsidRPr="009B5699" w14:paraId="2F262833" w14:textId="77777777" w:rsidTr="009B5699">
        <w:trPr>
          <w:trHeight w:val="486"/>
        </w:trPr>
        <w:tc>
          <w:tcPr>
            <w:tcW w:w="6366" w:type="dxa"/>
            <w:tcBorders>
              <w:top w:val="single" w:sz="18" w:space="0" w:color="auto"/>
              <w:left w:val="nil"/>
              <w:right w:val="nil"/>
            </w:tcBorders>
          </w:tcPr>
          <w:bookmarkEnd w:id="123"/>
          <w:p w14:paraId="3D5A1B0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Association</w:t>
            </w:r>
          </w:p>
        </w:tc>
        <w:tc>
          <w:tcPr>
            <w:tcW w:w="579" w:type="dxa"/>
            <w:tcBorders>
              <w:top w:val="single" w:sz="18" w:space="0" w:color="auto"/>
              <w:left w:val="nil"/>
              <w:right w:val="nil"/>
            </w:tcBorders>
          </w:tcPr>
          <w:p w14:paraId="5214CF2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β</w:t>
            </w:r>
          </w:p>
        </w:tc>
        <w:tc>
          <w:tcPr>
            <w:tcW w:w="1014" w:type="dxa"/>
            <w:tcBorders>
              <w:top w:val="single" w:sz="18" w:space="0" w:color="auto"/>
              <w:left w:val="nil"/>
              <w:right w:val="nil"/>
            </w:tcBorders>
          </w:tcPr>
          <w:p w14:paraId="7331A027"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iCs/>
              </w:rPr>
              <w:t>p</w:t>
            </w:r>
            <w:r w:rsidRPr="009B5699">
              <w:rPr>
                <w:rFonts w:ascii="Times New Roman" w:eastAsia="DengXian" w:hAnsi="Times New Roman" w:cs="Times New Roman"/>
              </w:rPr>
              <w:t>-value</w:t>
            </w:r>
          </w:p>
        </w:tc>
        <w:tc>
          <w:tcPr>
            <w:tcW w:w="1278" w:type="dxa"/>
            <w:tcBorders>
              <w:top w:val="single" w:sz="18" w:space="0" w:color="auto"/>
              <w:left w:val="nil"/>
              <w:right w:val="nil"/>
            </w:tcBorders>
          </w:tcPr>
          <w:p w14:paraId="51D9E4AA" w14:textId="30CE61C2"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 xml:space="preserve">95% </w:t>
            </w:r>
            <w:r>
              <w:rPr>
                <w:rFonts w:ascii="Times New Roman" w:eastAsia="DengXian" w:hAnsi="Times New Roman" w:cs="Times New Roman"/>
              </w:rPr>
              <w:t>CI</w:t>
            </w:r>
          </w:p>
        </w:tc>
      </w:tr>
      <w:tr w:rsidR="009B5699" w:rsidRPr="009B5699" w14:paraId="0EF31F5D" w14:textId="77777777" w:rsidTr="002A1E63">
        <w:trPr>
          <w:trHeight w:val="486"/>
        </w:trPr>
        <w:tc>
          <w:tcPr>
            <w:tcW w:w="6366" w:type="dxa"/>
            <w:tcBorders>
              <w:left w:val="nil"/>
              <w:bottom w:val="nil"/>
              <w:right w:val="nil"/>
            </w:tcBorders>
          </w:tcPr>
          <w:p w14:paraId="65E0E938"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alcohol-free reinforcement → AUDIT</w:t>
            </w:r>
          </w:p>
        </w:tc>
        <w:tc>
          <w:tcPr>
            <w:tcW w:w="579" w:type="dxa"/>
            <w:tcBorders>
              <w:left w:val="nil"/>
              <w:bottom w:val="nil"/>
              <w:right w:val="nil"/>
            </w:tcBorders>
          </w:tcPr>
          <w:p w14:paraId="005FE822"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w:t>
            </w:r>
          </w:p>
        </w:tc>
        <w:tc>
          <w:tcPr>
            <w:tcW w:w="1014" w:type="dxa"/>
            <w:tcBorders>
              <w:left w:val="nil"/>
              <w:bottom w:val="nil"/>
              <w:right w:val="nil"/>
            </w:tcBorders>
          </w:tcPr>
          <w:p w14:paraId="7A590B35"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 .95</w:t>
            </w:r>
          </w:p>
        </w:tc>
        <w:tc>
          <w:tcPr>
            <w:tcW w:w="1278" w:type="dxa"/>
            <w:tcBorders>
              <w:left w:val="nil"/>
              <w:bottom w:val="nil"/>
              <w:right w:val="nil"/>
            </w:tcBorders>
          </w:tcPr>
          <w:p w14:paraId="450FEC90"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-.02 to .02</w:t>
            </w:r>
          </w:p>
        </w:tc>
      </w:tr>
      <w:tr w:rsidR="009B5699" w:rsidRPr="009B5699" w14:paraId="1B6AFC96" w14:textId="77777777" w:rsidTr="002A1E63">
        <w:trPr>
          <w:trHeight w:val="475"/>
        </w:trPr>
        <w:tc>
          <w:tcPr>
            <w:tcW w:w="6366" w:type="dxa"/>
            <w:tcBorders>
              <w:top w:val="nil"/>
              <w:left w:val="nil"/>
              <w:bottom w:val="nil"/>
              <w:right w:val="nil"/>
            </w:tcBorders>
          </w:tcPr>
          <w:p w14:paraId="2006FE77"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alcohol value → AUDIT</w:t>
            </w:r>
          </w:p>
        </w:tc>
        <w:tc>
          <w:tcPr>
            <w:tcW w:w="579" w:type="dxa"/>
            <w:tcBorders>
              <w:top w:val="nil"/>
              <w:left w:val="nil"/>
              <w:bottom w:val="nil"/>
              <w:right w:val="nil"/>
            </w:tcBorders>
          </w:tcPr>
          <w:p w14:paraId="475CE03D"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-.13</w:t>
            </w:r>
          </w:p>
        </w:tc>
        <w:tc>
          <w:tcPr>
            <w:tcW w:w="1014" w:type="dxa"/>
            <w:tcBorders>
              <w:top w:val="nil"/>
              <w:left w:val="nil"/>
              <w:bottom w:val="nil"/>
              <w:right w:val="nil"/>
            </w:tcBorders>
          </w:tcPr>
          <w:p w14:paraId="5113692A"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&lt; .001</w:t>
            </w:r>
          </w:p>
        </w:tc>
        <w:tc>
          <w:tcPr>
            <w:tcW w:w="1278" w:type="dxa"/>
            <w:tcBorders>
              <w:top w:val="nil"/>
              <w:left w:val="nil"/>
              <w:bottom w:val="nil"/>
              <w:right w:val="nil"/>
            </w:tcBorders>
          </w:tcPr>
          <w:p w14:paraId="70B6446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-.17 to -.08</w:t>
            </w:r>
          </w:p>
        </w:tc>
      </w:tr>
      <w:tr w:rsidR="009B5699" w:rsidRPr="009B5699" w14:paraId="14770B78" w14:textId="77777777" w:rsidTr="002A1E63">
        <w:trPr>
          <w:trHeight w:val="475"/>
        </w:trPr>
        <w:tc>
          <w:tcPr>
            <w:tcW w:w="6366" w:type="dxa"/>
            <w:tcBorders>
              <w:top w:val="nil"/>
              <w:left w:val="nil"/>
              <w:bottom w:val="nil"/>
              <w:right w:val="nil"/>
            </w:tcBorders>
          </w:tcPr>
          <w:p w14:paraId="7268BFF6"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alcohol-free reinforcement → alcohol value</w:t>
            </w:r>
          </w:p>
        </w:tc>
        <w:tc>
          <w:tcPr>
            <w:tcW w:w="579" w:type="dxa"/>
            <w:tcBorders>
              <w:top w:val="nil"/>
              <w:left w:val="nil"/>
              <w:bottom w:val="nil"/>
              <w:right w:val="nil"/>
            </w:tcBorders>
          </w:tcPr>
          <w:p w14:paraId="3799266C"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w:t>
            </w:r>
          </w:p>
        </w:tc>
        <w:tc>
          <w:tcPr>
            <w:tcW w:w="1014" w:type="dxa"/>
            <w:tcBorders>
              <w:top w:val="nil"/>
              <w:left w:val="nil"/>
              <w:bottom w:val="nil"/>
              <w:right w:val="nil"/>
            </w:tcBorders>
          </w:tcPr>
          <w:p w14:paraId="0963C000" w14:textId="77777777" w:rsidR="009B5699" w:rsidRPr="009B5699" w:rsidRDefault="009B5699" w:rsidP="009B5699">
            <w:pPr>
              <w:spacing w:after="160" w:line="259" w:lineRule="auto"/>
              <w:jc w:val="center"/>
              <w:rPr>
                <w:rFonts w:ascii="Times New Roman" w:eastAsia="DengXian" w:hAnsi="Times New Roman" w:cs="Times New Roman"/>
                <w:i/>
              </w:rPr>
            </w:pPr>
            <w:r w:rsidRPr="009B5699">
              <w:rPr>
                <w:rFonts w:ascii="Times New Roman" w:eastAsia="DengXian" w:hAnsi="Times New Roman" w:cs="Times New Roman"/>
                <w:i/>
              </w:rPr>
              <w:t xml:space="preserve">p </w:t>
            </w:r>
            <w:r w:rsidRPr="009B5699">
              <w:rPr>
                <w:rFonts w:ascii="Times New Roman" w:eastAsia="DengXian" w:hAnsi="Times New Roman" w:cs="Times New Roman"/>
                <w:iCs/>
              </w:rPr>
              <w:t>= .20</w:t>
            </w:r>
          </w:p>
        </w:tc>
        <w:tc>
          <w:tcPr>
            <w:tcW w:w="1278" w:type="dxa"/>
            <w:tcBorders>
              <w:top w:val="nil"/>
              <w:left w:val="nil"/>
              <w:bottom w:val="nil"/>
              <w:right w:val="nil"/>
            </w:tcBorders>
          </w:tcPr>
          <w:p w14:paraId="52C96D68"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 to .04</w:t>
            </w:r>
          </w:p>
        </w:tc>
      </w:tr>
      <w:tr w:rsidR="009B5699" w:rsidRPr="009B5699" w14:paraId="3423A2A6" w14:textId="77777777" w:rsidTr="002A1E63">
        <w:trPr>
          <w:trHeight w:val="468"/>
        </w:trPr>
        <w:tc>
          <w:tcPr>
            <w:tcW w:w="6366" w:type="dxa"/>
            <w:tcBorders>
              <w:top w:val="nil"/>
              <w:left w:val="nil"/>
              <w:bottom w:val="nil"/>
              <w:right w:val="nil"/>
            </w:tcBorders>
          </w:tcPr>
          <w:p w14:paraId="35FFC885"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alcohol-free reinforcement → alcohol value → AUDIT</w:t>
            </w:r>
          </w:p>
        </w:tc>
        <w:tc>
          <w:tcPr>
            <w:tcW w:w="579" w:type="dxa"/>
            <w:tcBorders>
              <w:top w:val="nil"/>
              <w:left w:val="nil"/>
              <w:bottom w:val="nil"/>
              <w:right w:val="nil"/>
            </w:tcBorders>
          </w:tcPr>
          <w:p w14:paraId="30BC6C8F"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w:t>
            </w:r>
          </w:p>
        </w:tc>
        <w:tc>
          <w:tcPr>
            <w:tcW w:w="1014" w:type="dxa"/>
            <w:tcBorders>
              <w:top w:val="nil"/>
              <w:left w:val="nil"/>
              <w:bottom w:val="nil"/>
              <w:right w:val="nil"/>
            </w:tcBorders>
          </w:tcPr>
          <w:p w14:paraId="479D8669"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 xml:space="preserve">p </w:t>
            </w:r>
            <w:r w:rsidRPr="009B5699">
              <w:rPr>
                <w:rFonts w:ascii="Times New Roman" w:eastAsia="DengXian" w:hAnsi="Times New Roman" w:cs="Times New Roman"/>
                <w:iCs/>
              </w:rPr>
              <w:t>= .20</w:t>
            </w:r>
          </w:p>
        </w:tc>
        <w:tc>
          <w:tcPr>
            <w:tcW w:w="1278" w:type="dxa"/>
            <w:tcBorders>
              <w:top w:val="nil"/>
              <w:left w:val="nil"/>
              <w:bottom w:val="nil"/>
              <w:right w:val="nil"/>
            </w:tcBorders>
          </w:tcPr>
          <w:p w14:paraId="013A4988"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 to .02</w:t>
            </w:r>
          </w:p>
        </w:tc>
      </w:tr>
      <w:tr w:rsidR="009B5699" w:rsidRPr="009B5699" w14:paraId="5ACAD976" w14:textId="77777777" w:rsidTr="002A1E63">
        <w:trPr>
          <w:trHeight w:val="492"/>
        </w:trPr>
        <w:tc>
          <w:tcPr>
            <w:tcW w:w="6366" w:type="dxa"/>
            <w:tcBorders>
              <w:top w:val="nil"/>
              <w:left w:val="nil"/>
              <w:bottom w:val="nil"/>
              <w:right w:val="nil"/>
            </w:tcBorders>
          </w:tcPr>
          <w:p w14:paraId="562395A4"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depressive symptoms → AUDIT</w:t>
            </w:r>
          </w:p>
        </w:tc>
        <w:tc>
          <w:tcPr>
            <w:tcW w:w="579" w:type="dxa"/>
            <w:tcBorders>
              <w:top w:val="nil"/>
              <w:left w:val="nil"/>
              <w:bottom w:val="nil"/>
              <w:right w:val="nil"/>
            </w:tcBorders>
          </w:tcPr>
          <w:p w14:paraId="2E30AA08"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w:t>
            </w:r>
          </w:p>
        </w:tc>
        <w:tc>
          <w:tcPr>
            <w:tcW w:w="1014" w:type="dxa"/>
            <w:tcBorders>
              <w:top w:val="nil"/>
              <w:left w:val="nil"/>
              <w:bottom w:val="nil"/>
              <w:right w:val="nil"/>
            </w:tcBorders>
          </w:tcPr>
          <w:p w14:paraId="1BF7B0DA"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 xml:space="preserve">p </w:t>
            </w:r>
            <w:r w:rsidRPr="009B5699">
              <w:rPr>
                <w:rFonts w:ascii="Times New Roman" w:eastAsia="DengXian" w:hAnsi="Times New Roman" w:cs="Times New Roman"/>
              </w:rPr>
              <w:t>= .68</w:t>
            </w:r>
          </w:p>
        </w:tc>
        <w:tc>
          <w:tcPr>
            <w:tcW w:w="1278" w:type="dxa"/>
            <w:tcBorders>
              <w:top w:val="nil"/>
              <w:left w:val="nil"/>
              <w:bottom w:val="nil"/>
              <w:right w:val="nil"/>
            </w:tcBorders>
          </w:tcPr>
          <w:p w14:paraId="08485AAA"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-.06 to .04</w:t>
            </w:r>
          </w:p>
        </w:tc>
      </w:tr>
      <w:tr w:rsidR="009B5699" w:rsidRPr="009B5699" w14:paraId="17256FB4" w14:textId="77777777" w:rsidTr="002A1E63">
        <w:trPr>
          <w:trHeight w:val="483"/>
        </w:trPr>
        <w:tc>
          <w:tcPr>
            <w:tcW w:w="6366" w:type="dxa"/>
            <w:tcBorders>
              <w:top w:val="nil"/>
              <w:left w:val="nil"/>
              <w:bottom w:val="nil"/>
              <w:right w:val="nil"/>
            </w:tcBorders>
          </w:tcPr>
          <w:p w14:paraId="33057C6E"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drinking to cope → AUDIT</w:t>
            </w:r>
          </w:p>
        </w:tc>
        <w:tc>
          <w:tcPr>
            <w:tcW w:w="579" w:type="dxa"/>
            <w:tcBorders>
              <w:top w:val="nil"/>
              <w:left w:val="nil"/>
              <w:bottom w:val="nil"/>
              <w:right w:val="nil"/>
            </w:tcBorders>
          </w:tcPr>
          <w:p w14:paraId="7483456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-.04</w:t>
            </w:r>
          </w:p>
        </w:tc>
        <w:tc>
          <w:tcPr>
            <w:tcW w:w="1014" w:type="dxa"/>
            <w:tcBorders>
              <w:top w:val="nil"/>
              <w:left w:val="nil"/>
              <w:bottom w:val="nil"/>
              <w:right w:val="nil"/>
            </w:tcBorders>
          </w:tcPr>
          <w:p w14:paraId="6B0A5828"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 .01</w:t>
            </w:r>
          </w:p>
        </w:tc>
        <w:tc>
          <w:tcPr>
            <w:tcW w:w="1278" w:type="dxa"/>
            <w:tcBorders>
              <w:top w:val="nil"/>
              <w:left w:val="nil"/>
              <w:bottom w:val="nil"/>
              <w:right w:val="nil"/>
            </w:tcBorders>
          </w:tcPr>
          <w:p w14:paraId="06E4EB59"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-.07 to -.00</w:t>
            </w:r>
          </w:p>
        </w:tc>
      </w:tr>
      <w:tr w:rsidR="009B5699" w:rsidRPr="009B5699" w14:paraId="14680C09" w14:textId="77777777" w:rsidTr="002A1E63">
        <w:trPr>
          <w:trHeight w:val="483"/>
        </w:trPr>
        <w:tc>
          <w:tcPr>
            <w:tcW w:w="6366" w:type="dxa"/>
            <w:tcBorders>
              <w:top w:val="nil"/>
              <w:left w:val="nil"/>
              <w:bottom w:val="nil"/>
              <w:right w:val="nil"/>
            </w:tcBorders>
          </w:tcPr>
          <w:p w14:paraId="123B12FA"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depressive symptoms → drinking to cope</w:t>
            </w:r>
          </w:p>
        </w:tc>
        <w:tc>
          <w:tcPr>
            <w:tcW w:w="579" w:type="dxa"/>
            <w:tcBorders>
              <w:top w:val="nil"/>
              <w:left w:val="nil"/>
              <w:bottom w:val="nil"/>
              <w:right w:val="nil"/>
            </w:tcBorders>
          </w:tcPr>
          <w:p w14:paraId="7F53B857"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-.19</w:t>
            </w:r>
          </w:p>
        </w:tc>
        <w:tc>
          <w:tcPr>
            <w:tcW w:w="1014" w:type="dxa"/>
            <w:tcBorders>
              <w:top w:val="nil"/>
              <w:left w:val="nil"/>
              <w:bottom w:val="nil"/>
              <w:right w:val="nil"/>
            </w:tcBorders>
          </w:tcPr>
          <w:p w14:paraId="49D3D24C" w14:textId="77777777" w:rsidR="009B5699" w:rsidRPr="009B5699" w:rsidRDefault="009B5699" w:rsidP="009B5699">
            <w:pPr>
              <w:spacing w:after="160" w:line="259" w:lineRule="auto"/>
              <w:jc w:val="center"/>
              <w:rPr>
                <w:rFonts w:ascii="Times New Roman" w:eastAsia="DengXian" w:hAnsi="Times New Roman" w:cs="Times New Roman"/>
                <w:i/>
              </w:rPr>
            </w:pPr>
            <w:r w:rsidRPr="009B5699">
              <w:rPr>
                <w:rFonts w:ascii="Times New Roman" w:eastAsia="DengXian" w:hAnsi="Times New Roman" w:cs="Times New Roman"/>
                <w:i/>
                <w:iCs/>
              </w:rPr>
              <w:t>p</w:t>
            </w:r>
            <w:r w:rsidRPr="009B5699">
              <w:rPr>
                <w:rFonts w:ascii="Times New Roman" w:eastAsia="DengXian" w:hAnsi="Times New Roman" w:cs="Times New Roman"/>
              </w:rPr>
              <w:t xml:space="preserve"> &lt; .001</w:t>
            </w:r>
          </w:p>
        </w:tc>
        <w:tc>
          <w:tcPr>
            <w:tcW w:w="1278" w:type="dxa"/>
            <w:tcBorders>
              <w:top w:val="nil"/>
              <w:left w:val="nil"/>
              <w:bottom w:val="nil"/>
              <w:right w:val="nil"/>
            </w:tcBorders>
          </w:tcPr>
          <w:p w14:paraId="5E378EA4"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-.25 to -.14</w:t>
            </w:r>
          </w:p>
        </w:tc>
      </w:tr>
      <w:tr w:rsidR="009B5699" w:rsidRPr="009B5699" w14:paraId="27D3C14E" w14:textId="77777777" w:rsidTr="002A1E63">
        <w:trPr>
          <w:trHeight w:val="498"/>
        </w:trPr>
        <w:tc>
          <w:tcPr>
            <w:tcW w:w="6366" w:type="dxa"/>
            <w:tcBorders>
              <w:top w:val="nil"/>
              <w:left w:val="nil"/>
              <w:bottom w:val="nil"/>
              <w:right w:val="nil"/>
            </w:tcBorders>
          </w:tcPr>
          <w:p w14:paraId="76A282AB"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Presence → depressive symptoms → drinking to cope → AUDIT</w:t>
            </w:r>
          </w:p>
        </w:tc>
        <w:tc>
          <w:tcPr>
            <w:tcW w:w="579" w:type="dxa"/>
            <w:tcBorders>
              <w:top w:val="nil"/>
              <w:left w:val="nil"/>
              <w:bottom w:val="nil"/>
              <w:right w:val="nil"/>
            </w:tcBorders>
          </w:tcPr>
          <w:p w14:paraId="537BCC50"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-.06</w:t>
            </w:r>
          </w:p>
        </w:tc>
        <w:tc>
          <w:tcPr>
            <w:tcW w:w="1014" w:type="dxa"/>
            <w:tcBorders>
              <w:top w:val="nil"/>
              <w:left w:val="nil"/>
              <w:bottom w:val="nil"/>
              <w:right w:val="nil"/>
            </w:tcBorders>
          </w:tcPr>
          <w:p w14:paraId="4F59EC02"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iCs/>
              </w:rPr>
              <w:t>p</w:t>
            </w:r>
            <w:r w:rsidRPr="009B5699">
              <w:rPr>
                <w:rFonts w:ascii="Times New Roman" w:eastAsia="DengXian" w:hAnsi="Times New Roman" w:cs="Times New Roman"/>
              </w:rPr>
              <w:t xml:space="preserve"> &lt; .001</w:t>
            </w:r>
          </w:p>
        </w:tc>
        <w:tc>
          <w:tcPr>
            <w:tcW w:w="1278" w:type="dxa"/>
            <w:tcBorders>
              <w:top w:val="nil"/>
              <w:left w:val="nil"/>
              <w:bottom w:val="nil"/>
              <w:right w:val="nil"/>
            </w:tcBorders>
          </w:tcPr>
          <w:p w14:paraId="47BFE57D"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-.09 to -.04</w:t>
            </w:r>
          </w:p>
        </w:tc>
      </w:tr>
      <w:tr w:rsidR="009B5699" w:rsidRPr="009B5699" w14:paraId="1A96B6BB" w14:textId="77777777" w:rsidTr="002A1E63">
        <w:trPr>
          <w:trHeight w:val="487"/>
        </w:trPr>
        <w:tc>
          <w:tcPr>
            <w:tcW w:w="6366" w:type="dxa"/>
            <w:tcBorders>
              <w:top w:val="nil"/>
              <w:left w:val="nil"/>
              <w:bottom w:val="nil"/>
              <w:right w:val="nil"/>
            </w:tcBorders>
          </w:tcPr>
          <w:p w14:paraId="01AB9F76"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lastRenderedPageBreak/>
              <w:t>Search → alcohol-free reinforcement → AUDIT</w:t>
            </w:r>
          </w:p>
        </w:tc>
        <w:tc>
          <w:tcPr>
            <w:tcW w:w="579" w:type="dxa"/>
            <w:tcBorders>
              <w:top w:val="nil"/>
              <w:left w:val="nil"/>
              <w:bottom w:val="nil"/>
              <w:right w:val="nil"/>
            </w:tcBorders>
          </w:tcPr>
          <w:p w14:paraId="30112857"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.00</w:t>
            </w:r>
          </w:p>
        </w:tc>
        <w:tc>
          <w:tcPr>
            <w:tcW w:w="1014" w:type="dxa"/>
            <w:tcBorders>
              <w:top w:val="nil"/>
              <w:left w:val="nil"/>
              <w:bottom w:val="nil"/>
              <w:right w:val="nil"/>
            </w:tcBorders>
          </w:tcPr>
          <w:p w14:paraId="1D456D79"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color w:val="000000"/>
              </w:rPr>
              <w:t>p</w:t>
            </w:r>
            <w:r w:rsidRPr="009B5699">
              <w:rPr>
                <w:rFonts w:ascii="Times New Roman" w:eastAsia="DengXian" w:hAnsi="Times New Roman" w:cs="Times New Roman"/>
                <w:color w:val="000000"/>
              </w:rPr>
              <w:t xml:space="preserve"> = .95</w:t>
            </w:r>
          </w:p>
        </w:tc>
        <w:tc>
          <w:tcPr>
            <w:tcW w:w="1278" w:type="dxa"/>
            <w:tcBorders>
              <w:top w:val="nil"/>
              <w:left w:val="nil"/>
              <w:bottom w:val="nil"/>
              <w:right w:val="nil"/>
            </w:tcBorders>
          </w:tcPr>
          <w:p w14:paraId="0B85799A"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-.00 to .00</w:t>
            </w:r>
          </w:p>
        </w:tc>
      </w:tr>
      <w:tr w:rsidR="009B5699" w:rsidRPr="009B5699" w14:paraId="2C53D81A" w14:textId="77777777" w:rsidTr="002A1E63">
        <w:trPr>
          <w:trHeight w:val="494"/>
        </w:trPr>
        <w:tc>
          <w:tcPr>
            <w:tcW w:w="6366" w:type="dxa"/>
            <w:tcBorders>
              <w:top w:val="nil"/>
              <w:left w:val="nil"/>
              <w:bottom w:val="nil"/>
              <w:right w:val="nil"/>
            </w:tcBorders>
          </w:tcPr>
          <w:p w14:paraId="22ECD6BD"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alcohol value → AUDIT</w:t>
            </w:r>
          </w:p>
        </w:tc>
        <w:tc>
          <w:tcPr>
            <w:tcW w:w="579" w:type="dxa"/>
            <w:tcBorders>
              <w:top w:val="nil"/>
              <w:left w:val="nil"/>
              <w:bottom w:val="nil"/>
              <w:right w:val="nil"/>
            </w:tcBorders>
          </w:tcPr>
          <w:p w14:paraId="72F6C9FA"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.02</w:t>
            </w:r>
          </w:p>
        </w:tc>
        <w:tc>
          <w:tcPr>
            <w:tcW w:w="1014" w:type="dxa"/>
            <w:tcBorders>
              <w:top w:val="nil"/>
              <w:left w:val="nil"/>
              <w:bottom w:val="nil"/>
              <w:right w:val="nil"/>
            </w:tcBorders>
          </w:tcPr>
          <w:p w14:paraId="00AF7A4E"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 .35</w:t>
            </w:r>
          </w:p>
        </w:tc>
        <w:tc>
          <w:tcPr>
            <w:tcW w:w="1278" w:type="dxa"/>
            <w:tcBorders>
              <w:top w:val="nil"/>
              <w:left w:val="nil"/>
              <w:bottom w:val="nil"/>
              <w:right w:val="nil"/>
            </w:tcBorders>
          </w:tcPr>
          <w:p w14:paraId="66F3A6D3"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-.02 to .06</w:t>
            </w:r>
          </w:p>
        </w:tc>
      </w:tr>
      <w:tr w:rsidR="009B5699" w:rsidRPr="009B5699" w14:paraId="40536220" w14:textId="77777777" w:rsidTr="002A1E63">
        <w:trPr>
          <w:trHeight w:val="494"/>
        </w:trPr>
        <w:tc>
          <w:tcPr>
            <w:tcW w:w="6366" w:type="dxa"/>
            <w:tcBorders>
              <w:top w:val="nil"/>
              <w:left w:val="nil"/>
              <w:bottom w:val="nil"/>
              <w:right w:val="nil"/>
            </w:tcBorders>
          </w:tcPr>
          <w:p w14:paraId="27962E85"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alcohol-free reinforcement → alcohol value</w:t>
            </w:r>
          </w:p>
        </w:tc>
        <w:tc>
          <w:tcPr>
            <w:tcW w:w="579" w:type="dxa"/>
            <w:tcBorders>
              <w:top w:val="nil"/>
              <w:left w:val="nil"/>
              <w:bottom w:val="nil"/>
              <w:right w:val="nil"/>
            </w:tcBorders>
          </w:tcPr>
          <w:p w14:paraId="47836C53"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w:t>
            </w:r>
          </w:p>
        </w:tc>
        <w:tc>
          <w:tcPr>
            <w:tcW w:w="1014" w:type="dxa"/>
            <w:tcBorders>
              <w:top w:val="nil"/>
              <w:left w:val="nil"/>
              <w:bottom w:val="nil"/>
              <w:right w:val="nil"/>
            </w:tcBorders>
          </w:tcPr>
          <w:p w14:paraId="17DF74FC" w14:textId="77777777" w:rsidR="009B5699" w:rsidRPr="009B5699" w:rsidRDefault="009B5699" w:rsidP="009B5699">
            <w:pPr>
              <w:spacing w:after="160" w:line="259" w:lineRule="auto"/>
              <w:jc w:val="center"/>
              <w:rPr>
                <w:rFonts w:ascii="Times New Roman" w:eastAsia="DengXian" w:hAnsi="Times New Roman" w:cs="Times New Roman"/>
                <w:iCs/>
              </w:rPr>
            </w:pPr>
            <w:r w:rsidRPr="009B5699">
              <w:rPr>
                <w:rFonts w:ascii="Times New Roman" w:eastAsia="DengXian" w:hAnsi="Times New Roman" w:cs="Times New Roman"/>
                <w:i/>
              </w:rPr>
              <w:t xml:space="preserve">p </w:t>
            </w:r>
            <w:r w:rsidRPr="009B5699">
              <w:rPr>
                <w:rFonts w:ascii="Times New Roman" w:eastAsia="DengXian" w:hAnsi="Times New Roman" w:cs="Times New Roman"/>
                <w:iCs/>
              </w:rPr>
              <w:t>= .64</w:t>
            </w:r>
          </w:p>
        </w:tc>
        <w:tc>
          <w:tcPr>
            <w:tcW w:w="1278" w:type="dxa"/>
            <w:tcBorders>
              <w:top w:val="nil"/>
              <w:left w:val="nil"/>
              <w:bottom w:val="nil"/>
              <w:right w:val="nil"/>
            </w:tcBorders>
          </w:tcPr>
          <w:p w14:paraId="7297B04D"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 to .01</w:t>
            </w:r>
          </w:p>
        </w:tc>
      </w:tr>
      <w:tr w:rsidR="009B5699" w:rsidRPr="009B5699" w14:paraId="74FAE66F" w14:textId="77777777" w:rsidTr="002A1E63">
        <w:trPr>
          <w:trHeight w:val="487"/>
        </w:trPr>
        <w:tc>
          <w:tcPr>
            <w:tcW w:w="6366" w:type="dxa"/>
            <w:tcBorders>
              <w:top w:val="nil"/>
              <w:left w:val="nil"/>
              <w:bottom w:val="nil"/>
              <w:right w:val="nil"/>
            </w:tcBorders>
          </w:tcPr>
          <w:p w14:paraId="59E82BAF"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alcohol-free reinforcement → alcohol value → AUDIT</w:t>
            </w:r>
          </w:p>
        </w:tc>
        <w:tc>
          <w:tcPr>
            <w:tcW w:w="579" w:type="dxa"/>
            <w:tcBorders>
              <w:top w:val="nil"/>
              <w:left w:val="nil"/>
              <w:bottom w:val="nil"/>
              <w:right w:val="nil"/>
            </w:tcBorders>
          </w:tcPr>
          <w:p w14:paraId="3AE0AC0C"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w:t>
            </w:r>
          </w:p>
        </w:tc>
        <w:tc>
          <w:tcPr>
            <w:tcW w:w="1014" w:type="dxa"/>
            <w:tcBorders>
              <w:top w:val="nil"/>
              <w:left w:val="nil"/>
              <w:bottom w:val="nil"/>
              <w:right w:val="nil"/>
            </w:tcBorders>
          </w:tcPr>
          <w:p w14:paraId="5835092C"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 xml:space="preserve">p </w:t>
            </w:r>
            <w:r w:rsidRPr="009B5699">
              <w:rPr>
                <w:rFonts w:ascii="Times New Roman" w:eastAsia="DengXian" w:hAnsi="Times New Roman" w:cs="Times New Roman"/>
                <w:iCs/>
              </w:rPr>
              <w:t>= .64</w:t>
            </w:r>
          </w:p>
        </w:tc>
        <w:tc>
          <w:tcPr>
            <w:tcW w:w="1278" w:type="dxa"/>
            <w:tcBorders>
              <w:top w:val="nil"/>
              <w:left w:val="nil"/>
              <w:bottom w:val="nil"/>
              <w:right w:val="nil"/>
            </w:tcBorders>
          </w:tcPr>
          <w:p w14:paraId="05ADBB6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 to .01</w:t>
            </w:r>
          </w:p>
        </w:tc>
      </w:tr>
      <w:tr w:rsidR="009B5699" w:rsidRPr="009B5699" w14:paraId="587EBCAD" w14:textId="77777777" w:rsidTr="002A1E63">
        <w:trPr>
          <w:trHeight w:val="477"/>
        </w:trPr>
        <w:tc>
          <w:tcPr>
            <w:tcW w:w="6366" w:type="dxa"/>
            <w:tcBorders>
              <w:top w:val="nil"/>
              <w:left w:val="nil"/>
              <w:bottom w:val="nil"/>
              <w:right w:val="nil"/>
            </w:tcBorders>
          </w:tcPr>
          <w:p w14:paraId="58671ADF"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depressive symptoms → AUDIT</w:t>
            </w:r>
          </w:p>
        </w:tc>
        <w:tc>
          <w:tcPr>
            <w:tcW w:w="579" w:type="dxa"/>
            <w:tcBorders>
              <w:top w:val="nil"/>
              <w:left w:val="nil"/>
              <w:bottom w:val="nil"/>
              <w:right w:val="nil"/>
            </w:tcBorders>
          </w:tcPr>
          <w:p w14:paraId="067EC23E"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.00</w:t>
            </w:r>
          </w:p>
        </w:tc>
        <w:tc>
          <w:tcPr>
            <w:tcW w:w="1014" w:type="dxa"/>
            <w:tcBorders>
              <w:top w:val="nil"/>
              <w:left w:val="nil"/>
              <w:bottom w:val="nil"/>
              <w:right w:val="nil"/>
            </w:tcBorders>
          </w:tcPr>
          <w:p w14:paraId="47EE8736"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 .68</w:t>
            </w:r>
          </w:p>
        </w:tc>
        <w:tc>
          <w:tcPr>
            <w:tcW w:w="1278" w:type="dxa"/>
            <w:tcBorders>
              <w:top w:val="nil"/>
              <w:left w:val="nil"/>
              <w:bottom w:val="nil"/>
              <w:right w:val="nil"/>
            </w:tcBorders>
          </w:tcPr>
          <w:p w14:paraId="24C5EF6C"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 to .02</w:t>
            </w:r>
          </w:p>
        </w:tc>
      </w:tr>
      <w:tr w:rsidR="009B5699" w:rsidRPr="009B5699" w14:paraId="5CF624CB" w14:textId="77777777" w:rsidTr="002A1E63">
        <w:trPr>
          <w:trHeight w:val="484"/>
        </w:trPr>
        <w:tc>
          <w:tcPr>
            <w:tcW w:w="6366" w:type="dxa"/>
            <w:tcBorders>
              <w:top w:val="nil"/>
              <w:left w:val="nil"/>
              <w:bottom w:val="nil"/>
              <w:right w:val="nil"/>
            </w:tcBorders>
          </w:tcPr>
          <w:p w14:paraId="11192CC4"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drinking to cope → AUDIT</w:t>
            </w:r>
          </w:p>
        </w:tc>
        <w:tc>
          <w:tcPr>
            <w:tcW w:w="579" w:type="dxa"/>
            <w:tcBorders>
              <w:top w:val="nil"/>
              <w:left w:val="nil"/>
              <w:bottom w:val="nil"/>
              <w:right w:val="nil"/>
            </w:tcBorders>
          </w:tcPr>
          <w:p w14:paraId="0DD70E9B"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.04</w:t>
            </w:r>
          </w:p>
        </w:tc>
        <w:tc>
          <w:tcPr>
            <w:tcW w:w="1014" w:type="dxa"/>
            <w:tcBorders>
              <w:top w:val="nil"/>
              <w:left w:val="nil"/>
              <w:bottom w:val="nil"/>
              <w:right w:val="nil"/>
            </w:tcBorders>
          </w:tcPr>
          <w:p w14:paraId="0E581B04"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rPr>
              <w:t>p</w:t>
            </w:r>
            <w:r w:rsidRPr="009B5699">
              <w:rPr>
                <w:rFonts w:ascii="Times New Roman" w:eastAsia="DengXian" w:hAnsi="Times New Roman" w:cs="Times New Roman"/>
              </w:rPr>
              <w:t xml:space="preserve"> = .01</w:t>
            </w:r>
          </w:p>
        </w:tc>
        <w:tc>
          <w:tcPr>
            <w:tcW w:w="1278" w:type="dxa"/>
            <w:tcBorders>
              <w:top w:val="nil"/>
              <w:left w:val="nil"/>
              <w:bottom w:val="nil"/>
              <w:right w:val="nil"/>
            </w:tcBorders>
          </w:tcPr>
          <w:p w14:paraId="65111F99"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 to .06</w:t>
            </w:r>
          </w:p>
        </w:tc>
      </w:tr>
      <w:tr w:rsidR="009B5699" w:rsidRPr="009B5699" w14:paraId="2ACEEA0F" w14:textId="77777777" w:rsidTr="002A1E63">
        <w:trPr>
          <w:trHeight w:val="484"/>
        </w:trPr>
        <w:tc>
          <w:tcPr>
            <w:tcW w:w="6366" w:type="dxa"/>
            <w:tcBorders>
              <w:top w:val="nil"/>
              <w:left w:val="nil"/>
              <w:bottom w:val="nil"/>
              <w:right w:val="nil"/>
            </w:tcBorders>
          </w:tcPr>
          <w:p w14:paraId="69EE7562"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depressive symptoms → drinking to cope</w:t>
            </w:r>
          </w:p>
        </w:tc>
        <w:tc>
          <w:tcPr>
            <w:tcW w:w="579" w:type="dxa"/>
            <w:tcBorders>
              <w:top w:val="nil"/>
              <w:left w:val="nil"/>
              <w:bottom w:val="nil"/>
              <w:right w:val="nil"/>
            </w:tcBorders>
          </w:tcPr>
          <w:p w14:paraId="7C1A112E"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.07</w:t>
            </w:r>
          </w:p>
        </w:tc>
        <w:tc>
          <w:tcPr>
            <w:tcW w:w="1014" w:type="dxa"/>
            <w:tcBorders>
              <w:top w:val="nil"/>
              <w:left w:val="nil"/>
              <w:bottom w:val="nil"/>
              <w:right w:val="nil"/>
            </w:tcBorders>
          </w:tcPr>
          <w:p w14:paraId="0F121716" w14:textId="77777777" w:rsidR="009B5699" w:rsidRPr="009B5699" w:rsidRDefault="009B5699" w:rsidP="009B5699">
            <w:pPr>
              <w:spacing w:after="160" w:line="259" w:lineRule="auto"/>
              <w:jc w:val="center"/>
              <w:rPr>
                <w:rFonts w:ascii="Times New Roman" w:eastAsia="DengXian" w:hAnsi="Times New Roman" w:cs="Times New Roman"/>
                <w:i/>
              </w:rPr>
            </w:pPr>
            <w:r w:rsidRPr="009B5699">
              <w:rPr>
                <w:rFonts w:ascii="Times New Roman" w:eastAsia="DengXian" w:hAnsi="Times New Roman" w:cs="Times New Roman"/>
                <w:i/>
                <w:iCs/>
                <w:color w:val="000000"/>
              </w:rPr>
              <w:t>p</w:t>
            </w:r>
            <w:r w:rsidRPr="009B5699">
              <w:rPr>
                <w:rFonts w:ascii="Times New Roman" w:eastAsia="DengXian" w:hAnsi="Times New Roman" w:cs="Times New Roman"/>
                <w:color w:val="000000"/>
              </w:rPr>
              <w:t xml:space="preserve"> &lt; .001</w:t>
            </w:r>
          </w:p>
        </w:tc>
        <w:tc>
          <w:tcPr>
            <w:tcW w:w="1278" w:type="dxa"/>
            <w:tcBorders>
              <w:top w:val="nil"/>
              <w:left w:val="nil"/>
              <w:bottom w:val="nil"/>
              <w:right w:val="nil"/>
            </w:tcBorders>
          </w:tcPr>
          <w:p w14:paraId="440C66C2"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.03 to .11</w:t>
            </w:r>
          </w:p>
        </w:tc>
      </w:tr>
      <w:tr w:rsidR="009B5699" w:rsidRPr="009B5699" w14:paraId="542C774B" w14:textId="77777777" w:rsidTr="002A1E63">
        <w:trPr>
          <w:trHeight w:val="492"/>
        </w:trPr>
        <w:tc>
          <w:tcPr>
            <w:tcW w:w="6366" w:type="dxa"/>
            <w:tcBorders>
              <w:top w:val="nil"/>
              <w:left w:val="nil"/>
              <w:bottom w:val="nil"/>
              <w:right w:val="nil"/>
            </w:tcBorders>
          </w:tcPr>
          <w:p w14:paraId="5EF60329"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Search → depressive symptoms → drinking to cope → AUDIT</w:t>
            </w:r>
          </w:p>
        </w:tc>
        <w:tc>
          <w:tcPr>
            <w:tcW w:w="579" w:type="dxa"/>
            <w:tcBorders>
              <w:top w:val="nil"/>
              <w:left w:val="nil"/>
              <w:bottom w:val="nil"/>
              <w:right w:val="nil"/>
            </w:tcBorders>
          </w:tcPr>
          <w:p w14:paraId="1EE42133"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.02</w:t>
            </w:r>
          </w:p>
        </w:tc>
        <w:tc>
          <w:tcPr>
            <w:tcW w:w="1014" w:type="dxa"/>
            <w:tcBorders>
              <w:top w:val="nil"/>
              <w:left w:val="nil"/>
              <w:bottom w:val="nil"/>
              <w:right w:val="nil"/>
            </w:tcBorders>
          </w:tcPr>
          <w:p w14:paraId="30DA6B2F"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i/>
                <w:iCs/>
              </w:rPr>
              <w:t>p</w:t>
            </w:r>
            <w:r w:rsidRPr="009B5699">
              <w:rPr>
                <w:rFonts w:ascii="Times New Roman" w:eastAsia="DengXian" w:hAnsi="Times New Roman" w:cs="Times New Roman"/>
              </w:rPr>
              <w:t xml:space="preserve"> &lt; .001</w:t>
            </w:r>
          </w:p>
        </w:tc>
        <w:tc>
          <w:tcPr>
            <w:tcW w:w="1278" w:type="dxa"/>
            <w:tcBorders>
              <w:top w:val="nil"/>
              <w:left w:val="nil"/>
              <w:bottom w:val="nil"/>
              <w:right w:val="nil"/>
            </w:tcBorders>
          </w:tcPr>
          <w:p w14:paraId="464EB2C1"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.01 to .04</w:t>
            </w:r>
          </w:p>
        </w:tc>
      </w:tr>
      <w:tr w:rsidR="009B5699" w:rsidRPr="009B5699" w14:paraId="2FB466BA" w14:textId="77777777" w:rsidTr="002A1E63">
        <w:trPr>
          <w:trHeight w:val="492"/>
        </w:trPr>
        <w:tc>
          <w:tcPr>
            <w:tcW w:w="6366" w:type="dxa"/>
            <w:tcBorders>
              <w:top w:val="nil"/>
              <w:left w:val="nil"/>
              <w:bottom w:val="nil"/>
              <w:right w:val="nil"/>
            </w:tcBorders>
          </w:tcPr>
          <w:p w14:paraId="48E968A3"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Alcohol-free reinforcement → alcohol value → AUDIT</w:t>
            </w:r>
          </w:p>
        </w:tc>
        <w:tc>
          <w:tcPr>
            <w:tcW w:w="579" w:type="dxa"/>
            <w:tcBorders>
              <w:top w:val="nil"/>
              <w:left w:val="nil"/>
              <w:bottom w:val="nil"/>
              <w:right w:val="nil"/>
            </w:tcBorders>
          </w:tcPr>
          <w:p w14:paraId="3D6020BD"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.03</w:t>
            </w:r>
          </w:p>
        </w:tc>
        <w:tc>
          <w:tcPr>
            <w:tcW w:w="1014" w:type="dxa"/>
            <w:tcBorders>
              <w:top w:val="nil"/>
              <w:left w:val="nil"/>
              <w:bottom w:val="nil"/>
              <w:right w:val="nil"/>
            </w:tcBorders>
          </w:tcPr>
          <w:p w14:paraId="2BD4BF3D" w14:textId="77777777" w:rsidR="009B5699" w:rsidRPr="009B5699" w:rsidRDefault="009B5699" w:rsidP="009B5699">
            <w:pPr>
              <w:spacing w:after="160" w:line="259" w:lineRule="auto"/>
              <w:jc w:val="center"/>
              <w:rPr>
                <w:rFonts w:ascii="Times New Roman" w:eastAsia="DengXian" w:hAnsi="Times New Roman" w:cs="Times New Roman"/>
                <w:i/>
                <w:iCs/>
              </w:rPr>
            </w:pPr>
            <w:r w:rsidRPr="009B5699">
              <w:rPr>
                <w:rFonts w:ascii="Times New Roman" w:eastAsia="DengXian" w:hAnsi="Times New Roman" w:cs="Times New Roman"/>
                <w:i/>
                <w:iCs/>
              </w:rPr>
              <w:t xml:space="preserve">p </w:t>
            </w:r>
            <w:r w:rsidRPr="009B5699">
              <w:rPr>
                <w:rFonts w:ascii="Times New Roman" w:eastAsia="DengXian" w:hAnsi="Times New Roman" w:cs="Times New Roman"/>
              </w:rPr>
              <w:t>= .20</w:t>
            </w:r>
          </w:p>
        </w:tc>
        <w:tc>
          <w:tcPr>
            <w:tcW w:w="1278" w:type="dxa"/>
            <w:tcBorders>
              <w:top w:val="nil"/>
              <w:left w:val="nil"/>
              <w:bottom w:val="nil"/>
              <w:right w:val="nil"/>
            </w:tcBorders>
          </w:tcPr>
          <w:p w14:paraId="1BB95311"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rPr>
              <w:t>-.01 to .06</w:t>
            </w:r>
          </w:p>
        </w:tc>
      </w:tr>
      <w:tr w:rsidR="009B5699" w:rsidRPr="009B5699" w14:paraId="77A9E483" w14:textId="77777777" w:rsidTr="002A1E63">
        <w:trPr>
          <w:trHeight w:val="492"/>
        </w:trPr>
        <w:tc>
          <w:tcPr>
            <w:tcW w:w="6366" w:type="dxa"/>
            <w:tcBorders>
              <w:top w:val="nil"/>
              <w:left w:val="nil"/>
              <w:bottom w:val="single" w:sz="18" w:space="0" w:color="auto"/>
              <w:right w:val="nil"/>
            </w:tcBorders>
          </w:tcPr>
          <w:p w14:paraId="36D5C636" w14:textId="77777777" w:rsidR="009B5699" w:rsidRPr="009B5699" w:rsidRDefault="009B5699" w:rsidP="009B5699">
            <w:pPr>
              <w:spacing w:after="160" w:line="259" w:lineRule="auto"/>
              <w:rPr>
                <w:rFonts w:ascii="Times New Roman" w:eastAsia="DengXian" w:hAnsi="Times New Roman" w:cs="Times New Roman"/>
              </w:rPr>
            </w:pPr>
            <w:r w:rsidRPr="009B5699">
              <w:rPr>
                <w:rFonts w:ascii="Times New Roman" w:eastAsia="DengXian" w:hAnsi="Times New Roman" w:cs="Times New Roman"/>
              </w:rPr>
              <w:t>Depressive symptoms → drinking to cope → AUDIT</w:t>
            </w:r>
          </w:p>
        </w:tc>
        <w:tc>
          <w:tcPr>
            <w:tcW w:w="579" w:type="dxa"/>
            <w:tcBorders>
              <w:top w:val="nil"/>
              <w:left w:val="nil"/>
              <w:bottom w:val="single" w:sz="18" w:space="0" w:color="auto"/>
              <w:right w:val="nil"/>
            </w:tcBorders>
          </w:tcPr>
          <w:p w14:paraId="4221DAE3"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.13</w:t>
            </w:r>
          </w:p>
        </w:tc>
        <w:tc>
          <w:tcPr>
            <w:tcW w:w="1014" w:type="dxa"/>
            <w:tcBorders>
              <w:top w:val="nil"/>
              <w:left w:val="nil"/>
              <w:bottom w:val="single" w:sz="18" w:space="0" w:color="auto"/>
              <w:right w:val="nil"/>
            </w:tcBorders>
          </w:tcPr>
          <w:p w14:paraId="27D70511" w14:textId="77777777" w:rsidR="009B5699" w:rsidRPr="009B5699" w:rsidRDefault="009B5699" w:rsidP="009B5699">
            <w:pPr>
              <w:spacing w:after="160" w:line="259" w:lineRule="auto"/>
              <w:jc w:val="center"/>
              <w:rPr>
                <w:rFonts w:ascii="Times New Roman" w:eastAsia="DengXian" w:hAnsi="Times New Roman" w:cs="Times New Roman"/>
                <w:i/>
                <w:iCs/>
              </w:rPr>
            </w:pPr>
            <w:r w:rsidRPr="009B5699">
              <w:rPr>
                <w:rFonts w:ascii="Times New Roman" w:eastAsia="DengXian" w:hAnsi="Times New Roman" w:cs="Times New Roman"/>
                <w:i/>
                <w:color w:val="000000"/>
              </w:rPr>
              <w:t>p</w:t>
            </w:r>
            <w:r w:rsidRPr="009B5699">
              <w:rPr>
                <w:rFonts w:ascii="Times New Roman" w:eastAsia="DengXian" w:hAnsi="Times New Roman" w:cs="Times New Roman"/>
                <w:color w:val="000000"/>
              </w:rPr>
              <w:t xml:space="preserve"> &lt; .001</w:t>
            </w:r>
          </w:p>
        </w:tc>
        <w:tc>
          <w:tcPr>
            <w:tcW w:w="1278" w:type="dxa"/>
            <w:tcBorders>
              <w:top w:val="nil"/>
              <w:left w:val="nil"/>
              <w:bottom w:val="single" w:sz="18" w:space="0" w:color="auto"/>
              <w:right w:val="nil"/>
            </w:tcBorders>
          </w:tcPr>
          <w:p w14:paraId="7EEA2567" w14:textId="77777777" w:rsidR="009B5699" w:rsidRPr="009B5699" w:rsidRDefault="009B5699" w:rsidP="009B5699">
            <w:pPr>
              <w:spacing w:after="160" w:line="259" w:lineRule="auto"/>
              <w:jc w:val="center"/>
              <w:rPr>
                <w:rFonts w:ascii="Times New Roman" w:eastAsia="DengXian" w:hAnsi="Times New Roman" w:cs="Times New Roman"/>
              </w:rPr>
            </w:pPr>
            <w:r w:rsidRPr="009B5699">
              <w:rPr>
                <w:rFonts w:ascii="Times New Roman" w:eastAsia="DengXian" w:hAnsi="Times New Roman" w:cs="Times New Roman"/>
                <w:color w:val="000000"/>
              </w:rPr>
              <w:t>.08 to .19</w:t>
            </w:r>
          </w:p>
        </w:tc>
      </w:tr>
    </w:tbl>
    <w:p w14:paraId="6354C313" w14:textId="394DF7DE" w:rsidR="009B5699" w:rsidRDefault="009B5699" w:rsidP="009B5699">
      <w:pPr>
        <w:pBdr>
          <w:top w:val="nil"/>
          <w:left w:val="nil"/>
          <w:bottom w:val="nil"/>
          <w:right w:val="nil"/>
          <w:between w:val="nil"/>
        </w:pBdr>
        <w:spacing w:line="480" w:lineRule="auto"/>
        <w:jc w:val="both"/>
        <w:rPr>
          <w:rFonts w:ascii="Times New Roman" w:eastAsia="DengXian" w:hAnsi="Times New Roman" w:cs="Times New Roman"/>
          <w:iCs/>
          <w:color w:val="000000"/>
        </w:rPr>
      </w:pPr>
      <w:r w:rsidRPr="009B5699">
        <w:rPr>
          <w:rFonts w:ascii="Times New Roman" w:eastAsia="DengXian" w:hAnsi="Times New Roman" w:cs="Times New Roman"/>
          <w:i/>
          <w:iCs/>
          <w:color w:val="000000"/>
        </w:rPr>
        <w:t>Note.</w:t>
      </w:r>
      <w:r>
        <w:rPr>
          <w:rFonts w:ascii="Times New Roman" w:eastAsia="DengXian" w:hAnsi="Times New Roman" w:cs="Times New Roman"/>
          <w:iCs/>
          <w:color w:val="000000"/>
        </w:rPr>
        <w:t xml:space="preserve"> </w:t>
      </w:r>
      <w:r w:rsidRPr="009B5699">
        <w:rPr>
          <w:rFonts w:ascii="Times New Roman" w:eastAsia="DengXian" w:hAnsi="Times New Roman" w:cs="Times New Roman"/>
          <w:iCs/>
          <w:color w:val="000000"/>
        </w:rPr>
        <w:t xml:space="preserve">Standardised parameter estimates are presented for all indirect effects. Presence = presence of meaning in life; Search = search for meaning in life. AUDIT = Alcohol Use Disorders Identification Test. </w:t>
      </w:r>
    </w:p>
    <w:p w14:paraId="7F2ADA15" w14:textId="77777777" w:rsidR="009B5699" w:rsidRPr="009B5699" w:rsidRDefault="009B5699" w:rsidP="009B5699">
      <w:pPr>
        <w:pBdr>
          <w:top w:val="nil"/>
          <w:left w:val="nil"/>
          <w:bottom w:val="nil"/>
          <w:right w:val="nil"/>
          <w:between w:val="nil"/>
        </w:pBdr>
        <w:spacing w:line="480" w:lineRule="auto"/>
        <w:jc w:val="both"/>
        <w:rPr>
          <w:rFonts w:ascii="Times New Roman" w:eastAsia="DengXian" w:hAnsi="Times New Roman" w:cs="Times New Roman"/>
          <w:iCs/>
          <w:color w:val="000000"/>
        </w:rPr>
      </w:pPr>
    </w:p>
    <w:p w14:paraId="17F5433C" w14:textId="2D99E639" w:rsidR="009B5699" w:rsidRPr="009B5699" w:rsidRDefault="009B5699" w:rsidP="009B5699">
      <w:pPr>
        <w:pStyle w:val="NoSpacing"/>
        <w:spacing w:line="480" w:lineRule="auto"/>
        <w:rPr>
          <w:rFonts w:ascii="Times New Roman" w:hAnsi="Times New Roman" w:cs="Times New Roman"/>
        </w:rPr>
      </w:pPr>
      <w:bookmarkStart w:id="124" w:name="_Hlk109039444"/>
      <w:bookmarkStart w:id="125" w:name="_Hlk102125637"/>
      <w:bookmarkStart w:id="126" w:name="_Hlk96338150"/>
      <w:r w:rsidRPr="009B5699">
        <w:rPr>
          <w:rFonts w:ascii="Times New Roman" w:hAnsi="Times New Roman" w:cs="Times New Roman"/>
        </w:rPr>
        <w:t xml:space="preserve">There was a significant indirect effect of presence of meaning in life on AUDIT scores through </w:t>
      </w:r>
      <w:bookmarkEnd w:id="124"/>
      <w:r w:rsidRPr="009B5699">
        <w:rPr>
          <w:rFonts w:ascii="Times New Roman" w:hAnsi="Times New Roman" w:cs="Times New Roman"/>
        </w:rPr>
        <w:t xml:space="preserve">lower alcohol value and drinking to cope. </w:t>
      </w:r>
      <w:bookmarkEnd w:id="125"/>
      <w:r w:rsidRPr="009B5699">
        <w:rPr>
          <w:rFonts w:ascii="Times New Roman" w:hAnsi="Times New Roman" w:cs="Times New Roman"/>
        </w:rPr>
        <w:t xml:space="preserve">Depressive symptoms alone were not a significant mediator within the relationship between presence of meaning in life and AUDIT scores, however </w:t>
      </w:r>
      <w:bookmarkStart w:id="127" w:name="_Hlk102643029"/>
      <w:r w:rsidRPr="009B5699">
        <w:rPr>
          <w:rFonts w:ascii="Times New Roman" w:hAnsi="Times New Roman" w:cs="Times New Roman"/>
        </w:rPr>
        <w:t xml:space="preserve">there was a </w:t>
      </w:r>
      <w:r w:rsidR="003A7B95">
        <w:rPr>
          <w:rFonts w:ascii="Times New Roman" w:hAnsi="Times New Roman" w:cs="Times New Roman"/>
        </w:rPr>
        <w:t xml:space="preserve">serial </w:t>
      </w:r>
      <w:r w:rsidRPr="009B5699">
        <w:rPr>
          <w:rFonts w:ascii="Times New Roman" w:hAnsi="Times New Roman" w:cs="Times New Roman"/>
        </w:rPr>
        <w:t>mediation</w:t>
      </w:r>
      <w:r w:rsidRPr="004B73B2">
        <w:rPr>
          <w:rStyle w:val="FootnoteReference"/>
        </w:rPr>
        <w:footnoteReference w:id="4"/>
      </w:r>
      <w:r w:rsidRPr="009B5699">
        <w:rPr>
          <w:rFonts w:ascii="Times New Roman" w:hAnsi="Times New Roman" w:cs="Times New Roman"/>
        </w:rPr>
        <w:t xml:space="preserve"> effect through both depressive symptoms and drinking to cope</w:t>
      </w:r>
      <w:bookmarkEnd w:id="127"/>
      <w:r w:rsidRPr="009B5699">
        <w:rPr>
          <w:rFonts w:ascii="Times New Roman" w:hAnsi="Times New Roman" w:cs="Times New Roman"/>
        </w:rPr>
        <w:t xml:space="preserve">. </w:t>
      </w:r>
      <w:bookmarkEnd w:id="126"/>
    </w:p>
    <w:p w14:paraId="37211A7B" w14:textId="77777777" w:rsidR="009B5699" w:rsidRPr="009B5699" w:rsidRDefault="009B5699" w:rsidP="009B5699">
      <w:pPr>
        <w:pStyle w:val="NoSpacing"/>
        <w:spacing w:line="480" w:lineRule="auto"/>
        <w:rPr>
          <w:rFonts w:ascii="Times New Roman" w:hAnsi="Times New Roman" w:cs="Times New Roman"/>
        </w:rPr>
      </w:pPr>
    </w:p>
    <w:p w14:paraId="0C01B7AE" w14:textId="258D0188" w:rsidR="009B5699" w:rsidRPr="009B5699" w:rsidRDefault="009B5699" w:rsidP="009B5699">
      <w:pPr>
        <w:pStyle w:val="NoSpacing"/>
        <w:spacing w:line="480" w:lineRule="auto"/>
        <w:rPr>
          <w:rFonts w:ascii="Times New Roman" w:hAnsi="Times New Roman" w:cs="Times New Roman"/>
        </w:rPr>
      </w:pPr>
      <w:bookmarkStart w:id="128" w:name="_Hlk109039468"/>
      <w:r w:rsidRPr="009B5699">
        <w:rPr>
          <w:rFonts w:ascii="Times New Roman" w:hAnsi="Times New Roman" w:cs="Times New Roman"/>
        </w:rPr>
        <w:t xml:space="preserve">There was a significant indirect effect of search for meaning on AUDIT scores through </w:t>
      </w:r>
      <w:bookmarkEnd w:id="128"/>
      <w:r w:rsidRPr="009B5699">
        <w:rPr>
          <w:rFonts w:ascii="Times New Roman" w:hAnsi="Times New Roman" w:cs="Times New Roman"/>
        </w:rPr>
        <w:t xml:space="preserve">greater drinking to cope. Similarly, depressive symptoms alone were not a significant mediator within the relationship between search for meaning in life and AUDIT scores, however there was a </w:t>
      </w:r>
      <w:r w:rsidR="003A7B95">
        <w:rPr>
          <w:rFonts w:ascii="Times New Roman" w:hAnsi="Times New Roman" w:cs="Times New Roman"/>
        </w:rPr>
        <w:t xml:space="preserve">serial </w:t>
      </w:r>
      <w:r w:rsidRPr="009B5699">
        <w:rPr>
          <w:rFonts w:ascii="Times New Roman" w:hAnsi="Times New Roman" w:cs="Times New Roman"/>
        </w:rPr>
        <w:t>mediation effect through both depressive symptoms and drinking to cope.</w:t>
      </w:r>
    </w:p>
    <w:p w14:paraId="38F03D44" w14:textId="77777777" w:rsidR="009B5699" w:rsidRPr="009B5699" w:rsidRDefault="009B5699" w:rsidP="009B5699">
      <w:pPr>
        <w:pStyle w:val="NoSpacing"/>
        <w:spacing w:line="480" w:lineRule="auto"/>
        <w:rPr>
          <w:rFonts w:ascii="Times New Roman" w:hAnsi="Times New Roman" w:cs="Times New Roman"/>
        </w:rPr>
      </w:pPr>
    </w:p>
    <w:p w14:paraId="736B363D" w14:textId="3EA6CDCE" w:rsidR="009B5699" w:rsidRPr="009B5699" w:rsidRDefault="009B5699" w:rsidP="009B5699">
      <w:pPr>
        <w:pStyle w:val="NoSpacing"/>
        <w:spacing w:line="480" w:lineRule="auto"/>
        <w:rPr>
          <w:rFonts w:ascii="Times New Roman" w:hAnsi="Times New Roman" w:cs="Times New Roman"/>
        </w:rPr>
      </w:pPr>
      <w:r w:rsidRPr="009B5699">
        <w:rPr>
          <w:rFonts w:ascii="Times New Roman" w:hAnsi="Times New Roman" w:cs="Times New Roman"/>
        </w:rPr>
        <w:t>There was a significant indirect effect of presence of meaning on drinking to cope through lower depressive symptoms and a significant indirect effect of search for meaning on drinking to cope via greater depressive symptoms. There was also a significant indirect effect of depressive symptoms on AUDIT scores through greater drinking to cope</w:t>
      </w:r>
      <w:r>
        <w:rPr>
          <w:rFonts w:ascii="Times New Roman" w:hAnsi="Times New Roman" w:cs="Times New Roman"/>
        </w:rPr>
        <w:t>.</w:t>
      </w:r>
    </w:p>
    <w:p w14:paraId="62EC4B61" w14:textId="77777777" w:rsidR="00403E7C" w:rsidRDefault="00403E7C" w:rsidP="00AF6576">
      <w:pPr>
        <w:pStyle w:val="NoSpacing"/>
      </w:pPr>
    </w:p>
    <w:p w14:paraId="00CFFBEC" w14:textId="15691684" w:rsidR="00AF6576" w:rsidRPr="00AF6576" w:rsidRDefault="00AF6576" w:rsidP="00786365">
      <w:pPr>
        <w:pStyle w:val="Heading4"/>
        <w:spacing w:line="480" w:lineRule="auto"/>
      </w:pPr>
      <w:bookmarkStart w:id="129" w:name="_Toc110629048"/>
      <w:bookmarkStart w:id="130" w:name="_Toc110870956"/>
      <w:r>
        <w:t>2.4. Discussion</w:t>
      </w:r>
      <w:bookmarkEnd w:id="129"/>
      <w:bookmarkEnd w:id="130"/>
    </w:p>
    <w:p w14:paraId="23F86DBC" w14:textId="45C1FD7F" w:rsidR="00AF6576" w:rsidRPr="00AF6576" w:rsidRDefault="00AF6576" w:rsidP="00786365">
      <w:pPr>
        <w:pStyle w:val="NoSpacing"/>
        <w:spacing w:line="480" w:lineRule="auto"/>
        <w:rPr>
          <w:rFonts w:ascii="Times New Roman" w:hAnsi="Times New Roman" w:cs="Times New Roman"/>
        </w:rPr>
      </w:pPr>
      <w:r w:rsidRPr="00AF6576">
        <w:rPr>
          <w:rFonts w:ascii="Times New Roman" w:hAnsi="Times New Roman" w:cs="Times New Roman"/>
        </w:rPr>
        <w:t xml:space="preserve">The aim of this study was to clarify the relationships between presence of and search for meaning in life and AUDIT scores, and to elucidate potential pathways that can explain variance in these associations. Our finding that presence of meaning in life is inversely associated with AUDIT scores aligns with previous correlational and longitudinal research conducted across diverse samples, including young adults </w:t>
      </w:r>
      <w:r w:rsidR="00BE51B3">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{"citationID":"WABV6NHu","properties":{"formattedCitation":"(Csabonyi &amp; Phillips, 2017)","plainCitation":"(Csabonyi &amp; Phillips, 2017)","noteIndex":0},"citationItems":[{"id":1272,"uris":["http://zotero.org/users/7873587/items/UIMMBKBM"],"itemData":{"id":1272,"type":"article-journal","abstract":"Viktor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J."}],"issued":{"date-parts":[["2017"]]}}}],"schema":"https://github.com/citation-style-language/schema/raw/master/csl-citation.json"} </w:instrText>
      </w:r>
      <w:r w:rsidR="00BE51B3">
        <w:rPr>
          <w:rFonts w:ascii="Times New Roman" w:hAnsi="Times New Roman" w:cs="Times New Roman"/>
        </w:rPr>
        <w:fldChar w:fldCharType="separate"/>
      </w:r>
      <w:r w:rsidR="00BE51B3">
        <w:rPr>
          <w:rFonts w:ascii="Times New Roman" w:hAnsi="Times New Roman" w:cs="Times New Roman"/>
          <w:noProof/>
        </w:rPr>
        <w:t>(Csabonyi &amp; Phillips, 2017)</w:t>
      </w:r>
      <w:r w:rsidR="00BE51B3">
        <w:rPr>
          <w:rFonts w:ascii="Times New Roman" w:hAnsi="Times New Roman" w:cs="Times New Roman"/>
        </w:rPr>
        <w:fldChar w:fldCharType="end"/>
      </w:r>
      <w:r w:rsidRPr="00AF6576">
        <w:rPr>
          <w:rFonts w:ascii="Times New Roman" w:hAnsi="Times New Roman" w:cs="Times New Roman"/>
        </w:rPr>
        <w:t xml:space="preserve">, students </w:t>
      </w:r>
      <w:r w:rsidR="00396483">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{"citationID":"UWdQFnrj","properties":{"formattedCitation":"(Schnetzer et al., 2013)","plainCitation":"(Schnetzer et al., 2013)","noteIndex":0},"citationItems":[{"id":157,"uris":["http://zotero.org/users/7873587/items/MAHUQBKC"],"itemData":{"id":157,"type":"article-journal","abstract":"Excessive alcohol consumption is a chronic issue on college campuses nationwide and presents a significant public health concern. Compared with non-college peers, college students consume alcohol at substantially higher rates and encounter more negative consequences resulting from drinking. This study aimed to examine the role of depression and perceived life meaning in college student drinking, with a focus on potential sex differences. Participants recruited from a large southern university in the United States (mean age = 19.14, SD age = 2.05; 75.7% female; 75.7% Caucasian, 17.2% African American) completed surveys assessing perceived meaning, depression and alcohol use. Results indicated a significant inverse relationship between perceived meaning and alcohol use, while no significant association was found between depression and alcohol use. Although the regression model including perceived meaning and depression was significant in the prediction of alcohol use, it was meaning that accounted for significant variance in alcohol use. When the sample was split by sex, there was an interaction between meaning and depression in predicting male alcohol use. This study expands upon previous research pertaining to college student alcohol use and reveals potentially clinically relevant differences in patterns of association between men and women. Limitations, clinical implications and directions for research are discussed.","container-title":"Journal of Substance Use","DOI":"10.3109/14659891.2012.661026","issue":"4","journalAbbreviation":"Journal of Substance Use","page":"311-319","source":"ResearchGate","title":"Differential associations among alcohol use, depression and perceived life meaning in male and female college students","volume":"18","author":[{"family":"Schnetzer","given":"Lindsay"},{"family":"Schulenberg","given":"Stefan"},{"family":"Buchanan","given":"Erin"}],"issued":{"date-parts":[["2013",6,14]]}}}],"schema":"https://github.com/citation-style-language/schema/raw/master/csl-citation.json"} </w:instrText>
      </w:r>
      <w:r w:rsidR="00396483">
        <w:rPr>
          <w:rFonts w:ascii="Times New Roman" w:hAnsi="Times New Roman" w:cs="Times New Roman"/>
        </w:rPr>
        <w:fldChar w:fldCharType="separate"/>
      </w:r>
      <w:r w:rsidR="00396483">
        <w:rPr>
          <w:rFonts w:ascii="Times New Roman" w:hAnsi="Times New Roman" w:cs="Times New Roman"/>
          <w:noProof/>
        </w:rPr>
        <w:t>(Schnetzer et al., 2013)</w:t>
      </w:r>
      <w:r w:rsidR="00396483">
        <w:rPr>
          <w:rFonts w:ascii="Times New Roman" w:hAnsi="Times New Roman" w:cs="Times New Roman"/>
        </w:rPr>
        <w:fldChar w:fldCharType="end"/>
      </w:r>
      <w:r w:rsidRPr="00AF6576">
        <w:rPr>
          <w:rFonts w:ascii="Times New Roman" w:hAnsi="Times New Roman" w:cs="Times New Roman"/>
        </w:rPr>
        <w:t xml:space="preserve">, general populations </w:t>
      </w:r>
      <w:r w:rsidR="005F73D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{"citationID":"H6RAtqpc","properties":{"formattedCitation":"(Copeland et al., 2020)","plainCitation":"(Copeland et al.,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value","volume":"11","author":[{"family":"Copeland","given":"Amber"},{"family":"Jones","given":"Andrew"},{"family":"Field","given":"Matt"}],"issued":{"date-parts":[["2020",6,1]]}}}],"schema":"https://github.com/citation-style-language/schema/raw/master/csl-citation.json"} </w:instrText>
      </w:r>
      <w:r w:rsidR="005F73D4">
        <w:rPr>
          <w:rFonts w:ascii="Times New Roman" w:hAnsi="Times New Roman" w:cs="Times New Roman"/>
        </w:rPr>
        <w:fldChar w:fldCharType="separate"/>
      </w:r>
      <w:r w:rsidR="005F73D4">
        <w:rPr>
          <w:rFonts w:ascii="Times New Roman" w:hAnsi="Times New Roman" w:cs="Times New Roman"/>
          <w:noProof/>
        </w:rPr>
        <w:t>(Copeland et al., 2020)</w:t>
      </w:r>
      <w:r w:rsidR="005F73D4">
        <w:rPr>
          <w:rFonts w:ascii="Times New Roman" w:hAnsi="Times New Roman" w:cs="Times New Roman"/>
        </w:rPr>
        <w:fldChar w:fldCharType="end"/>
      </w:r>
      <w:r w:rsidRPr="00AF6576">
        <w:rPr>
          <w:rFonts w:ascii="Times New Roman" w:hAnsi="Times New Roman" w:cs="Times New Roman"/>
        </w:rPr>
        <w:t xml:space="preserve">, and people receiving treatment for alcohol use disorder </w:t>
      </w:r>
      <w:r w:rsidR="00396483">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{"citationID":"9sYUayc7","properties":{"formattedCitation":"(E. A. R. Robinson et al., 2007; Roos et al., 2015)","plainCitation":"(E. A. R. Robinson et al., 2007; Roos et al., 2015)","dontUpdate":true,"noteIndex":0},"citationItems":[{"id":205,"uris":["http://zotero.org/users/7873587/items/258ZMR7W"],"itemData":{"id":205,"type":"article-journal","abstract":"Objective: This descriptive and exploratory study investigated change in alcoholics' spirituality and/or religiousness (S/R) from treatment entry to 6 months later and whether those changes were associated with drinking outcomes. Method: Longitudinal survey data were collected from 123 outpatients with alcohol use disorders (66% male; mean age = 39; 83% white) on 10 measures of S/R, covering behaviors, beliefs, and experiences, including the Daily Spiritual Experiences and Purpose in Life scales. Drinking behaviors were assessed with the Timeline Followback interview. Alcoholics Anonymous (AA) participation and attendance were also measured. Results: Over 6 months, there were statistically significant increases in half of the S/R measures, specifically the Daily Spiritual Experiences scale, the Purpose in Life scale, S/R practices scale, Forgiveness scale, and the Positive Religious Coping scale. There were also clinically and statistically significant decreases in alcohol use. Multiple logistic regression analyses showed that increases in Daily Spiritual Experiences and in Purpose in Life scores were associated with increased odds of no heavy drinking at 6 months, even after controlling for AA involvement and gender. Conclusions: In the first 6 months of recovery, many dimensions of S/R increased, particularly those associated with behaviors and experiences. Values, beliefs, self-assessed religiousness, perceptions of God, and the use of negative religious coping did not change. Increases in day-to-day experiences of spirituality and sense of purpose/meaning in life were associated with absence of heavy drinking at 6 months, regardless of gender and AA involvement. The results of this descriptive study support the perspective of many clinicians and recovering individuals that changes in alcoholics' S/R occur in recovery and that such changes are important to sobriety. (J. Stud. Alcohol Drugs 68: 282-290, 2007)","container-title":"Journal of Studies on Alcohol and Drugs","DOI":"10.15288/jsad.2007.68.282","ISSN":"1937-1888","issue":"2","journalAbbreviation":"J. Stud. Alcohol Drugs","note":"publisher: Alcohol Research Documentation, Inc.","page":"282-290","source":"jsad.com (Atypon)","title":"Six-month changes in spirituality, religiousness, and heavy drinking in a treatment-seeking sample","volume":"68","author":[{"family":"Robinson","given":"Elizabeth A.R."},{"family":"Cranford","given":"James A."},{"family":"Webb","given":"Jon R."},{"family":"Brower","given":"Kirk J."}],"issued":{"date-parts":[["2007",3,1]]}},"label":"page"},{"id":1640,"uris":["http://zotero.org/users/7873587/items/FF8I5HEI"],"itemData":{"id":1640,"type":"article-journal","abstract":"Temptation to drink, defined as the degree to which one feels compelled to drink in the presence of internal or external alcohol-related cues, has been shown to predict alcohol treatment outcomes among individuals with alcohol use disorders (AUDs). Research examining temptation to drink from an existential perspective is lacking and little is known about how existential issues such as purpose in life (PIL) relate to temptation to drink, which is surprising given the role of existential issues in many treatments and mutual help approaches for AUDs. The current study examined the longitudinal associations among temptation to drink, PIL, and drinking outcomes using data from Project MATCH (N = 1726). Parallel process latent growth curve analyses indicated that PIL and temptation to drink were significantly associated across time, such that higher initial levels of PIL and increases in PIL over time were associated with lower initial levels of temptation to drink and decreases in temptation to drink over time. Higher initial levels of temptation to drink, lower initial levels of PIL, increases in temptation to drink, and decreases in PIL were significantly associated with greater intensity and frequency of drinking and greater drinking-related consequences at the 15-month follow-up. Accordingly, temptation to drink and PIL may be important constructs for clinicians to consider throughout the course of treatment. Future studies should examine if and how various kinds of treatments for AUDs are associated with increases in PIL, and whether these increases are related to decreased temptation to drink and reduced drinking.","container-title":"Psychology of Addictive Behaviors","DOI":"10.1037/adb0000063","ISSN":"0893-164X","issue":"3","journalAbbreviation":"Psychol Addict Behav","note":"PMID: 25730630\nPMCID: PMC4558413","page":"716-724","source":"PubMed Central","title":"Examining temptation to drink from an existential perspective: Associations among temptation, purpose in life, and drinking outcomes","title-short":"Examining Temptation to Drink from an Existential Perspective","volume":"29","author":[{"family":"Roos","given":"Corey R."},{"family":"Kirouac","given":"Megan"},{"family":"Pearson","given":"Matthew R."},{"family":"Fink","given":"Brandi C."},{"family":"Witkiewitz","given":"Katie"}],"issued":{"date-parts":[["2015",9]]}},"label":"page"}],"schema":"https://github.com/citation-style-language/schema/raw/master/csl-citation.json"} </w:instrText>
      </w:r>
      <w:r w:rsidR="00396483">
        <w:rPr>
          <w:rFonts w:ascii="Times New Roman" w:hAnsi="Times New Roman" w:cs="Times New Roman"/>
        </w:rPr>
        <w:fldChar w:fldCharType="separate"/>
      </w:r>
      <w:r w:rsidR="005F73D4">
        <w:rPr>
          <w:rFonts w:ascii="Times New Roman" w:hAnsi="Times New Roman" w:cs="Times New Roman"/>
          <w:noProof/>
        </w:rPr>
        <w:t>(Robinson et al., 2007; Roos et al., 2015)</w:t>
      </w:r>
      <w:r w:rsidR="00396483">
        <w:rPr>
          <w:rFonts w:ascii="Times New Roman" w:hAnsi="Times New Roman" w:cs="Times New Roman"/>
        </w:rPr>
        <w:fldChar w:fldCharType="end"/>
      </w:r>
      <w:r w:rsidR="005F73D4">
        <w:rPr>
          <w:rFonts w:ascii="Times New Roman" w:hAnsi="Times New Roman" w:cs="Times New Roman"/>
        </w:rPr>
        <w:t>.</w:t>
      </w:r>
      <w:r w:rsidRPr="00AF6576">
        <w:rPr>
          <w:rFonts w:ascii="Times New Roman" w:hAnsi="Times New Roman" w:cs="Times New Roman"/>
        </w:rPr>
        <w:t xml:space="preserve"> </w:t>
      </w:r>
    </w:p>
    <w:p w14:paraId="0C96854A" w14:textId="77777777" w:rsidR="00AF6576" w:rsidRPr="00AF6576" w:rsidRDefault="00AF6576" w:rsidP="00786365">
      <w:pPr>
        <w:pStyle w:val="NoSpacing"/>
        <w:spacing w:line="480" w:lineRule="auto"/>
        <w:rPr>
          <w:rFonts w:ascii="Times New Roman" w:hAnsi="Times New Roman" w:cs="Times New Roman"/>
        </w:rPr>
      </w:pPr>
    </w:p>
    <w:p w14:paraId="05842002" w14:textId="40CE9E82" w:rsidR="00AF6576" w:rsidRPr="00AF6576" w:rsidRDefault="00AF6576" w:rsidP="00786365">
      <w:pPr>
        <w:pStyle w:val="NoSpacing"/>
        <w:spacing w:line="480" w:lineRule="auto"/>
        <w:rPr>
          <w:rFonts w:ascii="Times New Roman" w:hAnsi="Times New Roman" w:cs="Times New Roman"/>
        </w:rPr>
      </w:pPr>
      <w:r w:rsidRPr="00AF6576">
        <w:rPr>
          <w:rFonts w:ascii="Times New Roman" w:hAnsi="Times New Roman" w:cs="Times New Roman"/>
        </w:rPr>
        <w:t xml:space="preserve">We also found that search for meaning in life was not a significant predictor of AUDIT scores, and therefore we did not replicate findings from Copeland et al. (2020). Nevertheless, these findings are in line with </w:t>
      </w:r>
      <w:proofErr w:type="spellStart"/>
      <w:r w:rsidRPr="00AF6576">
        <w:rPr>
          <w:rFonts w:ascii="Times New Roman" w:hAnsi="Times New Roman" w:cs="Times New Roman"/>
        </w:rPr>
        <w:t>Csabonyi</w:t>
      </w:r>
      <w:proofErr w:type="spellEnd"/>
      <w:r w:rsidRPr="00AF6576">
        <w:rPr>
          <w:rFonts w:ascii="Times New Roman" w:hAnsi="Times New Roman" w:cs="Times New Roman"/>
        </w:rPr>
        <w:t xml:space="preserve"> and Phillips (2017) and add to a mixed evidence base, supporting the notion that search for meaning in life is not a robust predictor of elevated AUDIT scores. A potential explanation for these mixed findings may be due to the idiosyncratic nature of what it means to be searching for meaning, in that this construct may be experienced differently across individuals </w:t>
      </w:r>
      <w:r w:rsidR="005C35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{"citationID":"1pbRTSMW","properties":{"formattedCitation":"(Steger et al., 2008)","plainCitation":"(Steger et al., 2008)","noteIndex":0},"citationItems":[{"id":186,"uris":["http://zotero.org/users/7873587/items/F6S2B5WE"],"itemData":{"id":186,"type":"article-journal","abstract":"Although several theories assert that understanding the search for meaning in life is important, empirical research on this construct is sparse. Three studies provide the first extensive effort to understand the correlates of the search for meaning in a multistudy research program. Assessed were relations between search for meaning and well-being, cognitive style, and the Big Five, Big Three, Approach/Avoidance, and Interest models of personality, with a particular emphasis on understanding the correlates of search for meaning that are independent of presence of meaning. Conceptual models of the relation between search and presence were tested. Findings suggest that people lacking meaning search for it; the search for meaning did not appear to lead to its presence. Study 3 found that basic motive dispositions moderated relations between search for meaning and its presence. Results highlight the importance of basic personality dispositions in understanding the search for meaning and its correlates.","container-title":"Journal of Personality","DOI":"10.1111/j.1467-6494.2007.00484.x","ISSN":"0022-3506","issue":"2","journalAbbreviation":"J Pers","language":"eng","note":"PMID: 18331281","page":"199-228","source":"PubMed","title":"Understanding the search for meaning in life: personality, cognitive style, and the dynamic between seeking and experiencing meaning","title-short":"Understanding the search for meaning in life","volume":"76","author":[{"family":"Steger","given":"Michael F."},{"family":"Kashdan","given":"Todd B."},{"family":"Sullivan","given":"Brandon A."},{"family":"Lorentz","given":"Danielle"}],"issued":{"date-parts":[["2008",4]]}}}],"schema":"https://github.com/citation-style-language/schema/raw/master/csl-citation.json"} </w:instrText>
      </w:r>
      <w:r w:rsidR="005C35A7">
        <w:rPr>
          <w:rFonts w:ascii="Times New Roman" w:hAnsi="Times New Roman" w:cs="Times New Roman"/>
        </w:rPr>
        <w:fldChar w:fldCharType="separate"/>
      </w:r>
      <w:r w:rsidR="005C35A7">
        <w:rPr>
          <w:rFonts w:ascii="Times New Roman" w:hAnsi="Times New Roman" w:cs="Times New Roman"/>
          <w:noProof/>
        </w:rPr>
        <w:t>(Steger et al., 2008)</w:t>
      </w:r>
      <w:r w:rsidR="005C35A7">
        <w:rPr>
          <w:rFonts w:ascii="Times New Roman" w:hAnsi="Times New Roman" w:cs="Times New Roman"/>
        </w:rPr>
        <w:fldChar w:fldCharType="end"/>
      </w:r>
      <w:r w:rsidRPr="00AF6576">
        <w:rPr>
          <w:rFonts w:ascii="Times New Roman" w:hAnsi="Times New Roman" w:cs="Times New Roman"/>
        </w:rPr>
        <w:t xml:space="preserve">. To elaborate, for some people, searching for meaning may symbolise something that is negative while for other people this might symbolise something that is positive, promoting active seeking of meaning </w:t>
      </w:r>
      <w:r w:rsidR="002506A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{"citationID":"PAYPfZ1c","properties":{"formattedCitation":"(R. Watson et al., 2020)","plainCitation":"(R. Watson et al., 2020)","dontUpdate":true,"noteIndex":0},"citationItems":[{"id":392,"uris":["http://zotero.org/users/7873587/items/CV4RHQI8"],"itemData":{"id":392,"type":"article-journal","abstract":"Anhedonia (or loss of interest and pleasure) is a core symptom of depression and may predict poor treatment outcome. However, little is known about the subjective experience of anhedonia, and it is rarely targeted in psychological treatment for depression. The aim of this study is to examine how young people experience anhedonia in the context of depression. Semi-structured interviews were conducted with 34 adolescents with a primary diagnosis of depression (N = 12) or elevated depressive symptoms (N = 22). Thematic analysis was used to identify important aspects of adolescents' experiences. Four main themes were identified: (1) experiencing a loss of joy and a flattening of emotion; (2) struggling with motivation and active engagement; (3) losing a sense of connection and belonging; and (4) questioning sense of self, purpose, and the bigger picture. The results challenge the framing of anhedonia as simply the loss of interest and pleasure. Adolescents reported a range of experiences that mapped closely onto the cluster of negative symptoms associated with schizophrenia and were similar to the sense of 'apathy' characteristic in Parkinson's disease. This highlights the potential benefit of taking a trans-diagnostic approach to understanding and treating reward deficits associated with mental health problems.","container-title":"European Child &amp; Adolescent Psychiatry","DOI":"10.1007/s00787-019-01364-y","ISSN":"1435-165X","issue":"4","journalAbbreviation":"Eur Child Adolesc Psychiatry","language":"eng","note":"PMID: 31270605\nPMCID: PMC7103575","page":"489-499","source":"PubMed","title":"Understanding anhedonia: a qualitative study exploring loss of interest and pleasure in adolescent depression","title-short":"Understanding anhedonia","volume":"29","author":[{"family":"Watson","given":"Rebecca"},{"family":"Harvey","given":"Kate"},{"family":"McCabe","given":"Ciara"},{"family":"Reynolds","given":"Shirley"}],"issued":{"date-parts":[["2020",4]]}}}],"schema":"https://github.com/citation-style-language/schema/raw/master/csl-citation.json"} </w:instrText>
      </w:r>
      <w:r w:rsidR="002506AB">
        <w:rPr>
          <w:rFonts w:ascii="Times New Roman" w:hAnsi="Times New Roman" w:cs="Times New Roman"/>
        </w:rPr>
        <w:fldChar w:fldCharType="separate"/>
      </w:r>
      <w:r w:rsidR="002506AB">
        <w:rPr>
          <w:rFonts w:ascii="Times New Roman" w:hAnsi="Times New Roman" w:cs="Times New Roman"/>
          <w:noProof/>
        </w:rPr>
        <w:t>(Watson et al., 2020)</w:t>
      </w:r>
      <w:r w:rsidR="002506AB">
        <w:rPr>
          <w:rFonts w:ascii="Times New Roman" w:hAnsi="Times New Roman" w:cs="Times New Roman"/>
        </w:rPr>
        <w:fldChar w:fldCharType="end"/>
      </w:r>
      <w:r w:rsidRPr="00AF6576">
        <w:rPr>
          <w:rFonts w:ascii="Times New Roman" w:hAnsi="Times New Roman" w:cs="Times New Roman"/>
        </w:rPr>
        <w:t xml:space="preserve"> and this may in turn differentially impact alcohol consumption. Another </w:t>
      </w:r>
      <w:r w:rsidRPr="00AF6576">
        <w:rPr>
          <w:rFonts w:ascii="Times New Roman" w:hAnsi="Times New Roman" w:cs="Times New Roman"/>
        </w:rPr>
        <w:lastRenderedPageBreak/>
        <w:t xml:space="preserve">possible explanation may be due to subjectivity—many common self-report measures of meaning in life require participants to interpret question items with the words “meaning” and “meaningful” for themselves </w:t>
      </w:r>
      <w:r w:rsidR="002506A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{"citationID":"3Mhcze59","properties":{"formattedCitation":"(Prinzing et al., 2021)","plainCitation":"(Prinzing et al., 2021)","noteIndex":0},"citationItems":[{"id":398,"uris":["http://zotero.org/users/7873587/items/2MHHB4QL"],"itemData":{"id":398,"type":"article-journal","abstract":"The desire for a meaningful life is ubiquitous, yet the ordinary concept of a meaningful life is poorly understood. Across six experiments (total N = 2,539), we investigated whether third-person attributions of meaning depend on the psychological states an agent experiences (feelings of interest, engagement, and fulfillment), or on the objective conditions of their life (e.g., their effects on others). Studies 1a–b found that laypeople think subjective and objective factors contribute independently to the meaningfulness of a person’s life. Studies 2a–b found that positive mental states are thought to make a life more meaningful, even if derived from senseless activities (e.g., hand-copying the dictionary). Studies 3a–b found that agents engaged in morally bad activities are not thought to have meaningful lives, even if they feel fulfilled. In short, both an agents’ subjective mental states and objective impact on the world affect how meaningful their lives appear. (PsycInfo Database Record (c) 2021 APA, all rights reserved)","container-title":"The Journal of Positive Psychology","DOI":"10.1080/17439760.2021.1897866","ISSN":"1743-9779","note":"publisher-place: United Kingdom\npublisher: Taylor &amp; Francis","page":"1-16","source":"APA PsycNet","title":"The ordinary concept of a meaningful life: The role of subjective and objective factors in third-person attributions of meaning","title-short":"The ordinary concept of a meaningful life","author":[{"family":"Prinzing","given":"Michael"},{"family":"De Freitas","given":"Julian"},{"family":"Fredrickson","given":"Barbara L."}],"issued":{"date-parts":[["2021"]]}}}],"schema":"https://github.com/citation-style-language/schema/raw/master/csl-citation.json"} </w:instrText>
      </w:r>
      <w:r w:rsidR="002506AB">
        <w:rPr>
          <w:rFonts w:ascii="Times New Roman" w:hAnsi="Times New Roman" w:cs="Times New Roman"/>
        </w:rPr>
        <w:fldChar w:fldCharType="separate"/>
      </w:r>
      <w:r w:rsidR="002506AB">
        <w:rPr>
          <w:rFonts w:ascii="Times New Roman" w:hAnsi="Times New Roman" w:cs="Times New Roman"/>
          <w:noProof/>
        </w:rPr>
        <w:t>(Prinzing et al., 2021)</w:t>
      </w:r>
      <w:r w:rsidR="002506AB">
        <w:rPr>
          <w:rFonts w:ascii="Times New Roman" w:hAnsi="Times New Roman" w:cs="Times New Roman"/>
        </w:rPr>
        <w:fldChar w:fldCharType="end"/>
      </w:r>
      <w:r w:rsidRPr="00AF6576">
        <w:rPr>
          <w:rFonts w:ascii="Times New Roman" w:hAnsi="Times New Roman" w:cs="Times New Roman"/>
        </w:rPr>
        <w:t xml:space="preserve">. Lack of understanding about search for meaning in life specifically may be exacerbated through the scarcity of research exploring this construct: many existing measures utilised in alcohol-related research only explore presence of, as opposed to search for, meaning in life </w:t>
      </w:r>
      <w:r w:rsidR="002506A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{"citationID":"fPFaKKUk","properties":{"formattedCitation":"(Martin et al., 2011; E. A. R. Robinson et al., 2007; Schnetzer et al., 2013)","plainCitation":"(Martin et al., 2011; E. A. R. Robinson et al., 2007; Schnetzer et al., 2013)","dontUpdate":true,"noteIndex":0},"citationItems":[{"id":399,"uris":["http://zotero.org/users/7873587/items/KR5VQT8X"],"itemData":{"id":399,"type":"article-journal","abstract":"A sense of purpose in life has been positively associated with mental health and well-being and has been negatively associated with alcohol use in correlational and longitudinal studies, but has not been studied as a predictor of cocaine treatment outcome. This study examined pre-treatment purpose in life as a predictor of response to a 30-day residential substance use treatment program among 154 participants with cocaine dependence. Purpose in life was unrelated to cocaine or alcohol use during the 6 months pretreatment. After controlling for age, baseline use, and depressive symptoms, purpose in life significantly (p &lt; .01) predicted relapse to any use of cocaine and to alcohol, and the number of days cocaine or alcohol was used in the six months after treatment. Findings suggest that increasing purpose in life may be an important aspect of treatment among cocaine dependent patients.","container-title":"Journal of substance abuse treatment","DOI":"10.1016/j.jsat.2010.10.002","ISSN":"0740-5472","issue":"2","journalAbbreviation":"J Subst Abuse Treat","note":"PMID: 21129893\nPMCID: PMC3031725","page":"183-188","source":"PubMed Central","title":"Purpose in life predicts treatment outcome among adult cocaine abusers in treatment","volume":"40","author":[{"family":"Martin","given":"Rosemarie A."},{"family":"MacKinnon","given":"Selene"},{"family":"Johnson","given":"Jennifer"},{"family":"Rohsenow","given":"Damaris J."}],"issued":{"date-parts":[["2011",3]]}},"label":"page"},{"id":205,"uris":["http://zotero.org/users/7873587/items/258ZMR7W"],"itemData":{"id":205,"type":"article-journal","abstract":"Objective: This descriptive and exploratory study investigated change in alcoholics' spirituality and/or religiousness (S/R) from treatment entry to 6 months later and whether those changes were associated with drinking outcomes. Method: Longitudinal survey data were collected from 123 outpatients with alcohol use disorders (66% male; mean age = 39; 83% white) on 10 measures of S/R, covering behaviors, beliefs, and experiences, including the Daily Spiritual Experiences and Purpose in Life scales. Drinking behaviors were assessed with the Timeline Followback interview. Alcoholics Anonymous (AA) participation and attendance were also measured. Results: Over 6 months, there were statistically significant increases in half of the S/R measures, specifically the Daily Spiritual Experiences scale, the Purpose in Life scale, S/R practices scale, Forgiveness scale, and the Positive Religious Coping scale. There were also clinically and statistically significant decreases in alcohol use. Multiple logistic regression analyses showed that increases in Daily Spiritual Experiences and in Purpose in Life scores were associated with increased odds of no heavy drinking at 6 months, even after controlling for AA involvement and gender. Conclusions: In the first 6 months of recovery, many dimensions of S/R increased, particularly those associated with behaviors and experiences. Values, beliefs, self-assessed religiousness, perceptions of God, and the use of negative religious coping did not change. Increases in day-to-day experiences of spirituality and sense of purpose/meaning in life were associated with absence of heavy drinking at 6 months, regardless of gender and AA involvement. The results of this descriptive study support the perspective of many clinicians and recovering individuals that changes in alcoholics' S/R occur in recovery and that such changes are important to sobriety. (J. Stud. Alcohol Drugs 68: 282-290, 2007)","container-title":"Journal of Studies on Alcohol and Drugs","DOI":"10.15288/jsad.2007.68.282","ISSN":"1937-1888","issue":"2","journalAbbreviation":"J. Stud. Alcohol Drugs","note":"publisher: Alcohol Research Documentation, Inc.","page":"282-290","source":"jsad.com (Atypon)","title":"Six-month changes in spirituality, religiousness, and heavy drinking in a treatment-seeking sample","volume":"68","author":[{"family":"Robinson","given":"Elizabeth A.R."},{"family":"Cranford","given":"James A."},{"family":"Webb","given":"Jon R."},{"family":"Brower","given":"Kirk J."}],"issued":{"date-parts":[["2007",3,1]]}},"label":"page"},{"id":157,"uris":["http://zotero.org/users/7873587/items/MAHUQBKC"],"itemData":{"id":157,"type":"article-journal","abstract":"Excessive alcohol consumption is a chronic issue on college campuses nationwide and presents a significant public health concern. Compared with non-college peers, college students consume alcohol at substantially higher rates and encounter more negative consequences resulting from drinking. This study aimed to examine the role of depression and perceived life meaning in college student drinking, with a focus on potential sex differences. Participants recruited from a large southern university in the United States (mean age = 19.14, SD age = 2.05; 75.7% female; 75.7% Caucasian, 17.2% African American) completed surveys assessing perceived meaning, depression and alcohol use. Results indicated a significant inverse relationship between perceived meaning and alcohol use, while no significant association was found between depression and alcohol use. Although the regression model including perceived meaning and depression was significant in the prediction of alcohol use, it was meaning that accounted for significant variance in alcohol use. When the sample was split by sex, there was an interaction between meaning and depression in predicting male alcohol use. This study expands upon previous research pertaining to college student alcohol use and reveals potentially clinically relevant differences in patterns of association between men and women. Limitations, clinical implications and directions for research are discussed.","container-title":"Journal of Substance Use","DOI":"10.3109/14659891.2012.661026","issue":"4","journalAbbreviation":"Journal of Substance Use","page":"311-319","source":"ResearchGate","title":"Differential associations among alcohol use, depression and perceived life meaning in male and female college students","volume":"18","author":[{"family":"Schnetzer","given":"Lindsay"},{"family":"Schulenberg","given":"Stefan"},{"family":"Buchanan","given":"Erin"}],"issued":{"date-parts":[["2013",6,14]]}},"label":"page"}],"schema":"https://github.com/citation-style-language/schema/raw/master/csl-citation.json"} </w:instrText>
      </w:r>
      <w:r w:rsidR="002506AB">
        <w:rPr>
          <w:rFonts w:ascii="Times New Roman" w:hAnsi="Times New Roman" w:cs="Times New Roman"/>
        </w:rPr>
        <w:fldChar w:fldCharType="separate"/>
      </w:r>
      <w:r w:rsidR="002506AB">
        <w:rPr>
          <w:rFonts w:ascii="Times New Roman" w:hAnsi="Times New Roman" w:cs="Times New Roman"/>
          <w:noProof/>
        </w:rPr>
        <w:t>(Martin et al., 2011; Robinson et al., 2007; Schnetzer et al., 2013)</w:t>
      </w:r>
      <w:r w:rsidR="002506AB">
        <w:rPr>
          <w:rFonts w:ascii="Times New Roman" w:hAnsi="Times New Roman" w:cs="Times New Roman"/>
        </w:rPr>
        <w:fldChar w:fldCharType="end"/>
      </w:r>
      <w:r w:rsidRPr="00AF6576">
        <w:rPr>
          <w:rFonts w:ascii="Times New Roman" w:hAnsi="Times New Roman" w:cs="Times New Roman"/>
        </w:rPr>
        <w:t>. To the best of our knowledge, this is only the third study to explore the relationship between search for meaning and alcohol consumption.</w:t>
      </w:r>
    </w:p>
    <w:p w14:paraId="38CCA214" w14:textId="77777777" w:rsidR="00AF6576" w:rsidRPr="00AF6576" w:rsidRDefault="00AF6576" w:rsidP="00786365">
      <w:pPr>
        <w:pStyle w:val="NoSpacing"/>
        <w:spacing w:line="480" w:lineRule="auto"/>
        <w:rPr>
          <w:rFonts w:ascii="Times New Roman" w:hAnsi="Times New Roman" w:cs="Times New Roman"/>
        </w:rPr>
      </w:pPr>
    </w:p>
    <w:p w14:paraId="1D729955" w14:textId="5867B4C5" w:rsidR="00AF6576" w:rsidRPr="00AF6576" w:rsidRDefault="00AF6576" w:rsidP="00786365">
      <w:pPr>
        <w:pStyle w:val="NoSpacing"/>
        <w:spacing w:line="480" w:lineRule="auto"/>
        <w:rPr>
          <w:rFonts w:ascii="Times New Roman" w:hAnsi="Times New Roman" w:cs="Times New Roman"/>
        </w:rPr>
      </w:pPr>
      <w:r w:rsidRPr="00AF6576">
        <w:rPr>
          <w:rFonts w:ascii="Times New Roman" w:hAnsi="Times New Roman" w:cs="Times New Roman"/>
        </w:rPr>
        <w:t xml:space="preserve">Unexpectedly we observed that greater reinforcement derived from alcohol-free activities was not significantly associated with lower AUDIT scores. A wealth of evidence demonstrates inverse associations between alcohol-free reinforcement and substance use </w:t>
      </w:r>
      <w:r w:rsidR="00BB385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{"citationID":"gBno5Iq2","properties":{"formattedCitation":"(Bickel et al., 2014; Correia et al., 2005)","plainCitation":"(Bickel et al., 2014; Correia et al., 2005)","noteIndex":0},"citationItems":[{"id":816,"uris":["http://zotero.org/users/7873587/items/R9KVGRWU"],"itemData":{"id":816,"type":"article-journal","abstract":"The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G."}],"issued":{"date-parts":[["2014"]]}},"label":"page"},{"id":409,"uris":["http://zotero.org/users/7873587/items/RBNEWI2I"],"itemData":{"id":409,"type":"article-journal","abstract":"Research derived from behavioral economic theories has demonstrated reciprocal links between substance use and engagement in substance-free activities. The current study used an experimental manipulation to further investigate the relationship between substance use and substance-free behaviors in a nonclinical sample of 133 young adults. Participants completed surveys on substance use and engagement in specific substance-free behaviors (exercise and creative behaviors) on two occasions separated by a 28-day interval. During the 4 weeks separating assessments, the 105 participants who reported recent substance use were randomly assigned to one of three experimental conditions with corresponding behavioral instructions: substance use reduction (SR), activity increase (AI), and a no-change control. Participants assigned to both the SR and AI conditions reported a significant decrease in their substance use behavior. These results are consistent with previous studies in demonstrating that decreases in substance use can be achieved by increasing engagement in substance-free behaviors.","container-title":"Addictive Behaviors","DOI":"10.1016/j.addbeh.2004.04.006","ISSN":"0306-4603","issue":"1","journalAbbreviation":"Addict Behav","language":"eng","note":"PMID: 15561446","page":"19-27","source":"PubMed","title":"Decreased substance use following increases in alternative behaviors: a preliminary investigation","title-short":"Decreased substance use following increases in alternative behaviors","volume":"30","author":[{"family":"Correia","given":"Christopher J."},{"family":"Benson","given":"Trisha A."},{"family":"Carey","given":"Kate B."}],"issued":{"date-parts":[["2005",1]]}},"label":"page"}],"schema":"https://github.com/citation-style-language/schema/raw/master/csl-citation.json"} </w:instrText>
      </w:r>
      <w:r w:rsidR="00BB3857">
        <w:rPr>
          <w:rFonts w:ascii="Times New Roman" w:hAnsi="Times New Roman" w:cs="Times New Roman"/>
        </w:rPr>
        <w:fldChar w:fldCharType="separate"/>
      </w:r>
      <w:r w:rsidR="00BB3857">
        <w:rPr>
          <w:rFonts w:ascii="Times New Roman" w:hAnsi="Times New Roman" w:cs="Times New Roman"/>
          <w:noProof/>
        </w:rPr>
        <w:t>(Bickel et al., 2014; Correia et al., 2005)</w:t>
      </w:r>
      <w:r w:rsidR="00BB3857">
        <w:rPr>
          <w:rFonts w:ascii="Times New Roman" w:hAnsi="Times New Roman" w:cs="Times New Roman"/>
        </w:rPr>
        <w:fldChar w:fldCharType="end"/>
      </w:r>
      <w:r w:rsidRPr="00AF6576">
        <w:rPr>
          <w:rFonts w:ascii="Times New Roman" w:hAnsi="Times New Roman" w:cs="Times New Roman"/>
        </w:rPr>
        <w:t xml:space="preserve">. For example, </w:t>
      </w:r>
      <w:r w:rsidR="005F73D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{"citationID":"YnjgVZnN","properties":{"formattedCitation":"(Acuff et al., 2019)","plainCitation":"(Acuff et al., 2019)","dontUpdate":true,"noteIndex":0},"citationItems":[{"id":1452,"uris":["http://zotero.org/users/7873587/items/2ENG4DDR"],"itemData":{"id":1452,"type":"article-journal","abstract":"A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G."}],"issued":{"date-parts":[["2019"]]}}}],"schema":"https://github.com/citation-style-language/schema/raw/master/csl-citation.json"} </w:instrText>
      </w:r>
      <w:r w:rsidR="005F73D4">
        <w:rPr>
          <w:rFonts w:ascii="Times New Roman" w:hAnsi="Times New Roman" w:cs="Times New Roman"/>
        </w:rPr>
        <w:fldChar w:fldCharType="separate"/>
      </w:r>
      <w:r w:rsidR="005F73D4">
        <w:rPr>
          <w:rFonts w:ascii="Times New Roman" w:hAnsi="Times New Roman" w:cs="Times New Roman"/>
          <w:noProof/>
        </w:rPr>
        <w:t>Acuff et al. (2019)</w:t>
      </w:r>
      <w:r w:rsidR="005F73D4">
        <w:rPr>
          <w:rFonts w:ascii="Times New Roman" w:hAnsi="Times New Roman" w:cs="Times New Roman"/>
        </w:rPr>
        <w:fldChar w:fldCharType="end"/>
      </w:r>
      <w:r w:rsidRPr="00AF6576">
        <w:rPr>
          <w:rFonts w:ascii="Times New Roman" w:hAnsi="Times New Roman" w:cs="Times New Roman"/>
        </w:rPr>
        <w:t xml:space="preserve"> conducted a systematic review of the existing literature and concluded that across a diverse range of studies, engagement with substance-free alternative activities is protective against harmful consumption. However, it is difficult to directly reconcile our findings with existing behavioural economic literature because the current study did not compute a proportionate measure of alcohol-free reinforcement (i.e., the relative reinforcement derived from alcohol-free activities as relative to alcohol-related activities). In line with </w:t>
      </w:r>
      <w:r w:rsidR="00BB385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{"citationID":"cvJ5Z2xe","properties":{"formattedCitation":"(Hallgren et al., 2016)","plainCitation":"(Hallgren et al., 2016)","dontUpdate":true,"noteIndex":0},"citationItems":[{"id":434,"uris":["http://zotero.org/users/7873587/items/NFNZ3Q8H"],"itemData":{"id":434,"type":"article-journal","abstract":"Background\nBehavioral economic theories of drinking posit that the reinforcing value of engaging in activities with versus without alcohol influences drinking behavior. Measures of the reinforcement value of drugs and alcohol have been used in previous research, but little work has examined the psychometric properties of these measures.\n\nObjectives\nThe present study aims to evaluate the factor structure, test-retest reliability, and concurrent validity of an alcohol-only version of the Adolescent Reinforcement Survey Schedule (ARSS-AUV).\n\nMethods\nA sample of 157 college student drinkers completed the ARSS-AUV at two time points 2–3 days apart. Test-retest reliability, hierarchical factor analysis, and correlations with other drinking measures were examined.\n\nResults\nSingle, unidimensional general factors accounted for a majority of the variance in alcohol and alcohol-free reinforcement items. Residual factors emerged that typically represented alcohol or alcohol-free reinforcement while doing activities with friends, romantic or sexual partners, and family members. Individual ARSS-AUV items had fair-to-good test-retest reliability, while general and residual factors had excellent test-retest reliability. General alcohol reinforcement and alcohol reinforcement from friends and romantic partners were positively correlated with past-year alcohol consumption, heaviest drinking episode, and alcohol-related negative consequences. Alcohol-free reinforcement indices were unrelated to alcohol use or consequences.\n\nConclusions/Importance\nThe ARSS-AUV appears to demonstrate good reliability and mixed concurrent validity among college student drinkers. The instrument may provide useful information about alcohol reinforcement from various activities and people and could provide clinically-relevant information for prevention and treatment programs.","container-title":"Substance use &amp; misuse","DOI":"10.3109/10826084.2016.1155609","ISSN":"1082-6084","issue":"7","journalAbbreviation":"Subst Use Misuse","note":"PMID: 27096713\nPMCID: PMC4956412","page":"812-822","source":"PubMed Central","title":"Psychometric properties of the adolescent reinforcement survey schedule – alcohol use version with college student drinkers","volume":"51","author":[{"family":"Hallgren","given":"Kevin A."},{"family":"Greenfield","given":"Brenna L."},{"family":"Ladd","given":"Benjamin O."}],"issued":{"date-parts":[["2016",6,6]]}}}],"schema":"https://github.com/citation-style-language/schema/raw/master/csl-citation.json"} </w:instrText>
      </w:r>
      <w:r w:rsidR="00BB3857">
        <w:rPr>
          <w:rFonts w:ascii="Times New Roman" w:hAnsi="Times New Roman" w:cs="Times New Roman"/>
        </w:rPr>
        <w:fldChar w:fldCharType="separate"/>
      </w:r>
      <w:r w:rsidR="00BB3857">
        <w:rPr>
          <w:rFonts w:ascii="Times New Roman" w:hAnsi="Times New Roman" w:cs="Times New Roman"/>
          <w:noProof/>
        </w:rPr>
        <w:t>Hallgren et al. (2016)</w:t>
      </w:r>
      <w:r w:rsidR="00BB3857">
        <w:rPr>
          <w:rFonts w:ascii="Times New Roman" w:hAnsi="Times New Roman" w:cs="Times New Roman"/>
        </w:rPr>
        <w:fldChar w:fldCharType="end"/>
      </w:r>
      <w:r w:rsidRPr="00AF6576">
        <w:rPr>
          <w:rFonts w:ascii="Times New Roman" w:hAnsi="Times New Roman" w:cs="Times New Roman"/>
        </w:rPr>
        <w:t xml:space="preserve">, these findings highlight the complexity of alcohol-free reinforcement measurement and the subsequent associations with AUDIT scores. The context by which the study took place is also of importance, in that COVID-19 lockdown regulations likely meant that access to many sources of substance-free reinforcement that compete with harmful alcohol consumption had been restricted </w:t>
      </w:r>
      <w:r w:rsidR="00AE0B75">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{"citationID":"nzReMUBA","properties":{"formattedCitation":"(Acuff, Tucker, et al., 2020)","plainCitation":"(Acuff, Tucker, et al., 2020)","noteIndex":0},"citationItems":[{"id":316,"uris":["http://zotero.org/users/7873587/items/RC5M5SCF"],"itemData":{"id":316,"type":"article-journal","abstract":"Behavioral economic research demonstrates that alcohol and drug consumption is (a) an inverse function of constraints on access to the substance and (b) a direct function of constraints on access to alternative rewards. Physical distancing interventions and economic consequences of the COVID-19 pandemic have resulted in unprecedented reductions in many of the constraints on substance use and in critical evolutionarily salient sources of alternative reward, such as social interaction, physical activity, leisure activities and hobbies, and academic and occupational pursuits. Thus, behavioral economics suggests that the pandemic and necessary public health response have created a \"perfect storm\" for exacerbation of individual-level and population-level substance use problems and also points to multilevel intervention strategies. We summarize this perspective and research by highlighting 3 critical behavioral processes that will influence drug and alcohol consumption. First, the sudden absence of many effective constraints on substance use (work, school, community, or service obligations) will reduce the actual and perceived cost of use. Second, physical distancing measures will reduce the availability, and increase the cost, of many rewarding substance-free activities and commodities. Third, increased uncertainty around current and future events increases discounting of delayed rewards. These effects will be especially pernicious among populations with existing health disparities. Next, we outline interventions suggested by behavioral economics to mitigate the impact of COVID-19 on substance use that are aimed at increasing perceived costs of use; increasing access to substance-free activities, including treatment; and lengthening the timeframe for behavioral allocation and altering environmental contexts to promote healthy choices. (PsycInfo Database Record (c) 2021 APA, all rights reserved).","container-title":"Experimental and Clinical Psychopharmacology","DOI":"10.1037/pha0000431","ISSN":"1936-2293","issue":"6","journalAbbreviation":"Exp Clin Psychopharmacol","language":"eng","note":"PMID: 33166163\nPMCID: PMC8163023","page":"739-749","source":"PubMed","title":"Behavioral economics of substance use: Understanding and reducing harmful use during the COVID-19 pandemic","title-short":"Behavioral economics of substance use","volume":"29","author":[{"family":"Acuff","given":"Samuel F."},{"family":"Tucker","given":"Jalie A."},{"family":"Murphy","given":"James G."}],"issued":{"date-parts":[["2020",11,9]]}}}],"schema":"https://github.com/citation-style-language/schema/raw/master/csl-citation.json"} </w:instrText>
      </w:r>
      <w:r w:rsidR="00AE0B75">
        <w:rPr>
          <w:rFonts w:ascii="Times New Roman" w:hAnsi="Times New Roman" w:cs="Times New Roman"/>
        </w:rPr>
        <w:fldChar w:fldCharType="separate"/>
      </w:r>
      <w:r w:rsidR="00AE0B75">
        <w:rPr>
          <w:rFonts w:ascii="Times New Roman" w:hAnsi="Times New Roman" w:cs="Times New Roman"/>
          <w:noProof/>
        </w:rPr>
        <w:t>(Acuff, Tucker, et al., 2020)</w:t>
      </w:r>
      <w:r w:rsidR="00AE0B75">
        <w:rPr>
          <w:rFonts w:ascii="Times New Roman" w:hAnsi="Times New Roman" w:cs="Times New Roman"/>
        </w:rPr>
        <w:fldChar w:fldCharType="end"/>
      </w:r>
      <w:r w:rsidRPr="00AF6576">
        <w:rPr>
          <w:rFonts w:ascii="Times New Roman" w:hAnsi="Times New Roman" w:cs="Times New Roman"/>
        </w:rPr>
        <w:t xml:space="preserve">, and therefore the reported pattern of reinforcement may not have been reflective of a person’s typical pattern (i.e., their pattern of </w:t>
      </w:r>
      <w:r w:rsidRPr="00AF6576">
        <w:rPr>
          <w:rFonts w:ascii="Times New Roman" w:hAnsi="Times New Roman" w:cs="Times New Roman"/>
        </w:rPr>
        <w:lastRenderedPageBreak/>
        <w:t xml:space="preserve">reinforcement prior to the pandemic). Alternatively, it may be that regular sources of alcohol-free reinforcement have become unavailable due to lockdown restrictions </w:t>
      </w:r>
      <w:r w:rsidR="00AE0B7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{"citationID":"JXb6jqcV","properties":{"formattedCitation":"(Coughlin et al., 2021)","plainCitation":"(Coughlin et al., 2021)","noteIndex":0},"citationItems":[{"id":411,"uris":["http://zotero.org/users/7873587/items/EZJETXG9"],"itemData":{"id":411,"type":"article-journal","abstract":"The response to the COVID-19 crisis has created direct pressure on health care providers to deliver virtual care, and has created the opportunity to develop innovations in remote treatment for people with substance use disorders. Remote treatments provide an intervention delivery framework that capitalizes on technological innovations in remote monitoring of behaviors and can efficiently use information collected from people and their environment to provide personalized treatments as needed. Interventions informed by behavioral economic theories can help to harness the largely untapped potential of virtual care in substance use treatment. Behavioral economic treatments, such as contingency management, the substance-free activity session, and episodic future thinking, are positioned to leverage remote monitoring of substance use and to use personalized medicine frameworks to deliver remote interventions in the COVID-19 era and beyond., \n          \n            \n              •\n              With increased remote care, there is an opportunity for virtual treatment development.\n            \n            \n              •\n              Treatments can capitalize on remote technology to increase effectiveness.\n            \n            \n              •\n              Behavioral economic interventions are well positioned to fill this need.\n            \n            \n              •\n              Remote behavioral economic interventions can add to current treatments.","container-title":"Journal of Substance Abuse Treatment","DOI":"10.1016/j.jsat.2020.108150","ISSN":"0740-5472","journalAbbreviation":"J Subst Abuse Treat","note":"PMID: 33298296\nPMCID: PMC7532990","page":"108150","source":"PubMed Central","title":"Considerations for remote delivery of behavioral economic interventions for substance use disorder during COVID-19 and beyond","volume":"120","author":[{"family":"Coughlin","given":"Lara N."},{"family":"Bonar","given":"Erin E."},{"family":"Bickel","given":"Warren K."}],"issued":{"date-parts":[["2021",1]]}}}],"schema":"https://github.com/citation-style-language/schema/raw/master/csl-citation.json"} </w:instrText>
      </w:r>
      <w:r w:rsidR="00AE0B75">
        <w:rPr>
          <w:rFonts w:ascii="Times New Roman" w:hAnsi="Times New Roman" w:cs="Times New Roman"/>
        </w:rPr>
        <w:fldChar w:fldCharType="separate"/>
      </w:r>
      <w:r w:rsidR="00AE0B75">
        <w:rPr>
          <w:rFonts w:ascii="Times New Roman" w:hAnsi="Times New Roman" w:cs="Times New Roman"/>
          <w:noProof/>
        </w:rPr>
        <w:t>(Coughlin et al., 2021)</w:t>
      </w:r>
      <w:r w:rsidR="00AE0B75">
        <w:rPr>
          <w:rFonts w:ascii="Times New Roman" w:hAnsi="Times New Roman" w:cs="Times New Roman"/>
        </w:rPr>
        <w:fldChar w:fldCharType="end"/>
      </w:r>
      <w:r w:rsidRPr="00AF6576">
        <w:rPr>
          <w:rFonts w:ascii="Times New Roman" w:hAnsi="Times New Roman" w:cs="Times New Roman"/>
        </w:rPr>
        <w:t xml:space="preserve"> and consequently reinforcement may have shifted to activities in the home that are not so incompatible with harmful drinking (e.g., watching TV or virtual socialising; </w:t>
      </w:r>
      <w:r w:rsidR="00AE0B75">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{"citationID":"8JO8oPd8","properties":{"formattedCitation":"(Boursier et al., 2021; Nguyen et al., 2020)","plainCitation":"(Boursier et al., 2021; Nguyen et al., 2020)","dontUpdate":true,"noteIndex":0},"citationItems":[{"id":414,"uris":["http://zotero.org/users/7873587/items/99YUNUWC"],"itemData":{"id":414,"type":"article-journal","container-title":"Frontiers in Psychiatry","DOI":"10.3389/fpsyt.2021.698404","ISSN":"1664-0640","page":"599859","source":"Frontiers","title":"Is watching TV series an adaptive coping strategy during the COVID-19 pandemic? Insights from an Italian community sample","title-short":"Corrigendum","volume":"12","author":[{"family":"Boursier","given":"Valentina"},{"family":"Musetti","given":"Alessandro"},{"family":"Gioia","given":"Francesca"},{"family":"Flayelle","given":"Maèva"},{"family":"Billieux","given":"Joël"},{"family":"Schimmenti","given":"Adriano"}],"issued":{"date-parts":[["2021"]]}},"label":"page"},{"id":416,"uris":["http://zotero.org/users/7873587/items/6XAE3M4W"],"itemData":{"id":416,"type":"article-journal","abstract":"Governments and public health institutions across the globe have set social distancing and stay-at-home guidelines to battle the COVID-19 pandemic. With reduced opportunities to spend time together in person come new challenges to remain socially connected. This essay addresses how the pandemic has changed people’s use of digital communication methods, and how inequalities in the use of these methods may arise. We draw on data collected from 1,374 American adults between 4 and 8 April 2020, about two weeks after lockdown measures were introduced in various parts of the United States. We first address whether people changed their digital media use to reach out to friends and family, looking into voice calls, video calls, text messaging, social media, and online games. Then, we show how age, gender, living alone, concerns about Internet access, and Internet skills relate to changes in social contact during the pandemic. We discuss how the use of digital media for social connection during a global public health crisis may be unequally distributed among citizens and may continue to shape inequalities even after the pandemic is over. Such insights are important considering the possible impact of the COVID-19 pandemic on people’s social wellbeing. We also discuss how changes in digital media use might outlast the pandemic, and what this means for future communication and media research.","container-title":"Social Media + Society","DOI":"10.1177/2056305120948255","ISSN":"2056-3051","issue":"3","journalAbbreviation":"Social Media + Society","language":"en","note":"publisher: SAGE Publications Ltd","page":"2056305120948255","source":"SAGE Journals","title":"Changes in digital communication during the COVID-19 global pandemic: Implications for digital inequality and future research","title-short":"Changes in Digital Communication During the COVID-19 Global Pandemic","volume":"6","author":[{"family":"Nguyen","given":"Minh Hao"},{"family":"Gruber","given":"Jonathan"},{"family":"Fuchs","given":"Jaelle"},{"family":"Marler","given":"Will"},{"family":"Hunsaker","given":"Amanda"},{"family":"Hargittai","given":"Eszter"}],"issued":{"date-parts":[["2020",7,1]]}},"label":"page"}],"schema":"https://github.com/citation-style-language/schema/raw/master/csl-citation.json"} </w:instrText>
      </w:r>
      <w:r w:rsidR="00AE0B75">
        <w:rPr>
          <w:rFonts w:ascii="Times New Roman" w:hAnsi="Times New Roman" w:cs="Times New Roman"/>
        </w:rPr>
        <w:fldChar w:fldCharType="separate"/>
      </w:r>
      <w:r w:rsidR="00AE0B75">
        <w:rPr>
          <w:rFonts w:ascii="Times New Roman" w:hAnsi="Times New Roman" w:cs="Times New Roman"/>
          <w:noProof/>
        </w:rPr>
        <w:t>Boursier et al., 2021; Nguyen et al., 2020)</w:t>
      </w:r>
      <w:r w:rsidR="00AE0B75">
        <w:rPr>
          <w:rFonts w:ascii="Times New Roman" w:hAnsi="Times New Roman" w:cs="Times New Roman"/>
        </w:rPr>
        <w:fldChar w:fldCharType="end"/>
      </w:r>
      <w:r w:rsidRPr="00AF6576">
        <w:rPr>
          <w:rFonts w:ascii="Times New Roman" w:hAnsi="Times New Roman" w:cs="Times New Roman"/>
        </w:rPr>
        <w:t xml:space="preserve">. </w:t>
      </w:r>
    </w:p>
    <w:p w14:paraId="507110F8" w14:textId="77777777" w:rsidR="00AF6576" w:rsidRPr="00AF6576" w:rsidRDefault="00AF6576" w:rsidP="00786365">
      <w:pPr>
        <w:pStyle w:val="NoSpacing"/>
        <w:spacing w:line="480" w:lineRule="auto"/>
        <w:rPr>
          <w:rFonts w:ascii="Times New Roman" w:hAnsi="Times New Roman" w:cs="Times New Roman"/>
        </w:rPr>
      </w:pPr>
    </w:p>
    <w:p w14:paraId="1CA4D1B0" w14:textId="3926DD04" w:rsidR="00AF6576" w:rsidRPr="00AF6576" w:rsidRDefault="00AF6576" w:rsidP="008620A5">
      <w:pPr>
        <w:pStyle w:val="NoSpacing"/>
        <w:spacing w:line="480" w:lineRule="auto"/>
        <w:rPr>
          <w:rFonts w:ascii="Times New Roman" w:hAnsi="Times New Roman" w:cs="Times New Roman"/>
        </w:rPr>
      </w:pPr>
      <w:r w:rsidRPr="00AF6576">
        <w:rPr>
          <w:rFonts w:ascii="Times New Roman" w:hAnsi="Times New Roman" w:cs="Times New Roman"/>
        </w:rPr>
        <w:t xml:space="preserve">Our structural model revealed interesting insights into the potential pathways through which presence of meaning in life is negatively associated with AUDIT scores. The </w:t>
      </w:r>
      <w:r w:rsidR="003A7B95">
        <w:rPr>
          <w:rFonts w:ascii="Times New Roman" w:hAnsi="Times New Roman" w:cs="Times New Roman"/>
        </w:rPr>
        <w:t>mediating</w:t>
      </w:r>
      <w:r w:rsidRPr="00AF6576">
        <w:rPr>
          <w:rFonts w:ascii="Times New Roman" w:hAnsi="Times New Roman" w:cs="Times New Roman"/>
        </w:rPr>
        <w:t xml:space="preserve"> effect of alcohol value aligns with existing research (Copeland et al., 2020) which also found that people with higher presence of meaning attach less value to alcohol, and in turn have lower AUDIT scores. Theoretical accounts emphasise the importance of valuation processes within decisions to consume alcohol </w:t>
      </w:r>
      <w:r w:rsidR="00AE0B75">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{"citationID":"JGjNSRLr","properties":{"formattedCitation":"(Field, Heather, et al., 2020a; Hogarth &amp; Field, 2020)","plainCitation":"(Field, Heather, et al., 2020a; Hogarth &amp; Field, 2020)","dontUpdate":true,"noteIndex":0},"citationItems":[{"id":1445,"uris":["http://zotero.org/users/7873587/items/B629PTRW"],"itemData":{"id":1445,"type":"article-journal","abstract":"Behavioral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addiction","volume":"394","author":[{"family":"Hogarth","given":"Lee"},{"family":"Field","given":"Matt"}],"issued":{"date-parts":[["2020",9,15]]}},"label":"page"}],"schema":"https://github.com/citation-style-language/schema/raw/master/csl-citation.json"} </w:instrText>
      </w:r>
      <w:r w:rsidR="00AE0B75">
        <w:rPr>
          <w:rFonts w:ascii="Times New Roman" w:hAnsi="Times New Roman" w:cs="Times New Roman"/>
        </w:rPr>
        <w:fldChar w:fldCharType="separate"/>
      </w:r>
      <w:r w:rsidR="008838EE">
        <w:rPr>
          <w:rFonts w:ascii="Times New Roman" w:hAnsi="Times New Roman" w:cs="Times New Roman"/>
          <w:noProof/>
        </w:rPr>
        <w:t>(Field, Heather, et al., 2020; Hogarth &amp; Field, 2020)</w:t>
      </w:r>
      <w:r w:rsidR="00AE0B75">
        <w:rPr>
          <w:rFonts w:ascii="Times New Roman" w:hAnsi="Times New Roman" w:cs="Times New Roman"/>
        </w:rPr>
        <w:fldChar w:fldCharType="end"/>
      </w:r>
      <w:r w:rsidR="008838EE">
        <w:rPr>
          <w:rFonts w:ascii="Times New Roman" w:hAnsi="Times New Roman" w:cs="Times New Roman"/>
        </w:rPr>
        <w:t xml:space="preserve"> </w:t>
      </w:r>
      <w:r w:rsidRPr="00AF6576">
        <w:rPr>
          <w:rFonts w:ascii="Times New Roman" w:hAnsi="Times New Roman" w:cs="Times New Roman"/>
        </w:rPr>
        <w:t>and a recent meta-analysis revealed robust associations between indices of alcohol value (e.g., intensity) and alcohol consumption (</w:t>
      </w:r>
      <w:r w:rsidRPr="008838EE">
        <w:rPr>
          <w:rFonts w:ascii="Times New Roman" w:hAnsi="Times New Roman" w:cs="Times New Roman"/>
          <w:i/>
          <w:iCs/>
        </w:rPr>
        <w:t>r</w:t>
      </w:r>
      <w:r w:rsidRPr="00AF6576">
        <w:rPr>
          <w:rFonts w:ascii="Times New Roman" w:hAnsi="Times New Roman" w:cs="Times New Roman"/>
        </w:rPr>
        <w:t xml:space="preserve"> = .49, 95% CI =</w:t>
      </w:r>
      <w:r w:rsidR="009B5699">
        <w:rPr>
          <w:rFonts w:ascii="Times New Roman" w:hAnsi="Times New Roman" w:cs="Times New Roman"/>
        </w:rPr>
        <w:t xml:space="preserve"> </w:t>
      </w:r>
      <w:r w:rsidRPr="00AF6576">
        <w:rPr>
          <w:rFonts w:ascii="Times New Roman" w:hAnsi="Times New Roman" w:cs="Times New Roman"/>
        </w:rPr>
        <w:t xml:space="preserve">.46 to .53; </w:t>
      </w:r>
      <w:r w:rsidR="009B569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{"citationID":"d1LQetiS","properties":{"formattedCitation":"(Mart\\uc0\\u237{}nez-Loredo et al., 2021)","plainCitation":"(Martínez-Loredo et al., 2021)","dontUpdate":true,"noteIndex":0},"citationItems":[{"id":1392,"uris":["http://zotero.org/users/7873587/items/93TGD9F7"],"itemData":{"id":1392,"type":"article-journal","abstract":"BACKGROUND AND AIMS: An early meta-analysis testing the concurrent validity of the Alcohol Purchase Task (APT), a measure of alcohol's relative reinforcing value, reported mixed associations, but predated a large number of studies. This systematic review and meta-analysis sought to: (1) estimate the relationships between trait-based alcohol demand indices from the APT and multiple alcohol indicators, (2) test several moderators and (3) analyze small study effects.\nMETHODS: A meta-analysis of 50 cross-sectional studies in four databases (n = 18 466, females = 43.32%). Sex, year of publication, number of APT prices and index transformations (logarithmic, square root or none) were considered as moderators. Small study effects were examined by using the Begg-Mazumdar, Egger's and Duval &amp; Tweedie's trim-and-fill tests. Alcohol indicators were quantity of alcohol use, number of heavy drinking episodes, alcohol-related problems and hazardous drinking. APT indices were intensity (i.e. consumption at zero cost), elasticity (i.e. sensitivity to increases in costs), Omax (i.e. maximum expenditure), Pmax (i.e. price associated to Omax ) and breakpoint (i.e. price at which consumption ceases).\nRESULTS: All alcohol demand indices were significantly associated with all alcohol-related outcomes (r = 0.132-0.494), except Pmax , which was significantly associated with alcohol-related problems only (r = 0.064). The greatest associations were evinced between intensity in relation to alcohol use, hazardous drinking and heavy drinking and between Omax and alcohol use. All the tested moderators emerged as significant moderators. Evidence of small-study effects was limited.\nCONCLUSIONS: The Alcohol Purchase Task appears to have concurrent validity in alcohol research. Intensity and Omax are the most relevant indices to account for alcohol involvement.","container-title":"Addiction","DOI":"10.1111/add.15379","ISSN":"1360-0443","issue":"10","journalAbbreviation":"Addiction","language":"eng","note":"PMID: 33338263\nPMCID: PMC9186155","page":"2635-2650","source":"PubMed","title":"Concurrent validity of the Alcohol Purchase Task for measuring the reinforcing efficacy of alcohol: an updated systematic review and meta-analysis","title-short":"Concurrent validity of the Alcohol Purchase Task for measuring the reinforcing efficacy of alcohol","volume":"116","author":[{"family":"Martínez-Loredo","given":"Victor"},{"family":"González-Roz","given":"Alba"},{"family":"Secades-Villa","given":"Roberto"},{"family":"Fernández-Hermida","given":"José R."},{"family":"MacKillop","given":"James"}],"issued":{"date-parts":[["2021",10]]}}}],"schema":"https://github.com/citation-style-language/schema/raw/master/csl-citation.json"} </w:instrText>
      </w:r>
      <w:r w:rsidR="009B5699">
        <w:rPr>
          <w:rFonts w:ascii="Times New Roman" w:hAnsi="Times New Roman" w:cs="Times New Roman"/>
        </w:rPr>
        <w:fldChar w:fldCharType="separate"/>
      </w:r>
      <w:r w:rsidR="008620A5" w:rsidRPr="008620A5">
        <w:rPr>
          <w:rFonts w:ascii="Times New Roman" w:hAnsi="Times New Roman" w:cs="Times New Roman"/>
        </w:rPr>
        <w:t>Martínez-Loredo et al., 2021)</w:t>
      </w:r>
      <w:r w:rsidR="009B5699">
        <w:rPr>
          <w:rFonts w:ascii="Times New Roman" w:hAnsi="Times New Roman" w:cs="Times New Roman"/>
        </w:rPr>
        <w:fldChar w:fldCharType="end"/>
      </w:r>
      <w:r w:rsidRPr="00AF6576">
        <w:rPr>
          <w:rFonts w:ascii="Times New Roman" w:hAnsi="Times New Roman" w:cs="Times New Roman"/>
        </w:rPr>
        <w:t xml:space="preserve">. The extent to which alcohol is highly valued is therefore likely a key mechanism within the </w:t>
      </w:r>
      <w:r w:rsidR="003A7B95">
        <w:rPr>
          <w:rFonts w:ascii="Times New Roman" w:hAnsi="Times New Roman" w:cs="Times New Roman"/>
        </w:rPr>
        <w:t>association</w:t>
      </w:r>
      <w:r w:rsidR="003A7B95" w:rsidRPr="00AF6576">
        <w:rPr>
          <w:rFonts w:ascii="Times New Roman" w:hAnsi="Times New Roman" w:cs="Times New Roman"/>
        </w:rPr>
        <w:t xml:space="preserve"> </w:t>
      </w:r>
      <w:r w:rsidRPr="00AF6576">
        <w:rPr>
          <w:rFonts w:ascii="Times New Roman" w:hAnsi="Times New Roman" w:cs="Times New Roman"/>
        </w:rPr>
        <w:t xml:space="preserve">between presence of meaning in life and AUDIT scores. Perhaps as a person acquires life meaning, this provides structure that exacerbates the costs of drinking relative to the benefits, and this in-turn alters the value that people ascribe to alcohol. Indeed, people with presence of meaning in life experience an increased sense of structure and order </w:t>
      </w:r>
      <w:r w:rsidR="008620A5">
        <w:rPr>
          <w:rFonts w:ascii="Times New Roman" w:hAnsi="Times New Roman" w:cs="Times New Roman"/>
        </w:rPr>
        <w:fldChar w:fldCharType="begin"/>
      </w:r>
      <w:r w:rsidR="008620A5">
        <w:rPr>
          <w:rFonts w:ascii="Times New Roman" w:hAnsi="Times New Roman" w:cs="Times New Roman"/>
        </w:rPr>
        <w:instrText xml:space="preserve"> ADDIN ZOTERO_ITEM CSL_CITATION {"citationID":"GZ8c119D","properties":{"formattedCitation":"(Stavrova et al., 2018)","plainCitation":"(Stavrova et al., 2018)","noteIndex":0},"citationItems":[{"id":1269,"uris":["http://zotero.org/users/7873587/items/MV2ZCZW6"],"itemData":{"id":1269,"type":"article-journal","abstract":"The present research explored whether self-control is associated with the perception of meaning in life. A week-long daily diary study (Study 1) showed trait self-control (but not daily experiences of self-control failure) to be positively associated with a general sense of meaning in life and daily experiences of meaning. This association was robust against controlling for life satisfaction, positive and negative affect. Study 2 tested two potential mechanisms underlying the association between trait self-control and meaning in life: Successful goal progress and experience of structure in life. While self-control was positively associated with both, only the experience of structure predicted meaning: Self-control was positively related to the perception of one’s life as having a clear sense of structure and order, which in turn predicted a stronger perception of meaning. Study 3 replicated the mediation path via the experience of structure and showed it to be stronger for individuals high (vs. low) in the personal need for structure. The present findings add to the emerging literature on trait (and state) self-control and dispositional determinants of meaning in life.","container-title":"Self and Identity","DOI":"10.1080/15298868.2018.1558107","ISSN":"1529-8868","issue":"2","note":"publisher: Routledge\n_eprint: https://doi.org/10.1080/15298868.2018.1558107","page":"201-218","source":"Taylor and Francis+NEJM","title":"Finding meaning in self-control: The effect of self-control on the perception of meaning in life","title-short":"Finding meaning in self-control","volume":"19","author":[{"family":"Stavrova","given":"Olga"},{"family":"Pronk","given":"Tila"},{"family":"Kokkoris","given":"Michail D."}],"issued":{"date-parts":[["2018"]]}}}],"schema":"https://github.com/citation-style-language/schema/raw/master/csl-citation.json"} </w:instrText>
      </w:r>
      <w:r w:rsidR="008620A5">
        <w:rPr>
          <w:rFonts w:ascii="Times New Roman" w:hAnsi="Times New Roman" w:cs="Times New Roman"/>
        </w:rPr>
        <w:fldChar w:fldCharType="separate"/>
      </w:r>
      <w:r w:rsidR="008620A5" w:rsidRPr="008620A5">
        <w:rPr>
          <w:rFonts w:ascii="Times New Roman" w:hAnsi="Times New Roman" w:cs="Times New Roman"/>
        </w:rPr>
        <w:t>(Stavrova et al., 2018)</w:t>
      </w:r>
      <w:r w:rsidR="008620A5">
        <w:rPr>
          <w:rFonts w:ascii="Times New Roman" w:hAnsi="Times New Roman" w:cs="Times New Roman"/>
        </w:rPr>
        <w:fldChar w:fldCharType="end"/>
      </w:r>
      <w:r w:rsidRPr="00AF6576">
        <w:rPr>
          <w:rFonts w:ascii="Times New Roman" w:hAnsi="Times New Roman" w:cs="Times New Roman"/>
        </w:rPr>
        <w:t xml:space="preserve"> and it may be that sources of meaning that provide such structure (e.g., employment, volunteering, or parenting) are prioritised over consuming alcohol. For example, a study in a student population found that they valued alcohol less when their daily structure or routine encompasses some form of next day responsibility, specifically those which require an early waking routine </w:t>
      </w:r>
      <w:r w:rsidR="008838E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{"citationID":"j9fCTv7i","properties":{"formattedCitation":"(Gilbert et al., 2014)","plainCitation":"(Gilbert et al., 2014)","noteIndex":0},"citationItems":[{"id":418,"uris":["http://zotero.org/users/7873587/items/SWKYUYSR"],"itemData":{"id":418,"type":"article-journal","abstract":"Approximately 37% of college students report heavy episodic drinking (5 or more drinks in an occasion for men and 4 or more for women) in the past month. This pattern of drinking is often associated with high blood alcohol levels, accidents, injuries, and negative social and academic outcomes. There is a need for novel theoretical approaches to guide prevention efforts. Behavioral economics emphasizes the role of contextual determinants, such as drink price and the presence and amount of alternative reinforcement as determinants of drinking levels and has received strong empirical support in basic laboratory research. This translational research study used a hypothetical behavioral economic measure to investigate the impact of a variety of next-day responsibilities on night-before drinking intentions in a sample of first-year college students (N = 80; 50% female) who reported recent heavy episodic drinking. Drinking estimates were significantly lower in all of the responsibility conditions relative to the no-responsibility condition; internships were associated with the greatest reduction (d(rm) = 1.72), and earlier class times were associated with greater reductions in drinking intentions (d(rm) range = 1.22-1.35) than later class times (d(rm) range = 0.83-1.00). These results suggest that increasing morning responsibilities should be further investigated as a potential strategy to reduce drinking in college students.","container-title":"Psychology of Addictive Behaviors","DOI":"10.1037/a0038369","ISSN":"1939-1501","issue":"4","journalAbbreviation":"Psychol Addict Behav","language":"eng","note":"PMID: 25402835","page":"1253-1258","source":"PubMed","title":"A behavioral economic analysis of the effect of next-day responsibilities on drinking","volume":"28","author":[{"family":"Gilbert","given":"Lindsey J."},{"family":"Murphy","given":"James G."},{"family":"Dennhardt","given":"Ashley A."}],"issued":{"date-parts":[["2014",12]]}}}],"schema":"https://github.com/citation-style-language/schema/raw/master/csl-citation.json"} </w:instrText>
      </w:r>
      <w:r w:rsidR="008838EE">
        <w:rPr>
          <w:rFonts w:ascii="Times New Roman" w:hAnsi="Times New Roman" w:cs="Times New Roman"/>
        </w:rPr>
        <w:fldChar w:fldCharType="separate"/>
      </w:r>
      <w:r w:rsidR="008838EE">
        <w:rPr>
          <w:rFonts w:ascii="Times New Roman" w:hAnsi="Times New Roman" w:cs="Times New Roman"/>
          <w:noProof/>
        </w:rPr>
        <w:t>(Gilbert et al., 2014)</w:t>
      </w:r>
      <w:r w:rsidR="008838EE">
        <w:rPr>
          <w:rFonts w:ascii="Times New Roman" w:hAnsi="Times New Roman" w:cs="Times New Roman"/>
        </w:rPr>
        <w:fldChar w:fldCharType="end"/>
      </w:r>
      <w:r w:rsidRPr="00AF6576">
        <w:rPr>
          <w:rFonts w:ascii="Times New Roman" w:hAnsi="Times New Roman" w:cs="Times New Roman"/>
        </w:rPr>
        <w:t xml:space="preserve">. Accordingly, alcohol may decrease in value as the costs become more significant (e.g., being hungover when you need </w:t>
      </w:r>
      <w:r w:rsidRPr="00AF6576">
        <w:rPr>
          <w:rFonts w:ascii="Times New Roman" w:hAnsi="Times New Roman" w:cs="Times New Roman"/>
        </w:rPr>
        <w:lastRenderedPageBreak/>
        <w:t xml:space="preserve">to wake up early for work or childcare), whereas this is potentially absent in people who are searching for meaning in life. Another potential explanation in light of COVID-19 may be that alcohol has become a valuable way of managing acute mood states, such as boredom </w:t>
      </w:r>
      <w:r w:rsidR="008838E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{"citationID":"qnJ9692a","properties":{"formattedCitation":"(Lunnay et al., 2021)","plainCitation":"(Lunnay et al., 2021)","noteIndex":0},"citationItems":[{"id":330,"uris":["http://zotero.org/users/7873587/items/KV4VUESW"],"itemData":{"id":330,"type":"article-journal","abstract":"Australian women's alcohol consumption has increased in frequency during COVID-19. Research suggests this is to cope with stress resulting from the pandemic and COVID-19 countermeasures that require social distancing. This is a critical public health concern because increased alcohol consumption, even for a short period, increases the myriad longer-term health risks associated with cumulative exposure to alcohol. This paper provides unique qualitative evidence of how health risk perceptions are re-focused toward the shorter-term during the pandemic, through analysis of interviews with 40 middle-aged Australian women (aged 45–64) representing a range of self-perceived drinking status' (“occasional”/“light”/“moderate”/“heavy”) before and then during the pandemic (n = 80 interviews). Our analysis captures women's risk horizons drifting away from the uncertain longer-term during COVID-19, toward the immediate need to “get through” the pandemic. We show how COVID-19 has increased the perceived value of consuming alcohol among women, particularly when weighed up against the social and emotional “costs” of reducing consumption. Our findings have implications for the delivery of alcohol-related health risk messages designed for middle-aged women both during, and into the recovery phases of the pandemic, who already consume more alcohol and experience more alcohol-related health risk than women in other age groups.","container-title":"Frontiers in Public Health","DOI":"10.3389/fpubh.2021.616870","ISSN":"2296-2565","page":"401","source":"Frontiers","title":"Alcohol consumption and perceptions of health risks during COVID-19: A qualitative study of middle-aged women in South Australia","title-short":"Alcohol Consumption and Perceptions of Health Risks During COVID-19","volume":"9","author":[{"family":"Lunnay","given":"Belinda"},{"family":"Foley","given":"Kristen"},{"family":"Meyer","given":"Samantha B."},{"family":"Warin","given":"Megan"},{"family":"Wilson","given":"Carlene"},{"family":"Olver","given":"Ian"},{"family":"Miller","given":"Emma R."},{"family":"Thomas","given":"Jessica"},{"family":"Ward","given":"Paul R."}],"issued":{"date-parts":[["2021"]]}}}],"schema":"https://github.com/citation-style-language/schema/raw/master/csl-citation.json"} </w:instrText>
      </w:r>
      <w:r w:rsidR="008838EE">
        <w:rPr>
          <w:rFonts w:ascii="Times New Roman" w:hAnsi="Times New Roman" w:cs="Times New Roman"/>
        </w:rPr>
        <w:fldChar w:fldCharType="separate"/>
      </w:r>
      <w:r w:rsidR="008838EE">
        <w:rPr>
          <w:rFonts w:ascii="Times New Roman" w:hAnsi="Times New Roman" w:cs="Times New Roman"/>
          <w:noProof/>
        </w:rPr>
        <w:t>(Lunnay et al., 2021)</w:t>
      </w:r>
      <w:r w:rsidR="008838EE">
        <w:rPr>
          <w:rFonts w:ascii="Times New Roman" w:hAnsi="Times New Roman" w:cs="Times New Roman"/>
        </w:rPr>
        <w:fldChar w:fldCharType="end"/>
      </w:r>
      <w:r w:rsidRPr="00AF6576">
        <w:rPr>
          <w:rFonts w:ascii="Times New Roman" w:hAnsi="Times New Roman" w:cs="Times New Roman"/>
        </w:rPr>
        <w:t xml:space="preserve">, and it may be that people with presence of meaning are less likely to experience this increase in alcohol value because there are other meaningful activities for them to engage in. Interestingly from a behavioural economic perspective, although presence of meaning is characterised by greater alcohol-free reinforcement, findings from this study demonstrate that it is the reinforcing value of alcohol that has a crucial indirect effect in the link between presence of meaning and AUDIT scores. </w:t>
      </w:r>
    </w:p>
    <w:p w14:paraId="7A0D0D5F" w14:textId="77777777" w:rsidR="00AF6576" w:rsidRPr="00AF6576" w:rsidRDefault="00AF6576" w:rsidP="00786365">
      <w:pPr>
        <w:pStyle w:val="NoSpacing"/>
        <w:spacing w:line="480" w:lineRule="auto"/>
        <w:rPr>
          <w:rFonts w:ascii="Times New Roman" w:hAnsi="Times New Roman" w:cs="Times New Roman"/>
        </w:rPr>
      </w:pPr>
    </w:p>
    <w:p w14:paraId="61C6FDCE" w14:textId="22F9BD6B" w:rsidR="00AF6576" w:rsidRPr="00AF6576" w:rsidRDefault="00AF6576" w:rsidP="00786365">
      <w:pPr>
        <w:pStyle w:val="NoSpacing"/>
        <w:spacing w:line="480" w:lineRule="auto"/>
        <w:rPr>
          <w:rFonts w:ascii="Times New Roman" w:hAnsi="Times New Roman" w:cs="Times New Roman"/>
        </w:rPr>
      </w:pPr>
      <w:r w:rsidRPr="00AF6576">
        <w:rPr>
          <w:rFonts w:ascii="Times New Roman" w:hAnsi="Times New Roman" w:cs="Times New Roman"/>
        </w:rPr>
        <w:t xml:space="preserve">Our findings also extend prior research by demonstrating—for the first time—the indirect effect of presence of and search for meaning in life on AUDIT scores via drinking to cope. These findings are particularly interesting because although search for meaning did not directly predict AUDIT scores, our structural model revealed a significant indirect effect through drinking to cope. Indeed, drinking to cope is a robust predictor of increased alcohol consumption (Cooper et al., 2016) which has emerged as a salient motive during the COVID-19 pandemic </w:t>
      </w:r>
      <w:r w:rsidR="00897BE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{"citationID":"OeOSfv3i","properties":{"formattedCitation":"(Irizar et al., 2021; McPhee et al., 2020; Rogers et al., 2020)","plainCitation":"(Irizar et al., 2021; McPhee et al., 2020; Rogers et al., 2020)","noteIndex":0},"citationItems":[{"id":326,"uris":["http://zotero.org/users/7873587/items/XP6XZWPR"],"itemData":{"id":326,"type":"article-journal","abstract":"BACKGROUND: Coronavirus (COVID-19) resulted in lockdown measures in the UK, which has impacted alcohol use. Alcohol is often used as a coping mechanism and there are public health concerns regarding excessive consumption due to the pandemic. We aimed to longitudinally assess drinking behaviors, and associated factors, during the first UK government-mandated lockdown.\nMETHODS: An online survey was distributed through social media (8th April 2020, onwards). Fortnightly follow up surveys were emailed to participants. The primary outcome measure was 'weekly unit consumption' and data was collected on a range of potentially related factors: demographics, factors relating to COVID-19 (e.g., health, work status), drinking motives, context of drinking, drinking intentions, mood, depression and anxiety.\nFINDINGS: A total of 539 self-selected participants completed the baseline survey, with 186 completing at least 3 follow up surveys for multilevel modelling analysis. Personal coping motives, anxiety, drinking at home alone, and drinking at home with others were positively associated with alcohol consumption during lockdown. The following baseline measures also predicted increased consumption: male gender, lower education, and higher AUDIT scores (based on behavior prior to lockdown). Findings were consistent when utilizing an inverse probability weight to account for predictors of attrition (female, younger age, higher baseline AUDIT scores).\nCONCLUSIONS: Those already drinking at hazardous levels were more likely to increase their consumption, as were those who were drinking to cope. As we recover from the pandemic, there is a need for widespread alcohol support, and certain groups may need targeted support.","container-title":"Drug and Alcohol Dependence","DOI":"10.1016/j.drugalcdep.2021.108913","ISSN":"1879-0046","journalAbbreviation":"Drug Alcohol Depend","language":"eng","note":"PMID: 34315105","page":"108913","source":"PubMed","title":"Longitudinal associations with alcohol consumption during the first COVID-19 lockdown: Associations with mood, drinking motives, context of drinking, and mental health","title-short":"Longitudinal associations with alcohol consumption during the first COVID-19 lockdown","volume":"226","author":[{"family":"Irizar","given":"Patricia"},{"family":"Jones","given":"Andrew"},{"family":"Christiansen","given":"Paul"},{"family":"Goodwin","given":"Laura"},{"family":"Gage","given":"Suzanne H."},{"family":"Roberts","given":"Carl"},{"family":"Knibb","given":"Graeme"},{"family":"Cooke","given":"Richard"},{"family":"Rose","given":"Abigail K."}],"issued":{"date-parts":[["2021",9,1]]}},"label":"page"},{"id":335,"uris":["http://zotero.org/users/7873587/items/3RM2ELVI"],"itemData":{"id":335,"type":"article-journal","abstract":"Background: Increases in the incidence of psychological distress and alcohol use during the COVID-19 pandemic have been predicted. Behavioral theories of depression and alcohol self-medication theories suggest that greater social/environmental constraints and increased psychological distress during COVID-19 could result in increases in depression and drinking to cope with negative affect. The current study had two goals: (1) to examine self-reported changes in alcohol use and related outcomes after the introduction of COVID-19 social distancing requirements, and; (2) to test hypothesized mediation models to explain individual differences in self-reported changes in depression and alcohol use during the early weeks of the COVID-19 pandemic., Methods: Participants (n = 833) were U.S. residents recruited for participation in a single online survey. The cross-sectional survey included questions assessing environmental reward, depression, COVID-19-related distress, drinking motives, and alcohol use outcomes. Outcomes were assessed via retrospective self-report for two timeframes in the single survey: the 30 days prior to state-mandated social distancing (“pre-social-distancing”), and the 30 days after the start of state-mandated social distancing (“post-social-distancing”)., Results: Depression severity, coping motives, and some indices of alcohol consumption (e.g., frequency of binge drinking, and frequency of solitary drinking) were significantly greater post-social-distancing relative to pre-social-distancing. Conversely, environmental reward and other drinking motives (social, enhancement, and conformity) were significantly lower post-social distancing compared to pre-social-distancing. Behavioral economic indices (alcohol demand) were variable with regard to change. Mediation analyses suggested a significant indirect effect of reduced environmental reward with drinking quantity/frequency via increased depressive symptoms and coping motives, and a significant indirect effect of COVID-related distress with alcohol quantity/frequency via coping motives for drinking., Discussion: Results provide early cross-sectional evidence regarding the relation of environmental reward, depression, and COVID-19-related psychological distress with alcohol consumption and coping motives during the early weeks of the COVID-19 pandemic. Results are largely consistent with predictions from behavioral theories of depression and alcohol self-medication frameworks. Future research is needed to study prospective associations among these outcomes.","container-title":"Frontiers in Psychiatry","DOI":"10.3389/fpsyt.2020.574676","ISSN":"1664-0640","journalAbbreviation":"Front Psychiatry","note":"PMID: 33192708\nPMCID: PMC7661794","page":"574676","source":"PubMed Central","title":"Depression, environmental reward, coping motives and alcohol consumption during the COVID-19 pandemic","volume":"11","author":[{"family":"McPhee","given":"Matthew D."},{"family":"Keough","given":"Matthew T."},{"family":"Rundle","given":"Samantha"},{"family":"Heath","given":"Laura M."},{"family":"Wardell","given":"Jeffrey D."},{"family":"Hendershot","given":"Christian S."}],"issued":{"date-parts":[["2020",10,30]]}},"label":"page"},{"id":338,"uris":["http://zotero.org/users/7873587/items/93CLD3XU"],"itemData":{"id":338,"type":"article-journal","abstract":"•\n              COVID-19 psychological factors may be risk factors for substance use initiation.\n            \n            \n              •\n              COVID-19-related worry is specifically related to using substances to cope during the pandemic.\n            \n            \n              •\n              COVID-19-related psychological factors may require specific clinical attention.\n            \n          \n        , The 2019 outbreak of the novel coronavirus (COVID-19) has had a devastating impact. Given the on-going nature of the outbreak, the deleterious toll on mental health, including substance use, is unknown. Negative reinforcement models of substance use posit that elevations in stress from the COVID-19 pandemic will elicit a corresponding motivation to downregulate COVID-19-related stress reactivity via substance use for a subset of the population. The current study sought to evaluate: (1) if COVID-19-related worry and fear were associated with substance use coping motives; and (2) how levels of COVID-19-related worry and fear differ between pre-COVID-19 substance users, COVID-19 substance initiators, and abstainers. Participants were 160 adults recruited nationally between April-May 2020 for an online study. Results indicated that COVID-19-related worry was associated with substance use coping motives. Additionally, compared to abstainers, pre-COVID-19 substance users and COVID-19 substance initiators demonstrated the highest levels of worry and fear. Examination of differences suggested that the COVID-19 substance initiators had the highest COVID-19-related worry and fear for all substances except for opioids, with effect size estimates ranging from small to medium. The results of this study suggest that COVID-19-specific psychological factors appear to be involved in substance use behavior.","container-title":"Psychiatry Research","DOI":"10.1016/j.psychres.2020.113407","ISSN":"0165-1781","journalAbbreviation":"Psychiatry Res","note":"PMID: 32827993\nPMCID: PMC7434361","page":"113407","source":"PubMed Central","title":"Psychological factors associated with substance use initiation during the COVID-19 pandemic","volume":"293","author":[{"family":"Rogers","given":"Andrew H."},{"family":"Shepherd","given":"Justin M."},{"family":"Garey","given":"Lorra"},{"family":"Zvolensky","given":"Michael J."}],"issued":{"date-parts":[["2020",11]]}},"label":"page"}],"schema":"https://github.com/citation-style-language/schema/raw/master/csl-citation.json"} </w:instrText>
      </w:r>
      <w:r w:rsidR="00897BEC">
        <w:rPr>
          <w:rFonts w:ascii="Times New Roman" w:hAnsi="Times New Roman" w:cs="Times New Roman"/>
        </w:rPr>
        <w:fldChar w:fldCharType="separate"/>
      </w:r>
      <w:r w:rsidR="00897BEC">
        <w:rPr>
          <w:rFonts w:ascii="Times New Roman" w:hAnsi="Times New Roman" w:cs="Times New Roman"/>
          <w:noProof/>
        </w:rPr>
        <w:t>(Irizar et al., 2021; McPhee et al., 2020; Rogers et al., 2020)</w:t>
      </w:r>
      <w:r w:rsidR="00897BEC">
        <w:rPr>
          <w:rFonts w:ascii="Times New Roman" w:hAnsi="Times New Roman" w:cs="Times New Roman"/>
        </w:rPr>
        <w:fldChar w:fldCharType="end"/>
      </w:r>
      <w:r w:rsidRPr="00AF6576">
        <w:rPr>
          <w:rFonts w:ascii="Times New Roman" w:hAnsi="Times New Roman" w:cs="Times New Roman"/>
        </w:rPr>
        <w:t xml:space="preserve">. Similar to previous research </w:t>
      </w:r>
      <w:r w:rsidR="00897BE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{"citationID":"pvT7o8yH","properties":{"formattedCitation":"(Bravo et al., 2018; Grant et al., 2009; Holahan et al., 2003; Kenney et al., 2015; Magee &amp; Connell, 2021)","plainCitation":"(Bravo et al., 2018; Grant et al., 2009; Holahan et al., 2003; Kenney et al., 2015; Magee &amp; Connell, 2021)","noteIndex":0},"citationItems":[{"id":280,"uris":["http://zotero.org/users/7873587/items/LS69IBHL"],"itemData":{"id":280,"type":"article-journal","abstract":"BACKGROUND: Recent research suggests that ruminative thinking (specifically problem-focused thoughts) may explain why individuals engage in drinking to cope (DTC) when dealing with depressive symptoms; which in turn leads to increased negative alcohol-related consequences. Cross-cultural studies addressing these phenomena are scarce.\nOBJECTIVES: The present study cross-culturally tested whether four rumination facets (problem-focused thoughts, counterfactual thinking, repetitive thoughts, and anticipatory thoughts) uniquely mediate the relationships between depressive symptoms and drinking motives/alcohol outcomes in a multicultural sample of college student drinkers (n=1429) from Spain, Argentina, and the U.S.\nMETHOD: Structural equation modeling was conducted to test the models, controlling for sex. Further, we conducted invariance testing to determine whether our models were culturally-specific or culturally-universal.\nRESULTS: Within both proposed models, no rumination facet uniquely mediated the relationship between depressive symptoms and drinking motives. However, an exploratory model with a second-order latent factor of ruminative thinking did significantly mediate these associations (exception was conformity motives). Further, there were two significant double-mediated associations that suggested that increased depressive symptoms is associated with increased ruminative thinking, which is associated with higher DTC motives, which in turn is associated with higher alcohol consumption and negative alcohol-related consequences. All models were found to be invariant across countries and sex, suggesting that these associations may be relatively universal.\nCONCLUSIONS: Rumination is relevant to understand the increased vulnerability of college drinkers to exhibit greater alcohol consumption and negative consequences via DTC motives when dealing with depressive symptoms.","container-title":"Addictive Behaviors","DOI":"10.1016/j.addbeh.2017.08.028","ISSN":"1873-6327","journalAbbreviation":"Addict Behav","language":"eng","note":"PMID: 28889061","page":"319-327","source":"PubMed","title":"Depressive symptoms, ruminative thinking, drinking motives, and alcohol outcomes: A multiple mediation model among college students in three countries","title-short":"Depressive symptoms, ruminative thinking, drinking motives, and alcohol outcomes","volume":"76","author":[{"family":"Bravo","given":"Adrian J."},{"family":"Pilatti","given":"Angelina"},{"family":"Pearson","given":"Matthew R."},{"family":"Mezquita","given":"Laura"},{"family":"Ibáñez","given":"Manuel I."},{"family":"Ortet","given":"Generós"}],"issued":{"date-parts":[["2018",1]]}}},{"id":287,"uris":["http://zotero.org/users/7873587/items/AFZG9IJC"],"itemData":{"id":287,"type":"article-journal","abstract":"Individuals with different drinking motives show distinctive patterns of alcohol use and problems. Drinking to cope, or endorsing strong coping motives for alcohol use, has been shown to be particularly hazardous. It is important to determine the unique triggers associated with coping drinking. One limitation of past research has been the failure to contend with the complexities inherent in coping motives. Using the Modified Drinking Motives Questionnaire-Revised (Grant, Stewart, O'Connor, Blackwell, &amp; Conrod, 2007), which separates coping-anxiety and coping-depression motives, we investigated whether these motives moderated relationships between daily mood and subsequent drinking (statistically controlling for sex, baseline anxious and depressive symptomatology, initial alcohol problems, and additional drinking motives). College students (N=146) provided daily reports of mood and alcohol consumption online for 3 weeks. Multilevel modeling analyses revealed that, as hypothesized, stronger initial coping-depression motives predicted higher daily depressed mood-alcohol consumption slopes. Also consistent with expectation, stronger initial coping-anxiety motives predicted higher anxious mood-alcohol consumption slopes. We discuss how this identification of the unique mood triggers associated with each type of coping drinking motive can provide the basis for targeted interventions.","container-title":"Psychology of Addictive Behaviors","DOI":"10.1037/a0015006","ISSN":"0893-164X","issue":"2","journalAbbreviation":"Psychol Addict Behav","language":"eng","note":"PMID: 19586139","page":"226-237","source":"PubMed","title":"Coping-anxiety and coping-depression motives predict different daily mood-drinking relationships","volume":"23","author":[{"family":"Grant","given":"Valerie V."},{"family":"Stewart","given":"Sherry H."},{"family":"Mohr","given":"Cynthia D."}],"issued":{"date-parts":[["2009",6]]}},"label":"page"},{"id":289,"uris":["http://zotero.org/users/7873587/items/N3ZBU6GR"],"itemData":{"id":289,"type":"article-journal","abstract":"This study examined drinking to cope with distress and drinking behavior in a baseline sample of 412 unipolar depressed patients assessed 4 times over a 10-year period. Baseline drinking to cope operated prospectively as a risk factor for more alcohol consumption at 1-, 4-, and 10-year follow-ups and for more drinking problems at 1- and 4-year follow-ups. Findings elucidate a key mechanism in this process by showing that drinking to cope strengthened the link between depressive symptoms and drinking behavior. Individuals who had a stronger propensity to drink to cope at baseline showed a stronger connection between depressive symptoms and both alcohol consumption and drinking problems.","container-title":"Journal of Abnormal Psychology","DOI":"https://doi.org/10.1037/0021-843X.112.1.159","ISSN":"0021-843X","issue":"1","journalAbbreviation":"J Abnorm Psychol","language":"eng","note":"PMID: 12653424","page":"159-165","source":"PubMed","title":"Drinking to cope and alcohol use and abuse in unipolar depression: a 10-year model","title-short":"Drinking to cope and alcohol use and abuse in unipolar depression","volume":"112","author":[{"family":"Holahan","given":"Charles J."},{"family":"Moos","given":"Rudolf H."},{"family":"Holahan","given":"Carole K."},{"family":"Cronkite","given":"Ruth C."},{"family":"Randall","given":"Patrick K."}],"issued":{"date-parts":[["2003",2]]}},"label":"page"},{"id":284,"uris":["http://zotero.org/users/7873587/items/FK9AP6SI"],"itemData":{"id":284,"type":"article-journal","abstract":"Problematic alcohol use and risk for dependence peak during late adolescence, particularly among first-year college students. Although students matriculating into college with depressive symptoms experience elevated risk for alcohol problems, few studies have examined the intervening mechanisms of risk. In this study, we examined depressed mood at college entry on prospective alcohol expectancies, drinking motives, and alcohol outcomes during the first year of college, adjusting for pre-college factors. Participants (N = 614; 59% female, 33% non-White) were incoming college students from three universities who completed online self-report surveys prior to matriculating into college and at the end of their first year in college. We utilized path analysis to test our hypotheses. In women, the path that linked depressive symptoms to consequences was primarily attributable to the effect of pre-college drinking to cope on drinking to cope in college, which in turn was associated with alcohol consequences. In men, the effect of depressive symptoms on alcohol consequences in college was independent of pre-college and college factors, thus indicating the need for research that identifies mechanisms of risk in males. Interventions that address coping deficits and motivations for drinking may be particularly beneficial for depressed adolescent females during this high-risk developmental period.","container-title":"Journal of Youth and Adolescence","DOI":"10.1007/s10964-015-0311-3","ISSN":"1573-6601","issue":"10","journalAbbreviation":"J Youth Adolesc","language":"eng","note":"PMID: 26036995\nPMCID: PMC4565767","page":"1884-1897","source":"PubMed","title":"Gender differences in the effect of depressive symptoms on prospective alcohol expectancies, coping motives, and alcohol outcomes in the first year of college","volume":"44","author":[{"family":"Kenney","given":"Shannon"},{"family":"Jones","given":"Richard N."},{"family":"Barnett","given":"Nancy P."}],"issued":{"date-parts":[["2015",10]]}},"label":"page"},{"id":257,"uris":["http://zotero.org/users/7873587/items/N8P4JTK5"],"itemData":{"id":257,"type":"article-journal","abstract":"Although theoretical models highlight the role of coping motivations in promoting co-development of depression and alcohol use, few longitudinal studies have examined such processes across early adulthood. The current study examined the role of coping in the association between depression and alcohol use across late adolescence and early adulthood. A control sample of adolescents (N = 498) from a longitudinal prevention trial completed the Brief Symptom Inventory, Life Events Coping Inventory, and a self-report survey on alcohol use at ages 17, 22, and 23, as well as the Composite International Diagnostic Interview at age 28–30. Path analyses integrated self-report and diagnostic measures. Although gender differences were observed in mean levels of depression, alcohol use, and the use of substances to cope, we did not find gender differences in structural relations across these domains over time. Substance use coping served as an intervening pathway in the association between alcohol use and depression both at the symptom level from age 17 to 23, and in predicting longer term diagnostic outcomes at ages 28–30. Depressive symptoms in early adulthood were indirectly related to major depressive disorder (MDD) through two independent paths, including the stability of depressive symptoms over time, and through the influence of depression on increasing the tendency to use substances to cope with stress. Our results underscore that coping effects provide unique predictive power across developmental transitions, over and above the stability of depressive symptoms and alcohol use, underscoring coping motives as a promising intervention target that may prevent co-occurring depression and substance use. (PsycInfo Database Record (c) 2021 APA, all rights reserved)","container-title":"Experimental and Clinical Psychopharmacology","DOI":"10.1037/pha0000436","ISSN":"1936-2293","issue":"6","note":"publisher-place: US\npublisher: American Psychological Association","page":"659-669","source":"APA PsycNet","title":"The role of substance use coping in linking depression and alcohol use from late adolescence through early adulthood","volume":"26","author":[{"family":"Magee","given":"Kelsey E."},{"family":"Connell","given":"Arin M."}],"issued":{"date-parts":[["2021"]]}},"label":"page"}],"schema":"https://github.com/citation-style-language/schema/raw/master/csl-citation.json"} </w:instrText>
      </w:r>
      <w:r w:rsidR="00897BEC">
        <w:rPr>
          <w:rFonts w:ascii="Times New Roman" w:hAnsi="Times New Roman" w:cs="Times New Roman"/>
        </w:rPr>
        <w:fldChar w:fldCharType="separate"/>
      </w:r>
      <w:r w:rsidR="00897BEC">
        <w:rPr>
          <w:rFonts w:ascii="Times New Roman" w:hAnsi="Times New Roman" w:cs="Times New Roman"/>
          <w:noProof/>
        </w:rPr>
        <w:t>(Bravo et al., 2018; Grant et al., 2009; Holahan et al., 2003; Kenney et al., 2015; Magee &amp; Connell, 2021)</w:t>
      </w:r>
      <w:r w:rsidR="00897BEC">
        <w:rPr>
          <w:rFonts w:ascii="Times New Roman" w:hAnsi="Times New Roman" w:cs="Times New Roman"/>
        </w:rPr>
        <w:fldChar w:fldCharType="end"/>
      </w:r>
      <w:r w:rsidR="00BE51B3">
        <w:rPr>
          <w:rFonts w:ascii="Times New Roman" w:hAnsi="Times New Roman" w:cs="Times New Roman"/>
        </w:rPr>
        <w:t xml:space="preserve"> </w:t>
      </w:r>
      <w:r w:rsidRPr="00AF6576">
        <w:rPr>
          <w:rFonts w:ascii="Times New Roman" w:hAnsi="Times New Roman" w:cs="Times New Roman"/>
        </w:rPr>
        <w:t xml:space="preserve">we found a positive association between depressive symptoms and drinking to cope, and although depressive symptoms alone were not a significant mediator within the relationship between meaning in life and AUDIT scores, there was a </w:t>
      </w:r>
      <w:r w:rsidR="003A7B95">
        <w:rPr>
          <w:rFonts w:ascii="Times New Roman" w:hAnsi="Times New Roman" w:cs="Times New Roman"/>
        </w:rPr>
        <w:t xml:space="preserve">serial </w:t>
      </w:r>
      <w:r w:rsidRPr="00AF6576">
        <w:rPr>
          <w:rFonts w:ascii="Times New Roman" w:hAnsi="Times New Roman" w:cs="Times New Roman"/>
        </w:rPr>
        <w:t xml:space="preserve">mediation effect through both depressive symptoms and drinking to cope. These findings can be interpreted in line with negative reinforcement and motivational models that posit substances are used in attempt to ameliorate negative mood states </w:t>
      </w:r>
      <w:r w:rsidR="005F73D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{"citationID":"2pMIczN1","properties":{"formattedCitation":"(Blevins et al., 2016; Cooper et al., 2016)","plainCitation":"(Blevins et al., 2016; Cooper et al., 2016)","noteIndex":0},"citationItems":[{"id":268,"uris":["http://zotero.org/users/7873587/items/HBF7N8KI"],"itemData":{"id":268,"type":"article-journal","abstract":"Background: Drinking among college-aged individuals can be problematic. The motivational model of use, which examines various cognitive factors, personal characteristics, and environmental factors, can provide a greater understanding of what contributes toward the decision to drink in these young adults. Objectives: The current study evaluates proposed paths from risk factors for alcohol use, motives for drinking, and subsequent outcomes of alcohol use, drawing from seminal research on the motivational model and drinking motives. Methods: This model was tested in a sample of 303 undergraduate drinkers (77.9% female, mean age = 19.8 years), and evaluated the potential impact of gender and pattern of use. Results: Results indicate that expectancies, maladaptive coping, and negative affect personality styles are associated with coping motives for drinking, and that coping motives are significantly related to problems associated with use. These results are similar for males and females, and among heavy and lighter drinkers. Conclusion: Findings support the role of the coping motive in problematic outcomes associated with drinking and suggest that expectancies, negative affect personality styles, maladaptive coping, and drinking motives are potential targets of prevention and intervention. (PsycINFO Database Record (c) 2016 APA, all rights reserved)","container-title":"The American Journal of Drug and Alcohol Abuse","DOI":"10.3109/00952990.2016.1141915","ISSN":"1097-9891","issue":"4","note":"publisher-place: United Kingdom\npublisher: Taylor &amp; Francis","page":"395-403","source":"APA PsycNet","title":"Motivational pathways from antecedents of alcohol use to consequences: A structural model of using alcohol to cope with negative affect","title-short":"Motivational pathways from antecedents of alcohol use to consequences","volume":"42","author":[{"family":"Blevins","given":"Claire E."},{"family":"Abrantes","given":"Ana M."},{"family":"Stephens","given":"Robert S."}],"issued":{"date-parts":[["2016"]]}},"label":"page"},{"id":272,"uris":["http://zotero.org/users/7873587/items/9BYLYXUK"],"itemData":{"id":272,"type":"chapter","abstract":"\"Motivational Models of Substance Use\" published on  by Oxford University Press.","container-title":"The Oxford handbook of substance use and substance use disorders","event-place":"New York, NY","ISBN":"978-0-19-938167-8","language":"en","note":"DOI: 10.1093/oxfordhb/9780199381678.013.017","page":"375-421","publisher":"Oxford University Press","publisher-place":"New York, NY","title":"Motivational models of substance use: A review of theory and research on motives for using alcohol, marijuana, and tobacco.","URL":"https://www.oxfordhandbooks.com/view/10.1093/oxfordhb/9780199381678.001.0001/oxfordhb-9780199381678-e-017","volume":"1","author":[{"family":"Cooper","given":"M. Lynne"},{"family":"Kuntsche","given":"Emmanuel"},{"family":"Levitt","given":"Ash"},{"family":"Barber","given":"Lindsay L."},{"family":"Wolf","given":"Scott"}],"editor":[{"family":"Sher","given":"Kenneth J."}],"accessed":{"date-parts":[["2021",9,7]]},"issued":{"date-parts":[["2016",9,15]]}},"label":"page"}],"schema":"https://github.com/citation-style-language/schema/raw/master/csl-citation.json"} </w:instrText>
      </w:r>
      <w:r w:rsidR="005F73D4">
        <w:rPr>
          <w:rFonts w:ascii="Times New Roman" w:hAnsi="Times New Roman" w:cs="Times New Roman"/>
        </w:rPr>
        <w:fldChar w:fldCharType="separate"/>
      </w:r>
      <w:r w:rsidR="00786365">
        <w:rPr>
          <w:rFonts w:ascii="Times New Roman" w:hAnsi="Times New Roman" w:cs="Times New Roman"/>
          <w:noProof/>
        </w:rPr>
        <w:t>(Blevins et al., 2016; Cooper et al., 2016)</w:t>
      </w:r>
      <w:r w:rsidR="005F73D4">
        <w:rPr>
          <w:rFonts w:ascii="Times New Roman" w:hAnsi="Times New Roman" w:cs="Times New Roman"/>
        </w:rPr>
        <w:fldChar w:fldCharType="end"/>
      </w:r>
      <w:r w:rsidRPr="00AF6576">
        <w:rPr>
          <w:rFonts w:ascii="Times New Roman" w:hAnsi="Times New Roman" w:cs="Times New Roman"/>
        </w:rPr>
        <w:t xml:space="preserve">. Given that people with meaning in life have been found to experience </w:t>
      </w:r>
      <w:r w:rsidRPr="00AF6576">
        <w:rPr>
          <w:rFonts w:ascii="Times New Roman" w:hAnsi="Times New Roman" w:cs="Times New Roman"/>
        </w:rPr>
        <w:lastRenderedPageBreak/>
        <w:t>lower levels of depressive symptoms (</w:t>
      </w:r>
      <w:proofErr w:type="spellStart"/>
      <w:r w:rsidRPr="00AF6576">
        <w:rPr>
          <w:rFonts w:ascii="Times New Roman" w:hAnsi="Times New Roman" w:cs="Times New Roman"/>
        </w:rPr>
        <w:t>Disabato</w:t>
      </w:r>
      <w:proofErr w:type="spellEnd"/>
      <w:r w:rsidRPr="00AF6576">
        <w:rPr>
          <w:rFonts w:ascii="Times New Roman" w:hAnsi="Times New Roman" w:cs="Times New Roman"/>
        </w:rPr>
        <w:t xml:space="preserve"> et al., 2017; Steger et al., 2009), and experience reduced psychological distress and negative thinking following aversive events (</w:t>
      </w:r>
      <w:proofErr w:type="spellStart"/>
      <w:r w:rsidRPr="00AF6576">
        <w:rPr>
          <w:rFonts w:ascii="Times New Roman" w:hAnsi="Times New Roman" w:cs="Times New Roman"/>
        </w:rPr>
        <w:t>Ostafin</w:t>
      </w:r>
      <w:proofErr w:type="spellEnd"/>
      <w:r w:rsidRPr="00AF6576">
        <w:rPr>
          <w:rFonts w:ascii="Times New Roman" w:hAnsi="Times New Roman" w:cs="Times New Roman"/>
        </w:rPr>
        <w:t xml:space="preserve"> &amp; Proulx, 2020), it may therefore be that people who acquire meaning are less likely to consume alcohol to cope with negative affect. Instead, acquiring meaning may enable people to implement forms of coping that are adaptive, such as implementation of strategies that enable positive reframing and acceptance, alongside engagement in healthy alternative behaviours such as exercise </w:t>
      </w:r>
      <w:r w:rsidR="00BE51B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{"citationID":"fpaHIyc9","properties":{"formattedCitation":"(Cairney et al., 2014; Hooker et al., 2018; Hooker &amp; Masters, 2016)","plainCitation":"(Cairney et al., 2014; Hooker et al., 2018; Hooker &amp; Masters, 2016)","noteIndex":0},"citationItems":[{"id":307,"uris":["http://zotero.org/users/7873587/items/J7RYLR9Z"],"itemData":{"id":307,"type":"article-journal","abstract":"PURPOSE: To examine the prevalence of exercise as a coping behavior for stress, compare this to other coping behaviors, and examine its demographic, behavioral, and health correlates in a nationally representative sample of Canadians.\nMETHOD: We used data from the Canadian Community Health Survey 1.2, a cross-sectional survey of 36,984 Canadians aged 15 and over, and conducted univariate and logistic regression analyses to address our objectives.\nRESULTS: 40% of Canadians reported using exercise for coping with stress (ranked 8th overall). These individuals were more likely to endorse other 'positive' coping strategies and less likely to use alcohol or drugs for coping. Being younger, female, unmarried, of high SES, and a nonsmoker were associated with higher likelihoods of using exercise as a coping strategy. High levels of leisure-time physical activity were associated with increased, and heavy physical activity at work with decreased, odds of reporting using exercise for stress coping.\nCONCLUSIONS: While reported use of exercise for stress coping is common in the general population, it is less so than several other behaviors. Encouraging exercise, particularly in groups identified as being less likely to use exercise for stress coping, could potentially reduce overall stress levels and improve general health and well-being.","container-title":"Journal of Physical Activity &amp; Health","DOI":"10.1123/jpah.2012-0107","ISSN":"1543-5474","issue":"5","journalAbbreviation":"J Phys Act Health","language":"eng","note":"PMID: 23493043","page":"908-916","source":"PubMed","title":"Who uses exercise as a coping strategy for stress? Results from a national survey of Canadians","title-short":"Who uses exercise as a coping strategy for stress?","volume":"11","author":[{"family":"Cairney","given":"John"},{"family":"Kwan","given":"Matthew Y. W."},{"family":"Veldhuizen","given":"Scott"},{"family":"Faulkner","given":"Guy E. J."}],"issued":{"date-parts":[["2014",7]]}},"label":"page"},{"id":295,"uris":["http://zotero.org/users/7873587/items/KAVFHRTU"],"itemData":{"id":295,"type":"article-journal","abstract":"Accumulating evidence suggests that a global sense of meaning in life is related to physical health, including increased longevity and reduced morbidity. However, the mechanisms responsible for these relationships remain largely unknown and uninvestigated. Moreover, there is no unifying conceptual framework linking meaning in life to physical health. Our aims are to (a) review the literature linking meaning in life to potential mechanisms associated with better physical health; (b) offer a comprehensive conceptual framework associating meaning in life with physical health; and (c) introduce a new construct, meaning salience, as a potentially important intermediary mechanism. Specifically, we review the evidence suggesting that meaning in life is associated with reduced stress, more adaptive coping, and greater engagement in health-promoting behaviors. Our model proposes that effects of global sense of meaning are potentiated through increased meaning salience, or daily awareness of meaning in the moment, which enhances self-regulation. Suggestions are proposed for empirically examining this new model. (PsycInfo Database Record (c) 2020 APA, all rights reserved)","container-title":"Review of General Psychology","DOI":"10.1037/gpr0000115","ISSN":"1939-1552","issue":"1","note":"publisher-place: US\npublisher: Educational Publishing Foundation","page":"11-24","source":"APA PsycNet","title":"A meaningful life is a healthy life: A conceptual model linking meaning and meaning salience to health","title-short":"A meaningful life is a healthy life","volume":"22","author":[{"family":"Hooker","given":"Stephanie A."},{"family":"Masters","given":"Kevin S."},{"family":"Park","given":"Crystal L."}],"issued":{"date-parts":[["2018"]]}},"label":"page"},{"id":200,"uris":["http://zotero.org/users/7873587/items/H9G69SXK"],"itemData":{"id":200,"type":"article-journal","abstract":"Previous research has shown that purpose in life, the belief that one’s life is meaningful and goal-directed, is associated with greater engagement in self-reported physical activity. The purpose of this study was to examine the relationship between purpose in life and accelerometer-measured physical activity. Community volunteers (N = 104) completed measures of purpose in life and potential confounds and wore accelerometers for three consecutive days. Purpose in life was positively associated with objectively measured movement, moderate to vigorous physical activity, and with self-reported activity. These relationships were largely unchanged after controlling for potential confounds. These results suggest that purpose in life is a reliable correlate of physical activity. (PsycInfo Database Record (c) 2020 APA, all rights reserved)","container-title":"Journal of Health Psychology","DOI":"10.1177/1359105314542822","ISSN":"1461-7277(Electronic),1359-1053(Print)","issue":"6","note":"publisher-place: US\npublisher: Sage Publications","page":"962-971","source":"APA PsycNET","title":"Purpose in life is associated with physical activity measured by accelerometer","volume":"21","author":[{"family":"Hooker","given":"Stephanie A."},{"family":"Masters","given":"Kevin S."}],"issued":{"date-parts":[["2016"]]}},"label":"page"}],"schema":"https://github.com/citation-style-language/schema/raw/master/csl-citation.json"} </w:instrText>
      </w:r>
      <w:r w:rsidR="00BE51B3">
        <w:rPr>
          <w:rFonts w:ascii="Times New Roman" w:hAnsi="Times New Roman" w:cs="Times New Roman"/>
        </w:rPr>
        <w:fldChar w:fldCharType="separate"/>
      </w:r>
      <w:r w:rsidR="00BE51B3">
        <w:rPr>
          <w:rFonts w:ascii="Times New Roman" w:hAnsi="Times New Roman" w:cs="Times New Roman"/>
          <w:noProof/>
        </w:rPr>
        <w:t>(Cairney et al., 2014; Hooker et al., 2018; Hooker &amp; Masters, 2016)</w:t>
      </w:r>
      <w:r w:rsidR="00BE51B3">
        <w:rPr>
          <w:rFonts w:ascii="Times New Roman" w:hAnsi="Times New Roman" w:cs="Times New Roman"/>
        </w:rPr>
        <w:fldChar w:fldCharType="end"/>
      </w:r>
      <w:r w:rsidR="00BE51B3">
        <w:rPr>
          <w:rFonts w:ascii="Times New Roman" w:hAnsi="Times New Roman" w:cs="Times New Roman"/>
        </w:rPr>
        <w:t>.</w:t>
      </w:r>
      <w:r w:rsidRPr="00AF6576">
        <w:rPr>
          <w:rFonts w:ascii="Times New Roman" w:hAnsi="Times New Roman" w:cs="Times New Roman"/>
        </w:rPr>
        <w:t xml:space="preserve"> </w:t>
      </w:r>
    </w:p>
    <w:p w14:paraId="2A03B143" w14:textId="77777777" w:rsidR="00AF6576" w:rsidRPr="00AF6576" w:rsidRDefault="00AF6576" w:rsidP="00786365">
      <w:pPr>
        <w:pStyle w:val="NoSpacing"/>
        <w:spacing w:line="480" w:lineRule="auto"/>
        <w:rPr>
          <w:rFonts w:ascii="Times New Roman" w:hAnsi="Times New Roman" w:cs="Times New Roman"/>
        </w:rPr>
      </w:pPr>
    </w:p>
    <w:p w14:paraId="6AB4209E" w14:textId="55E67BAE" w:rsidR="00AF6576" w:rsidRPr="00AF6576" w:rsidRDefault="00AF6576" w:rsidP="001379CE">
      <w:pPr>
        <w:pStyle w:val="NoSpacing"/>
        <w:spacing w:line="480" w:lineRule="auto"/>
        <w:rPr>
          <w:rFonts w:ascii="Times New Roman" w:hAnsi="Times New Roman" w:cs="Times New Roman"/>
        </w:rPr>
      </w:pPr>
      <w:r w:rsidRPr="00AF6576">
        <w:rPr>
          <w:rFonts w:ascii="Times New Roman" w:hAnsi="Times New Roman" w:cs="Times New Roman"/>
        </w:rPr>
        <w:t xml:space="preserve">There were some limitations to this study. First, it was conducted during a global pandemic thereby limiting the generalizability of these findings to other time-periods. Second, there is likely a reasonable degree of measurement error in the quantification of alcohol-free reinforcement and other variables that may impact alcohol-free reinforcement, such as income, were not measured. Third, </w:t>
      </w:r>
      <w:bookmarkStart w:id="131" w:name="_Hlk118821115"/>
      <w:r w:rsidRPr="00AF6576">
        <w:rPr>
          <w:rFonts w:ascii="Times New Roman" w:hAnsi="Times New Roman" w:cs="Times New Roman"/>
        </w:rPr>
        <w:t>the data were cross-sectional which means it is not possible to establish causal relationships between the variables</w:t>
      </w:r>
      <w:r w:rsidR="003A7B95">
        <w:rPr>
          <w:rFonts w:ascii="Times New Roman" w:hAnsi="Times New Roman" w:cs="Times New Roman"/>
        </w:rPr>
        <w:t xml:space="preserve">. </w:t>
      </w:r>
      <w:r w:rsidR="001379CE" w:rsidRPr="00342E7D">
        <w:rPr>
          <w:rFonts w:ascii="Times New Roman" w:hAnsi="Times New Roman" w:cs="Times New Roman"/>
        </w:rPr>
        <w:t>For example,</w:t>
      </w:r>
      <w:r w:rsidR="003A7B95" w:rsidRPr="00342E7D">
        <w:rPr>
          <w:rFonts w:ascii="Times New Roman" w:hAnsi="Times New Roman" w:cs="Times New Roman"/>
        </w:rPr>
        <w:t xml:space="preserve"> it is not possible to </w:t>
      </w:r>
      <w:r w:rsidR="001379CE" w:rsidRPr="00342E7D">
        <w:rPr>
          <w:rFonts w:ascii="Times New Roman" w:hAnsi="Times New Roman" w:cs="Times New Roman"/>
        </w:rPr>
        <w:t>ascertain whether alterations in meaning in life subscales lead to changes in other variables (e.g., depressive symptoms), which in turn lead to changes in AUDIT scores. Indeed, these variables may interact in the reverse order.</w:t>
      </w:r>
      <w:bookmarkEnd w:id="131"/>
      <w:r w:rsidR="001379CE">
        <w:rPr>
          <w:rFonts w:ascii="Times New Roman" w:hAnsi="Times New Roman" w:cs="Times New Roman"/>
        </w:rPr>
        <w:t xml:space="preserve"> Furthermore, </w:t>
      </w:r>
      <w:r w:rsidRPr="00AF6576">
        <w:rPr>
          <w:rFonts w:ascii="Times New Roman" w:hAnsi="Times New Roman" w:cs="Times New Roman"/>
        </w:rPr>
        <w:t xml:space="preserve">mediation analyses on cross-sectional data should be interpreted with caution </w:t>
      </w:r>
      <w:r w:rsidR="00BE51B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{"citationID":"qOvVgjEQ","properties":{"formattedCitation":"(Fairchild &amp; McDaniel, 2017)","plainCitation":"(Fairchild &amp; McDaniel, 2017)","noteIndex":0},"citationItems":[{"id":428,"uris":["http://zotero.org/users/7873587/items/A3F8ZNXH"],"itemData":{"id":428,"type":"article-journal","abstract":"This contribution in the \"Best (but Oft-Forgotten) Practices\" series considers mediation analysis. A mediator (sometimes referred to as an intermediate variable, surrogate endpoint, or intermediate endpoint) is a third variable that explains how or why ≥2 other variables relate in a putative causal pathway. The current article discusses mediation analysis with the ultimate intention of helping nutrition researchers to clarify the rationale for examining mediation, avoid common pitfalls when using the model, and conduct well-informed analyses that can contribute to improving causal inference in evaluations of underlying mechanisms of effects on nutrition-related behavioral and health outcomes. We give specific attention to underevaluated limitations inherent in common approaches to mediation. In addition, we discuss how to conduct a power analysis for mediation models and offer an applied example to demonstrate mediation analysis. Finally, we provide an example write-up of mediation analysis results as a model for applied researchers.","container-title":"The American Journal of Clinical Nutrition","DOI":"10.3945/ajcn.117.152546","ISSN":"1938-3207","issue":"6","journalAbbreviation":"Am J Clin Nutr","language":"eng","note":"PMID: 28446497\nPMCID: PMC5445681","page":"1259-1271","source":"PubMed","title":"Best (but oft-forgotten) practices: mediation analysis","title-short":"Best (but oft-forgotten) practices","volume":"105","author":[{"family":"Fairchild","given":"Amanda J."},{"family":"McDaniel","given":"Heather L."}],"issued":{"date-parts":[["2017",6]]}}}],"schema":"https://github.com/citation-style-language/schema/raw/master/csl-citation.json"} </w:instrText>
      </w:r>
      <w:r w:rsidR="00BE51B3">
        <w:rPr>
          <w:rFonts w:ascii="Times New Roman" w:hAnsi="Times New Roman" w:cs="Times New Roman"/>
        </w:rPr>
        <w:fldChar w:fldCharType="separate"/>
      </w:r>
      <w:r w:rsidR="00BE51B3">
        <w:rPr>
          <w:rFonts w:ascii="Times New Roman" w:hAnsi="Times New Roman" w:cs="Times New Roman"/>
          <w:noProof/>
        </w:rPr>
        <w:t>(Fairchild &amp; McDaniel, 2017)</w:t>
      </w:r>
      <w:r w:rsidR="00BE51B3">
        <w:rPr>
          <w:rFonts w:ascii="Times New Roman" w:hAnsi="Times New Roman" w:cs="Times New Roman"/>
        </w:rPr>
        <w:fldChar w:fldCharType="end"/>
      </w:r>
      <w:r w:rsidRPr="00AF6576">
        <w:rPr>
          <w:rFonts w:ascii="Times New Roman" w:hAnsi="Times New Roman" w:cs="Times New Roman"/>
        </w:rPr>
        <w:t xml:space="preserve">. Future research may address these limitations by computing a proportionate alcohol-free reinforcement score alongside the continued refinement of question items to work towards developing accurate measurements of retrospective activity enjoyment and frequency, but also map changes in value, meaning in life, and alcohol consumption longitudinally. Future studies could also further explore the idiosyncratic nature of search for meaning in life, such </w:t>
      </w:r>
      <w:r w:rsidRPr="00AF6576">
        <w:rPr>
          <w:rFonts w:ascii="Times New Roman" w:hAnsi="Times New Roman" w:cs="Times New Roman"/>
        </w:rPr>
        <w:lastRenderedPageBreak/>
        <w:t>as through the use of qualitative research, to better understand how this construct relates to patterns of alcohol consumption across different people.</w:t>
      </w:r>
    </w:p>
    <w:p w14:paraId="1B543FF7" w14:textId="77777777" w:rsidR="00AF6576" w:rsidRPr="00AF6576" w:rsidRDefault="00AF6576" w:rsidP="00786365">
      <w:pPr>
        <w:pStyle w:val="NoSpacing"/>
        <w:spacing w:line="480" w:lineRule="auto"/>
        <w:rPr>
          <w:rFonts w:ascii="Times New Roman" w:hAnsi="Times New Roman" w:cs="Times New Roman"/>
        </w:rPr>
      </w:pPr>
    </w:p>
    <w:p w14:paraId="4077EE34" w14:textId="090EEDB3" w:rsidR="00D25A1A" w:rsidRPr="00D25A1A" w:rsidRDefault="00AF6576" w:rsidP="00786365">
      <w:pPr>
        <w:pStyle w:val="NoSpacing"/>
        <w:spacing w:line="480" w:lineRule="auto"/>
        <w:rPr>
          <w:rFonts w:ascii="Times New Roman" w:hAnsi="Times New Roman" w:cs="Times New Roman"/>
        </w:rPr>
      </w:pPr>
      <w:r w:rsidRPr="00AF6576">
        <w:rPr>
          <w:rFonts w:ascii="Times New Roman" w:hAnsi="Times New Roman" w:cs="Times New Roman"/>
        </w:rPr>
        <w:t xml:space="preserve">To conclude, this study adds to a robust body of evidence demonstrating an inverse relationship between presence of meaning in life and AUDIT scores, but we were unable to replicate or reconcile recent findings regarding search for meaning in life. </w:t>
      </w:r>
      <w:r w:rsidRPr="00342E7D">
        <w:rPr>
          <w:rFonts w:ascii="Times New Roman" w:hAnsi="Times New Roman" w:cs="Times New Roman"/>
        </w:rPr>
        <w:t xml:space="preserve">In regular alcohol consumers, presence of meaning </w:t>
      </w:r>
      <w:r w:rsidR="00107EBB" w:rsidRPr="00342E7D">
        <w:rPr>
          <w:rFonts w:ascii="Times New Roman" w:hAnsi="Times New Roman" w:cs="Times New Roman"/>
        </w:rPr>
        <w:t xml:space="preserve">accounts for variance in AUDIT scores </w:t>
      </w:r>
      <w:r w:rsidRPr="00342E7D">
        <w:rPr>
          <w:rFonts w:ascii="Times New Roman" w:hAnsi="Times New Roman" w:cs="Times New Roman"/>
        </w:rPr>
        <w:t xml:space="preserve">indirectly </w:t>
      </w:r>
      <w:r w:rsidR="006B6440" w:rsidRPr="00342E7D">
        <w:rPr>
          <w:rFonts w:ascii="Times New Roman" w:hAnsi="Times New Roman" w:cs="Times New Roman"/>
        </w:rPr>
        <w:t xml:space="preserve">through </w:t>
      </w:r>
      <w:r w:rsidRPr="00342E7D">
        <w:rPr>
          <w:rFonts w:ascii="Times New Roman" w:hAnsi="Times New Roman" w:cs="Times New Roman"/>
        </w:rPr>
        <w:t xml:space="preserve">lower alcohol value, depressive symptoms, and drinking to cope, </w:t>
      </w:r>
      <w:bookmarkStart w:id="132" w:name="_Hlk118821314"/>
      <w:r w:rsidRPr="00342E7D">
        <w:rPr>
          <w:rFonts w:ascii="Times New Roman" w:hAnsi="Times New Roman" w:cs="Times New Roman"/>
        </w:rPr>
        <w:t xml:space="preserve">whereas search for meaning </w:t>
      </w:r>
      <w:r w:rsidR="00107EBB" w:rsidRPr="00342E7D">
        <w:rPr>
          <w:rFonts w:ascii="Times New Roman" w:hAnsi="Times New Roman" w:cs="Times New Roman"/>
        </w:rPr>
        <w:t>accounts for variance</w:t>
      </w:r>
      <w:r w:rsidRPr="00342E7D">
        <w:rPr>
          <w:rFonts w:ascii="Times New Roman" w:hAnsi="Times New Roman" w:cs="Times New Roman"/>
        </w:rPr>
        <w:t xml:space="preserve"> only indirectly </w:t>
      </w:r>
      <w:r w:rsidR="006B6440" w:rsidRPr="00342E7D">
        <w:rPr>
          <w:rFonts w:ascii="Times New Roman" w:hAnsi="Times New Roman" w:cs="Times New Roman"/>
        </w:rPr>
        <w:t xml:space="preserve">through </w:t>
      </w:r>
      <w:r w:rsidRPr="00342E7D">
        <w:rPr>
          <w:rFonts w:ascii="Times New Roman" w:hAnsi="Times New Roman" w:cs="Times New Roman"/>
        </w:rPr>
        <w:t>increased depressive symptoms and drinking to cope</w:t>
      </w:r>
      <w:bookmarkEnd w:id="132"/>
      <w:r w:rsidRPr="00342E7D">
        <w:rPr>
          <w:rFonts w:ascii="Times New Roman" w:hAnsi="Times New Roman" w:cs="Times New Roman"/>
        </w:rPr>
        <w:t>.</w:t>
      </w:r>
      <w:r w:rsidRPr="00AF6576">
        <w:rPr>
          <w:rFonts w:ascii="Times New Roman" w:hAnsi="Times New Roman" w:cs="Times New Roman"/>
        </w:rPr>
        <w:t xml:space="preserve"> These findings contribute towards bridging the gap between behavioural economic and meaning in life research, and in doing so, elucidate potential pathways through which acquiring life meaning may in turn influence alcohol use and related problems. Increasing the perception of life as meaningful should be a core target for treatment interventions for those who consume alcohol regularly and are trying to reduce hazardous patterns of alcohol consumption which in turn may help people to value alcohol less and find other healthy ways to cope that do not involve alcohol. In the remainder of the </w:t>
      </w:r>
      <w:r w:rsidR="00BE51B3" w:rsidRPr="00AF6576">
        <w:rPr>
          <w:rFonts w:ascii="Times New Roman" w:hAnsi="Times New Roman" w:cs="Times New Roman"/>
        </w:rPr>
        <w:t>thesis,</w:t>
      </w:r>
      <w:r w:rsidRPr="00AF6576">
        <w:rPr>
          <w:rFonts w:ascii="Times New Roman" w:hAnsi="Times New Roman" w:cs="Times New Roman"/>
        </w:rPr>
        <w:t xml:space="preserve"> I will build on these findings by developing a VBDM task (as outlined in general introduction</w:t>
      </w:r>
      <w:r w:rsidRPr="00262265">
        <w:rPr>
          <w:rFonts w:ascii="Times New Roman" w:hAnsi="Times New Roman" w:cs="Times New Roman"/>
        </w:rPr>
        <w:t>; p.</w:t>
      </w:r>
      <w:r w:rsidR="00262265" w:rsidRPr="00262265">
        <w:rPr>
          <w:rFonts w:ascii="Times New Roman" w:hAnsi="Times New Roman" w:cs="Times New Roman"/>
        </w:rPr>
        <w:t>50</w:t>
      </w:r>
      <w:r w:rsidRPr="00262265">
        <w:rPr>
          <w:rFonts w:ascii="Times New Roman" w:hAnsi="Times New Roman" w:cs="Times New Roman"/>
        </w:rPr>
        <w:t>)</w:t>
      </w:r>
      <w:r w:rsidRPr="00AF6576">
        <w:rPr>
          <w:rFonts w:ascii="Times New Roman" w:hAnsi="Times New Roman" w:cs="Times New Roman"/>
        </w:rPr>
        <w:t xml:space="preserve"> and exploring the associations between computational parameters derived from the task and established behavioural economic measures such as those used in the present study.</w:t>
      </w:r>
    </w:p>
    <w:p w14:paraId="02705E3B" w14:textId="2BDBA11A" w:rsidR="00093B56" w:rsidRPr="00D25A1A" w:rsidRDefault="00093B56" w:rsidP="00D25A1A">
      <w:pPr>
        <w:pStyle w:val="NoSpacing"/>
      </w:pPr>
    </w:p>
    <w:p w14:paraId="23C0279C" w14:textId="1DBC48E4" w:rsidR="00093B56" w:rsidRPr="00B3225C" w:rsidRDefault="00093B56" w:rsidP="00D25A1A">
      <w:pPr>
        <w:pStyle w:val="NoSpacing"/>
        <w:rPr>
          <w:rFonts w:ascii="Times New Roman" w:hAnsi="Times New Roman" w:cs="Times New Roman"/>
        </w:rPr>
      </w:pPr>
    </w:p>
    <w:p w14:paraId="5B4515AA" w14:textId="045CF580" w:rsidR="00093B56" w:rsidRDefault="00093B56" w:rsidP="00D25A1A">
      <w:pPr>
        <w:pStyle w:val="NoSpacing"/>
      </w:pPr>
    </w:p>
    <w:p w14:paraId="013BF065" w14:textId="0F024B1A" w:rsidR="00093B56" w:rsidRDefault="00093B56" w:rsidP="003A7189">
      <w:pPr>
        <w:pStyle w:val="NoSpacing"/>
      </w:pPr>
    </w:p>
    <w:p w14:paraId="6607EE79" w14:textId="5954837A" w:rsidR="00EA3EA2" w:rsidRDefault="00EA3EA2" w:rsidP="003A7189">
      <w:pPr>
        <w:pStyle w:val="NoSpacing"/>
      </w:pPr>
    </w:p>
    <w:p w14:paraId="7708CCDB" w14:textId="77777777" w:rsidR="00EA3EA2" w:rsidRDefault="00EA3EA2" w:rsidP="003A7189">
      <w:pPr>
        <w:pStyle w:val="NoSpacing"/>
      </w:pPr>
    </w:p>
    <w:p w14:paraId="2D20507B" w14:textId="70B3CA0F" w:rsidR="008620A5" w:rsidRPr="00000B41" w:rsidRDefault="00093B56" w:rsidP="00107EBB">
      <w:pPr>
        <w:pStyle w:val="Heading1"/>
      </w:pPr>
      <w:bookmarkStart w:id="133" w:name="_Toc109911331"/>
      <w:bookmarkStart w:id="134" w:name="_Toc110612734"/>
      <w:bookmarkStart w:id="135" w:name="_Toc110629049"/>
      <w:bookmarkStart w:id="136" w:name="_Toc110870957"/>
      <w:r w:rsidRPr="00000B41">
        <w:lastRenderedPageBreak/>
        <w:t>Chapter 3: Methodological issues with value-based decision-making (VBDM) tasks: the effect of trial wording on evidence accumulation</w:t>
      </w:r>
      <w:r w:rsidR="00B02736">
        <w:t xml:space="preserve"> (EA)</w:t>
      </w:r>
      <w:r w:rsidRPr="00000B41">
        <w:t xml:space="preserve"> outputs from the EZ drift-diffusion model</w:t>
      </w:r>
      <w:bookmarkEnd w:id="133"/>
      <w:bookmarkEnd w:id="134"/>
      <w:bookmarkEnd w:id="135"/>
      <w:bookmarkEnd w:id="136"/>
    </w:p>
    <w:p w14:paraId="6CA4FC9B" w14:textId="77777777" w:rsidR="00000B41" w:rsidRDefault="00000B41" w:rsidP="00000B41">
      <w:pPr>
        <w:pStyle w:val="NoSpacing"/>
        <w:spacing w:line="480" w:lineRule="auto"/>
        <w:rPr>
          <w:rFonts w:ascii="Times New Roman" w:hAnsi="Times New Roman" w:cs="Times New Roman"/>
        </w:rPr>
      </w:pPr>
    </w:p>
    <w:p w14:paraId="5D1C9DD6" w14:textId="566B478E" w:rsidR="00093B56" w:rsidRPr="00000B41" w:rsidRDefault="00000B41" w:rsidP="00000B41">
      <w:pPr>
        <w:pStyle w:val="NoSpacing"/>
        <w:spacing w:line="480" w:lineRule="auto"/>
        <w:rPr>
          <w:rFonts w:ascii="Times New Roman" w:hAnsi="Times New Roman" w:cs="Times New Roman"/>
        </w:rPr>
      </w:pPr>
      <w:r w:rsidRPr="00000B41">
        <w:rPr>
          <w:rFonts w:ascii="Times New Roman" w:hAnsi="Times New Roman" w:cs="Times New Roman"/>
        </w:rPr>
        <w:t xml:space="preserve">Previously (Chapter 2), I highlighted the importance of alcohol value from a self-report perspective. In the present Chapter, </w:t>
      </w:r>
      <w:bookmarkStart w:id="137" w:name="_Hlk110711525"/>
      <w:r w:rsidRPr="00000B41">
        <w:rPr>
          <w:rFonts w:ascii="Times New Roman" w:hAnsi="Times New Roman" w:cs="Times New Roman"/>
        </w:rPr>
        <w:t>I conducted an experimental study in which I developed a value-based decision-making (VBDM) task to explore valuation processes from a behavioural perspective. More specifically, I investigated how robust the task was to minor alterations in trial wording with the overall aim being to identify appropriate methodology for use in future addiction-related research.</w:t>
      </w:r>
    </w:p>
    <w:bookmarkEnd w:id="137"/>
    <w:p w14:paraId="1D5F15A6" w14:textId="3807E554" w:rsidR="00520348" w:rsidRPr="00000B41" w:rsidRDefault="00520348" w:rsidP="00000B41">
      <w:pPr>
        <w:pStyle w:val="NoSpacing"/>
        <w:spacing w:line="480" w:lineRule="auto"/>
        <w:rPr>
          <w:rFonts w:ascii="Times New Roman" w:hAnsi="Times New Roman" w:cs="Times New Roman"/>
        </w:rPr>
      </w:pPr>
    </w:p>
    <w:p w14:paraId="21F59405" w14:textId="0BE2D6F1" w:rsidR="00000B41" w:rsidRPr="00000B41" w:rsidRDefault="00000B41" w:rsidP="00000B41">
      <w:pPr>
        <w:pStyle w:val="NoSpacing"/>
        <w:spacing w:line="480" w:lineRule="auto"/>
        <w:rPr>
          <w:rFonts w:ascii="Times New Roman" w:hAnsi="Times New Roman" w:cs="Times New Roman"/>
        </w:rPr>
      </w:pPr>
      <w:r w:rsidRPr="00000B41">
        <w:rPr>
          <w:rFonts w:ascii="Times New Roman" w:hAnsi="Times New Roman" w:cs="Times New Roman"/>
          <w:b/>
          <w:bCs/>
        </w:rPr>
        <w:t>Contributions:</w:t>
      </w:r>
      <w:r w:rsidRPr="00000B41">
        <w:rPr>
          <w:rFonts w:ascii="Times New Roman" w:hAnsi="Times New Roman" w:cs="Times New Roman"/>
        </w:rPr>
        <w:t xml:space="preserve"> I designed the study, which was approved by Matt Field and Tom Stafford (primary supervisors). I collected and analysed the data. I wrote the chapter. Matt Field and Tom Stafford provided feedback on the draft.</w:t>
      </w:r>
    </w:p>
    <w:p w14:paraId="54BFCBC9" w14:textId="77777777" w:rsidR="00000B41" w:rsidRPr="00000B41" w:rsidRDefault="00000B41" w:rsidP="00000B41">
      <w:pPr>
        <w:pStyle w:val="NoSpacing"/>
        <w:spacing w:line="480" w:lineRule="auto"/>
        <w:rPr>
          <w:rFonts w:ascii="Times New Roman" w:hAnsi="Times New Roman" w:cs="Times New Roman"/>
        </w:rPr>
      </w:pPr>
    </w:p>
    <w:p w14:paraId="2DC8EBED" w14:textId="7332B404" w:rsidR="00520348" w:rsidRPr="00000B41" w:rsidRDefault="00520348" w:rsidP="00000B41">
      <w:pPr>
        <w:pStyle w:val="NoSpacing"/>
        <w:spacing w:line="480" w:lineRule="auto"/>
        <w:rPr>
          <w:rFonts w:ascii="Times New Roman" w:hAnsi="Times New Roman" w:cs="Times New Roman"/>
          <w:i/>
          <w:iCs/>
        </w:rPr>
      </w:pPr>
      <w:r w:rsidRPr="00000B41">
        <w:rPr>
          <w:rFonts w:ascii="Times New Roman" w:hAnsi="Times New Roman" w:cs="Times New Roman"/>
        </w:rPr>
        <w:t xml:space="preserve">As mentioned previously </w:t>
      </w:r>
      <w:r w:rsidRPr="00262265">
        <w:rPr>
          <w:rFonts w:ascii="Times New Roman" w:hAnsi="Times New Roman" w:cs="Times New Roman"/>
        </w:rPr>
        <w:t>(p.</w:t>
      </w:r>
      <w:r w:rsidR="00262265" w:rsidRPr="00262265">
        <w:rPr>
          <w:rFonts w:ascii="Times New Roman" w:hAnsi="Times New Roman" w:cs="Times New Roman"/>
        </w:rPr>
        <w:t>5</w:t>
      </w:r>
      <w:r w:rsidRPr="00262265">
        <w:rPr>
          <w:rFonts w:ascii="Times New Roman" w:hAnsi="Times New Roman" w:cs="Times New Roman"/>
        </w:rPr>
        <w:t>), a</w:t>
      </w:r>
      <w:r w:rsidRPr="00000B41">
        <w:rPr>
          <w:rFonts w:ascii="Times New Roman" w:hAnsi="Times New Roman" w:cs="Times New Roman"/>
        </w:rPr>
        <w:t xml:space="preserve"> variant of this thesis Chapter is published online at </w:t>
      </w:r>
      <w:r w:rsidRPr="00000B41">
        <w:rPr>
          <w:rFonts w:ascii="Times New Roman" w:hAnsi="Times New Roman" w:cs="Times New Roman"/>
          <w:i/>
          <w:iCs/>
        </w:rPr>
        <w:t>Cogent Psychology:</w:t>
      </w:r>
    </w:p>
    <w:p w14:paraId="3351DDCB" w14:textId="29C84727" w:rsidR="00093B56" w:rsidRPr="00000B41" w:rsidRDefault="00520348" w:rsidP="00000B41">
      <w:pPr>
        <w:pStyle w:val="NoSpacing"/>
        <w:spacing w:line="480" w:lineRule="auto"/>
        <w:ind w:left="720" w:hanging="720"/>
        <w:rPr>
          <w:rFonts w:ascii="Times New Roman" w:hAnsi="Times New Roman" w:cs="Times New Roman"/>
        </w:rPr>
      </w:pPr>
      <w:r w:rsidRPr="00000B41">
        <w:rPr>
          <w:rFonts w:ascii="Times New Roman" w:hAnsi="Times New Roman" w:cs="Times New Roman"/>
        </w:rPr>
        <w:t xml:space="preserve">Copeland, A., Stafford, T., &amp; Field, M. (2022). Methodological issues with value-based decision-making (VBDM) tasks: The effect of trial wording on evidence accumulation </w:t>
      </w:r>
      <w:r w:rsidR="00AF3DB1">
        <w:rPr>
          <w:rFonts w:ascii="Times New Roman" w:hAnsi="Times New Roman" w:cs="Times New Roman"/>
        </w:rPr>
        <w:t xml:space="preserve">(EA) </w:t>
      </w:r>
      <w:r w:rsidRPr="00000B41">
        <w:rPr>
          <w:rFonts w:ascii="Times New Roman" w:hAnsi="Times New Roman" w:cs="Times New Roman"/>
        </w:rPr>
        <w:t xml:space="preserve">outputs from the EZ drift-diffusion model. </w:t>
      </w:r>
      <w:r w:rsidRPr="00000B41">
        <w:rPr>
          <w:rFonts w:ascii="Times New Roman" w:hAnsi="Times New Roman" w:cs="Times New Roman"/>
          <w:i/>
          <w:iCs/>
        </w:rPr>
        <w:t>Cogent Psychology, 9</w:t>
      </w:r>
      <w:r w:rsidRPr="00000B41">
        <w:rPr>
          <w:rFonts w:ascii="Times New Roman" w:hAnsi="Times New Roman" w:cs="Times New Roman"/>
        </w:rPr>
        <w:t xml:space="preserve">(1), 2079801. </w:t>
      </w:r>
      <w:hyperlink r:id="rId24" w:history="1">
        <w:r w:rsidRPr="00000B41">
          <w:rPr>
            <w:rStyle w:val="Hyperlink"/>
            <w:rFonts w:ascii="Times New Roman" w:hAnsi="Times New Roman" w:cs="Times New Roman"/>
          </w:rPr>
          <w:t>https://doi.org/10.1080/23311908.2022.2079801</w:t>
        </w:r>
      </w:hyperlink>
    </w:p>
    <w:p w14:paraId="77B7DED9" w14:textId="77777777" w:rsidR="00520348" w:rsidRPr="00000B41" w:rsidRDefault="00520348" w:rsidP="00093B56">
      <w:pPr>
        <w:pStyle w:val="NoSpacing"/>
        <w:rPr>
          <w:rFonts w:ascii="Times New Roman" w:hAnsi="Times New Roman" w:cs="Times New Roman"/>
        </w:rPr>
      </w:pPr>
    </w:p>
    <w:p w14:paraId="036F2ED8" w14:textId="5B64B55C" w:rsidR="00093B56" w:rsidRPr="00000B41" w:rsidRDefault="00093B56" w:rsidP="00093B56">
      <w:pPr>
        <w:pStyle w:val="NoSpacing"/>
        <w:rPr>
          <w:rFonts w:ascii="Times New Roman" w:hAnsi="Times New Roman" w:cs="Times New Roman"/>
        </w:rPr>
      </w:pPr>
    </w:p>
    <w:p w14:paraId="418E80A9" w14:textId="12EA9F00" w:rsidR="00093B56" w:rsidRDefault="00093B56" w:rsidP="00093B56">
      <w:pPr>
        <w:pStyle w:val="NoSpacing"/>
      </w:pPr>
    </w:p>
    <w:p w14:paraId="4DE2810A" w14:textId="057D45C3" w:rsidR="00093B56" w:rsidRDefault="00093B56" w:rsidP="00093B56">
      <w:pPr>
        <w:pStyle w:val="NoSpacing"/>
      </w:pPr>
    </w:p>
    <w:p w14:paraId="31E9F73F" w14:textId="77BF0892" w:rsidR="00093B56" w:rsidRDefault="00093B56" w:rsidP="00093B56">
      <w:pPr>
        <w:pStyle w:val="NoSpacing"/>
      </w:pPr>
    </w:p>
    <w:p w14:paraId="76B8BD53" w14:textId="284415C3" w:rsidR="00093B56" w:rsidRDefault="00093B56" w:rsidP="00093B56">
      <w:pPr>
        <w:pStyle w:val="NoSpacing"/>
      </w:pPr>
    </w:p>
    <w:p w14:paraId="57039003" w14:textId="3EB8A971" w:rsidR="00093B56" w:rsidRDefault="00093B56" w:rsidP="00093B56">
      <w:pPr>
        <w:pStyle w:val="NoSpacing"/>
      </w:pPr>
    </w:p>
    <w:p w14:paraId="4D493289" w14:textId="0C248D7C" w:rsidR="00093B56" w:rsidRDefault="00093B56" w:rsidP="00093B56">
      <w:pPr>
        <w:pStyle w:val="NoSpacing"/>
      </w:pPr>
    </w:p>
    <w:p w14:paraId="71548E1C" w14:textId="7EA21FC5" w:rsidR="00093B56" w:rsidRDefault="00000B41" w:rsidP="00000B41">
      <w:pPr>
        <w:pStyle w:val="Heading4"/>
      </w:pPr>
      <w:bookmarkStart w:id="138" w:name="_Toc110629050"/>
      <w:bookmarkStart w:id="139" w:name="_Toc110870958"/>
      <w:r>
        <w:lastRenderedPageBreak/>
        <w:t>Abstract</w:t>
      </w:r>
      <w:bookmarkEnd w:id="138"/>
      <w:bookmarkEnd w:id="139"/>
    </w:p>
    <w:p w14:paraId="2B398224" w14:textId="77C27C67" w:rsidR="00000B41" w:rsidRPr="00000B41" w:rsidRDefault="00000B41" w:rsidP="00000B41">
      <w:pPr>
        <w:pStyle w:val="NoSpacing"/>
        <w:spacing w:line="480" w:lineRule="auto"/>
        <w:rPr>
          <w:rFonts w:ascii="Times New Roman" w:hAnsi="Times New Roman" w:cs="Times New Roman"/>
        </w:rPr>
      </w:pPr>
      <w:r w:rsidRPr="00000B41">
        <w:rPr>
          <w:rFonts w:ascii="Times New Roman" w:hAnsi="Times New Roman" w:cs="Times New Roman"/>
          <w:b/>
          <w:bCs/>
        </w:rPr>
        <w:t>Background:</w:t>
      </w:r>
      <w:r w:rsidRPr="00000B41">
        <w:rPr>
          <w:rFonts w:ascii="Times New Roman" w:hAnsi="Times New Roman" w:cs="Times New Roman"/>
        </w:rPr>
        <w:t xml:space="preserve"> Most existing value-based decision-making (VBDM) tasks instruct people to make value judgements about pictorial stimuli using wording relating to consumption, however in some contexts this may be inappropriate.  This study aims to explore whether variations of wording that do not involve consumption capture a common construct of value. </w:t>
      </w:r>
      <w:r w:rsidRPr="00000B41">
        <w:rPr>
          <w:rFonts w:ascii="Times New Roman" w:hAnsi="Times New Roman" w:cs="Times New Roman"/>
          <w:b/>
          <w:bCs/>
        </w:rPr>
        <w:t>Method:</w:t>
      </w:r>
      <w:r w:rsidRPr="00000B41">
        <w:rPr>
          <w:rFonts w:ascii="Times New Roman" w:hAnsi="Times New Roman" w:cs="Times New Roman"/>
        </w:rPr>
        <w:t xml:space="preserve"> This is a pre-registered experimental study with a within-subject design. Fifty-nine participants completed a two-alternative forced choice task where they chose between two food images. Participants completed three blocks of trials that differed in trial wording: one asked which they would rather </w:t>
      </w:r>
      <w:r w:rsidRPr="00494EC0">
        <w:rPr>
          <w:rFonts w:ascii="Times New Roman" w:hAnsi="Times New Roman" w:cs="Times New Roman"/>
          <w:i/>
          <w:iCs/>
        </w:rPr>
        <w:t>consume</w:t>
      </w:r>
      <w:r w:rsidRPr="00000B41">
        <w:rPr>
          <w:rFonts w:ascii="Times New Roman" w:hAnsi="Times New Roman" w:cs="Times New Roman"/>
        </w:rPr>
        <w:t xml:space="preserve"> (standard wording), one asked which image they </w:t>
      </w:r>
      <w:r w:rsidRPr="00494EC0">
        <w:rPr>
          <w:rFonts w:ascii="Times New Roman" w:hAnsi="Times New Roman" w:cs="Times New Roman"/>
          <w:i/>
          <w:iCs/>
        </w:rPr>
        <w:t>like</w:t>
      </w:r>
      <w:r w:rsidRPr="00000B41">
        <w:rPr>
          <w:rFonts w:ascii="Times New Roman" w:hAnsi="Times New Roman" w:cs="Times New Roman"/>
        </w:rPr>
        <w:t xml:space="preserve"> more, and one asked them to </w:t>
      </w:r>
      <w:r w:rsidRPr="00494EC0">
        <w:rPr>
          <w:rFonts w:ascii="Times New Roman" w:hAnsi="Times New Roman" w:cs="Times New Roman"/>
          <w:i/>
          <w:iCs/>
        </w:rPr>
        <w:t>recall</w:t>
      </w:r>
      <w:r w:rsidRPr="00000B41">
        <w:rPr>
          <w:rFonts w:ascii="Times New Roman" w:hAnsi="Times New Roman" w:cs="Times New Roman"/>
        </w:rPr>
        <w:t xml:space="preserve"> which image they rated higher during a previous block. We fitted the EZ drift-diffusion model to the reaction time and choice data to estimate evidence accumulation (EA) processes during the different blocks. </w:t>
      </w:r>
      <w:r w:rsidRPr="00000B41">
        <w:rPr>
          <w:rFonts w:ascii="Times New Roman" w:hAnsi="Times New Roman" w:cs="Times New Roman"/>
          <w:b/>
          <w:bCs/>
        </w:rPr>
        <w:t>Results:</w:t>
      </w:r>
      <w:r w:rsidRPr="00000B41">
        <w:rPr>
          <w:rFonts w:ascii="Times New Roman" w:hAnsi="Times New Roman" w:cs="Times New Roman"/>
        </w:rPr>
        <w:t xml:space="preserve"> There was a highly significant main effect of trial difficulty, but this was not modified by trial wording (</w:t>
      </w:r>
      <w:r w:rsidRPr="00000B41">
        <w:rPr>
          <w:rFonts w:ascii="Times New Roman" w:hAnsi="Times New Roman" w:cs="Times New Roman"/>
          <w:i/>
          <w:iCs/>
        </w:rPr>
        <w:t>F</w:t>
      </w:r>
      <w:r w:rsidRPr="00000B41">
        <w:rPr>
          <w:rFonts w:ascii="Times New Roman" w:hAnsi="Times New Roman" w:cs="Times New Roman"/>
        </w:rPr>
        <w:t xml:space="preserve"> = 2.00, </w:t>
      </w:r>
      <w:r w:rsidRPr="00000B41">
        <w:rPr>
          <w:rFonts w:ascii="Times New Roman" w:hAnsi="Times New Roman" w:cs="Times New Roman"/>
          <w:i/>
          <w:iCs/>
        </w:rPr>
        <w:t>p</w:t>
      </w:r>
      <w:r w:rsidRPr="00000B41">
        <w:rPr>
          <w:rFonts w:ascii="Times New Roman" w:hAnsi="Times New Roman" w:cs="Times New Roman"/>
        </w:rPr>
        <w:t xml:space="preserve"> = .11, </w:t>
      </w:r>
      <w:r>
        <w:rPr>
          <w:rFonts w:asciiTheme="majorBidi" w:hAnsiTheme="majorBidi" w:cstheme="majorBidi"/>
        </w:rPr>
        <w:t>η</w:t>
      </w:r>
      <w:r>
        <w:rPr>
          <w:rFonts w:asciiTheme="majorBidi" w:hAnsiTheme="majorBidi" w:cstheme="majorBidi"/>
          <w:vertAlign w:val="subscript"/>
        </w:rPr>
        <w:t>p</w:t>
      </w:r>
      <w:r>
        <w:rPr>
          <w:rFonts w:asciiTheme="majorBidi" w:hAnsiTheme="majorBidi" w:cstheme="majorBidi"/>
          <w:vertAlign w:val="superscript"/>
        </w:rPr>
        <w:t>2</w:t>
      </w:r>
      <w:r w:rsidRPr="00000B41">
        <w:rPr>
          <w:rFonts w:ascii="Times New Roman" w:hAnsi="Times New Roman" w:cs="Times New Roman"/>
        </w:rPr>
        <w:t xml:space="preserve"> = .03, BF</w:t>
      </w:r>
      <w:r w:rsidRPr="00000B41">
        <w:rPr>
          <w:rFonts w:ascii="Times New Roman" w:hAnsi="Times New Roman" w:cs="Times New Roman"/>
          <w:vertAlign w:val="subscript"/>
        </w:rPr>
        <w:t>10</w:t>
      </w:r>
      <w:r w:rsidRPr="00000B41">
        <w:rPr>
          <w:rFonts w:ascii="Times New Roman" w:hAnsi="Times New Roman" w:cs="Times New Roman"/>
        </w:rPr>
        <w:t xml:space="preserve"> = .05). We also found highly significant positive correlations between EA rates across task blocks (</w:t>
      </w:r>
      <w:proofErr w:type="spellStart"/>
      <w:r w:rsidRPr="00000B41">
        <w:rPr>
          <w:rFonts w:ascii="Times New Roman" w:hAnsi="Times New Roman" w:cs="Times New Roman"/>
          <w:i/>
          <w:iCs/>
        </w:rPr>
        <w:t>r</w:t>
      </w:r>
      <w:r w:rsidRPr="00000B41">
        <w:rPr>
          <w:rFonts w:ascii="Times New Roman" w:hAnsi="Times New Roman" w:cs="Times New Roman"/>
        </w:rPr>
        <w:t>s</w:t>
      </w:r>
      <w:proofErr w:type="spellEnd"/>
      <w:r w:rsidRPr="00000B41">
        <w:rPr>
          <w:rFonts w:ascii="Times New Roman" w:hAnsi="Times New Roman" w:cs="Times New Roman"/>
        </w:rPr>
        <w:t xml:space="preserve"> &gt; .44, </w:t>
      </w:r>
      <w:proofErr w:type="spellStart"/>
      <w:r w:rsidRPr="00000B41">
        <w:rPr>
          <w:rFonts w:ascii="Times New Roman" w:hAnsi="Times New Roman" w:cs="Times New Roman"/>
          <w:i/>
          <w:iCs/>
        </w:rPr>
        <w:t>p</w:t>
      </w:r>
      <w:r w:rsidRPr="00000B41">
        <w:rPr>
          <w:rFonts w:ascii="Times New Roman" w:hAnsi="Times New Roman" w:cs="Times New Roman"/>
        </w:rPr>
        <w:t>s</w:t>
      </w:r>
      <w:proofErr w:type="spellEnd"/>
      <w:r w:rsidRPr="00000B41">
        <w:rPr>
          <w:rFonts w:ascii="Times New Roman" w:hAnsi="Times New Roman" w:cs="Times New Roman"/>
        </w:rPr>
        <w:t xml:space="preserve"> &lt; .001). </w:t>
      </w:r>
      <w:r w:rsidRPr="00000B41">
        <w:rPr>
          <w:rFonts w:ascii="Times New Roman" w:hAnsi="Times New Roman" w:cs="Times New Roman"/>
          <w:b/>
          <w:bCs/>
        </w:rPr>
        <w:t>Conclusions:</w:t>
      </w:r>
      <w:r w:rsidRPr="00000B41">
        <w:rPr>
          <w:rFonts w:ascii="Times New Roman" w:hAnsi="Times New Roman" w:cs="Times New Roman"/>
        </w:rPr>
        <w:t xml:space="preserve"> Findings provide initial validation of alternative wording in VBDM tasks that can be used in contexts where it may be undesirable to ask participants to make consummatory judgements, such as research into VBDM in people who are in recovery from addiction.</w:t>
      </w:r>
    </w:p>
    <w:p w14:paraId="53FDAADD" w14:textId="4590D506" w:rsidR="00093B56" w:rsidRDefault="00093B56" w:rsidP="00093B56">
      <w:pPr>
        <w:pStyle w:val="NoSpacing"/>
      </w:pPr>
    </w:p>
    <w:p w14:paraId="604920DE" w14:textId="707ECEBF" w:rsidR="00093B56" w:rsidRDefault="00093B56" w:rsidP="00093B56">
      <w:pPr>
        <w:pStyle w:val="NoSpacing"/>
      </w:pPr>
    </w:p>
    <w:p w14:paraId="4BCE5705" w14:textId="45ED285E" w:rsidR="00093B56" w:rsidRDefault="00093B56" w:rsidP="00093B56">
      <w:pPr>
        <w:pStyle w:val="NoSpacing"/>
      </w:pPr>
    </w:p>
    <w:p w14:paraId="363277EA" w14:textId="492F16B6" w:rsidR="00093B56" w:rsidRDefault="00093B56" w:rsidP="00093B56">
      <w:pPr>
        <w:pStyle w:val="NoSpacing"/>
      </w:pPr>
    </w:p>
    <w:p w14:paraId="2E8721A1" w14:textId="1121EB58" w:rsidR="00093B56" w:rsidRDefault="00093B56" w:rsidP="00093B56">
      <w:pPr>
        <w:pStyle w:val="NoSpacing"/>
      </w:pPr>
    </w:p>
    <w:p w14:paraId="5D4E37E1" w14:textId="1CC29353" w:rsidR="00093B56" w:rsidRDefault="00093B56" w:rsidP="00093B56">
      <w:pPr>
        <w:pStyle w:val="NoSpacing"/>
      </w:pPr>
    </w:p>
    <w:p w14:paraId="6F9A8FCC" w14:textId="178B6B3D" w:rsidR="00093B56" w:rsidRDefault="00093B56" w:rsidP="00093B56">
      <w:pPr>
        <w:pStyle w:val="NoSpacing"/>
      </w:pPr>
    </w:p>
    <w:p w14:paraId="5A9DCCD0" w14:textId="72C7369A" w:rsidR="00093B56" w:rsidRDefault="00093B56" w:rsidP="00093B56">
      <w:pPr>
        <w:pStyle w:val="NoSpacing"/>
      </w:pPr>
    </w:p>
    <w:p w14:paraId="5F86B97D" w14:textId="4E86E0E1" w:rsidR="00093B56" w:rsidRDefault="00093B56" w:rsidP="00093B56">
      <w:pPr>
        <w:pStyle w:val="NoSpacing"/>
      </w:pPr>
    </w:p>
    <w:p w14:paraId="276DE3DE" w14:textId="3DCB841B" w:rsidR="00093B56" w:rsidRDefault="00093B56" w:rsidP="00093B56">
      <w:pPr>
        <w:pStyle w:val="NoSpacing"/>
      </w:pPr>
    </w:p>
    <w:p w14:paraId="4397CC16" w14:textId="317D3E63" w:rsidR="00093B56" w:rsidRDefault="00093B56" w:rsidP="00093B56">
      <w:pPr>
        <w:pStyle w:val="NoSpacing"/>
      </w:pPr>
    </w:p>
    <w:p w14:paraId="2CCF2000" w14:textId="210B7725" w:rsidR="00093B56" w:rsidRDefault="00093B56" w:rsidP="00093B56">
      <w:pPr>
        <w:pStyle w:val="NoSpacing"/>
      </w:pPr>
    </w:p>
    <w:p w14:paraId="4FE6836F" w14:textId="1D4E33B6" w:rsidR="00093B56" w:rsidRDefault="00093B56" w:rsidP="00093B56">
      <w:pPr>
        <w:pStyle w:val="NoSpacing"/>
      </w:pPr>
    </w:p>
    <w:p w14:paraId="7C104D7F" w14:textId="76EEB8D9" w:rsidR="00093B56" w:rsidRDefault="00000B41" w:rsidP="00000B41">
      <w:pPr>
        <w:pStyle w:val="Heading4"/>
      </w:pPr>
      <w:bookmarkStart w:id="140" w:name="_Toc110629051"/>
      <w:bookmarkStart w:id="141" w:name="_Toc110870959"/>
      <w:r>
        <w:lastRenderedPageBreak/>
        <w:t>3.1. Introduction</w:t>
      </w:r>
      <w:bookmarkEnd w:id="140"/>
      <w:bookmarkEnd w:id="141"/>
    </w:p>
    <w:p w14:paraId="487A3E68" w14:textId="011BA8DF" w:rsidR="00000B41" w:rsidRPr="00000B41" w:rsidRDefault="00000B41" w:rsidP="00494EC0">
      <w:pPr>
        <w:pStyle w:val="NoSpacing"/>
        <w:spacing w:line="480" w:lineRule="auto"/>
        <w:rPr>
          <w:rFonts w:asciiTheme="majorBidi" w:hAnsiTheme="majorBidi" w:cstheme="majorBidi"/>
        </w:rPr>
      </w:pPr>
      <w:r w:rsidRPr="00000B41">
        <w:rPr>
          <w:rFonts w:asciiTheme="majorBidi" w:hAnsiTheme="majorBidi" w:cstheme="majorBidi"/>
        </w:rPr>
        <w:t xml:space="preserve">In everyday life, people are confronted with multiple choices which range from trivial (e.g., whether to drink tea or coffee in the morning) to important (e.g., whether to say yes or no to a marriage proposal). Value-based decision-making (VBDM) is a theoretical framework that posits on average, a person makes decisions based upon the things that they </w:t>
      </w:r>
      <w:r w:rsidRPr="00000B41">
        <w:rPr>
          <w:rFonts w:asciiTheme="majorBidi" w:hAnsiTheme="majorBidi" w:cstheme="majorBidi"/>
          <w:i/>
          <w:iCs/>
        </w:rPr>
        <w:t>value</w:t>
      </w:r>
      <w:r w:rsidRPr="00000B41">
        <w:rPr>
          <w:rFonts w:asciiTheme="majorBidi" w:hAnsiTheme="majorBidi" w:cstheme="majorBidi"/>
        </w:rPr>
        <w:t xml:space="preserve"> </w:t>
      </w:r>
      <w:r>
        <w:rPr>
          <w:rFonts w:asciiTheme="majorBidi" w:hAnsiTheme="majorBidi" w:cstheme="majorBidi"/>
        </w:rPr>
        <w:fldChar w:fldCharType="begin"/>
      </w:r>
      <w:r w:rsidR="002624F0">
        <w:rPr>
          <w:rFonts w:asciiTheme="majorBidi" w:hAnsiTheme="majorBidi" w:cstheme="majorBidi"/>
        </w:rPr>
        <w:instrText xml:space="preserve"> ADDIN ZOTERO_ITEM CSL_CITATION {"citationID":"Z4EnpyFv","properties":{"formattedCitation":"(Berkman et al., 2017; Levy &amp; Glimcher, 2012; Rangel et al., 2008)","plainCitation":"(Berkman et al., 2017; Levy &amp; Glimcher, 2012; Rangel et al., 2008)","noteIndex":0},"citationItems":[{"id":1528,"uris":["http://zotero.org/users/7873587/items/BGCGUKYV"],"itemData":{"id":1528,"type":"article-journal","abstract":"Self-control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E."},{"family":"Inzlicht","given":"Michael"}],"issued":{"date-parts":[["2017"]]}},"label":"act"},{"id":1531,"uris":["http://zotero.org/users/7873587/items/882JVBYM"],"itemData":{"id":1531,"type":"article-journal","abstract":"How do humans make choices between different types of rewards? Economists have long argued on theoretical grounds that humans typically make these choices as if the values of the options they consider have been mapped to a single common scale for comparison. Neuroimaging studies in humans have recently begun to suggest the existence of a small group of specific brain sites that appear to encode the subjective values of different types of rewards on a neural common scale, almost exactly as predicted by theory. We have conducted a meta analysis using data from thirteen different functional magnetic resonance imaging studies published in recent years and we show that the principle brain area associated with this common representation is a subregion of the ventromedial prefrontal cortex (vmPFC)/orbitofrontal cortex (OFC). The data available today suggest that this common valuation path is a core system that participates in day-to-day decision making suggesting both a neurobiological foundation for standard economic theory and a tool for measuring preferences neurobiologically. Perhaps even more exciting is the possibility that our emerging understanding of the neural mechanisms for valuation and choice may provide fundamental insights into pathological choice behaviors like addiction, obesity and gambling.","collection-title":"Decision making","container-title":"Current Opinion in Neurobiology","DOI":"10.1016/j.conb.2012.06.001","ISSN":"0959-4388","issue":"6","journalAbbreviation":"Current Opinion in Neurobiology","language":"en","page":"1027-1038","source":"ScienceDirect","title":"The root of all value: a neural common currency for choice","title-short":"The root of all value","volume":"22","author":[{"family":"Levy","given":"Dino J"},{"family":"Glimcher","given":"Paul W"}],"issued":{"date-parts":[["2012",12,1]]}},"label":"act"},{"id":1536,"uris":["http://zotero.org/users/7873587/items/WLVILFCS"],"itemData":{"id":1536,"type":"article-journal","abstract":"Most behavioural and computational models of decision making assume that the following five processes are carried out at the time the decision is made: representation, action valuation, action selection, outcome valuation, and learning.On the basis of a sizeable body of animal and human behavioural evidence, several groups have proposed the existence of three different types of valuation systems: Pavlovian, habitual and goal-directed systems.Pavlovian systems assign value to only a small set of 'prepared' behaviours and thus have a limited behavioural repertoire. Nevertheless, they might be the driving force behind behaviours with important economic consequences (for example, overeating). Examples include preparatory behaviours, such as approaching a cue that predicts food, and consummatory behaviours, such as ingesting available food.Habit valuation systems learn to assign values to stimulus–response associations on the basis of previous experience through a process of trial-and-error. Examples of habits include a smoker's desire to have a cigarette at particular times of day (for example, after a meal) and a rat's tendency to forage in a cue-dependent location after sufficient training.Goal-directed systems assign values to actions by computing action–outcome associations and then evaluating the rewards that are associated with the different outcomes. An example of a goal-directed behaviour is the decision what to eat at a new restaurant.An important difference between habitual and goal-directed systems has to do with how they respond to changes in the environment. The goal-directed system updates the value of an action as soon as the value of its outcome changes, whereas the habit system only learns with repeated experience.The values computed by the three systems can be modulated by factors such as the risk that is associated with the decision, the time delay to the outcomes, and social considerations.The quality of the decisions made by an animal depend on how its brain assigns control to the different valuation systems in situations in which it has to make a choice between several potential actions that are assigned conflicting values.The learning properties of the habit system seem to be well-described by simple reinforcement algorithms, such as Q-learning. Some of the key computations that are predicted by these models are instantiated in the dopamine system.","container-title":"Nature Reviews Neuroscience","DOI":"10.1038/nrn2357","ISSN":"1471-0048","issue":"7","journalAbbreviation":"Nat Rev Neurosci","language":"en","license":"2008 Nature Publishing Group","note":"number: 7\npublisher: Nature Publishing Group","page":"545-556","source":"www.nature.com","title":"A framework for studying the neurobiology of value-based decision making","volume":"9","author":[{"family":"Rangel","given":"Antonio"},{"family":"Camerer","given":"Colin"},{"family":"Montague","given":"P. Read"}],"issued":{"date-parts":[["2008",7]]}},"label":"act"}],"schema":"https://github.com/citation-style-language/schema/raw/master/csl-citation.json"} </w:instrText>
      </w:r>
      <w:r>
        <w:rPr>
          <w:rFonts w:asciiTheme="majorBidi" w:hAnsiTheme="majorBidi" w:cstheme="majorBidi"/>
        </w:rPr>
        <w:fldChar w:fldCharType="separate"/>
      </w:r>
      <w:r w:rsidR="00494EC0" w:rsidRPr="00494EC0">
        <w:rPr>
          <w:rFonts w:ascii="Times New Roman" w:hAnsi="Times New Roman" w:cs="Times New Roman"/>
        </w:rPr>
        <w:t>(Berkman et al., 2017; Levy &amp; Glimcher, 2012; Rangel et al., 2008)</w:t>
      </w:r>
      <w:r>
        <w:rPr>
          <w:rFonts w:asciiTheme="majorBidi" w:hAnsiTheme="majorBidi" w:cstheme="majorBidi"/>
        </w:rPr>
        <w:fldChar w:fldCharType="end"/>
      </w:r>
      <w:r w:rsidRPr="00000B41">
        <w:rPr>
          <w:rFonts w:asciiTheme="majorBidi" w:hAnsiTheme="majorBidi" w:cstheme="majorBidi"/>
        </w:rPr>
        <w:t>. According to this account, an overall value for each response option is calculated through a dynamic integration of different sources of value which incorporate the anticipated positive and negative consequences. For example, input processes for a healthy lifestyle choice, such as going to the gym, might comprise progress towards a long-term goal (+), social interaction and comparison (+), and effort and monetary costs (-). The computation of overall value is essential: it enables a person to compare and subsequently choose the response option with the highest overall value (Berkman et al., 2017).</w:t>
      </w:r>
    </w:p>
    <w:p w14:paraId="14B906EF" w14:textId="77777777" w:rsidR="00000B41" w:rsidRPr="00000B41" w:rsidRDefault="00000B41" w:rsidP="00000B41">
      <w:pPr>
        <w:pStyle w:val="NoSpacing"/>
        <w:spacing w:line="480" w:lineRule="auto"/>
        <w:rPr>
          <w:rFonts w:asciiTheme="majorBidi" w:hAnsiTheme="majorBidi" w:cstheme="majorBidi"/>
        </w:rPr>
      </w:pPr>
    </w:p>
    <w:p w14:paraId="194BA890" w14:textId="77777777" w:rsidR="00000B41" w:rsidRPr="00000B41" w:rsidRDefault="00000B41" w:rsidP="00000B41">
      <w:pPr>
        <w:pStyle w:val="NoSpacing"/>
        <w:spacing w:line="480" w:lineRule="auto"/>
        <w:rPr>
          <w:rFonts w:asciiTheme="majorBidi" w:hAnsiTheme="majorBidi" w:cstheme="majorBidi"/>
        </w:rPr>
      </w:pPr>
      <w:r w:rsidRPr="00000B41">
        <w:rPr>
          <w:rFonts w:asciiTheme="majorBidi" w:hAnsiTheme="majorBidi" w:cstheme="majorBidi"/>
        </w:rPr>
        <w:t xml:space="preserve">Computational models, such as the drift-diffusion model (DDM; Ratcliff &amp; </w:t>
      </w:r>
      <w:proofErr w:type="spellStart"/>
      <w:r w:rsidRPr="00000B41">
        <w:rPr>
          <w:rFonts w:asciiTheme="majorBidi" w:hAnsiTheme="majorBidi" w:cstheme="majorBidi"/>
        </w:rPr>
        <w:t>McKoon</w:t>
      </w:r>
      <w:proofErr w:type="spellEnd"/>
      <w:r w:rsidRPr="00000B41">
        <w:rPr>
          <w:rFonts w:asciiTheme="majorBidi" w:hAnsiTheme="majorBidi" w:cstheme="majorBidi"/>
        </w:rPr>
        <w:t xml:space="preserve">, 2008), are widely used because of their ability to parameterise the internal cognitive components of decision-making. The DDM takes behavioural data (response time (RT) and choice accuracy) from two-alternative forced choice (2AFC) tasks as input, and then through a principled reconciliation, recovers decision parameters including evidence accumulation (EA) rate (also known as the ‘drift rate’, the rate at which momentary evidence is accumulated), response threshold (response caution represented in the speed-accuracy trade-off that a participant maintains), and non-decision time (encoding of stimuli and response execution) (Stafford et al., 2020). The assumption that evidence accumulates noisily until it reaches a threshold for responding underlies the DDM (Ratcliff et al., 2016) which has been implemented across </w:t>
      </w:r>
      <w:r w:rsidRPr="00000B41">
        <w:rPr>
          <w:rFonts w:asciiTheme="majorBidi" w:hAnsiTheme="majorBidi" w:cstheme="majorBidi"/>
        </w:rPr>
        <w:lastRenderedPageBreak/>
        <w:t xml:space="preserve">various domains of decision-making, including value-based (Berkman et al., 2017; </w:t>
      </w:r>
      <w:proofErr w:type="spellStart"/>
      <w:r w:rsidRPr="00000B41">
        <w:rPr>
          <w:rFonts w:asciiTheme="majorBidi" w:hAnsiTheme="majorBidi" w:cstheme="majorBidi"/>
        </w:rPr>
        <w:t>Krajbich</w:t>
      </w:r>
      <w:proofErr w:type="spellEnd"/>
      <w:r w:rsidRPr="00000B41">
        <w:rPr>
          <w:rFonts w:asciiTheme="majorBidi" w:hAnsiTheme="majorBidi" w:cstheme="majorBidi"/>
        </w:rPr>
        <w:t xml:space="preserve"> et al., 2010; </w:t>
      </w:r>
      <w:proofErr w:type="spellStart"/>
      <w:r w:rsidRPr="00000B41">
        <w:rPr>
          <w:rFonts w:asciiTheme="majorBidi" w:hAnsiTheme="majorBidi" w:cstheme="majorBidi"/>
        </w:rPr>
        <w:t>Polanía</w:t>
      </w:r>
      <w:proofErr w:type="spellEnd"/>
      <w:r w:rsidRPr="00000B41">
        <w:rPr>
          <w:rFonts w:asciiTheme="majorBidi" w:hAnsiTheme="majorBidi" w:cstheme="majorBidi"/>
        </w:rPr>
        <w:t xml:space="preserve"> et al., 2014).</w:t>
      </w:r>
    </w:p>
    <w:p w14:paraId="068E5676" w14:textId="77777777" w:rsidR="00000B41" w:rsidRPr="00000B41" w:rsidRDefault="00000B41" w:rsidP="00000B41">
      <w:pPr>
        <w:pStyle w:val="NoSpacing"/>
        <w:spacing w:line="480" w:lineRule="auto"/>
        <w:rPr>
          <w:rFonts w:asciiTheme="majorBidi" w:hAnsiTheme="majorBidi" w:cstheme="majorBidi"/>
        </w:rPr>
      </w:pPr>
    </w:p>
    <w:p w14:paraId="1D979E8C" w14:textId="1AA993AB" w:rsidR="00000B41" w:rsidRPr="00000B41" w:rsidRDefault="00000B41" w:rsidP="00494EC0">
      <w:pPr>
        <w:pStyle w:val="NoSpacing"/>
        <w:spacing w:line="480" w:lineRule="auto"/>
        <w:rPr>
          <w:rFonts w:asciiTheme="majorBidi" w:hAnsiTheme="majorBidi" w:cstheme="majorBidi"/>
        </w:rPr>
      </w:pPr>
      <w:r w:rsidRPr="00000B41">
        <w:rPr>
          <w:rFonts w:asciiTheme="majorBidi" w:hAnsiTheme="majorBidi" w:cstheme="majorBidi"/>
        </w:rPr>
        <w:t xml:space="preserve">In typical VBDM tasks (e.g., </w:t>
      </w:r>
      <w:proofErr w:type="spellStart"/>
      <w:r w:rsidRPr="00000B41">
        <w:rPr>
          <w:rFonts w:asciiTheme="majorBidi" w:hAnsiTheme="majorBidi" w:cstheme="majorBidi"/>
        </w:rPr>
        <w:t>Polanía</w:t>
      </w:r>
      <w:proofErr w:type="spellEnd"/>
      <w:r w:rsidRPr="00000B41">
        <w:rPr>
          <w:rFonts w:asciiTheme="majorBidi" w:hAnsiTheme="majorBidi" w:cstheme="majorBidi"/>
        </w:rPr>
        <w:t xml:space="preserve"> et al., 2014) participants initially make value judgements about a set of images, and in a subsequent 2AFC task they select the image they rated higher in value as quickly as possible. This experimental procedure generates the behavioural data that is necessary for the DDM to parameterise the internal processes of decision-making because it measures RT (the speed at which participants respond) and choice accuracy (whether the participant chose in accordance with their previous value ratings). The majority of existing VBDM tasks rely on the strength of desire to consume a commodity as a reflection of value </w:t>
      </w:r>
      <w:r w:rsidR="00494EC0">
        <w:rPr>
          <w:rFonts w:asciiTheme="majorBidi" w:hAnsiTheme="majorBidi" w:cstheme="majorBidi"/>
        </w:rPr>
        <w:fldChar w:fldCharType="begin"/>
      </w:r>
      <w:r w:rsidR="00494EC0">
        <w:rPr>
          <w:rFonts w:asciiTheme="majorBidi" w:hAnsiTheme="majorBidi" w:cstheme="majorBidi"/>
        </w:rPr>
        <w:instrText xml:space="preserve"> ADDIN ZOTERO_ITEM CSL_CITATION {"citationID":"Q4qDeAa0","properties":{"formattedCitation":"(Krajbich et al., 2010; Mormann et al., 2010; Polan\\uc0\\u237{}a et al., 2014; Tusche &amp; Hutcherson, 2018)","plainCitation":"(Krajbich et al., 2010; Mormann et al., 2010; Polanía et al., 2014; Tusche &amp; Hutcherson, 2018)","noteIndex":0},"citationItems":[{"id":1771,"uris":["http://zotero.org/users/7873587/items/3QZ8899I"],"itemData":{"id":1771,"type":"article-journal","abstract":"To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label":"act"},{"id":674,"uris":["http://zotero.org/users/7873587/items/RIYA94KZ"],"itemData":{"id":674,"type":"article-journal","abstract":"An important open problem is how values are compared to make simple choices. A natural hypothesis is that the brain carries out the computations associated with the value comparisons in a manner consistent with the Drift Diffusion Model (DDM), since this model has been able to account for a large amount of data in other domains. We investigated the ability of four different versions of the DDM to explain the data in a real binary food choice task under conditions of high and low time pressure. We found that a seven-parameter version of the DDM can account for the choice and reaction time data with high-accuracy, in both the high and low time pressure conditions. The changes associated with the introduction of time pressure could be traced to changes in two key model parameters: the barrier height and the noise in the slope of the drift process. (PsycInfo Database Record (c) 2021 APA, all rights reserved)","container-title":"Judgment and Decision Making","ISSN":"1930-2975","issue":"6","note":"publisher-place: US\npublisher: Society for Judgment and Decision Making","page":"437-449","source":"APA PsycNet","title":"The drift diffusion model can account for the accuracy and reaction time of value-based choices under high and low time pressure","volume":"5","author":[{"family":"Mormann","given":"Milica"},{"family":"Malmaud","given":"Jonathan"},{"family":"Huth","given":"Alexander"},{"family":"Koch","given":"Christof"},{"family":"Rangel","given":"Antonio"}],"issued":{"date-parts":[["2010"]]}},"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C."}],"issued":{"date-parts":[["2014",5,7]]}},"label":"act"},{"id":1563,"uris":["http://zotero.org/users/7873587/items/4VVSTME8"],"itemData":{"id":1563,"type":"article-journal","abstract":"Are some people generally more successful using cognitive regulation or does it depend on the choice domain? Why? We combined behavioral computational modeling and multivariate decoding of fMRI responses to identify neural loci of regulation-related shifts in value representations across goals and domains (dietary or altruistic choice). Surprisingly, regulatory goals did not alter integrative value representations in the ventromedial prefrontal cortex, which represented all choice-relevant attributes across goals and domains. Instead, the dorsolateral prefrontal cortex (DLPFC) flexibly encoded goal-consistent values and predicted regulatory success for the majority of choice-relevant attributes, using attribute-specific neural codes. We also identified domain-specific exceptions: goal-dependent encoding of prosocial attributes localized to precuneus and temporo-parietal junction (not DLPFC). Our results suggest that cognitive regulation operated by changing specific attribute representations (not integrated values). Evidence of domain-general and domain-specific neural loci reveals important divisions of labor, explaining when and why regulatory success generalizes (or doesn’t) across contexts and domains.","container-title":"eLife","DOI":"10.7554/eLife.31185","ISSN":"2050-084X","note":"publisher: eLife Sciences Publications, Ltd","page":"e31185","source":"eLife","title":"Cognitive regulation alters social and dietary choice by changing attribute representations in domain-general and domain-specific brain circuits","volume":"7","author":[{"family":"Tusche","given":"Anita"},{"family":"Hutcherson","given":"Cendri A"}],"editor":[{"family":"Schoenbaum","given":"Geoffrey"}],"issued":{"date-parts":[["2018",5,29]]}},"label":"act"}],"schema":"https://github.com/citation-style-language/schema/raw/master/csl-citation.json"} </w:instrText>
      </w:r>
      <w:r w:rsidR="00494EC0">
        <w:rPr>
          <w:rFonts w:asciiTheme="majorBidi" w:hAnsiTheme="majorBidi" w:cstheme="majorBidi"/>
        </w:rPr>
        <w:fldChar w:fldCharType="separate"/>
      </w:r>
      <w:r w:rsidR="00494EC0" w:rsidRPr="00494EC0">
        <w:rPr>
          <w:rFonts w:ascii="Times New Roman" w:hAnsi="Times New Roman" w:cs="Times New Roman"/>
        </w:rPr>
        <w:t>(Krajbich et al., 2010; Mormann et al., 2010; Polanía et al., 2014; Tusche &amp; Hutcherson, 2018)</w:t>
      </w:r>
      <w:r w:rsidR="00494EC0">
        <w:rPr>
          <w:rFonts w:asciiTheme="majorBidi" w:hAnsiTheme="majorBidi" w:cstheme="majorBidi"/>
        </w:rPr>
        <w:fldChar w:fldCharType="end"/>
      </w:r>
      <w:r w:rsidR="00494EC0">
        <w:rPr>
          <w:rFonts w:asciiTheme="majorBidi" w:hAnsiTheme="majorBidi" w:cstheme="majorBidi"/>
        </w:rPr>
        <w:t xml:space="preserve">: </w:t>
      </w:r>
      <w:r w:rsidRPr="00000B41">
        <w:rPr>
          <w:rFonts w:asciiTheme="majorBidi" w:hAnsiTheme="majorBidi" w:cstheme="majorBidi"/>
        </w:rPr>
        <w:t>participants are initially instructed to rate and subsequently make choices about food images according to how much they would like to consume the food depicted in the image at the end of the experiment. However, the exact terminology used within the trials is often not made explicitly clear</w:t>
      </w:r>
      <w:r w:rsidRPr="004B73B2">
        <w:rPr>
          <w:rStyle w:val="FootnoteReference"/>
        </w:rPr>
        <w:footnoteReference w:id="5"/>
      </w:r>
      <w:r w:rsidRPr="00000B41">
        <w:rPr>
          <w:rFonts w:asciiTheme="majorBidi" w:hAnsiTheme="majorBidi" w:cstheme="majorBidi"/>
        </w:rPr>
        <w:t xml:space="preserve">. This point is discussed in detail elsewhere (Pennington et al., 2021), but such lack of transparency has implications for the reproducibility of research because those who wish to expand, or replicate findings, are left to guess methodological details.   </w:t>
      </w:r>
    </w:p>
    <w:p w14:paraId="5CAA24BE" w14:textId="77777777" w:rsidR="00000B41" w:rsidRPr="00000B41" w:rsidRDefault="00000B41" w:rsidP="00000B41">
      <w:pPr>
        <w:pStyle w:val="NoSpacing"/>
        <w:spacing w:line="480" w:lineRule="auto"/>
        <w:rPr>
          <w:rFonts w:asciiTheme="majorBidi" w:hAnsiTheme="majorBidi" w:cstheme="majorBidi"/>
        </w:rPr>
      </w:pPr>
    </w:p>
    <w:p w14:paraId="06507C98" w14:textId="433D3D7A" w:rsidR="00000B41" w:rsidRPr="00000B41" w:rsidRDefault="00000B41" w:rsidP="00494EC0">
      <w:pPr>
        <w:pStyle w:val="NoSpacing"/>
        <w:spacing w:line="480" w:lineRule="auto"/>
        <w:rPr>
          <w:rFonts w:asciiTheme="majorBidi" w:hAnsiTheme="majorBidi" w:cstheme="majorBidi"/>
        </w:rPr>
      </w:pPr>
      <w:r w:rsidRPr="00000B41">
        <w:rPr>
          <w:rFonts w:asciiTheme="majorBidi" w:hAnsiTheme="majorBidi" w:cstheme="majorBidi"/>
        </w:rPr>
        <w:t xml:space="preserve">Conceptual work </w:t>
      </w:r>
      <w:r w:rsidR="00494EC0">
        <w:rPr>
          <w:rFonts w:asciiTheme="majorBidi" w:hAnsiTheme="majorBidi" w:cstheme="majorBidi"/>
        </w:rPr>
        <w:fldChar w:fldCharType="begin"/>
      </w:r>
      <w:r w:rsidR="003C1591">
        <w:rPr>
          <w:rFonts w:asciiTheme="majorBidi" w:hAnsiTheme="majorBidi" w:cstheme="majorBidi"/>
        </w:rPr>
        <w:instrText xml:space="preserve"> ADDIN ZOTERO_ITEM CSL_CITATION {"citationID":"o4ZkAb9N","properties":{"formattedCitation":"(Copeland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494EC0">
        <w:rPr>
          <w:rFonts w:asciiTheme="majorBidi" w:hAnsiTheme="majorBidi" w:cstheme="majorBidi"/>
        </w:rPr>
        <w:fldChar w:fldCharType="separate"/>
      </w:r>
      <w:r w:rsidR="00494EC0" w:rsidRPr="00494EC0">
        <w:rPr>
          <w:rFonts w:ascii="Times New Roman" w:hAnsi="Times New Roman" w:cs="Times New Roman"/>
        </w:rPr>
        <w:t>(Copeland et al., 2021; Field, Heather, et al., 2020)</w:t>
      </w:r>
      <w:r w:rsidR="00494EC0">
        <w:rPr>
          <w:rFonts w:asciiTheme="majorBidi" w:hAnsiTheme="majorBidi" w:cstheme="majorBidi"/>
        </w:rPr>
        <w:fldChar w:fldCharType="end"/>
      </w:r>
      <w:r w:rsidRPr="00000B41">
        <w:rPr>
          <w:rFonts w:asciiTheme="majorBidi" w:hAnsiTheme="majorBidi" w:cstheme="majorBidi"/>
        </w:rPr>
        <w:t xml:space="preserve"> extended VBDM to recovery from addiction and outlined a number of hypotheses that await empirical testing. More recently, the application of computational models has been advocated to improve methodological rigour in the field of addiction (Pennington et al., 2021). However, </w:t>
      </w:r>
      <w:r w:rsidRPr="00000B41">
        <w:rPr>
          <w:rFonts w:asciiTheme="majorBidi" w:hAnsiTheme="majorBidi" w:cstheme="majorBidi"/>
        </w:rPr>
        <w:lastRenderedPageBreak/>
        <w:t xml:space="preserve">methodological considerations—such as trial wording—have impeded the implementation of this research. This is because asking people in recovery to make consummatory judgements about substance-related images could be unethical (e.g., triggering desire to consume a substance could jeopardise recovery) or cause discomfort for people trying to abstain. Put another way, people who are in the process of recovery or ‘stable recovery’ should not choose (or be asked to choose) which substance they would rather consume. Variations of trial wording, such as “which do you like more?”, could be less aversive; however, no research has explored whether variations of wording in VBDM tasks do indeed capture a common construct of value. </w:t>
      </w:r>
    </w:p>
    <w:p w14:paraId="58C89874" w14:textId="77777777" w:rsidR="00000B41" w:rsidRPr="00000B41" w:rsidRDefault="00000B41" w:rsidP="00000B41">
      <w:pPr>
        <w:pStyle w:val="NoSpacing"/>
        <w:spacing w:line="480" w:lineRule="auto"/>
        <w:rPr>
          <w:rFonts w:asciiTheme="majorBidi" w:hAnsiTheme="majorBidi" w:cstheme="majorBidi"/>
        </w:rPr>
      </w:pPr>
    </w:p>
    <w:p w14:paraId="228D6DB0" w14:textId="666D793B" w:rsidR="00000B41" w:rsidRPr="00000B41" w:rsidRDefault="00000B41" w:rsidP="00000B41">
      <w:pPr>
        <w:pStyle w:val="NoSpacing"/>
        <w:spacing w:line="480" w:lineRule="auto"/>
        <w:rPr>
          <w:rFonts w:asciiTheme="majorBidi" w:hAnsiTheme="majorBidi" w:cstheme="majorBidi"/>
        </w:rPr>
      </w:pPr>
      <w:r w:rsidRPr="00000B41">
        <w:rPr>
          <w:rFonts w:asciiTheme="majorBidi" w:hAnsiTheme="majorBidi" w:cstheme="majorBidi"/>
        </w:rPr>
        <w:t>Given the lack of a standard methodology and the ambiguity in some existing research, it was important to explore how sensitive VBDM tasks are to alterations in wording. To explore this, we investigated whether behavioural data from the same task—but with variations of wording other than “which would you rather consume”—reflected a coherent construct of value as captured by EA rates. Design, hypothesis, and analysis strategy were pre-registered before data collection commenced (</w:t>
      </w:r>
      <w:hyperlink r:id="rId25" w:history="1">
        <w:r w:rsidRPr="00000B41">
          <w:rPr>
            <w:rStyle w:val="Hyperlink"/>
            <w:rFonts w:asciiTheme="majorBidi" w:hAnsiTheme="majorBidi" w:cstheme="majorBidi"/>
          </w:rPr>
          <w:t>https://aspredicted.org/2tm3s.pdf</w:t>
        </w:r>
      </w:hyperlink>
      <w:r w:rsidRPr="00000B41">
        <w:rPr>
          <w:rFonts w:asciiTheme="majorBidi" w:hAnsiTheme="majorBidi" w:cstheme="majorBidi"/>
        </w:rPr>
        <w:t xml:space="preserve">). </w:t>
      </w:r>
      <w:r w:rsidR="00494EC0">
        <w:rPr>
          <w:rFonts w:asciiTheme="majorBidi" w:hAnsiTheme="majorBidi" w:cstheme="majorBidi"/>
        </w:rPr>
        <w:t>It was hypothesised that</w:t>
      </w:r>
      <w:r w:rsidRPr="00000B41">
        <w:rPr>
          <w:rFonts w:asciiTheme="majorBidi" w:hAnsiTheme="majorBidi" w:cstheme="majorBidi"/>
        </w:rPr>
        <w:t>:</w:t>
      </w:r>
    </w:p>
    <w:p w14:paraId="26B5C0B8" w14:textId="77777777" w:rsidR="00000B41" w:rsidRPr="00000B41" w:rsidRDefault="00000B41" w:rsidP="00000B41">
      <w:pPr>
        <w:pStyle w:val="NoSpacing"/>
        <w:numPr>
          <w:ilvl w:val="0"/>
          <w:numId w:val="9"/>
        </w:numPr>
        <w:spacing w:line="480" w:lineRule="auto"/>
        <w:rPr>
          <w:rFonts w:asciiTheme="majorBidi" w:hAnsiTheme="majorBidi" w:cstheme="majorBidi"/>
        </w:rPr>
      </w:pPr>
      <w:r w:rsidRPr="00000B41">
        <w:rPr>
          <w:rFonts w:asciiTheme="majorBidi" w:hAnsiTheme="majorBidi" w:cstheme="majorBidi"/>
        </w:rPr>
        <w:t>There will be no significant differences in EA rates for food images when participants complete the VBDM task with the trial wording “which would you rather consume?” versus “which do you like more?” and “which did you rate higher?”. Specifically, we hypothesise A) no significant main effect of trial wording on EA rates, and B) no significant interaction between trial wording and trial difficulty.</w:t>
      </w:r>
    </w:p>
    <w:p w14:paraId="25AF2D22" w14:textId="77777777" w:rsidR="00000B41" w:rsidRPr="00000B41" w:rsidRDefault="00000B41" w:rsidP="00000B41">
      <w:pPr>
        <w:pStyle w:val="NoSpacing"/>
        <w:numPr>
          <w:ilvl w:val="0"/>
          <w:numId w:val="9"/>
        </w:numPr>
        <w:spacing w:line="480" w:lineRule="auto"/>
        <w:rPr>
          <w:rFonts w:asciiTheme="majorBidi" w:hAnsiTheme="majorBidi" w:cstheme="majorBidi"/>
        </w:rPr>
      </w:pPr>
      <w:r w:rsidRPr="00000B41">
        <w:rPr>
          <w:rFonts w:asciiTheme="majorBidi" w:hAnsiTheme="majorBidi" w:cstheme="majorBidi"/>
        </w:rPr>
        <w:lastRenderedPageBreak/>
        <w:t>There will be a ‘difficulty</w:t>
      </w:r>
      <w:r w:rsidRPr="004B73B2">
        <w:rPr>
          <w:rStyle w:val="FootnoteReference"/>
        </w:rPr>
        <w:footnoteReference w:id="6"/>
      </w:r>
      <w:r w:rsidRPr="00000B41">
        <w:rPr>
          <w:rFonts w:asciiTheme="majorBidi" w:hAnsiTheme="majorBidi" w:cstheme="majorBidi"/>
        </w:rPr>
        <w:t xml:space="preserve"> effect’ such that EA rates for food images will significantly decrease alongside increasing difficulty level, and this will be consistent regardless of trial wording. </w:t>
      </w:r>
    </w:p>
    <w:p w14:paraId="1793509F" w14:textId="56238918" w:rsidR="00000B41" w:rsidRDefault="00000B41" w:rsidP="00494EC0">
      <w:pPr>
        <w:pStyle w:val="NoSpacing"/>
        <w:spacing w:line="480" w:lineRule="auto"/>
        <w:rPr>
          <w:rFonts w:asciiTheme="majorBidi" w:hAnsiTheme="majorBidi" w:cstheme="majorBidi"/>
        </w:rPr>
      </w:pPr>
      <w:r w:rsidRPr="00000B41">
        <w:rPr>
          <w:rFonts w:asciiTheme="majorBidi" w:hAnsiTheme="majorBidi" w:cstheme="majorBidi"/>
        </w:rPr>
        <w:t>To complement these pre-registered hypotheses, we also predicted that there would be significant correlations (&gt; 0.7) between EA rates across trial wording conditions.</w:t>
      </w:r>
    </w:p>
    <w:p w14:paraId="2C4F53E2" w14:textId="77777777" w:rsidR="00494EC0" w:rsidRDefault="00494EC0" w:rsidP="00494EC0">
      <w:pPr>
        <w:pStyle w:val="NoSpacing"/>
        <w:spacing w:line="480" w:lineRule="auto"/>
        <w:rPr>
          <w:rFonts w:asciiTheme="majorBidi" w:hAnsiTheme="majorBidi" w:cstheme="majorBidi"/>
        </w:rPr>
      </w:pPr>
    </w:p>
    <w:p w14:paraId="32F175CA" w14:textId="62CE5DA3" w:rsidR="00494EC0" w:rsidRPr="00000B41" w:rsidRDefault="00494EC0" w:rsidP="00494EC0">
      <w:pPr>
        <w:pStyle w:val="Heading4"/>
      </w:pPr>
      <w:bookmarkStart w:id="142" w:name="_Toc110629052"/>
      <w:bookmarkStart w:id="143" w:name="_Toc110870960"/>
      <w:r>
        <w:t>3.2. Methods</w:t>
      </w:r>
      <w:bookmarkEnd w:id="142"/>
      <w:bookmarkEnd w:id="143"/>
    </w:p>
    <w:p w14:paraId="66CE7EA5" w14:textId="77777777" w:rsidR="00494EC0" w:rsidRPr="00494EC0" w:rsidRDefault="00494EC0" w:rsidP="00494EC0">
      <w:pPr>
        <w:pStyle w:val="NoSpacing"/>
        <w:spacing w:line="480" w:lineRule="auto"/>
        <w:rPr>
          <w:rFonts w:ascii="Times New Roman" w:hAnsi="Times New Roman" w:cs="Times New Roman"/>
          <w:b/>
          <w:bCs/>
        </w:rPr>
      </w:pPr>
      <w:r w:rsidRPr="00494EC0">
        <w:rPr>
          <w:rFonts w:ascii="Times New Roman" w:hAnsi="Times New Roman" w:cs="Times New Roman"/>
          <w:b/>
          <w:bCs/>
        </w:rPr>
        <w:t>Design</w:t>
      </w:r>
    </w:p>
    <w:p w14:paraId="1ADD5E5B" w14:textId="09FFBEBC" w:rsidR="00494EC0" w:rsidRPr="00494EC0" w:rsidRDefault="00494EC0" w:rsidP="00BF0865">
      <w:pPr>
        <w:pStyle w:val="NoSpacing"/>
        <w:spacing w:line="480" w:lineRule="auto"/>
        <w:rPr>
          <w:rFonts w:ascii="Times New Roman" w:hAnsi="Times New Roman" w:cs="Times New Roman"/>
        </w:rPr>
      </w:pPr>
      <w:r w:rsidRPr="00494EC0">
        <w:rPr>
          <w:rFonts w:ascii="Times New Roman" w:hAnsi="Times New Roman" w:cs="Times New Roman"/>
        </w:rPr>
        <w:t xml:space="preserve">This was an experimental study with a within-subject design. The dependent variable was EA rates (estimated by fitting the DDM to RT and accuracy data from the VBDM task). Independent variables were trial wording (“consume”, “like”, and “recall” variants, see below) and trial difficulty (easy, medium, and hard). There is not a G*Power </w:t>
      </w:r>
      <w:r w:rsidR="00BF0865">
        <w:rPr>
          <w:rFonts w:ascii="Times New Roman" w:hAnsi="Times New Roman" w:cs="Times New Roman"/>
        </w:rPr>
        <w:fldChar w:fldCharType="begin"/>
      </w:r>
      <w:r w:rsidR="00BF0865">
        <w:rPr>
          <w:rFonts w:ascii="Times New Roman" w:hAnsi="Times New Roman" w:cs="Times New Roman"/>
        </w:rPr>
        <w:instrText xml:space="preserve"> ADDIN ZOTERO_ITEM CSL_CITATION {"citationID":"e0JrMjOw","properties":{"formattedCitation":"(Faul et al., 2007)","plainCitation":"(Faul et al., 2007)","noteIndex":0},"citationItems":[{"id":448,"uris":["http://zotero.org/users/7873587/items/6HDYJMV8"],"itemData":{"id":448,"type":"article-journal","container-title":"Behavior Research Methods","DOI":"10.3758/BF03193146","ISSN":"1554-351X, 1554-3528","issue":"2","journalAbbreviation":"Behavior Research Methods","language":"en","page":"175-191","source":"DOI.org (Crossref)","title":"G*Power 3: A flexible statistical power analysis program for the social, behavioral, and biomedical sciences","title-short":"G*Power 3","volume":"39","author":[{"family":"Faul","given":"Franz"},{"family":"Erdfelder","given":"Edgar"},{"family":"Lang","given":"Albert-Georg"},{"family":"Buchner","given":"Axel"}],"issued":{"date-parts":[["2007",5]]}}}],"schema":"https://github.com/citation-style-language/schema/raw/master/csl-citation.json"} </w:instrText>
      </w:r>
      <w:r w:rsidR="00BF0865">
        <w:rPr>
          <w:rFonts w:ascii="Times New Roman" w:hAnsi="Times New Roman" w:cs="Times New Roman"/>
        </w:rPr>
        <w:fldChar w:fldCharType="separate"/>
      </w:r>
      <w:r w:rsidR="00BF0865" w:rsidRPr="00BF0865">
        <w:rPr>
          <w:rFonts w:ascii="Times New Roman" w:hAnsi="Times New Roman" w:cs="Times New Roman"/>
        </w:rPr>
        <w:t>(Faul et al., 2007)</w:t>
      </w:r>
      <w:r w:rsidR="00BF0865">
        <w:rPr>
          <w:rFonts w:ascii="Times New Roman" w:hAnsi="Times New Roman" w:cs="Times New Roman"/>
        </w:rPr>
        <w:fldChar w:fldCharType="end"/>
      </w:r>
      <w:r w:rsidRPr="00494EC0">
        <w:rPr>
          <w:rFonts w:ascii="Times New Roman" w:hAnsi="Times New Roman" w:cs="Times New Roman"/>
        </w:rPr>
        <w:t xml:space="preserve"> function to conduct an</w:t>
      </w:r>
      <w:r w:rsidRPr="00494EC0">
        <w:rPr>
          <w:rFonts w:ascii="Times New Roman" w:hAnsi="Times New Roman" w:cs="Times New Roman"/>
          <w:i/>
          <w:iCs/>
        </w:rPr>
        <w:t xml:space="preserve"> a priori </w:t>
      </w:r>
      <w:r w:rsidRPr="00494EC0">
        <w:rPr>
          <w:rFonts w:ascii="Times New Roman" w:hAnsi="Times New Roman" w:cs="Times New Roman"/>
        </w:rPr>
        <w:t>power analysis for a two-way repeated measures ANOVA. For a one-way repeated measures ANOVA, to detect a medium effect (η</w:t>
      </w:r>
      <w:r w:rsidRPr="00494EC0">
        <w:rPr>
          <w:rFonts w:ascii="Times New Roman" w:hAnsi="Times New Roman" w:cs="Times New Roman"/>
          <w:vertAlign w:val="subscript"/>
        </w:rPr>
        <w:t>p</w:t>
      </w:r>
      <w:r w:rsidRPr="00494EC0">
        <w:rPr>
          <w:rFonts w:ascii="Times New Roman" w:hAnsi="Times New Roman" w:cs="Times New Roman"/>
          <w:vertAlign w:val="superscript"/>
        </w:rPr>
        <w:t>2</w:t>
      </w:r>
      <w:r w:rsidRPr="00494EC0">
        <w:rPr>
          <w:rFonts w:ascii="Times New Roman" w:hAnsi="Times New Roman" w:cs="Times New Roman"/>
        </w:rPr>
        <w:t xml:space="preserve"> = .06) at 80% power with an alpha of .05, a power analysis indicated that we would need to recruit 28 participants. However, this estimate does not account for any potential interaction effect and given that other research in this area typically recruits a larger sample than this (e.g., Tusche &amp; Hutcherson, 2018) we offered study participation to 60 participants based on heuristics </w:t>
      </w:r>
      <w:r w:rsidR="00BF0865">
        <w:rPr>
          <w:rFonts w:ascii="Times New Roman" w:hAnsi="Times New Roman" w:cs="Times New Roman"/>
        </w:rPr>
        <w:fldChar w:fldCharType="begin"/>
      </w:r>
      <w:r w:rsidR="00BF0865">
        <w:rPr>
          <w:rFonts w:ascii="Times New Roman" w:hAnsi="Times New Roman" w:cs="Times New Roman"/>
        </w:rPr>
        <w:instrText xml:space="preserve"> ADDIN ZOTERO_ITEM CSL_CITATION {"citationID":"ayUxmJWQ","properties":{"formattedCitation":"(Lakens, 2021)","plainCitation":"(Lakens, 2021)","noteIndex":0},"citationItems":[{"id":646,"uris":["http://zotero.org/users/7873587/items/IGUSUP7A"],"itemData":{"id":646,"type":"report","abstract":"An important step when designing a study is to justify the sample size that will be collected. The key aim of a sample size justification is to explain how the collected data is expected to provide valuable information given the inferential goals of the researcher. In this overview article six approaches are discussed to justify the sample size in a quantitative empirical study: 1) collecting data from (an)almost) the entire population, 2) choosing a sample size based on resource constraints, 3) performing an a-priori power analysis, 4) planning for a desired accuracy, 5) using heuristics, or 6) explicitly acknowledging the absence of a justification. An important question to consider when justifying sample sizes is which effect sizes are deemed interesting, and the extent to which the data that is collected informs inferences about these effect sizes. Depending on the sample size justification chosen, researchers could consider 1) what the smallest effect size of interest is, 2) which minimal effect size will be statistically significant, 3) which effect sizes they expect (and what they base these expectations on), 4) which effect sizes would be rejected based on a confidence interval around the effect size, 5) which ranges of effects a study has sufficient power to detect based on a sensitivity power analysis, and 6) which effect sizes are plausible in a specific research area. Researchers can use the guidelines presented in this article to improve their sample size justification, and hopefully, align the informational value of a study with their inferential goals.","language":"en-us","note":"DOI: 10.31234/osf.io/9d3yf\ntype: article","publisher":"PsyArXiv","source":"OSF Preprints","title":"Sample size justification","URL":"https://psyarxiv.com/9d3yf/","author":[{"family":"Lakens","given":"Daniel"}],"accessed":{"date-parts":[["2021",11,11]]},"issued":{"date-parts":[["2021"]]}}}],"schema":"https://github.com/citation-style-language/schema/raw/master/csl-citation.json"} </w:instrText>
      </w:r>
      <w:r w:rsidR="00BF0865">
        <w:rPr>
          <w:rFonts w:ascii="Times New Roman" w:hAnsi="Times New Roman" w:cs="Times New Roman"/>
        </w:rPr>
        <w:fldChar w:fldCharType="separate"/>
      </w:r>
      <w:r w:rsidR="00BF0865" w:rsidRPr="00BF0865">
        <w:rPr>
          <w:rFonts w:ascii="Times New Roman" w:hAnsi="Times New Roman" w:cs="Times New Roman"/>
        </w:rPr>
        <w:t>(Lakens, 2021)</w:t>
      </w:r>
      <w:r w:rsidR="00BF0865">
        <w:rPr>
          <w:rFonts w:ascii="Times New Roman" w:hAnsi="Times New Roman" w:cs="Times New Roman"/>
        </w:rPr>
        <w:fldChar w:fldCharType="end"/>
      </w:r>
      <w:r w:rsidRPr="00494EC0">
        <w:rPr>
          <w:rFonts w:ascii="Times New Roman" w:hAnsi="Times New Roman" w:cs="Times New Roman"/>
        </w:rPr>
        <w:t xml:space="preserve">. However, existing research was considered only as a guide, and we recruited a larger amount than is the norm (see Table S3.1 in Appendix B). </w:t>
      </w:r>
    </w:p>
    <w:p w14:paraId="39797771" w14:textId="77777777" w:rsidR="00494EC0" w:rsidRPr="00494EC0" w:rsidRDefault="00494EC0" w:rsidP="00BF0865">
      <w:pPr>
        <w:pStyle w:val="NoSpacing"/>
        <w:spacing w:line="480" w:lineRule="auto"/>
        <w:rPr>
          <w:rFonts w:ascii="Times New Roman" w:hAnsi="Times New Roman" w:cs="Times New Roman"/>
        </w:rPr>
      </w:pPr>
    </w:p>
    <w:p w14:paraId="2E258DE7" w14:textId="77777777" w:rsidR="00BF0865" w:rsidRPr="00BF0865" w:rsidRDefault="00BF0865" w:rsidP="00BF0865">
      <w:pPr>
        <w:pStyle w:val="NoSpacing"/>
        <w:spacing w:line="480" w:lineRule="auto"/>
        <w:rPr>
          <w:rFonts w:ascii="Times New Roman" w:hAnsi="Times New Roman" w:cs="Times New Roman"/>
          <w:b/>
          <w:bCs/>
        </w:rPr>
      </w:pPr>
      <w:r w:rsidRPr="00BF0865">
        <w:rPr>
          <w:rFonts w:ascii="Times New Roman" w:hAnsi="Times New Roman" w:cs="Times New Roman"/>
          <w:b/>
          <w:bCs/>
        </w:rPr>
        <w:t>Participants</w:t>
      </w:r>
    </w:p>
    <w:p w14:paraId="1B363C7E" w14:textId="31129D7B" w:rsidR="00093B56" w:rsidRDefault="00BF0865" w:rsidP="00BF0865">
      <w:pPr>
        <w:pStyle w:val="NoSpacing"/>
        <w:spacing w:line="480" w:lineRule="auto"/>
        <w:rPr>
          <w:rFonts w:ascii="Times New Roman" w:hAnsi="Times New Roman" w:cs="Times New Roman"/>
        </w:rPr>
      </w:pPr>
      <w:r w:rsidRPr="00BF0865">
        <w:rPr>
          <w:rFonts w:ascii="Times New Roman" w:hAnsi="Times New Roman" w:cs="Times New Roman"/>
        </w:rPr>
        <w:lastRenderedPageBreak/>
        <w:t>We recruited 60 participants through Prolific (</w:t>
      </w:r>
      <w:hyperlink r:id="rId26" w:history="1">
        <w:r w:rsidRPr="00471589">
          <w:rPr>
            <w:rStyle w:val="Hyperlink"/>
            <w:rFonts w:ascii="Times New Roman" w:hAnsi="Times New Roman" w:cs="Times New Roman"/>
          </w:rPr>
          <w:t>https://www.prolific.co/</w:t>
        </w:r>
      </w:hyperlink>
      <w:r>
        <w:rPr>
          <w:rFonts w:ascii="Times New Roman" w:hAnsi="Times New Roman" w:cs="Times New Roman"/>
        </w:rPr>
        <w:t xml:space="preserve">) </w:t>
      </w:r>
      <w:r w:rsidRPr="00BF0865">
        <w:rPr>
          <w:rFonts w:ascii="Times New Roman" w:hAnsi="Times New Roman" w:cs="Times New Roman"/>
        </w:rPr>
        <w:t>but removed data from 1 participant who failed all attention checks in line with the preregistered exclusion criteria (see Appendix B for detail on attention checks). Our total sample therefore comprised 59 participants (33 female and 26 male) and ages ranged from 19 to 66 years old (</w:t>
      </w:r>
      <w:r>
        <w:rPr>
          <w:rFonts w:ascii="Times New Roman" w:hAnsi="Times New Roman" w:cs="Times New Roman"/>
        </w:rPr>
        <w:t>mean age</w:t>
      </w:r>
      <w:r w:rsidRPr="00BF0865">
        <w:rPr>
          <w:rFonts w:ascii="Times New Roman" w:hAnsi="Times New Roman" w:cs="Times New Roman"/>
        </w:rPr>
        <w:t xml:space="preserve"> = 35.08, SD = 12.78). Inclusion criteria were age ≥ 18 years, current residence in the United Kingdom, having no dietary restrictions (e.g., being vegetarian / vegan), not following any diet (e.g., Weight Watchers), and having ≥ 95% approval rate from previous Prolific participations. The University of Sheffield research ethics committee approved the study, and all participants gave informed consent. Recruitment took place in November 2020 and participants were reimbursed with £6.25 Prolific credit for their time.</w:t>
      </w:r>
    </w:p>
    <w:p w14:paraId="622CE698" w14:textId="77777777" w:rsidR="00BF0865" w:rsidRDefault="00BF0865" w:rsidP="00BF0865">
      <w:pPr>
        <w:pStyle w:val="NoSpacing"/>
        <w:spacing w:line="480" w:lineRule="auto"/>
        <w:rPr>
          <w:rFonts w:ascii="Times New Roman" w:hAnsi="Times New Roman" w:cs="Times New Roman"/>
        </w:rPr>
      </w:pPr>
    </w:p>
    <w:p w14:paraId="32304336" w14:textId="6F974622" w:rsidR="00BF0865" w:rsidRDefault="00BF0865" w:rsidP="00BF0865">
      <w:pPr>
        <w:pStyle w:val="NoSpacing"/>
        <w:spacing w:line="480" w:lineRule="auto"/>
        <w:rPr>
          <w:rFonts w:ascii="Times New Roman" w:hAnsi="Times New Roman" w:cs="Times New Roman"/>
          <w:b/>
          <w:bCs/>
        </w:rPr>
      </w:pPr>
      <w:r w:rsidRPr="00BF0865">
        <w:rPr>
          <w:rFonts w:ascii="Times New Roman" w:hAnsi="Times New Roman" w:cs="Times New Roman"/>
          <w:b/>
          <w:bCs/>
        </w:rPr>
        <w:t>Materials</w:t>
      </w:r>
    </w:p>
    <w:p w14:paraId="0CA68DE0" w14:textId="77777777" w:rsidR="003D0247" w:rsidRDefault="003D0247" w:rsidP="00BF0865">
      <w:pPr>
        <w:pStyle w:val="NoSpacing"/>
        <w:spacing w:line="480" w:lineRule="auto"/>
        <w:rPr>
          <w:rFonts w:ascii="Times New Roman" w:hAnsi="Times New Roman" w:cs="Times New Roman"/>
          <w:i/>
          <w:iCs/>
        </w:rPr>
      </w:pPr>
      <w:r w:rsidRPr="003D0247">
        <w:rPr>
          <w:rFonts w:ascii="Times New Roman" w:hAnsi="Times New Roman" w:cs="Times New Roman"/>
          <w:i/>
          <w:iCs/>
        </w:rPr>
        <w:t>Pictorial stimuli for the VBDM task</w:t>
      </w:r>
    </w:p>
    <w:p w14:paraId="196A7C4B" w14:textId="54F3162D" w:rsidR="00BF0865" w:rsidRDefault="00BF0865" w:rsidP="00BF0865">
      <w:pPr>
        <w:pStyle w:val="NoSpacing"/>
        <w:spacing w:line="480" w:lineRule="auto"/>
        <w:rPr>
          <w:rFonts w:ascii="Times New Roman" w:hAnsi="Times New Roman" w:cs="Times New Roman"/>
        </w:rPr>
      </w:pPr>
      <w:r w:rsidRPr="00BF0865">
        <w:rPr>
          <w:rFonts w:ascii="Times New Roman" w:hAnsi="Times New Roman" w:cs="Times New Roman"/>
        </w:rPr>
        <w:t xml:space="preserve">The 30 food images used in this study were taken from an image database (CROCUFID; </w:t>
      </w:r>
      <w:proofErr w:type="spellStart"/>
      <w:r w:rsidRPr="00BF0865">
        <w:rPr>
          <w:rFonts w:ascii="Times New Roman" w:hAnsi="Times New Roman" w:cs="Times New Roman"/>
        </w:rPr>
        <w:t>Toet</w:t>
      </w:r>
      <w:proofErr w:type="spellEnd"/>
      <w:r w:rsidRPr="00BF0865">
        <w:rPr>
          <w:rFonts w:ascii="Times New Roman" w:hAnsi="Times New Roman" w:cs="Times New Roman"/>
        </w:rPr>
        <w:t xml:space="preserve"> et al., 2019) which is accompanied by valence ratings. There are a variety of images: the food depicted varied from being fresh to moulded, rotten, and partly consumed. This meant that images could be selected in order to solicit differential value judgements (standardised CROCUFID images are available from the OSF repository at</w:t>
      </w:r>
      <w:r>
        <w:rPr>
          <w:rFonts w:ascii="Times New Roman" w:hAnsi="Times New Roman" w:cs="Times New Roman"/>
        </w:rPr>
        <w:t xml:space="preserve"> </w:t>
      </w:r>
      <w:hyperlink r:id="rId27" w:history="1">
        <w:r w:rsidRPr="00471589">
          <w:rPr>
            <w:rStyle w:val="Hyperlink"/>
            <w:rFonts w:ascii="Times New Roman" w:hAnsi="Times New Roman" w:cs="Times New Roman"/>
          </w:rPr>
          <w:t>https://osf.io/5jtqx</w:t>
        </w:r>
      </w:hyperlink>
      <w:r>
        <w:rPr>
          <w:rFonts w:ascii="Times New Roman" w:hAnsi="Times New Roman" w:cs="Times New Roman"/>
        </w:rPr>
        <w:t xml:space="preserve">; </w:t>
      </w:r>
      <w:r w:rsidRPr="00BF0865">
        <w:rPr>
          <w:rFonts w:ascii="Times New Roman" w:hAnsi="Times New Roman" w:cs="Times New Roman"/>
        </w:rPr>
        <w:t>see Appendix B for images used in this study).</w:t>
      </w:r>
    </w:p>
    <w:p w14:paraId="365F4B01" w14:textId="77777777" w:rsidR="00BF0865" w:rsidRDefault="00BF0865" w:rsidP="00BF0865">
      <w:pPr>
        <w:pStyle w:val="NoSpacing"/>
        <w:spacing w:line="480" w:lineRule="auto"/>
        <w:rPr>
          <w:rFonts w:ascii="Times New Roman" w:hAnsi="Times New Roman" w:cs="Times New Roman"/>
        </w:rPr>
      </w:pPr>
    </w:p>
    <w:p w14:paraId="4B1A1098" w14:textId="77777777" w:rsidR="00BF0865" w:rsidRPr="00BF0865" w:rsidRDefault="00BF0865" w:rsidP="00BF0865">
      <w:pPr>
        <w:pStyle w:val="NoSpacing"/>
        <w:spacing w:line="480" w:lineRule="auto"/>
        <w:rPr>
          <w:rFonts w:ascii="Times New Roman" w:hAnsi="Times New Roman" w:cs="Times New Roman"/>
          <w:i/>
          <w:iCs/>
        </w:rPr>
      </w:pPr>
      <w:r w:rsidRPr="00BF0865">
        <w:rPr>
          <w:rFonts w:ascii="Times New Roman" w:hAnsi="Times New Roman" w:cs="Times New Roman"/>
          <w:i/>
          <w:iCs/>
        </w:rPr>
        <w:t>Brief self-report questions</w:t>
      </w:r>
    </w:p>
    <w:p w14:paraId="6D9FC85A" w14:textId="41FB7FE5" w:rsidR="00BF0865" w:rsidRPr="00BF0865" w:rsidRDefault="00BF0865" w:rsidP="00BF0865">
      <w:pPr>
        <w:pStyle w:val="NoSpacing"/>
        <w:spacing w:line="480" w:lineRule="auto"/>
        <w:rPr>
          <w:rFonts w:ascii="Times New Roman" w:hAnsi="Times New Roman" w:cs="Times New Roman"/>
        </w:rPr>
      </w:pPr>
      <w:r w:rsidRPr="00BF0865">
        <w:rPr>
          <w:rFonts w:ascii="Times New Roman" w:hAnsi="Times New Roman" w:cs="Times New Roman"/>
        </w:rPr>
        <w:t>Participants answered demographic questions (age and gender) and their current (at the time of participation) level of hunger using a visual analogue scale that ranged from 0 (I am not hungry at all) to 10 (very hungry). The mean hunger level was 4.49 (SD = 2.61).</w:t>
      </w:r>
    </w:p>
    <w:p w14:paraId="30F8D0EB" w14:textId="77777777" w:rsidR="00BF0865" w:rsidRDefault="00BF0865" w:rsidP="00BF0865">
      <w:pPr>
        <w:pStyle w:val="NoSpacing"/>
        <w:spacing w:line="480" w:lineRule="auto"/>
        <w:rPr>
          <w:rFonts w:ascii="Times New Roman" w:hAnsi="Times New Roman" w:cs="Times New Roman"/>
        </w:rPr>
      </w:pPr>
    </w:p>
    <w:p w14:paraId="4E9B19B9" w14:textId="377F7D5B" w:rsidR="00BF0865" w:rsidRPr="00BF0865" w:rsidRDefault="00BF0865" w:rsidP="00BF0865">
      <w:pPr>
        <w:pStyle w:val="NoSpacing"/>
        <w:spacing w:line="480" w:lineRule="auto"/>
        <w:rPr>
          <w:rFonts w:ascii="Times New Roman" w:hAnsi="Times New Roman" w:cs="Times New Roman"/>
          <w:b/>
          <w:bCs/>
        </w:rPr>
      </w:pPr>
      <w:r w:rsidRPr="00BF0865">
        <w:rPr>
          <w:rFonts w:ascii="Times New Roman" w:hAnsi="Times New Roman" w:cs="Times New Roman"/>
          <w:b/>
          <w:bCs/>
        </w:rPr>
        <w:lastRenderedPageBreak/>
        <w:t>Procedure</w:t>
      </w:r>
    </w:p>
    <w:p w14:paraId="550C9DB3" w14:textId="5940E395" w:rsidR="00093B56" w:rsidRDefault="00BF0865" w:rsidP="001748B7">
      <w:pPr>
        <w:pStyle w:val="NoSpacing"/>
        <w:spacing w:line="480" w:lineRule="auto"/>
        <w:rPr>
          <w:rFonts w:ascii="Times New Roman" w:hAnsi="Times New Roman" w:cs="Times New Roman"/>
        </w:rPr>
      </w:pPr>
      <w:r w:rsidRPr="00BF0865">
        <w:rPr>
          <w:rFonts w:ascii="Times New Roman" w:hAnsi="Times New Roman" w:cs="Times New Roman"/>
        </w:rPr>
        <w:t xml:space="preserve">Participants completed the study online which took an average of 28.45 minutes (SD = 14.29). Participants firstly completed self-report questions prior to completing an image-rating phase and the VBDM task (both programmed in </w:t>
      </w:r>
      <w:proofErr w:type="spellStart"/>
      <w:r w:rsidRPr="00BF0865">
        <w:rPr>
          <w:rFonts w:ascii="Times New Roman" w:hAnsi="Times New Roman" w:cs="Times New Roman"/>
        </w:rPr>
        <w:t>PsychoPy</w:t>
      </w:r>
      <w:proofErr w:type="spellEnd"/>
      <w:r w:rsidRPr="00BF0865">
        <w:rPr>
          <w:rFonts w:ascii="Times New Roman" w:hAnsi="Times New Roman" w:cs="Times New Roman"/>
        </w:rPr>
        <w:t xml:space="preserve"> and hosted on </w:t>
      </w:r>
      <w:proofErr w:type="spellStart"/>
      <w:r w:rsidRPr="00BF0865">
        <w:rPr>
          <w:rFonts w:ascii="Times New Roman" w:hAnsi="Times New Roman" w:cs="Times New Roman"/>
        </w:rPr>
        <w:t>Pavlovia</w:t>
      </w:r>
      <w:proofErr w:type="spellEnd"/>
      <w:r w:rsidRPr="00BF0865">
        <w:rPr>
          <w:rFonts w:ascii="Times New Roman" w:hAnsi="Times New Roman" w:cs="Times New Roman"/>
        </w:rPr>
        <w:t xml:space="preserve">; </w:t>
      </w:r>
      <w:r w:rsidR="001748B7">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{"citationID":"8qKwwi1u","properties":{"formattedCitation":"(Peirce et al., 2019b)","plainCitation":"(Peirce et al., 2019b)","dontUpdate":true,"noteIndex":0},"citationItems":[{"id":655,"uris":["http://zotero.org/users/7873587/items/QXLSRW8Y"],"itemData":{"id":655,"type":"article-journal","abstract":"PsychoPy is an application for the creation of experiments in behavioral science (psychology, neuroscience, linguistics, etc.) with precise spatial control and timing of stimuli. It now provides a choice of interface; users can write scripts in Python if they choose, while those who prefer to construct experiments graphically can use the new Builder interface. Here we describe the features that have been added over the last 10 years of its development. The most notable addition has been that Builder interface, allowing users to create studies with minimal or no programming, while also allowing the insertion of Python code for maximal flexibility. We also present some of the other new features, including further stimulus options, asynchronous time-stamped hardware polling, and better support for open science and reproducibility. Tens of thousands of users now launch PsychoPy every month, and more than 90 people have contributed to the code. We discuss the current state of the project, as well as plans for the future.","container-title":"Behavior Research Methods","DOI":"10.3758/s13428-018-01193-y","ISSN":"1554-3528","issue":"1","journalAbbreviation":"Behav Res Methods","language":"eng","note":"PMID: 30734206\nPMCID: PMC6420413","page":"195-203","source":"PubMed","title":"PsychoPy2: Experiments in behavior made easy","title-short":"PsychoPy2","volume":"51","author":[{"family":"Peirce","given":"Jonathan"},{"family":"Gray","given":"Jeremy R."},{"family":"Simpson","given":"Sol"},{"family":"MacAskill","given":"Michael"},{"family":"Höchenberger","given":"Richard"},{"family":"Sogo","given":"Hiroyuki"},{"family":"Kastman","given":"Erik"},{"family":"Lindeløv","given":"Jonas Kristoffer"}],"issued":{"date-parts":[["2019",2]]}}}],"schema":"https://github.com/citation-style-language/schema/raw/master/csl-citation.json"} </w:instrText>
      </w:r>
      <w:r w:rsidR="001748B7">
        <w:rPr>
          <w:rFonts w:ascii="Times New Roman" w:hAnsi="Times New Roman" w:cs="Times New Roman"/>
        </w:rPr>
        <w:fldChar w:fldCharType="separate"/>
      </w:r>
      <w:r w:rsidR="001748B7" w:rsidRPr="001748B7">
        <w:rPr>
          <w:rFonts w:ascii="Times New Roman" w:hAnsi="Times New Roman" w:cs="Times New Roman"/>
        </w:rPr>
        <w:t>Peirce et al., 2019)</w:t>
      </w:r>
      <w:r w:rsidR="001748B7">
        <w:rPr>
          <w:rFonts w:ascii="Times New Roman" w:hAnsi="Times New Roman" w:cs="Times New Roman"/>
        </w:rPr>
        <w:fldChar w:fldCharType="end"/>
      </w:r>
      <w:r w:rsidRPr="00BF0865">
        <w:rPr>
          <w:rFonts w:ascii="Times New Roman" w:hAnsi="Times New Roman" w:cs="Times New Roman"/>
        </w:rPr>
        <w:t>.</w:t>
      </w:r>
    </w:p>
    <w:p w14:paraId="4B522826" w14:textId="77777777" w:rsidR="001748B7" w:rsidRDefault="001748B7" w:rsidP="001748B7">
      <w:pPr>
        <w:pStyle w:val="NoSpacing"/>
        <w:spacing w:line="480" w:lineRule="auto"/>
        <w:rPr>
          <w:rFonts w:ascii="Times New Roman" w:hAnsi="Times New Roman" w:cs="Times New Roman"/>
        </w:rPr>
      </w:pPr>
    </w:p>
    <w:p w14:paraId="211F9B5E" w14:textId="77777777" w:rsidR="001748B7" w:rsidRPr="001748B7" w:rsidRDefault="001748B7" w:rsidP="001748B7">
      <w:pPr>
        <w:pStyle w:val="NoSpacing"/>
        <w:spacing w:line="480" w:lineRule="auto"/>
        <w:rPr>
          <w:rFonts w:ascii="Times New Roman" w:hAnsi="Times New Roman" w:cs="Times New Roman"/>
          <w:i/>
          <w:iCs/>
        </w:rPr>
      </w:pPr>
      <w:r w:rsidRPr="001748B7">
        <w:rPr>
          <w:rFonts w:ascii="Times New Roman" w:hAnsi="Times New Roman" w:cs="Times New Roman"/>
          <w:i/>
          <w:iCs/>
        </w:rPr>
        <w:t>Image-rating phase</w:t>
      </w:r>
    </w:p>
    <w:p w14:paraId="54983878" w14:textId="77777777" w:rsidR="001748B7" w:rsidRPr="001748B7" w:rsidRDefault="001748B7" w:rsidP="001748B7">
      <w:pPr>
        <w:pStyle w:val="NoSpacing"/>
        <w:spacing w:line="480" w:lineRule="auto"/>
        <w:rPr>
          <w:rFonts w:ascii="Times New Roman" w:hAnsi="Times New Roman" w:cs="Times New Roman"/>
        </w:rPr>
      </w:pPr>
      <w:r w:rsidRPr="001748B7">
        <w:rPr>
          <w:rFonts w:ascii="Times New Roman" w:hAnsi="Times New Roman" w:cs="Times New Roman"/>
        </w:rPr>
        <w:t xml:space="preserve">Participants viewed 30 food images and made value judgements about them by placing each of the images into one of four boxes using a computer mouse to indicate how much they would like to consume the food depicted in the image “right now”, ranging from: ‘A lot’, ‘A little bit’, ‘Not really’, and ‘Not at all’. Participants were instructed to rate all 30 images while assigning at least five to each value category. Subsequently, five images were randomly selected from each value category for use in the VBDM task. </w:t>
      </w:r>
    </w:p>
    <w:p w14:paraId="6EBB2CD5" w14:textId="77777777" w:rsidR="001748B7" w:rsidRPr="001748B7" w:rsidRDefault="001748B7" w:rsidP="001748B7">
      <w:pPr>
        <w:pStyle w:val="NoSpacing"/>
        <w:spacing w:line="480" w:lineRule="auto"/>
        <w:rPr>
          <w:rFonts w:ascii="Times New Roman" w:hAnsi="Times New Roman" w:cs="Times New Roman"/>
        </w:rPr>
      </w:pPr>
    </w:p>
    <w:p w14:paraId="1DB3CE08" w14:textId="77777777" w:rsidR="001748B7" w:rsidRPr="001748B7" w:rsidRDefault="001748B7" w:rsidP="001748B7">
      <w:pPr>
        <w:pStyle w:val="NoSpacing"/>
        <w:spacing w:line="480" w:lineRule="auto"/>
        <w:rPr>
          <w:rFonts w:ascii="Times New Roman" w:hAnsi="Times New Roman" w:cs="Times New Roman"/>
          <w:i/>
          <w:iCs/>
        </w:rPr>
      </w:pPr>
      <w:r w:rsidRPr="001748B7">
        <w:rPr>
          <w:rFonts w:ascii="Times New Roman" w:hAnsi="Times New Roman" w:cs="Times New Roman"/>
          <w:i/>
          <w:iCs/>
        </w:rPr>
        <w:t xml:space="preserve">VBDM task </w:t>
      </w:r>
    </w:p>
    <w:p w14:paraId="7D6555BD" w14:textId="15F3DD0E" w:rsidR="001748B7" w:rsidRPr="00BF0865" w:rsidRDefault="001748B7" w:rsidP="001748B7">
      <w:pPr>
        <w:pStyle w:val="NoSpacing"/>
        <w:spacing w:line="480" w:lineRule="auto"/>
        <w:rPr>
          <w:rFonts w:ascii="Times New Roman" w:hAnsi="Times New Roman" w:cs="Times New Roman"/>
        </w:rPr>
      </w:pPr>
      <w:r w:rsidRPr="001748B7">
        <w:rPr>
          <w:rFonts w:ascii="Times New Roman" w:hAnsi="Times New Roman" w:cs="Times New Roman"/>
        </w:rPr>
        <w:t xml:space="preserve">To begin, the five images randomly selected from each of the four value categories were displayed in the centre of the screen for 3 seconds each, followed by a 500ms fixation cross, in order to remind participants about how they had ranked the images and to show them which subset of images had been randomly selected for use in the task. Participants subsequently completed the 2AFC trials. On each trial, two images appeared (one on the left and one on the right), and participants were instructed to press one of two computer keys (‘Z’ for left and ‘M’ for right) to select one of the images as quickly as possible (see Figure 3.1). Participants firstly completed a practice block consisting of six trials. In the real task, there were three blocks of trials and in each block, participants were asked to think about the images in a different way. Specifically, the trial instructions varied between “which would </w:t>
      </w:r>
      <w:r w:rsidRPr="001748B7">
        <w:rPr>
          <w:rFonts w:ascii="Times New Roman" w:hAnsi="Times New Roman" w:cs="Times New Roman"/>
        </w:rPr>
        <w:lastRenderedPageBreak/>
        <w:t xml:space="preserve">you rather consume?” (‘consume’ condition), “which do you like more?” (‘like’ condition) and “which did you rate higher?” (‘recall’ condition). Block order was randomised, with 150 trials in each, making 450 trials in total with a short break after every 50 trials. Difficulty levels across trials were varied, in that the difference in rating between the two images could be 1, 2 or 3 (hard, medium, and easy choices respectively). On each trial, there was a correct answer, and whether this appeared on the left or the right of the screen was random. Participants were given a maximum of four seconds to respond on each trial, responses outside of this window were classed as “miss trials” as commonly used in VBDM tasks (e.g., </w:t>
      </w:r>
      <w:proofErr w:type="spellStart"/>
      <w:r w:rsidRPr="001748B7">
        <w:rPr>
          <w:rFonts w:ascii="Times New Roman" w:hAnsi="Times New Roman" w:cs="Times New Roman"/>
        </w:rPr>
        <w:t>Polanía</w:t>
      </w:r>
      <w:proofErr w:type="spellEnd"/>
      <w:r w:rsidRPr="001748B7">
        <w:rPr>
          <w:rFonts w:ascii="Times New Roman" w:hAnsi="Times New Roman" w:cs="Times New Roman"/>
        </w:rPr>
        <w:t xml:space="preserve"> et al., 2014).</w:t>
      </w:r>
    </w:p>
    <w:p w14:paraId="3C008255" w14:textId="77777777" w:rsidR="001748B7" w:rsidRPr="00BF0865" w:rsidRDefault="001748B7" w:rsidP="001748B7">
      <w:pPr>
        <w:pStyle w:val="NoSpacing"/>
        <w:spacing w:line="480" w:lineRule="auto"/>
        <w:rPr>
          <w:rFonts w:ascii="Times New Roman" w:hAnsi="Times New Roman" w:cs="Times New Roman"/>
        </w:rPr>
      </w:pPr>
    </w:p>
    <w:p w14:paraId="36AF2DFE" w14:textId="77777777" w:rsidR="001748B7" w:rsidRDefault="001748B7" w:rsidP="001748B7">
      <w:pPr>
        <w:pStyle w:val="NoSpacing"/>
        <w:spacing w:line="480" w:lineRule="auto"/>
        <w:rPr>
          <w:rFonts w:ascii="Times New Roman" w:hAnsi="Times New Roman" w:cs="Times New Roman"/>
          <w:b/>
          <w:bCs/>
        </w:rPr>
      </w:pPr>
      <w:bookmarkStart w:id="144" w:name="_Hlk110521067"/>
      <w:r w:rsidRPr="001748B7">
        <w:rPr>
          <w:rFonts w:ascii="Times New Roman" w:hAnsi="Times New Roman" w:cs="Times New Roman"/>
          <w:b/>
          <w:bCs/>
        </w:rPr>
        <w:t>Figure 3.1</w:t>
      </w:r>
    </w:p>
    <w:p w14:paraId="35FB4529" w14:textId="7984425C" w:rsidR="00093B56" w:rsidRPr="001748B7" w:rsidRDefault="001748B7" w:rsidP="001748B7">
      <w:pPr>
        <w:pStyle w:val="NoSpacing"/>
        <w:spacing w:line="480" w:lineRule="auto"/>
        <w:rPr>
          <w:rFonts w:ascii="Times New Roman" w:hAnsi="Times New Roman" w:cs="Times New Roman"/>
          <w:i/>
          <w:iCs/>
        </w:rPr>
      </w:pPr>
      <w:r w:rsidRPr="001748B7">
        <w:rPr>
          <w:rFonts w:ascii="Times New Roman" w:hAnsi="Times New Roman" w:cs="Times New Roman"/>
          <w:i/>
          <w:iCs/>
        </w:rPr>
        <w:t>Example trials in the VBDM task</w:t>
      </w:r>
    </w:p>
    <w:bookmarkEnd w:id="144"/>
    <w:p w14:paraId="1E5CFABE" w14:textId="692325AA" w:rsidR="00093B56" w:rsidRPr="00BF0865" w:rsidRDefault="001748B7" w:rsidP="001748B7">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3380F0B" wp14:editId="6A23593B">
            <wp:extent cx="3780155" cy="2682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0155" cy="2682240"/>
                    </a:xfrm>
                    <a:prstGeom prst="rect">
                      <a:avLst/>
                    </a:prstGeom>
                    <a:noFill/>
                  </pic:spPr>
                </pic:pic>
              </a:graphicData>
            </a:graphic>
          </wp:inline>
        </w:drawing>
      </w:r>
    </w:p>
    <w:p w14:paraId="1B2038C8" w14:textId="7A94CEB1" w:rsidR="00093B56" w:rsidRDefault="001748B7" w:rsidP="001748B7">
      <w:pPr>
        <w:pStyle w:val="NoSpacing"/>
        <w:spacing w:line="480" w:lineRule="auto"/>
        <w:rPr>
          <w:rFonts w:asciiTheme="majorBidi" w:hAnsiTheme="majorBidi" w:cstheme="majorBidi"/>
        </w:rPr>
      </w:pPr>
      <w:r w:rsidRPr="001748B7">
        <w:rPr>
          <w:rFonts w:asciiTheme="majorBidi" w:hAnsiTheme="majorBidi" w:cstheme="majorBidi"/>
          <w:i/>
          <w:iCs/>
        </w:rPr>
        <w:t>Note.</w:t>
      </w:r>
      <w:r w:rsidRPr="001748B7">
        <w:rPr>
          <w:rFonts w:asciiTheme="majorBidi" w:hAnsiTheme="majorBidi" w:cstheme="majorBidi"/>
        </w:rPr>
        <w:t xml:space="preserve"> Trial wording varied between three blocks from “which would you rather consume?”, “which do you like more?”, and “which did you rate higher?”. Participants were instructed to press a key to select either of the images (‘Z’ for left, ‘M’ for right). Participants had up to 4 seconds to make their decision per trial, and each trial was followed by a 500ms fixation cross located in the centre of the screen. Images are taken from the CROCUFID image database </w:t>
      </w:r>
      <w:r w:rsidRPr="001748B7">
        <w:rPr>
          <w:rFonts w:asciiTheme="majorBidi" w:hAnsiTheme="majorBidi" w:cstheme="majorBidi"/>
        </w:rPr>
        <w:fldChar w:fldCharType="begin"/>
      </w:r>
      <w:r w:rsidRPr="001748B7">
        <w:rPr>
          <w:rFonts w:asciiTheme="majorBidi" w:hAnsiTheme="majorBidi" w:cstheme="majorBidi"/>
        </w:rPr>
        <w:instrText xml:space="preserve"> ADDIN ZOTERO_ITEM CSL_CITATION {"citationID":"JWjCOAL8","properties":{"formattedCitation":"(Toet et al., 2019)","plainCitation":"(Toet et al., 2019)","noteIndex":0},"citationItems":[{"id":652,"uris":["http://zotero.org/users/7873587/items/N8X96S2L"],"itemData":{"id":652,"type":"article-journal","abstract":"We present CROCUFID: a CROss-CUltural Food Image Database that currently contains 840 images, including 479 food images with detailed metadata and 165 images of non-food items. The database includes images of sweet, savory, natural, and processed food from Western and Asian cuisines. To create sufficient variability in valence and arousal we included images of food with different degrees of appetitiveness (fresh, unfamiliar, molded or rotten, spoiled, and partly consumed). We used a standardized photographing protocol, resulting in high resolution images depicting all food items on a standard background (a white plate), seen from a fixed viewing (45°) angle. CROCUFID is freely available under the CC-By Attribution 4.0 International license and hosted on the OSF repository. The advantages of the CROCUFID database over other databases are its (1) free availability, (2) full coverage of the valence – arousal space, (3) use of standardized recording methods, (4) inclusion of multiple cuisines and unfamiliar foods, (5) availability of normative and demographic data, (6) high image quality and (7) capability to support future (e.g., virtual and augmented reality) applications. Individuals from the United Kingdom (N = 266), North-America (N = 275), and Japan (N = 264) provided normative ratings of valence, arousal, perceived healthiness, and desire-to-eat using visual analog scales (VAS). In addition, for each image we computed 17 characteristics that are known to influence affective observer responses (e.g., texture, regularity, complexity, and colorfulness). Significant differences between groups and significant correlations between image characteristics and normative ratings were in accordance with previous research, indicating the validity of CROCUFID. We expect that CROCUFID will facilitate comparability across studies and advance experimental research on the determinants of food-elicited emotions. We plan to extend CROCUFID in the future with images of food from a wide range of different cuisines and with non-food images (for applications in for instance neuro-physiological studies). We invite researchers from all parts of the world to contribute to this effort by creating similar image sets that can be linked to this collection, so that CROCUFID will grow into a truly multicultural food database.","container-title":"Frontiers in Psychology","DOI":"10.3389/fpsyg.2019.00058","ISSN":"1664-1078","journalAbbreviation":"Front Psychol","note":"PMID: 30740078\nPMCID: PMC6355693","page":"58","source":"PubMed Central","title":"CROCUFID: a cross-cultural food image database for research on food elicited affective responses","title-short":"CROCUFID","volume":"10","author":[{"family":"Toet","given":"Alexander"},{"family":"Kaneko","given":"Daisuke"},{"family":"Kruijf","given":"Inge","non-dropping-particle":"de"},{"family":"Ushiama","given":"Shota"},{"family":"Schaik","given":"Martin G.","non-dropping-particle":"van"},{"family":"Brouwer","given":"Anne-Marie"},{"family":"Kallen","given":"Victor"},{"family":"Erp","given":"Jan B. F.","non-dropping-particle":"van"}],"issued":{"date-parts":[["2019",1,25]]}}}],"schema":"https://github.com/citation-style-language/schema/raw/master/csl-citation.json"} </w:instrText>
      </w:r>
      <w:r w:rsidRPr="001748B7">
        <w:rPr>
          <w:rFonts w:asciiTheme="majorBidi" w:hAnsiTheme="majorBidi" w:cstheme="majorBidi"/>
        </w:rPr>
        <w:fldChar w:fldCharType="separate"/>
      </w:r>
      <w:r w:rsidRPr="001748B7">
        <w:rPr>
          <w:rFonts w:asciiTheme="majorBidi" w:hAnsiTheme="majorBidi" w:cstheme="majorBidi"/>
        </w:rPr>
        <w:t>(Toet et al., 2019)</w:t>
      </w:r>
      <w:r w:rsidRPr="001748B7">
        <w:rPr>
          <w:rFonts w:asciiTheme="majorBidi" w:hAnsiTheme="majorBidi" w:cstheme="majorBidi"/>
        </w:rPr>
        <w:fldChar w:fldCharType="end"/>
      </w:r>
      <w:r w:rsidRPr="001748B7">
        <w:rPr>
          <w:rFonts w:asciiTheme="majorBidi" w:hAnsiTheme="majorBidi" w:cstheme="majorBidi"/>
        </w:rPr>
        <w:t>.</w:t>
      </w:r>
    </w:p>
    <w:p w14:paraId="39CA5802" w14:textId="77777777" w:rsidR="001748B7" w:rsidRDefault="001748B7" w:rsidP="001748B7">
      <w:pPr>
        <w:pStyle w:val="NoSpacing"/>
        <w:spacing w:line="480" w:lineRule="auto"/>
        <w:rPr>
          <w:rFonts w:asciiTheme="majorBidi" w:hAnsiTheme="majorBidi" w:cstheme="majorBidi"/>
        </w:rPr>
      </w:pPr>
    </w:p>
    <w:p w14:paraId="08B36931" w14:textId="77777777" w:rsidR="001748B7" w:rsidRPr="001748B7" w:rsidRDefault="001748B7" w:rsidP="001748B7">
      <w:pPr>
        <w:pStyle w:val="NoSpacing"/>
        <w:spacing w:line="480" w:lineRule="auto"/>
        <w:rPr>
          <w:rFonts w:asciiTheme="majorBidi" w:hAnsiTheme="majorBidi" w:cstheme="majorBidi"/>
          <w:b/>
          <w:bCs/>
        </w:rPr>
      </w:pPr>
      <w:r w:rsidRPr="001748B7">
        <w:rPr>
          <w:rFonts w:asciiTheme="majorBidi" w:hAnsiTheme="majorBidi" w:cstheme="majorBidi"/>
          <w:b/>
          <w:bCs/>
        </w:rPr>
        <w:t>Data preparation and analysis</w:t>
      </w:r>
    </w:p>
    <w:p w14:paraId="391BE2E2" w14:textId="268ACDB9" w:rsidR="001748B7" w:rsidRPr="001748B7" w:rsidRDefault="001748B7" w:rsidP="007A0B2F">
      <w:pPr>
        <w:pStyle w:val="NoSpacing"/>
        <w:spacing w:line="480" w:lineRule="auto"/>
        <w:rPr>
          <w:rFonts w:asciiTheme="majorBidi" w:hAnsiTheme="majorBidi" w:cstheme="majorBidi"/>
        </w:rPr>
      </w:pPr>
      <w:r w:rsidRPr="001748B7">
        <w:rPr>
          <w:rFonts w:asciiTheme="majorBidi" w:hAnsiTheme="majorBidi" w:cstheme="majorBidi"/>
        </w:rPr>
        <w:t xml:space="preserve">On the VBDM task, “miss trials” (responses exceeding 4 seconds) were removed (0.24%) as well as trials that were under 300ms (0.03%) as these are likely to be fast guesses </w:t>
      </w:r>
      <w:r w:rsidR="006023CF">
        <w:rPr>
          <w:rFonts w:asciiTheme="majorBidi" w:hAnsiTheme="majorBidi" w:cstheme="majorBidi"/>
        </w:rPr>
        <w:fldChar w:fldCharType="begin"/>
      </w:r>
      <w:r w:rsidR="006023CF">
        <w:rPr>
          <w:rFonts w:asciiTheme="majorBidi" w:hAnsiTheme="majorBidi" w:cstheme="majorBidi"/>
        </w:rPr>
        <w:instrText xml:space="preserve"> ADDIN ZOTERO_ITEM CSL_CITATION {"citationID":"8hUW71uK","properties":{"formattedCitation":"(Ratcliff et al., 2006b)","plainCitation":"(Ratcliff et al., 2006b)","noteIndex":0},"citationItems":[{"id":658,"uris":["http://zotero.org/users/7873587/items/GVYLJ39Z"],"itemData":{"id":658,"type":"article-journal","abstract":"Practice effects were examined in a masked letter discrimination task and a masked brightness discrimination task for college-age and 60- to 75-year-old subjects. The diffusion model (Ratcliff, 1978) was fit to the response time and accuracy data and used to extract estimates of components of processing from the data. Relative to young subjects, the older subjects began the experiments with slower and less accurate performance; however, across sessions their accuracy improved because the quality of the information on which their decisions were based improved, and this, along with reduced decision criteria, led to shorter response times. For the brightness, but not the letter, discrimination task, the older subjects' performance matched that of the younger group by the end of 4 sessions, except that their nondecision components of processing were slightly slower. These analyses illustrate how a well-specified model can provide a unified view of multiple aspects of data that are often interpreted separately.","container-title":"Psychology and Aging","DOI":"10.1037/0882-7974.21.2.353","ISSN":"0882-7974","issue":"2","journalAbbreviation":"Psychol Aging","language":"eng","note":"PMID: 16768580\nPMCID: PMC2386252","page":"353-371","source":"PubMed","title":"Aging, practice, and perceptual tasks: a diffusion model analysis","title-short":"Aging, practice, and perceptual tasks","volume":"21","author":[{"family":"Ratcliff","given":"Roger"},{"family":"Thapar","given":"Anjali"},{"family":"McKoon","given":"Gail"}],"issued":{"date-parts":[["2006",6]]}}}],"schema":"https://github.com/citation-style-language/schema/raw/master/csl-citation.json"} </w:instrText>
      </w:r>
      <w:r w:rsidR="006023CF">
        <w:rPr>
          <w:rFonts w:asciiTheme="majorBidi" w:hAnsiTheme="majorBidi" w:cstheme="majorBidi"/>
        </w:rPr>
        <w:fldChar w:fldCharType="separate"/>
      </w:r>
      <w:r w:rsidR="006023CF" w:rsidRPr="006023CF">
        <w:rPr>
          <w:rFonts w:ascii="Times New Roman" w:hAnsi="Times New Roman" w:cs="Times New Roman"/>
        </w:rPr>
        <w:t>(Ratcliff et al., 2006b)</w:t>
      </w:r>
      <w:r w:rsidR="006023CF">
        <w:rPr>
          <w:rFonts w:asciiTheme="majorBidi" w:hAnsiTheme="majorBidi" w:cstheme="majorBidi"/>
        </w:rPr>
        <w:fldChar w:fldCharType="end"/>
      </w:r>
      <w:r w:rsidR="006023CF">
        <w:rPr>
          <w:rFonts w:asciiTheme="majorBidi" w:hAnsiTheme="majorBidi" w:cstheme="majorBidi"/>
        </w:rPr>
        <w:t xml:space="preserve"> </w:t>
      </w:r>
      <w:r w:rsidRPr="001748B7">
        <w:rPr>
          <w:rFonts w:asciiTheme="majorBidi" w:hAnsiTheme="majorBidi" w:cstheme="majorBidi"/>
        </w:rPr>
        <w:t xml:space="preserve">which resulted in the overall removal of 0.27% of trials. </w:t>
      </w:r>
      <w:bookmarkStart w:id="145" w:name="_Hlk110616600"/>
      <w:r w:rsidRPr="001748B7">
        <w:rPr>
          <w:rFonts w:asciiTheme="majorBidi" w:hAnsiTheme="majorBidi" w:cstheme="majorBidi"/>
        </w:rPr>
        <w:t xml:space="preserve">There are a wide variety of sequential sampling models that are based on the common underlying assumption that decisions arise from a noisy accumulation-to-threshold process </w:t>
      </w:r>
      <w:r w:rsidR="00461459">
        <w:rPr>
          <w:rFonts w:asciiTheme="majorBidi" w:hAnsiTheme="majorBidi" w:cstheme="majorBidi"/>
        </w:rPr>
        <w:fldChar w:fldCharType="begin"/>
      </w:r>
      <w:r w:rsidR="002624F0">
        <w:rPr>
          <w:rFonts w:asciiTheme="majorBidi" w:hAnsiTheme="majorBidi" w:cstheme="majorBidi"/>
        </w:rPr>
        <w:instrText xml:space="preserve"> ADDIN ZOTERO_ITEM CSL_CITATION {"citationID":"lRL16o0F","properties":{"formattedCitation":"(Bogacz et al., 2006; Busemeyer et al., 2019)","plainCitation":"(Bogacz et al., 2006; Busemeyer et al., 2019)","noteIndex":0},"citationItems":[{"id":781,"uris":["http://zotero.org/users/7873587/items/UF7JSHMJ"],"itemData":{"id":781,"type":"article-journal","abstract":"In this article, the authors consider optimal decision making in two-alternative forced-choice (TAFC) tasks. They begin by analyzing 6 models of TAFC decision making and show that all but one can be reduced to the drift diffusion model, implementing the statistically optimal algorithm (most accurate for a given speed or fastest for a given accuracy). They prove further that there is always an optimal trade-off between speed and accuracy that maximizes various reward functions, including reward rate (percentage of correct responses per unit time), as well as several other objective functions, including ones weighted for accuracy. They use these findings to address empirical data and make novel predictions about performance under optimality.","container-title":"Psychological Review","DOI":"10.1037/0033-295X.113.4.700","ISSN":"0033-295X","issue":"4","journalAbbreviation":"Psychol Rev","language":"eng","note":"PMID: 17014301","page":"700-765","source":"PubMed","title":"The physics of optimal decision making: a formal analysis of models of performance in two-alternative forced-choice tasks","title-short":"The physics of optimal decision making","volume":"113","author":[{"family":"Bogacz","given":"Rafal"},{"family":"Brown","given":"Eric"},{"family":"Moehlis","given":"Jeff"},{"family":"Holmes","given":"Philip"},{"family":"Cohen","given":"Jonathan D."}],"issued":{"date-parts":[["2006",10]]}},"label":"act"},{"id":783,"uris":["http://zotero.org/users/7873587/items/S3GSU9XD"],"itemData":{"id":783,"type":"article-journal","container-title":"Trends in Cognitive Sciences","DOI":"10.1016/j.tics.2018.12.003","ISSN":"1364-6613, 1879-307X","issue":"3","journalAbbreviation":"Trends in Cognitive Sciences","language":"English","note":"publisher: Elsevier\nPMID: 30630672","page":"251-263","source":"www.cell.com","title":"Cognitive and neural bases of multi-attribute, multi-alternative, value-based decisions","volume":"23","author":[{"family":"Busemeyer","given":"Jerome R."},{"family":"Gluth","given":"Sebastian"},{"family":"Rieskamp","given":"Jörg"},{"family":"Turner","given":"Brandon M."}],"issued":{"date-parts":[["2019",3,1]]}},"label":"act"}],"schema":"https://github.com/citation-style-language/schema/raw/master/csl-citation.json"} </w:instrText>
      </w:r>
      <w:r w:rsidR="00461459">
        <w:rPr>
          <w:rFonts w:asciiTheme="majorBidi" w:hAnsiTheme="majorBidi" w:cstheme="majorBidi"/>
        </w:rPr>
        <w:fldChar w:fldCharType="separate"/>
      </w:r>
      <w:r w:rsidR="00461459" w:rsidRPr="00461459">
        <w:rPr>
          <w:rFonts w:ascii="Times New Roman" w:hAnsi="Times New Roman" w:cs="Times New Roman"/>
        </w:rPr>
        <w:t>(Bogacz et al., 2006; Busemeyer et al., 2019)</w:t>
      </w:r>
      <w:r w:rsidR="00461459">
        <w:rPr>
          <w:rFonts w:asciiTheme="majorBidi" w:hAnsiTheme="majorBidi" w:cstheme="majorBidi"/>
        </w:rPr>
        <w:fldChar w:fldCharType="end"/>
      </w:r>
      <w:r w:rsidRPr="001748B7">
        <w:rPr>
          <w:rFonts w:asciiTheme="majorBidi" w:hAnsiTheme="majorBidi" w:cstheme="majorBidi"/>
        </w:rPr>
        <w:t>. A prominent example is the DDM (</w:t>
      </w:r>
      <w:bookmarkStart w:id="146" w:name="_Hlk110704970"/>
      <w:r w:rsidRPr="001748B7">
        <w:rPr>
          <w:rFonts w:asciiTheme="majorBidi" w:hAnsiTheme="majorBidi" w:cstheme="majorBidi"/>
        </w:rPr>
        <w:t xml:space="preserve">Ratcliff &amp; </w:t>
      </w:r>
      <w:proofErr w:type="spellStart"/>
      <w:r w:rsidRPr="001748B7">
        <w:rPr>
          <w:rFonts w:asciiTheme="majorBidi" w:hAnsiTheme="majorBidi" w:cstheme="majorBidi"/>
        </w:rPr>
        <w:t>McKoon</w:t>
      </w:r>
      <w:proofErr w:type="spellEnd"/>
      <w:r w:rsidRPr="001748B7">
        <w:rPr>
          <w:rFonts w:asciiTheme="majorBidi" w:hAnsiTheme="majorBidi" w:cstheme="majorBidi"/>
        </w:rPr>
        <w:t>, 2008</w:t>
      </w:r>
      <w:bookmarkEnd w:id="146"/>
      <w:r w:rsidRPr="001748B7">
        <w:rPr>
          <w:rFonts w:asciiTheme="majorBidi" w:hAnsiTheme="majorBidi" w:cstheme="majorBidi"/>
        </w:rPr>
        <w:t>), of which there are also variations, but no consensus of which model is optimal to use. We fitted the EZ-DDM (</w:t>
      </w:r>
      <w:proofErr w:type="spellStart"/>
      <w:r w:rsidRPr="001748B7">
        <w:rPr>
          <w:rFonts w:asciiTheme="majorBidi" w:hAnsiTheme="majorBidi" w:cstheme="majorBidi"/>
        </w:rPr>
        <w:t>Wagenmakers</w:t>
      </w:r>
      <w:proofErr w:type="spellEnd"/>
      <w:r w:rsidRPr="001748B7">
        <w:rPr>
          <w:rFonts w:asciiTheme="majorBidi" w:hAnsiTheme="majorBidi" w:cstheme="majorBidi"/>
        </w:rPr>
        <w:t xml:space="preserve"> et al., 2007) to RT and accuracy data from the VBDM task. This simplified version of the DDM is a powerful tool </w:t>
      </w:r>
      <w:r w:rsidR="00461459">
        <w:rPr>
          <w:rFonts w:asciiTheme="majorBidi" w:hAnsiTheme="majorBidi" w:cstheme="majorBidi"/>
        </w:rPr>
        <w:fldChar w:fldCharType="begin"/>
      </w:r>
      <w:r w:rsidR="00461459">
        <w:rPr>
          <w:rFonts w:asciiTheme="majorBidi" w:hAnsiTheme="majorBidi" w:cstheme="majorBidi"/>
        </w:rPr>
        <w:instrText xml:space="preserve"> ADDIN ZOTERO_ITEM CSL_CITATION {"citationID":"TKxxZ9Y7","properties":{"formattedCitation":"(van Ravenzwaaij et al., 2017)","plainCitation":"(van Ravenzwaaij et al., 2017)","noteIndex":0},"citationItems":[{"id":666,"uris":["http://zotero.org/users/7873587/items/RHXJY3NJ"],"itemData":{"id":666,"type":"article-journal","abstract":"Over the last four decades, sequential accumulation models for choice response times have spread through cognitive psychology like wildfire. The most popular style of accumulator model is the diffusion model (Ratcliff Psychological Review, 85, 59-108, 1978), which has been shown to account for data from a wide range of paradigms, including perceptual discrimination, letter identification, lexical decision, recognition memory, and signal detection. Since its original inception, the model has become increasingly complex in order to account for subtle, but reliable, data patterns. The additional complexity of the diffusion model renders it a tool that is only for experts. In response, Wagenmakers et al. (Psychonomic Bulletin &amp; Review, 14, 3-22, 2007) proposed that researchers could use a more basic version of the diffusion model, the EZ diffusion. Here, we simulate experimental effects on data generated from the full diffusion model and compare the power of the full diffusion model and EZ diffusion to detect those effects. We show that the EZ diffusion model, by virtue of its relative simplicity, will be sometimes better able to detect experimental effects than the data-generating full diffusion model.","container-title":"Psychonomic Bulletin &amp; Review","DOI":"10.3758/s13423-016-1081-y","ISSN":"1531-5320","issue":"2","journalAbbreviation":"Psychon Bull Rev","language":"eng","note":"PMID: 27352898\nPMCID: PMC5389995","page":"547-556","source":"PubMed","title":"The EZ diffusion model provides a powerful test of simple empirical effects","volume":"24","author":[{"family":"Ravenzwaaij","given":"Don","non-dropping-particle":"van"},{"family":"Donkin","given":"Chris"},{"family":"Vandekerckhove","given":"Joachim"}],"issued":{"date-parts":[["2017",4]]}}}],"schema":"https://github.com/citation-style-language/schema/raw/master/csl-citation.json"} </w:instrText>
      </w:r>
      <w:r w:rsidR="00461459">
        <w:rPr>
          <w:rFonts w:asciiTheme="majorBidi" w:hAnsiTheme="majorBidi" w:cstheme="majorBidi"/>
        </w:rPr>
        <w:fldChar w:fldCharType="separate"/>
      </w:r>
      <w:r w:rsidR="00461459" w:rsidRPr="00461459">
        <w:rPr>
          <w:rFonts w:ascii="Times New Roman" w:hAnsi="Times New Roman" w:cs="Times New Roman"/>
        </w:rPr>
        <w:t>(van Ravenzwaaij et al., 2017)</w:t>
      </w:r>
      <w:r w:rsidR="00461459">
        <w:rPr>
          <w:rFonts w:asciiTheme="majorBidi" w:hAnsiTheme="majorBidi" w:cstheme="majorBidi"/>
        </w:rPr>
        <w:fldChar w:fldCharType="end"/>
      </w:r>
      <w:r w:rsidR="00461459">
        <w:rPr>
          <w:rFonts w:asciiTheme="majorBidi" w:hAnsiTheme="majorBidi" w:cstheme="majorBidi"/>
        </w:rPr>
        <w:t xml:space="preserve"> </w:t>
      </w:r>
      <w:r w:rsidRPr="001748B7">
        <w:rPr>
          <w:rFonts w:asciiTheme="majorBidi" w:hAnsiTheme="majorBidi" w:cstheme="majorBidi"/>
        </w:rPr>
        <w:t xml:space="preserve">that allows researchers to overcome the complexity of the parameter fitting procedure of the full DDM (Stafford et al., 2020). Crucially, research has demonstrated that relatively simple models such as the EZ-DDM yield comparatively accurate and robust inferences when compared to more complex model fitting approaches </w:t>
      </w:r>
      <w:r w:rsidR="00B722FA" w:rsidRPr="00BA090B">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{"citationID":"vmfTNYzP","properties":{"formattedCitation":"(Dutilh et al., 2019; Lerche et al., 2017; H. Lin et al., 2020; Stafford et al., 2020; van Ravenzwaaij &amp; Oberauer, 2009)","plainCitation":"(Dutilh et al., 2019; Lerche et al., 2017; H. Lin et al., 2020; Stafford et al., 2020; van Ravenzwaaij &amp; Oberauer, 2009)","dontUpdate":true,"noteIndex":0},"citationItems":[{"id":788,"uris":["http://zotero.org/users/7873587/items/UBYNDHFR"],"itemData":{"id":788,"type":"article-journal","abstract":"Most data analyses rely on models. To complement statistical models, psychologists have developed cognitive models, which translate observed variables into psychologically interesting constructs. Response time models, in particular, assume that response time and accuracy are the observed expression of latent variables including 1) ease of processing, 2) response caution, 3) response bias, and 4) non-decision time. Inferences about these psychological factors, hinge upon the validity of the models' parameters. Here, we use a blinded, collaborative approach to assess the validity of such model-based inferences. Seventeen teams of researchers analyzed the same 14 data sets. In each of these two-condition data sets, we manipulated properties of participants' behavior in a two-alternative forced choice task. The contributing teams were blind to the manipulations, and had to infer what aspect of behavior was changed using their method of choice. The contributors chose to employ a variety of models, estimation methods, and inference procedures. Our results show that, although conclusions were similar across different methods, these \"modeler's degrees of freedom\" did affect their inferences. Interestingly, many of the simpler approaches yielded as robust and accurate inferences as the more complex methods. We recommend that, in general, cognitive models become a typical analysis tool for response time data. In particular, we argue that the simpler models and procedures are sufficient for standard experimental designs. We finish by outlining situations in which more complicated models and methods may be necessary, and discuss potential pitfalls when interpreting the output from response time models.","container-title":"Psychonomic Bulletin &amp; Review","DOI":"10.3758/s13423-017-1417-2","ISSN":"1531-5320","issue":"4","journalAbbreviation":"Psychon Bull Rev","language":"eng","note":"PMID: 29450793\nPMCID: PMC6449220","page":"1051-1069","source":"PubMed","title":"The quality of response time data inference: A blinded, collaborative assessment of the validity of cognitive models","title-short":"The Quality of Response Time Data Inference","volume":"26","author":[{"family":"Dutilh","given":"Gilles"},{"family":"Annis","given":"Jeffrey"},{"family":"Brown","given":"Scott D."},{"family":"Cassey","given":"Peter"},{"family":"Evans","given":"Nathan J."},{"family":"Grasman","given":"Raoul P. P. P."},{"family":"Hawkins","given":"Guy E."},{"family":"Heathcote","given":"Andrew"},{"family":"Holmes","given":"William R."},{"family":"Krypotos","given":"Angelos-Miltiadis"},{"family":"Kupitz","given":"Colin N."},{"family":"Leite","given":"Fábio P."},{"family":"Lerche","given":"Veronika"},{"family":"Lin","given":"Yi-Shin"},{"family":"Logan","given":"Gordon D."},{"family":"Palmeri","given":"Thomas J."},{"family":"Starns","given":"Jeffrey J."},{"family":"Trueblood","given":"Jennifer S."},{"family":"Maanen","given":"Leendert","non-dropping-particle":"van"},{"family":"Ravenzwaaij","given":"Don","non-dropping-particle":"van"},{"family":"Vandekerckhove","given":"Joachim"},{"family":"Visser","given":"Ingmar"},{"family":"Voss","given":"Andreas"},{"family":"White","given":"Corey N."},{"family":"Wiecki","given":"Thomas V."},{"family":"Rieskamp","given":"Jörg"},{"family":"Donkin","given":"Chris"}],"issued":{"date-parts":[["2019",8]]}},"label":"act"},{"id":745,"uris":["http://zotero.org/users/7873587/items/VKS26BGK"],"itemData":{"id":745,"type":"article-journal","abstract":"Diffusion models (Ratcliff, 1978) make it possible to identify and separate different cognitive processes underlying responses in binary decision tasks (e.g., the speed of information accumulation vs. the degree of response conservatism). This becomes possible because of the high degree of information utilization involved. Not only mean response times or error rates are used for the parameter estimation, but also the response time distributions of both correct and error responses. In a series of simulation studies, the efficiency and robustness of parameter recovery were compared for models differing in complexity (i.e., in numbers of free parameters) and trial numbers (ranging from 24 to 5,000) using three different optimization criteria (maximum likelihood, Kolmogorov–Smirnov, and chi-square) that are all implemented in the latest version of fast-dm (Voss, Voss, &amp; Lerche, 2015). The results revealed that maximum likelihood is superior for uncontaminated data, but in the presence of fast contaminants, Kolmogorov–Smirnov outperforms the other two methods. For most conditions, chi-square-based parameter estimations lead to less precise results than the other optimization criteria. The performance of the fast-dm methods was compared to the EZ approach (Wagenmakers, van der Maas, &amp; Grasman, 2007) and to a Bayesian implementation (Wiecki, Sofer, &amp; Frank, 2013). Recommendations for trial numbers are derived from the results for models of different complexities. Interestingly, under certain conditions even small numbers of trials (N &lt; 100) are sufficient for robust parameter estimation.","container-title":"Behavior Research Methods","DOI":"10.3758/s13428-016-0740-2","ISSN":"1554-3528","issue":"2","journalAbbreviation":"Behav Res","language":"en","page":"513-537","source":"Springer Link","title":"How many trials are required for parameter estimation in diffusion modeling? A comparison of different optimization criteria","title-short":"How many trials are required for parameter estimation in diffusion modeling?","volume":"49","author":[{"family":"Lerche","given":"Veronika"},{"family":"Voss","given":"Andreas"},{"family":"Nagler","given":"Markus"}],"issued":{"date-parts":[["2017",4,1]]}},"label":"act"},{"id":786,"uris":["http://zotero.org/users/7873587/items/DNIW8TPI"],"itemData":{"id":786,"type":"article-journal","abstract":"People feel tired or depleted after exerting mental effort. But even preregistered studies often fail to find effects of exerting effort on behavioral performance in the laboratory or elucidate the underlying psychology. We tested a new paradigm in four preregistered within-subjects studies (N = 686). An initial high-demand task reliably elicited very strong effort phenomenology compared with a low-demand task. Afterward, participants completed a Stroop task. We used drift-diffusion modeling to obtain the boundary (response caution) and drift-rate (information-processing speed) parameters. Bayesian analyses indicated that the high-demand manipulation reduced boundary but not drift rate. Increased effort sensations further predicted reduced boundary. However, our demand manipulation did not affect subsequent inhibition, as assessed with traditional Stroop behavioral measures and additional diffusion-model analyses for conflict tasks. Thus, effort exertion reduced response caution rather than inhibitory control, suggesting that after exerting effort, people disengage and become uninterested in exerting further effort.","container-title":"Psychological Science","DOI":"10.1177/0956797620904990","ISSN":"0956-7976","issue":"5","journalAbbreviation":"Psychol Sci","language":"en","note":"publisher: SAGE Publications Inc","page":"531-547","source":"SAGE Journals","title":"Strong effort manipulations reduce response caution: a preregistered reinvention of the ego-depletion paradigm","title-short":"Strong Effort Manipulations Reduce Response Caution","volume":"31","author":[{"family":"Lin","given":"Hause"},{"family":"Saunders","given":"Blair"},{"family":"Friese","given":"Malte"},{"family":"Evans","given":"Nathan J."},{"family":"Inzlicht","given":"Michael"}],"issued":{"date-parts":[["2020",5,1]]}},"label":"act"},{"id":54,"uris":["http://zotero.org/users/7873587/items/UE7Y9KMI"],"itemData":{"id":54,"type":"article-journal","abstract":"Response time and accuracy are fundamental measures of behavioral science, but discerning participants’ underlying abilities can be masked by speed–accuracy trade-offs (SATOs). SATOs are often inadequately addressed in experiment analyses which focus on a single variable or which involve a suboptimal analytic correction. Models of decision-making, such as the drift diffusion model (DDM), provide a principled account of the decision-making process, allowing the recovery of SATO-unconfounded decision parameters from observed behavioral variables. For plausible parameters of a typical between-groups experiment, we simulate experimental data, for both real and null group differences in participants’ ability to discriminate stimuli (represented by differences in the drift rate parameter of the DDM used to generate the simulated data), for both systematic and null SATOs. We then use the DDM to fit the generated data. This allows the direct comparison of the specificity and sensitivity for testing of group differences of different measures (accuracy, reaction time, and the drift rate from the model fitting). Our purpose here is not to make a theoretical innovation in decision modeling, but to use established decision models to demonstrate and quantify the benefits of decision modeling for experimentalists. We show, in terms of reduction of required sample size, how decision modeling can allow dramatically more efficient data collection for set statistical power; we confirm and depict the non-linear speed–accuracy relation; and we show how accuracy can be a more sensitive measure than response time given decision parameters which reasonably reflect a typical experiment.","container-title":"Behavior Research Methods","DOI":"10.3758/s13428-020-01372-w","ISSN":"1554-3528","issue":"5","journalAbbreviation":"Behav Res","language":"en","page":"2142-2155","source":"Springer Link","title":"Quantifying the benefits of using decision models with response time and accuracy data","volume":"52","author":[{"family":"Stafford","given":"Tom"},{"family":"Pirrone","given":"Angelo"},{"family":"Croucher","given":"Mike"},{"family":"Krystalli","given":"Anna"}],"issued":{"date-parts":[["2020"]]}},"label":"act"},{"id":1716,"uris":["http://zotero.org/users/7873587/items/SM4SGIZ8"],"itemData":{"id":1716,"type":"article-journal","abstract":"Parameter recovery of three different implementations of the Ratcliff diffusion model was investigated: the EZ model (Wagenmakers, van der Maas, &amp; Grasman, 2007), fast-dm (Voss &amp; Voss, 2007), and DMAT (Vandekerckhove &amp; Tuerlinckx, 2007). Their capacity to recover both the mean structure and individual differences in parameter values was explored. The three methods were applied to simulated data generated by the diffusion model, by the leaky, competing accumulator (LCA) model (Usher &amp; McClelland, 2001) and by the linear ballistic accumulator (LBA) model (Brown &amp; Heathcote, 2008). Results show that EZ and DMAT are better capable than fast-dm in recovering experimental effects on parameters. EZ was best in recovering individual differences in parameter values. When data were generated by the LCA model, the diffusion model estimates obtained with all three methods correlated well with corresponding LCA model parameters. No such one-on-one correspondence could be established between parameters of the LBA model and the diffusion model.","container-title":"Journal of Mathematical Psychology","DOI":"10.1016/j.jmp.2009.09.004","ISSN":"0022-2496","issue":"6","journalAbbreviation":"Journal of Mathematical Psychology","language":"en","page":"463-473","source":"ScienceDirect","title":"How to use the diffusion model: Parameter recovery of three methods: EZ, fast-dm, and DMAT","title-short":"How to use the diffusion model","volume":"53","author":[{"family":"Ravenzwaaij","given":"Don","non-dropping-particle":"van"},{"family":"Oberauer","given":"Klaus"}],"issued":{"date-parts":[["2009",12,1]]}},"label":"act"}],"schema":"https://github.com/citation-style-language/schema/raw/master/csl-citation.json"} </w:instrText>
      </w:r>
      <w:r w:rsidR="00B722FA" w:rsidRPr="00BA090B">
        <w:rPr>
          <w:rFonts w:ascii="Times New Roman" w:hAnsi="Times New Roman" w:cs="Times New Roman"/>
        </w:rPr>
        <w:fldChar w:fldCharType="separate"/>
      </w:r>
      <w:r w:rsidR="007A0B2F" w:rsidRPr="007A0B2F">
        <w:rPr>
          <w:rFonts w:ascii="Times New Roman" w:hAnsi="Times New Roman" w:cs="Times New Roman"/>
        </w:rPr>
        <w:t>(Dutilh et al., 2019; Lerche et al., 2017; Lin et al., 2020; Stafford et al., 2020; van Ravenzwaaij &amp; Oberauer, 2009)</w:t>
      </w:r>
      <w:r w:rsidR="00B722FA" w:rsidRPr="00BA090B">
        <w:rPr>
          <w:rFonts w:ascii="Times New Roman" w:hAnsi="Times New Roman" w:cs="Times New Roman"/>
        </w:rPr>
        <w:fldChar w:fldCharType="end"/>
      </w:r>
      <w:r w:rsidRPr="001748B7">
        <w:rPr>
          <w:rFonts w:asciiTheme="majorBidi" w:hAnsiTheme="majorBidi" w:cstheme="majorBidi"/>
        </w:rPr>
        <w:t xml:space="preserve">. </w:t>
      </w:r>
      <w:bookmarkEnd w:id="145"/>
      <w:r w:rsidRPr="001748B7">
        <w:rPr>
          <w:rFonts w:asciiTheme="majorBidi" w:hAnsiTheme="majorBidi" w:cstheme="majorBidi"/>
        </w:rPr>
        <w:t>The EZ-DDM takes the mean correct RT, variance of correct RT, and response accuracy as input and produces three key parameters, which are drift rate (</w:t>
      </w:r>
      <w:r w:rsidRPr="00493C57">
        <w:rPr>
          <w:rFonts w:asciiTheme="majorBidi" w:hAnsiTheme="majorBidi" w:cstheme="majorBidi"/>
          <w:i/>
          <w:iCs/>
        </w:rPr>
        <w:t>v</w:t>
      </w:r>
      <w:r w:rsidRPr="001748B7">
        <w:rPr>
          <w:rFonts w:asciiTheme="majorBidi" w:hAnsiTheme="majorBidi" w:cstheme="majorBidi"/>
        </w:rPr>
        <w:t>), boundary separation (</w:t>
      </w:r>
      <w:r w:rsidRPr="00493C57">
        <w:rPr>
          <w:rFonts w:asciiTheme="majorBidi" w:hAnsiTheme="majorBidi" w:cstheme="majorBidi"/>
          <w:i/>
          <w:iCs/>
        </w:rPr>
        <w:t>a</w:t>
      </w:r>
      <w:r w:rsidRPr="001748B7">
        <w:rPr>
          <w:rFonts w:asciiTheme="majorBidi" w:hAnsiTheme="majorBidi" w:cstheme="majorBidi"/>
        </w:rPr>
        <w:t>), and non-decision time (</w:t>
      </w:r>
      <w:r w:rsidRPr="00493C57">
        <w:rPr>
          <w:rFonts w:asciiTheme="majorBidi" w:hAnsiTheme="majorBidi" w:cstheme="majorBidi"/>
          <w:i/>
          <w:iCs/>
        </w:rPr>
        <w:t>T</w:t>
      </w:r>
      <w:r w:rsidRPr="00493C57">
        <w:rPr>
          <w:rFonts w:asciiTheme="majorBidi" w:hAnsiTheme="majorBidi" w:cstheme="majorBidi"/>
          <w:i/>
          <w:iCs/>
          <w:vertAlign w:val="subscript"/>
        </w:rPr>
        <w:t>er</w:t>
      </w:r>
      <w:r w:rsidRPr="001748B7">
        <w:rPr>
          <w:rFonts w:asciiTheme="majorBidi" w:hAnsiTheme="majorBidi" w:cstheme="majorBidi"/>
        </w:rPr>
        <w:t>). We estimated the parameters for each participant in each condition and for each difficulty level.</w:t>
      </w:r>
    </w:p>
    <w:p w14:paraId="5AE98E72" w14:textId="4D0A8015" w:rsidR="00000B41" w:rsidRDefault="00000B41" w:rsidP="00493C57">
      <w:pPr>
        <w:pStyle w:val="NoSpacing"/>
        <w:spacing w:line="480" w:lineRule="auto"/>
      </w:pPr>
    </w:p>
    <w:p w14:paraId="1B911599" w14:textId="65530961" w:rsidR="00493C57" w:rsidRDefault="00493C57" w:rsidP="006923E1">
      <w:pPr>
        <w:pStyle w:val="NoSpacing"/>
        <w:spacing w:line="480" w:lineRule="auto"/>
        <w:rPr>
          <w:rFonts w:asciiTheme="majorBidi" w:hAnsiTheme="majorBidi" w:cstheme="majorBidi"/>
        </w:rPr>
      </w:pPr>
      <w:r w:rsidRPr="00493C57">
        <w:rPr>
          <w:rFonts w:asciiTheme="majorBidi" w:hAnsiTheme="majorBidi" w:cstheme="majorBidi"/>
        </w:rPr>
        <w:t>A two-way repeated measures ANOVA and correlational analyses were used to analyse EA rates in accordance with our primary hypotheses. We calculated Bayes factors in JASP using default priors</w:t>
      </w:r>
      <w:r w:rsidRPr="004B73B2">
        <w:rPr>
          <w:rStyle w:val="FootnoteReference"/>
        </w:rPr>
        <w:footnoteReference w:id="7"/>
      </w:r>
      <w:r w:rsidRPr="00493C57">
        <w:rPr>
          <w:rFonts w:asciiTheme="majorBidi" w:hAnsiTheme="majorBidi" w:cstheme="majorBidi"/>
        </w:rPr>
        <w:t xml:space="preserve"> (version 0.16; </w:t>
      </w:r>
      <w:r>
        <w:rPr>
          <w:rFonts w:asciiTheme="majorBidi" w:hAnsiTheme="majorBidi" w:cstheme="majorBidi"/>
        </w:rPr>
        <w:fldChar w:fldCharType="begin"/>
      </w:r>
      <w:r w:rsidR="003C1591">
        <w:rPr>
          <w:rFonts w:asciiTheme="majorBidi" w:hAnsiTheme="majorBidi" w:cstheme="majorBidi"/>
        </w:rPr>
        <w:instrText xml:space="preserve"> ADDIN ZOTERO_ITEM CSL_CITATION {"citationID":"P0ORRRBI","properties":{"formattedCitation":"(JASP Team, 2021)","plainCitation":"(JASP Team, 2021)","dontUpdate":true,"noteIndex":0},"citationItems":[{"id":669,"uris":["http://zotero.org/users/7873587/items/NK4VM4W6"],"itemData":{"id":669,"type":"software","title":"JASP (Version 0.16)","URL":"https://jasp-stats.org/","author":[{"literal":"JASP Team"}],"issued":{"date-parts":[["2021"]]}}}],"schema":"https://github.com/citation-style-language/schema/raw/master/csl-citation.json"} </w:instrText>
      </w:r>
      <w:r>
        <w:rPr>
          <w:rFonts w:asciiTheme="majorBidi" w:hAnsiTheme="majorBidi" w:cstheme="majorBidi"/>
        </w:rPr>
        <w:fldChar w:fldCharType="separate"/>
      </w:r>
      <w:r w:rsidR="006923E1" w:rsidRPr="006923E1">
        <w:rPr>
          <w:rFonts w:ascii="Times New Roman" w:hAnsi="Times New Roman" w:cs="Times New Roman"/>
        </w:rPr>
        <w:t>JASP Team, 2021)</w:t>
      </w:r>
      <w:r>
        <w:rPr>
          <w:rFonts w:asciiTheme="majorBidi" w:hAnsiTheme="majorBidi" w:cstheme="majorBidi"/>
        </w:rPr>
        <w:fldChar w:fldCharType="end"/>
      </w:r>
      <w:r w:rsidRPr="00493C57">
        <w:rPr>
          <w:rFonts w:asciiTheme="majorBidi" w:hAnsiTheme="majorBidi" w:cstheme="majorBidi"/>
        </w:rPr>
        <w:t xml:space="preserve"> because we hypothesised specifically that </w:t>
      </w:r>
      <w:r w:rsidRPr="00493C57">
        <w:rPr>
          <w:rFonts w:asciiTheme="majorBidi" w:hAnsiTheme="majorBidi" w:cstheme="majorBidi"/>
        </w:rPr>
        <w:lastRenderedPageBreak/>
        <w:t xml:space="preserve">trial wording would not affect EA rates and this method allows us to quantify evidence in favour of the null hypothesis beyond p-values </w:t>
      </w:r>
      <w:r w:rsidR="006923E1">
        <w:rPr>
          <w:rFonts w:asciiTheme="majorBidi" w:hAnsiTheme="majorBidi" w:cstheme="majorBidi"/>
        </w:rPr>
        <w:fldChar w:fldCharType="begin"/>
      </w:r>
      <w:r w:rsidR="006923E1">
        <w:rPr>
          <w:rFonts w:asciiTheme="majorBidi" w:hAnsiTheme="majorBidi" w:cstheme="majorBidi"/>
        </w:rPr>
        <w:instrText xml:space="preserve"> ADDIN ZOTERO_ITEM CSL_CITATION {"citationID":"TOgDDgN7","properties":{"formattedCitation":"(Wagenmakers et al., 2018)","plainCitation":"(Wagenmakers et al., 2018)","noteIndex":0},"citationItems":[{"id":679,"uris":["http://zotero.org/users/7873587/items/8XTJ2U4M"],"itemData":{"id":679,"type":"article-journal","abstract":"Bayesian hypothesis testing presents an attractive alternative to p value hypothesis testing. Part I of this series outlined several advantages of Bayesian hypothesis testing, including the ability to quantify evidence and the ability to monitor and update this evidence as data come in, without the need to know the intention with which the data were collected. Despite these and other practical advantages, Bayesian hypothesis tests are still reported relatively rarely. An important impediment to the widespread adoption of Bayesian tests is arguably the lack of user-friendly software for the run-of-the-mill statistical problems that confront psychologists for the analysis of almost every experiment: the t-test, ANOVA, correlation, regression, and contingency tables. In Part II of this series we introduce JASP (http://www.jasp-stats.org), an open-source, cross-platform, user-friendly graphical software package that allows users to carry out Bayesian hypothesis tests for standard statistical problems. JASP is based in part on the Bayesian analyses implemented in Morey and Rouder’s BayesFactor package for R. Armed with JASP, the practical advantages of Bayesian hypothesis testing are only a mouse click away.","container-title":"Psychonomic Bulletin &amp; Review","DOI":"10.3758/s13423-017-1323-7","ISSN":"1531-5320","issue":"1","journalAbbreviation":"Psychon Bull Rev","language":"en","page":"58-76","source":"Springer Link","title":"Bayesian inference for psychology. Part II: Example applications with JASP","title-short":"Bayesian inference for psychology. Part II","volume":"25","author":[{"family":"Wagenmakers","given":"Eric-Jan"},{"family":"Love","given":"Jonathon"},{"family":"Marsman","given":"Maarten"},{"family":"Jamil","given":"Tahira"},{"family":"Ly","given":"Alexander"},{"family":"Verhagen","given":"Josine"},{"family":"Selker","given":"Ravi"},{"family":"Gronau","given":"Quentin F."},{"family":"Dropmann","given":"Damian"},{"family":"Boutin","given":"Bruno"},{"family":"Meerhoff","given":"Frans"},{"family":"Knight","given":"Patrick"},{"family":"Raj","given":"Akash"},{"family":"Kesteren","given":"Erik-Jan","non-dropping-particle":"van"},{"family":"Doorn","given":"Johnny","non-dropping-particle":"van"},{"family":"Šmíra","given":"Martin"},{"family":"Epskamp","given":"Sacha"},{"family":"Etz","given":"Alexander"},{"family":"Matzke","given":"Dora"},{"family":"Jong","given":"Tim","non-dropping-particle":"de"},{"family":"Bergh","given":"Don","non-dropping-particle":"van den"},{"family":"Sarafoglou","given":"Alexandra"},{"family":"Steingroever","given":"Helen"},{"family":"Derks","given":"Koen"},{"family":"Rouder","given":"Jeffrey N."},{"family":"Morey","given":"Richard D."}],"issued":{"date-parts":[["2018",2,1]]}}}],"schema":"https://github.com/citation-style-language/schema/raw/master/csl-citation.json"} </w:instrText>
      </w:r>
      <w:r w:rsidR="006923E1">
        <w:rPr>
          <w:rFonts w:asciiTheme="majorBidi" w:hAnsiTheme="majorBidi" w:cstheme="majorBidi"/>
        </w:rPr>
        <w:fldChar w:fldCharType="separate"/>
      </w:r>
      <w:r w:rsidR="006923E1" w:rsidRPr="006923E1">
        <w:rPr>
          <w:rFonts w:ascii="Times New Roman" w:hAnsi="Times New Roman" w:cs="Times New Roman"/>
        </w:rPr>
        <w:t>(Wagenmakers et al., 2018)</w:t>
      </w:r>
      <w:r w:rsidR="006923E1">
        <w:rPr>
          <w:rFonts w:asciiTheme="majorBidi" w:hAnsiTheme="majorBidi" w:cstheme="majorBidi"/>
        </w:rPr>
        <w:fldChar w:fldCharType="end"/>
      </w:r>
      <w:r w:rsidRPr="00493C57">
        <w:rPr>
          <w:rFonts w:asciiTheme="majorBidi" w:hAnsiTheme="majorBidi" w:cstheme="majorBidi"/>
        </w:rPr>
        <w:t xml:space="preserve">. We used common cut-offs for interpretation </w:t>
      </w:r>
      <w:r w:rsidR="006923E1">
        <w:rPr>
          <w:rFonts w:asciiTheme="majorBidi" w:hAnsiTheme="majorBidi" w:cstheme="majorBidi"/>
        </w:rPr>
        <w:fldChar w:fldCharType="begin"/>
      </w:r>
      <w:r w:rsidR="006923E1">
        <w:rPr>
          <w:rFonts w:asciiTheme="majorBidi" w:hAnsiTheme="majorBidi" w:cstheme="majorBidi"/>
        </w:rPr>
        <w:instrText xml:space="preserve"> ADDIN ZOTERO_ITEM CSL_CITATION {"citationID":"kWLgcpuN","properties":{"formattedCitation":"(Jeffreys, 1961)","plainCitation":"(Jeffreys, 1961)","noteIndex":0},"citationItems":[{"id":670,"uris":["http://zotero.org/users/7873587/items/4KPJGZ26"],"itemData":{"id":670,"type":"book","edition":"3rd","event-place":"Oxford, UK","publisher":"Oxford University Press","publisher-place":"Oxford, UK","title":"Theory of probability","author":[{"family":"Jeffreys","given":"Harold"}],"issued":{"date-parts":[["1961"]]}}}],"schema":"https://github.com/citation-style-language/schema/raw/master/csl-citation.json"} </w:instrText>
      </w:r>
      <w:r w:rsidR="006923E1">
        <w:rPr>
          <w:rFonts w:asciiTheme="majorBidi" w:hAnsiTheme="majorBidi" w:cstheme="majorBidi"/>
        </w:rPr>
        <w:fldChar w:fldCharType="separate"/>
      </w:r>
      <w:r w:rsidR="006923E1" w:rsidRPr="006923E1">
        <w:rPr>
          <w:rFonts w:ascii="Times New Roman" w:hAnsi="Times New Roman" w:cs="Times New Roman"/>
        </w:rPr>
        <w:t>(Jeffreys, 1961)</w:t>
      </w:r>
      <w:r w:rsidR="006923E1">
        <w:rPr>
          <w:rFonts w:asciiTheme="majorBidi" w:hAnsiTheme="majorBidi" w:cstheme="majorBidi"/>
        </w:rPr>
        <w:fldChar w:fldCharType="end"/>
      </w:r>
      <w:r w:rsidRPr="00493C57">
        <w:rPr>
          <w:rFonts w:asciiTheme="majorBidi" w:hAnsiTheme="majorBidi" w:cstheme="majorBidi"/>
        </w:rPr>
        <w:t xml:space="preserve"> with Bayes factors greater than 3, or else lower than 0.3, representing evidence in favour of the experimental and null hypotheses, respectively. All other analyses were conducted in RStudio version 4.0.2 </w:t>
      </w:r>
      <w:r w:rsidR="006923E1">
        <w:rPr>
          <w:rFonts w:asciiTheme="majorBidi" w:hAnsiTheme="majorBidi" w:cstheme="majorBidi"/>
        </w:rPr>
        <w:fldChar w:fldCharType="begin"/>
      </w:r>
      <w:r w:rsidR="006923E1">
        <w:rPr>
          <w:rFonts w:asciiTheme="majorBidi" w:hAnsiTheme="majorBidi" w:cstheme="majorBidi"/>
        </w:rPr>
        <w:instrText xml:space="preserve"> ADDIN ZOTERO_ITEM CSL_CITATION {"citationID":"MN4tZjBv","properties":{"formattedCitation":"(R Core Team, 2020)","plainCitation":"(R Core Team, 2020)","noteIndex":0},"citationItems":[{"id":59,"uris":["http://zotero.org/users/7873587/items/YGGZGPSX"],"itemData":{"id":59,"type":"software","event-place":"Vienna, Austria","publisher":"R Foundation for Statistical Computing","publisher-place":"Vienna, Austria","title":"A language and environment for statistical computing","URL":"https://www.R-project.org/","author":[{"literal":"R Core Team"}],"issued":{"date-parts":[["2020"]]}}}],"schema":"https://github.com/citation-style-language/schema/raw/master/csl-citation.json"} </w:instrText>
      </w:r>
      <w:r w:rsidR="006923E1">
        <w:rPr>
          <w:rFonts w:asciiTheme="majorBidi" w:hAnsiTheme="majorBidi" w:cstheme="majorBidi"/>
        </w:rPr>
        <w:fldChar w:fldCharType="separate"/>
      </w:r>
      <w:r w:rsidR="006923E1" w:rsidRPr="006923E1">
        <w:rPr>
          <w:rFonts w:ascii="Times New Roman" w:hAnsi="Times New Roman" w:cs="Times New Roman"/>
        </w:rPr>
        <w:t>(R Core Team, 2020)</w:t>
      </w:r>
      <w:r w:rsidR="006923E1">
        <w:rPr>
          <w:rFonts w:asciiTheme="majorBidi" w:hAnsiTheme="majorBidi" w:cstheme="majorBidi"/>
        </w:rPr>
        <w:fldChar w:fldCharType="end"/>
      </w:r>
      <w:r w:rsidRPr="00493C57">
        <w:rPr>
          <w:rFonts w:asciiTheme="majorBidi" w:hAnsiTheme="majorBidi" w:cstheme="majorBidi"/>
        </w:rPr>
        <w:t>. We did not make any pre-registered hypotheses about other DDM outputs (response thresholds and non-decision time), but these exploratory analyses are reported in Appendix B.</w:t>
      </w:r>
    </w:p>
    <w:p w14:paraId="6E6D7D7F" w14:textId="77777777" w:rsidR="00493C57" w:rsidRDefault="00493C57" w:rsidP="00493C57">
      <w:pPr>
        <w:pStyle w:val="NoSpacing"/>
        <w:spacing w:line="480" w:lineRule="auto"/>
        <w:rPr>
          <w:rFonts w:asciiTheme="majorBidi" w:hAnsiTheme="majorBidi" w:cstheme="majorBidi"/>
        </w:rPr>
      </w:pPr>
    </w:p>
    <w:p w14:paraId="2CA1B303" w14:textId="3A1B061D" w:rsidR="00493C57" w:rsidRPr="00493C57" w:rsidRDefault="00493C57" w:rsidP="00493C57">
      <w:pPr>
        <w:pStyle w:val="Heading4"/>
      </w:pPr>
      <w:bookmarkStart w:id="147" w:name="_Toc110629053"/>
      <w:bookmarkStart w:id="148" w:name="_Toc110870961"/>
      <w:r>
        <w:t>3.3. Results</w:t>
      </w:r>
      <w:bookmarkEnd w:id="147"/>
      <w:bookmarkEnd w:id="148"/>
    </w:p>
    <w:p w14:paraId="18BAC644" w14:textId="77777777" w:rsidR="006923E1" w:rsidRPr="006923E1" w:rsidRDefault="006923E1" w:rsidP="006923E1">
      <w:pPr>
        <w:pStyle w:val="NoSpacing"/>
        <w:spacing w:line="480" w:lineRule="auto"/>
        <w:rPr>
          <w:rFonts w:asciiTheme="majorBidi" w:hAnsiTheme="majorBidi" w:cstheme="majorBidi"/>
          <w:b/>
          <w:bCs/>
        </w:rPr>
      </w:pPr>
      <w:r w:rsidRPr="006923E1">
        <w:rPr>
          <w:rFonts w:asciiTheme="majorBidi" w:hAnsiTheme="majorBidi" w:cstheme="majorBidi"/>
          <w:b/>
          <w:bCs/>
        </w:rPr>
        <w:t>Preregistered analyses</w:t>
      </w:r>
    </w:p>
    <w:p w14:paraId="0C7DFFE2" w14:textId="4DDBA2DA" w:rsidR="00000B41" w:rsidRDefault="006923E1" w:rsidP="006923E1">
      <w:pPr>
        <w:pStyle w:val="NoSpacing"/>
        <w:spacing w:line="480" w:lineRule="auto"/>
        <w:rPr>
          <w:rFonts w:asciiTheme="majorBidi" w:hAnsiTheme="majorBidi" w:cstheme="majorBidi"/>
        </w:rPr>
      </w:pPr>
      <w:r w:rsidRPr="006923E1">
        <w:rPr>
          <w:rFonts w:asciiTheme="majorBidi" w:hAnsiTheme="majorBidi" w:cstheme="majorBidi"/>
        </w:rPr>
        <w:t xml:space="preserve">EA rates were analysed using a two-way repeated measures ANOVA with trial wording (3: “consume”; “like”; “recall”) and trial difficulty (3: easy; medium, hard) as within-subject variables. There was a significant main effect of difficulty, </w:t>
      </w:r>
      <w:proofErr w:type="gramStart"/>
      <w:r w:rsidRPr="006923E1">
        <w:rPr>
          <w:rFonts w:asciiTheme="majorBidi" w:hAnsiTheme="majorBidi" w:cstheme="majorBidi"/>
          <w:i/>
          <w:iCs/>
        </w:rPr>
        <w:t>F</w:t>
      </w:r>
      <w:r w:rsidRPr="006923E1">
        <w:rPr>
          <w:rFonts w:asciiTheme="majorBidi" w:hAnsiTheme="majorBidi" w:cstheme="majorBidi"/>
        </w:rPr>
        <w:t>(</w:t>
      </w:r>
      <w:proofErr w:type="gramEnd"/>
      <w:r w:rsidRPr="006923E1">
        <w:rPr>
          <w:rFonts w:asciiTheme="majorBidi" w:hAnsiTheme="majorBidi" w:cstheme="majorBidi"/>
        </w:rPr>
        <w:t xml:space="preserve">2, 116) = 286.34, </w:t>
      </w:r>
      <w:r w:rsidRPr="006923E1">
        <w:rPr>
          <w:rFonts w:asciiTheme="majorBidi" w:hAnsiTheme="majorBidi" w:cstheme="majorBidi"/>
          <w:i/>
          <w:iCs/>
        </w:rPr>
        <w:t>p</w:t>
      </w:r>
      <w:r w:rsidRPr="006923E1">
        <w:rPr>
          <w:rFonts w:asciiTheme="majorBidi" w:hAnsiTheme="majorBidi" w:cstheme="majorBidi"/>
        </w:rPr>
        <w:t xml:space="preserve"> &lt; .001, </w:t>
      </w:r>
      <w:bookmarkStart w:id="149" w:name="_Hlk107842007"/>
      <w:r>
        <w:rPr>
          <w:rFonts w:asciiTheme="majorBidi" w:hAnsiTheme="majorBidi" w:cstheme="majorBidi"/>
        </w:rPr>
        <w:t>η</w:t>
      </w:r>
      <w:r>
        <w:rPr>
          <w:rFonts w:asciiTheme="majorBidi" w:hAnsiTheme="majorBidi" w:cstheme="majorBidi"/>
          <w:vertAlign w:val="subscript"/>
        </w:rPr>
        <w:t>p</w:t>
      </w:r>
      <w:r>
        <w:rPr>
          <w:rFonts w:asciiTheme="majorBidi" w:hAnsiTheme="majorBidi" w:cstheme="majorBidi"/>
          <w:vertAlign w:val="superscript"/>
        </w:rPr>
        <w:t>2</w:t>
      </w:r>
      <w:bookmarkEnd w:id="149"/>
      <w:r w:rsidRPr="006923E1">
        <w:rPr>
          <w:rFonts w:asciiTheme="majorBidi" w:hAnsiTheme="majorBidi" w:cstheme="majorBidi"/>
        </w:rPr>
        <w:t xml:space="preserve"> = .83, with the Bayes factor indicating extreme evidence in favour of the experimental hypothesis (BF</w:t>
      </w:r>
      <w:r w:rsidRPr="006923E1">
        <w:rPr>
          <w:rFonts w:asciiTheme="majorBidi" w:hAnsiTheme="majorBidi" w:cstheme="majorBidi"/>
          <w:vertAlign w:val="subscript"/>
        </w:rPr>
        <w:t>10</w:t>
      </w:r>
      <w:r w:rsidRPr="006923E1">
        <w:rPr>
          <w:rFonts w:asciiTheme="majorBidi" w:hAnsiTheme="majorBidi" w:cstheme="majorBidi"/>
        </w:rPr>
        <w:t xml:space="preserve"> &gt; 100), but not of trial wording, </w:t>
      </w:r>
      <w:r w:rsidRPr="006923E1">
        <w:rPr>
          <w:rFonts w:asciiTheme="majorBidi" w:hAnsiTheme="majorBidi" w:cstheme="majorBidi"/>
          <w:i/>
          <w:iCs/>
        </w:rPr>
        <w:t>F</w:t>
      </w:r>
      <w:r w:rsidRPr="006923E1">
        <w:rPr>
          <w:rFonts w:asciiTheme="majorBidi" w:hAnsiTheme="majorBidi" w:cstheme="majorBidi"/>
        </w:rPr>
        <w:t xml:space="preserve">(2, 116) = 2.81, </w:t>
      </w:r>
      <w:r w:rsidRPr="006923E1">
        <w:rPr>
          <w:rFonts w:asciiTheme="majorBidi" w:hAnsiTheme="majorBidi" w:cstheme="majorBidi"/>
          <w:i/>
          <w:iCs/>
        </w:rPr>
        <w:t>p</w:t>
      </w:r>
      <w:r w:rsidRPr="006923E1">
        <w:rPr>
          <w:rFonts w:asciiTheme="majorBidi" w:hAnsiTheme="majorBidi" w:cstheme="majorBidi"/>
        </w:rPr>
        <w:t xml:space="preserve"> = .06, </w:t>
      </w:r>
      <w:r>
        <w:rPr>
          <w:rFonts w:asciiTheme="majorBidi" w:hAnsiTheme="majorBidi" w:cstheme="majorBidi"/>
        </w:rPr>
        <w:t>η</w:t>
      </w:r>
      <w:r>
        <w:rPr>
          <w:rFonts w:asciiTheme="majorBidi" w:hAnsiTheme="majorBidi" w:cstheme="majorBidi"/>
          <w:vertAlign w:val="subscript"/>
        </w:rPr>
        <w:t>p</w:t>
      </w:r>
      <w:r>
        <w:rPr>
          <w:rFonts w:asciiTheme="majorBidi" w:hAnsiTheme="majorBidi" w:cstheme="majorBidi"/>
          <w:vertAlign w:val="superscript"/>
        </w:rPr>
        <w:t>2</w:t>
      </w:r>
      <w:r w:rsidRPr="006923E1">
        <w:rPr>
          <w:rFonts w:asciiTheme="majorBidi" w:hAnsiTheme="majorBidi" w:cstheme="majorBidi"/>
        </w:rPr>
        <w:t xml:space="preserve"> = .05, with the Bayes factor indicating moderate evidence in favour of the null hypothesis (BF</w:t>
      </w:r>
      <w:r w:rsidRPr="006923E1">
        <w:rPr>
          <w:rFonts w:asciiTheme="majorBidi" w:hAnsiTheme="majorBidi" w:cstheme="majorBidi"/>
          <w:vertAlign w:val="subscript"/>
        </w:rPr>
        <w:t>10</w:t>
      </w:r>
      <w:r w:rsidRPr="006923E1">
        <w:rPr>
          <w:rFonts w:asciiTheme="majorBidi" w:hAnsiTheme="majorBidi" w:cstheme="majorBidi"/>
        </w:rPr>
        <w:t xml:space="preserve"> = .19). Furthermore, there was no significant interaction between trial wording and trial difficulty, </w:t>
      </w:r>
      <w:proofErr w:type="gramStart"/>
      <w:r w:rsidRPr="006923E1">
        <w:rPr>
          <w:rFonts w:asciiTheme="majorBidi" w:hAnsiTheme="majorBidi" w:cstheme="majorBidi"/>
          <w:i/>
          <w:iCs/>
        </w:rPr>
        <w:t>F</w:t>
      </w:r>
      <w:r w:rsidRPr="006923E1">
        <w:rPr>
          <w:rFonts w:asciiTheme="majorBidi" w:hAnsiTheme="majorBidi" w:cstheme="majorBidi"/>
        </w:rPr>
        <w:t>(</w:t>
      </w:r>
      <w:proofErr w:type="gramEnd"/>
      <w:r w:rsidRPr="006923E1">
        <w:rPr>
          <w:rFonts w:asciiTheme="majorBidi" w:hAnsiTheme="majorBidi" w:cstheme="majorBidi"/>
        </w:rPr>
        <w:t xml:space="preserve">3.39, 196.47) = 2.00, </w:t>
      </w:r>
      <w:r w:rsidRPr="006923E1">
        <w:rPr>
          <w:rFonts w:asciiTheme="majorBidi" w:hAnsiTheme="majorBidi" w:cstheme="majorBidi"/>
          <w:i/>
          <w:iCs/>
        </w:rPr>
        <w:t>p</w:t>
      </w:r>
      <w:r w:rsidRPr="006923E1">
        <w:rPr>
          <w:rFonts w:asciiTheme="majorBidi" w:hAnsiTheme="majorBidi" w:cstheme="majorBidi"/>
        </w:rPr>
        <w:t xml:space="preserve"> = .11, </w:t>
      </w:r>
      <w:r>
        <w:rPr>
          <w:rFonts w:asciiTheme="majorBidi" w:hAnsiTheme="majorBidi" w:cstheme="majorBidi"/>
        </w:rPr>
        <w:t>η</w:t>
      </w:r>
      <w:r>
        <w:rPr>
          <w:rFonts w:asciiTheme="majorBidi" w:hAnsiTheme="majorBidi" w:cstheme="majorBidi"/>
          <w:vertAlign w:val="subscript"/>
        </w:rPr>
        <w:t>p</w:t>
      </w:r>
      <w:r>
        <w:rPr>
          <w:rFonts w:asciiTheme="majorBidi" w:hAnsiTheme="majorBidi" w:cstheme="majorBidi"/>
          <w:vertAlign w:val="superscript"/>
        </w:rPr>
        <w:t>2</w:t>
      </w:r>
      <w:r w:rsidRPr="006923E1">
        <w:rPr>
          <w:rFonts w:asciiTheme="majorBidi" w:hAnsiTheme="majorBidi" w:cstheme="majorBidi"/>
        </w:rPr>
        <w:t xml:space="preserve"> = .03, with the Bayes factor indicating strong evidence in favour of the null hypothesis (BF</w:t>
      </w:r>
      <w:r w:rsidRPr="006923E1">
        <w:rPr>
          <w:rFonts w:asciiTheme="majorBidi" w:hAnsiTheme="majorBidi" w:cstheme="majorBidi"/>
          <w:vertAlign w:val="subscript"/>
        </w:rPr>
        <w:t>10</w:t>
      </w:r>
      <w:r w:rsidRPr="006923E1">
        <w:rPr>
          <w:rFonts w:asciiTheme="majorBidi" w:hAnsiTheme="majorBidi" w:cstheme="majorBidi"/>
        </w:rPr>
        <w:t xml:space="preserve"> = .05)</w:t>
      </w:r>
      <w:r w:rsidRPr="004B73B2">
        <w:rPr>
          <w:rStyle w:val="FootnoteReference"/>
        </w:rPr>
        <w:footnoteReference w:id="8"/>
      </w:r>
      <w:r w:rsidRPr="006923E1">
        <w:rPr>
          <w:rFonts w:asciiTheme="majorBidi" w:hAnsiTheme="majorBidi" w:cstheme="majorBidi"/>
        </w:rPr>
        <w:t>.</w:t>
      </w:r>
    </w:p>
    <w:p w14:paraId="7E036061" w14:textId="77777777" w:rsidR="006923E1" w:rsidRPr="00493C57" w:rsidRDefault="006923E1" w:rsidP="006923E1">
      <w:pPr>
        <w:pStyle w:val="NoSpacing"/>
        <w:spacing w:line="480" w:lineRule="auto"/>
        <w:rPr>
          <w:rFonts w:asciiTheme="majorBidi" w:hAnsiTheme="majorBidi" w:cstheme="majorBidi"/>
        </w:rPr>
      </w:pPr>
    </w:p>
    <w:p w14:paraId="6A45C26C" w14:textId="77777777" w:rsidR="006923E1" w:rsidRDefault="006923E1" w:rsidP="00493C57">
      <w:pPr>
        <w:pStyle w:val="NoSpacing"/>
        <w:spacing w:line="480" w:lineRule="auto"/>
        <w:rPr>
          <w:rFonts w:asciiTheme="majorBidi" w:hAnsiTheme="majorBidi" w:cstheme="majorBidi"/>
        </w:rPr>
      </w:pPr>
      <w:bookmarkStart w:id="150" w:name="_Hlk110521079"/>
      <w:r w:rsidRPr="006923E1">
        <w:rPr>
          <w:rFonts w:asciiTheme="majorBidi" w:hAnsiTheme="majorBidi" w:cstheme="majorBidi"/>
          <w:b/>
          <w:bCs/>
        </w:rPr>
        <w:lastRenderedPageBreak/>
        <w:t>Figure 3.2</w:t>
      </w:r>
      <w:r w:rsidRPr="006923E1">
        <w:rPr>
          <w:rFonts w:asciiTheme="majorBidi" w:hAnsiTheme="majorBidi" w:cstheme="majorBidi"/>
        </w:rPr>
        <w:t xml:space="preserve"> </w:t>
      </w:r>
    </w:p>
    <w:p w14:paraId="799305A2" w14:textId="789440A6" w:rsidR="00000B41" w:rsidRDefault="006923E1" w:rsidP="00493C57">
      <w:pPr>
        <w:pStyle w:val="NoSpacing"/>
        <w:spacing w:line="480" w:lineRule="auto"/>
        <w:rPr>
          <w:rFonts w:asciiTheme="majorBidi" w:hAnsiTheme="majorBidi" w:cstheme="majorBidi"/>
          <w:i/>
          <w:iCs/>
        </w:rPr>
      </w:pPr>
      <w:r w:rsidRPr="006923E1">
        <w:rPr>
          <w:rFonts w:asciiTheme="majorBidi" w:hAnsiTheme="majorBidi" w:cstheme="majorBidi"/>
          <w:i/>
          <w:iCs/>
        </w:rPr>
        <w:t>Mean evidence accumulation (EA) rates split by trial difficulty and trial wording</w:t>
      </w:r>
    </w:p>
    <w:bookmarkEnd w:id="150"/>
    <w:p w14:paraId="6A8122E7" w14:textId="386FC55B" w:rsidR="006923E1" w:rsidRPr="006923E1" w:rsidRDefault="006923E1" w:rsidP="006923E1">
      <w:pPr>
        <w:pStyle w:val="NoSpacing"/>
        <w:spacing w:line="480" w:lineRule="auto"/>
        <w:jc w:val="center"/>
        <w:rPr>
          <w:rFonts w:asciiTheme="majorBidi" w:hAnsiTheme="majorBidi" w:cstheme="majorBidi"/>
        </w:rPr>
      </w:pPr>
      <w:r>
        <w:rPr>
          <w:rFonts w:asciiTheme="majorBidi" w:hAnsiTheme="majorBidi" w:cstheme="majorBidi"/>
          <w:noProof/>
        </w:rPr>
        <w:drawing>
          <wp:inline distT="0" distB="0" distL="0" distR="0" wp14:anchorId="66736186" wp14:editId="163CE026">
            <wp:extent cx="5231130" cy="332867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1130" cy="3328670"/>
                    </a:xfrm>
                    <a:prstGeom prst="rect">
                      <a:avLst/>
                    </a:prstGeom>
                    <a:noFill/>
                  </pic:spPr>
                </pic:pic>
              </a:graphicData>
            </a:graphic>
          </wp:inline>
        </w:drawing>
      </w:r>
    </w:p>
    <w:p w14:paraId="2A8F215C" w14:textId="77777777" w:rsidR="006923E1" w:rsidRDefault="006923E1" w:rsidP="006923E1">
      <w:pPr>
        <w:pStyle w:val="NoSpacing"/>
        <w:spacing w:line="480" w:lineRule="auto"/>
        <w:rPr>
          <w:rFonts w:ascii="Times New Roman" w:hAnsi="Times New Roman" w:cs="Times New Roman"/>
        </w:rPr>
      </w:pPr>
      <w:r w:rsidRPr="006923E1">
        <w:rPr>
          <w:rFonts w:ascii="Times New Roman" w:hAnsi="Times New Roman" w:cs="Times New Roman"/>
          <w:i/>
          <w:iCs/>
        </w:rPr>
        <w:t>Note.</w:t>
      </w:r>
      <w:r w:rsidRPr="006923E1">
        <w:rPr>
          <w:rFonts w:ascii="Times New Roman" w:hAnsi="Times New Roman" w:cs="Times New Roman"/>
        </w:rPr>
        <w:t xml:space="preserve"> Light blue (circle) represents EA rates with the wording “which would you rather consume”, orange (triangle) represents EA rates with the wording “which do you like more”, and dark blue (square) represents EA rates with the wording “which did you rate higher”. Error bars represent the standard error of the mean (SE).</w:t>
      </w:r>
    </w:p>
    <w:p w14:paraId="47E54EAD" w14:textId="77777777" w:rsidR="006923E1" w:rsidRDefault="006923E1" w:rsidP="006923E1">
      <w:pPr>
        <w:pStyle w:val="NoSpacing"/>
        <w:spacing w:line="480" w:lineRule="auto"/>
        <w:rPr>
          <w:rFonts w:ascii="Times New Roman" w:hAnsi="Times New Roman" w:cs="Times New Roman"/>
        </w:rPr>
      </w:pPr>
    </w:p>
    <w:p w14:paraId="4709ADDB" w14:textId="59BA28E0" w:rsidR="00000B41" w:rsidRDefault="006923E1" w:rsidP="006923E1">
      <w:pPr>
        <w:pStyle w:val="NoSpacing"/>
        <w:spacing w:line="480" w:lineRule="auto"/>
        <w:rPr>
          <w:rFonts w:ascii="Times New Roman" w:hAnsi="Times New Roman" w:cs="Times New Roman"/>
        </w:rPr>
      </w:pPr>
      <w:r w:rsidRPr="006923E1">
        <w:rPr>
          <w:rFonts w:ascii="Times New Roman" w:hAnsi="Times New Roman" w:cs="Times New Roman"/>
        </w:rPr>
        <w:t>Post-hoc tests for the significant main effect of difficulty</w:t>
      </w:r>
      <w:r w:rsidRPr="004B73B2">
        <w:rPr>
          <w:rStyle w:val="FootnoteReference"/>
        </w:rPr>
        <w:footnoteReference w:id="9"/>
      </w:r>
      <w:r w:rsidRPr="006923E1">
        <w:rPr>
          <w:rFonts w:ascii="Times New Roman" w:hAnsi="Times New Roman" w:cs="Times New Roman"/>
        </w:rPr>
        <w:t xml:space="preserve"> </w:t>
      </w:r>
      <w:bookmarkStart w:id="151" w:name="_Hlk110697233"/>
      <w:r w:rsidRPr="006923E1">
        <w:rPr>
          <w:rFonts w:ascii="Times New Roman" w:hAnsi="Times New Roman" w:cs="Times New Roman"/>
        </w:rPr>
        <w:t>(</w:t>
      </w:r>
      <w:bookmarkStart w:id="152" w:name="_Hlk110617916"/>
      <w:r w:rsidRPr="006923E1">
        <w:rPr>
          <w:rFonts w:ascii="Times New Roman" w:hAnsi="Times New Roman" w:cs="Times New Roman"/>
        </w:rPr>
        <w:t xml:space="preserve">applying the Holm-Bonferroni correction to </w:t>
      </w:r>
      <w:r w:rsidRPr="006923E1">
        <w:rPr>
          <w:rFonts w:ascii="Times New Roman" w:hAnsi="Times New Roman" w:cs="Times New Roman"/>
          <w:i/>
          <w:iCs/>
        </w:rPr>
        <w:t>p</w:t>
      </w:r>
      <w:r w:rsidRPr="006923E1">
        <w:rPr>
          <w:rFonts w:ascii="Times New Roman" w:hAnsi="Times New Roman" w:cs="Times New Roman"/>
        </w:rPr>
        <w:t>-values for multiple comparison</w:t>
      </w:r>
      <w:bookmarkEnd w:id="151"/>
      <w:bookmarkEnd w:id="152"/>
      <w:r w:rsidRPr="006923E1">
        <w:rPr>
          <w:rFonts w:ascii="Times New Roman" w:hAnsi="Times New Roman" w:cs="Times New Roman"/>
        </w:rPr>
        <w:t xml:space="preserve">) revealed that EA rates in the easier trials (M = 2.53, SD = .82) were significantly higher compared to medium trials (M = 1.98, SD = .73; </w:t>
      </w:r>
      <w:r w:rsidRPr="006923E1">
        <w:rPr>
          <w:rFonts w:ascii="Times New Roman" w:hAnsi="Times New Roman" w:cs="Times New Roman"/>
          <w:i/>
          <w:iCs/>
        </w:rPr>
        <w:t>p</w:t>
      </w:r>
      <w:r w:rsidRPr="006923E1">
        <w:rPr>
          <w:rFonts w:ascii="Times New Roman" w:hAnsi="Times New Roman" w:cs="Times New Roman"/>
        </w:rPr>
        <w:t xml:space="preserve"> &lt; .001) and hard trials (M = 1.19, SD = .50; </w:t>
      </w:r>
      <w:r w:rsidRPr="006923E1">
        <w:rPr>
          <w:rFonts w:ascii="Times New Roman" w:hAnsi="Times New Roman" w:cs="Times New Roman"/>
          <w:i/>
          <w:iCs/>
        </w:rPr>
        <w:t>p</w:t>
      </w:r>
      <w:r w:rsidRPr="006923E1">
        <w:rPr>
          <w:rFonts w:ascii="Times New Roman" w:hAnsi="Times New Roman" w:cs="Times New Roman"/>
        </w:rPr>
        <w:t xml:space="preserve"> &lt; .001). Furthermore, EA rates on medium trials were significantly higher compared to EA rates on hard trials (</w:t>
      </w:r>
      <w:r w:rsidRPr="006923E1">
        <w:rPr>
          <w:rFonts w:ascii="Times New Roman" w:hAnsi="Times New Roman" w:cs="Times New Roman"/>
          <w:i/>
          <w:iCs/>
        </w:rPr>
        <w:t xml:space="preserve">p </w:t>
      </w:r>
      <w:r w:rsidRPr="006923E1">
        <w:rPr>
          <w:rFonts w:ascii="Times New Roman" w:hAnsi="Times New Roman" w:cs="Times New Roman"/>
        </w:rPr>
        <w:t xml:space="preserve">&lt; .001). Overall, as </w:t>
      </w:r>
      <w:r w:rsidRPr="006923E1">
        <w:rPr>
          <w:rFonts w:ascii="Times New Roman" w:hAnsi="Times New Roman" w:cs="Times New Roman"/>
        </w:rPr>
        <w:lastRenderedPageBreak/>
        <w:t>shown in Figure 3.2, these findings demonstrate that EA rates increased as trial difficulty decreased, and this was not modified by trial wording.</w:t>
      </w:r>
    </w:p>
    <w:p w14:paraId="55BEFB28" w14:textId="1AB61FF3" w:rsidR="006923E1" w:rsidRDefault="006923E1" w:rsidP="006923E1">
      <w:pPr>
        <w:pStyle w:val="NoSpacing"/>
        <w:spacing w:line="480" w:lineRule="auto"/>
        <w:rPr>
          <w:rFonts w:ascii="Times New Roman" w:hAnsi="Times New Roman" w:cs="Times New Roman"/>
        </w:rPr>
      </w:pPr>
    </w:p>
    <w:p w14:paraId="57F46EC3" w14:textId="7A908F33" w:rsidR="006923E1" w:rsidRDefault="006923E1" w:rsidP="006923E1">
      <w:pPr>
        <w:pStyle w:val="NoSpacing"/>
        <w:spacing w:line="480" w:lineRule="auto"/>
        <w:rPr>
          <w:rFonts w:ascii="Times New Roman" w:hAnsi="Times New Roman" w:cs="Times New Roman"/>
        </w:rPr>
      </w:pPr>
      <w:r w:rsidRPr="006923E1">
        <w:rPr>
          <w:rFonts w:ascii="Times New Roman" w:hAnsi="Times New Roman" w:cs="Times New Roman"/>
        </w:rPr>
        <w:t xml:space="preserve">We conducted Pearson's correlation coefficient analyses to explore the direction, strength, and significance of the relationships between EA rates across the different trial wording blocks. As shown in Figure 3.3, these correlational analyses revealed highly significant positive correlations between EA rates in all three blocks (all </w:t>
      </w:r>
      <w:proofErr w:type="spellStart"/>
      <w:r w:rsidRPr="006923E1">
        <w:rPr>
          <w:rFonts w:ascii="Times New Roman" w:hAnsi="Times New Roman" w:cs="Times New Roman"/>
          <w:i/>
          <w:iCs/>
        </w:rPr>
        <w:t>p</w:t>
      </w:r>
      <w:r w:rsidRPr="006923E1">
        <w:rPr>
          <w:rFonts w:ascii="Times New Roman" w:hAnsi="Times New Roman" w:cs="Times New Roman"/>
        </w:rPr>
        <w:t>s</w:t>
      </w:r>
      <w:proofErr w:type="spellEnd"/>
      <w:r w:rsidRPr="006923E1">
        <w:rPr>
          <w:rFonts w:ascii="Times New Roman" w:hAnsi="Times New Roman" w:cs="Times New Roman"/>
        </w:rPr>
        <w:t xml:space="preserve"> &lt; .001; consume and recall wording, </w:t>
      </w:r>
      <w:proofErr w:type="gramStart"/>
      <w:r w:rsidRPr="006923E1">
        <w:rPr>
          <w:rFonts w:ascii="Times New Roman" w:hAnsi="Times New Roman" w:cs="Times New Roman"/>
          <w:i/>
          <w:iCs/>
        </w:rPr>
        <w:t>r</w:t>
      </w:r>
      <w:r w:rsidRPr="006923E1">
        <w:rPr>
          <w:rFonts w:ascii="Times New Roman" w:hAnsi="Times New Roman" w:cs="Times New Roman"/>
        </w:rPr>
        <w:t>(</w:t>
      </w:r>
      <w:proofErr w:type="gramEnd"/>
      <w:r w:rsidRPr="006923E1">
        <w:rPr>
          <w:rFonts w:ascii="Times New Roman" w:hAnsi="Times New Roman" w:cs="Times New Roman"/>
        </w:rPr>
        <w:t xml:space="preserve">57) = .68, </w:t>
      </w:r>
      <w:r w:rsidRPr="006923E1">
        <w:rPr>
          <w:rFonts w:ascii="Times New Roman" w:hAnsi="Times New Roman" w:cs="Times New Roman"/>
          <w:i/>
          <w:iCs/>
        </w:rPr>
        <w:t>p</w:t>
      </w:r>
      <w:r w:rsidRPr="006923E1">
        <w:rPr>
          <w:rFonts w:ascii="Times New Roman" w:hAnsi="Times New Roman" w:cs="Times New Roman"/>
        </w:rPr>
        <w:t xml:space="preserve"> &lt; .001;  consume and like wording, </w:t>
      </w:r>
      <w:r w:rsidRPr="006923E1">
        <w:rPr>
          <w:rFonts w:ascii="Times New Roman" w:hAnsi="Times New Roman" w:cs="Times New Roman"/>
          <w:i/>
          <w:iCs/>
        </w:rPr>
        <w:t>r</w:t>
      </w:r>
      <w:r w:rsidRPr="006923E1">
        <w:rPr>
          <w:rFonts w:ascii="Times New Roman" w:hAnsi="Times New Roman" w:cs="Times New Roman"/>
        </w:rPr>
        <w:t xml:space="preserve">(57) = .46, </w:t>
      </w:r>
      <w:r w:rsidRPr="006923E1">
        <w:rPr>
          <w:rFonts w:ascii="Times New Roman" w:hAnsi="Times New Roman" w:cs="Times New Roman"/>
          <w:i/>
          <w:iCs/>
        </w:rPr>
        <w:t>p</w:t>
      </w:r>
      <w:r w:rsidRPr="006923E1">
        <w:rPr>
          <w:rFonts w:ascii="Times New Roman" w:hAnsi="Times New Roman" w:cs="Times New Roman"/>
        </w:rPr>
        <w:t xml:space="preserve"> &lt; .001; recall and like wording, </w:t>
      </w:r>
      <w:r w:rsidRPr="006923E1">
        <w:rPr>
          <w:rFonts w:ascii="Times New Roman" w:hAnsi="Times New Roman" w:cs="Times New Roman"/>
          <w:i/>
          <w:iCs/>
        </w:rPr>
        <w:t>r</w:t>
      </w:r>
      <w:r w:rsidRPr="006923E1">
        <w:rPr>
          <w:rFonts w:ascii="Times New Roman" w:hAnsi="Times New Roman" w:cs="Times New Roman"/>
        </w:rPr>
        <w:t xml:space="preserve">(57) = .44, </w:t>
      </w:r>
      <w:r w:rsidRPr="006923E1">
        <w:rPr>
          <w:rFonts w:ascii="Times New Roman" w:hAnsi="Times New Roman" w:cs="Times New Roman"/>
          <w:i/>
          <w:iCs/>
        </w:rPr>
        <w:t>p</w:t>
      </w:r>
      <w:r w:rsidRPr="006923E1">
        <w:rPr>
          <w:rFonts w:ascii="Times New Roman" w:hAnsi="Times New Roman" w:cs="Times New Roman"/>
        </w:rPr>
        <w:t xml:space="preserve"> &lt; .001).</w:t>
      </w:r>
    </w:p>
    <w:p w14:paraId="41B1B397" w14:textId="77777777" w:rsidR="006923E1" w:rsidRPr="006923E1" w:rsidRDefault="006923E1" w:rsidP="006923E1">
      <w:pPr>
        <w:pStyle w:val="NoSpacing"/>
        <w:spacing w:line="480" w:lineRule="auto"/>
        <w:rPr>
          <w:rFonts w:ascii="Times New Roman" w:hAnsi="Times New Roman" w:cs="Times New Roman"/>
        </w:rPr>
      </w:pPr>
    </w:p>
    <w:p w14:paraId="46CDF706" w14:textId="77777777" w:rsidR="006923E1" w:rsidRPr="006923E1" w:rsidRDefault="006923E1" w:rsidP="006923E1">
      <w:pPr>
        <w:pStyle w:val="NoSpacing"/>
        <w:spacing w:line="480" w:lineRule="auto"/>
        <w:rPr>
          <w:rFonts w:ascii="Times New Roman" w:hAnsi="Times New Roman" w:cs="Times New Roman"/>
          <w:b/>
          <w:bCs/>
        </w:rPr>
      </w:pPr>
      <w:bookmarkStart w:id="153" w:name="_Hlk110521088"/>
      <w:r w:rsidRPr="006923E1">
        <w:rPr>
          <w:rFonts w:ascii="Times New Roman" w:hAnsi="Times New Roman" w:cs="Times New Roman"/>
          <w:b/>
          <w:bCs/>
        </w:rPr>
        <w:t>Figure 3.3</w:t>
      </w:r>
    </w:p>
    <w:p w14:paraId="3DCC2CBB" w14:textId="6939A503" w:rsidR="00000B41" w:rsidRDefault="006923E1" w:rsidP="006923E1">
      <w:pPr>
        <w:pStyle w:val="NoSpacing"/>
        <w:spacing w:line="480" w:lineRule="auto"/>
        <w:rPr>
          <w:rFonts w:ascii="Times New Roman" w:hAnsi="Times New Roman" w:cs="Times New Roman"/>
          <w:i/>
          <w:iCs/>
        </w:rPr>
      </w:pPr>
      <w:r w:rsidRPr="006923E1">
        <w:rPr>
          <w:rFonts w:ascii="Times New Roman" w:hAnsi="Times New Roman" w:cs="Times New Roman"/>
          <w:i/>
          <w:iCs/>
        </w:rPr>
        <w:t>Scatterplots to show correlations between EA rates during the three blocks of trials</w:t>
      </w:r>
    </w:p>
    <w:bookmarkEnd w:id="153"/>
    <w:p w14:paraId="637C5AA0" w14:textId="47E27514" w:rsidR="006923E1" w:rsidRPr="006923E1" w:rsidRDefault="006923E1" w:rsidP="006923E1">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DA50815" wp14:editId="60B982F9">
            <wp:extent cx="5730875" cy="1731645"/>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875" cy="1731645"/>
                    </a:xfrm>
                    <a:prstGeom prst="rect">
                      <a:avLst/>
                    </a:prstGeom>
                    <a:noFill/>
                  </pic:spPr>
                </pic:pic>
              </a:graphicData>
            </a:graphic>
          </wp:inline>
        </w:drawing>
      </w:r>
    </w:p>
    <w:p w14:paraId="1F63D28E" w14:textId="50B4F779" w:rsidR="00000B41" w:rsidRPr="006923E1" w:rsidRDefault="006923E1" w:rsidP="006923E1">
      <w:pPr>
        <w:pStyle w:val="NoSpacing"/>
        <w:spacing w:line="480" w:lineRule="auto"/>
        <w:rPr>
          <w:rFonts w:ascii="Times New Roman" w:hAnsi="Times New Roman" w:cs="Times New Roman"/>
        </w:rPr>
      </w:pPr>
      <w:r w:rsidRPr="006923E1">
        <w:rPr>
          <w:rFonts w:ascii="Times New Roman" w:hAnsi="Times New Roman" w:cs="Times New Roman"/>
          <w:i/>
          <w:iCs/>
        </w:rPr>
        <w:t>Note.</w:t>
      </w:r>
      <w:r w:rsidRPr="006923E1">
        <w:rPr>
          <w:rFonts w:ascii="Times New Roman" w:hAnsi="Times New Roman" w:cs="Times New Roman"/>
        </w:rPr>
        <w:t xml:space="preserve"> On the left is the correlation between EA rates during the block of trials with “which would you rather consume” and the block of trials with “which did you rate higher”. In the middle is the correlation between EA rates during the block of trials with “which would you rather consume” and the block of trials with “which do you like more”. On the right is the correlation between EA rates during the block of trials with “which did you rate higher” and the block of trials with “which do you like more”. The grey dashed line represents the line of equality. Shaded areas represent the 95% confidence interval.</w:t>
      </w:r>
    </w:p>
    <w:p w14:paraId="06ABCD25" w14:textId="07E9B260" w:rsidR="00000B41" w:rsidRDefault="00000B41" w:rsidP="00093B56">
      <w:pPr>
        <w:pStyle w:val="NoSpacing"/>
      </w:pPr>
    </w:p>
    <w:p w14:paraId="2B6CCD9D" w14:textId="5403FE92" w:rsidR="00000B41" w:rsidRDefault="006923E1" w:rsidP="006923E1">
      <w:pPr>
        <w:pStyle w:val="Heading4"/>
      </w:pPr>
      <w:bookmarkStart w:id="154" w:name="_Toc110629054"/>
      <w:bookmarkStart w:id="155" w:name="_Toc110870962"/>
      <w:r>
        <w:lastRenderedPageBreak/>
        <w:t>3.4. Discussion</w:t>
      </w:r>
      <w:bookmarkEnd w:id="154"/>
      <w:bookmarkEnd w:id="155"/>
    </w:p>
    <w:p w14:paraId="4D01E936" w14:textId="75843B56" w:rsidR="006923E1" w:rsidRPr="006923E1" w:rsidRDefault="006923E1" w:rsidP="009E6B70">
      <w:pPr>
        <w:pStyle w:val="NoSpacing"/>
        <w:spacing w:line="480" w:lineRule="auto"/>
        <w:rPr>
          <w:rFonts w:ascii="Times New Roman" w:hAnsi="Times New Roman" w:cs="Times New Roman"/>
        </w:rPr>
      </w:pPr>
      <w:r w:rsidRPr="006923E1">
        <w:rPr>
          <w:rFonts w:ascii="Times New Roman" w:hAnsi="Times New Roman" w:cs="Times New Roman"/>
        </w:rPr>
        <w:t xml:space="preserve">We explored whether a coherent construct of value was captured by variations of trial wording that do not require participants to think about their momentary desire to consume objects depicted in pictures. As hypothesised, EA rates significantly increased alongside decreasing trial difficulty, and this was not modified by trial wording. Contrary to our hypothesis, there was a trend towards a main effect of trial wording on EA rates, regardless of trial difficulty, reflective of lower EA rates when participants considered how much they “liked” the images compared to when asked to indicate how much they wanted to consume the food depicted, or to recall which they had rated higher previously. This effect however was sensitive to the software used to fit the DDM, and it fell short of statistical significance when data were analysed using the EZ-DDM in accordance with our pre-registered analysis plan. Finally, EA rates across the different blocks were significantly positively correlated with each other, although coefficients were not as large (&gt; .70) as we predicted </w:t>
      </w:r>
      <w:r w:rsidR="009E6B70">
        <w:rPr>
          <w:rFonts w:ascii="Times New Roman" w:hAnsi="Times New Roman" w:cs="Times New Roman"/>
        </w:rPr>
        <w:fldChar w:fldCharType="begin"/>
      </w:r>
      <w:r w:rsidR="009E6B70">
        <w:rPr>
          <w:rFonts w:ascii="Times New Roman" w:hAnsi="Times New Roman" w:cs="Times New Roman"/>
        </w:rPr>
        <w:instrText xml:space="preserve"> ADDIN ZOTERO_ITEM CSL_CITATION {"citationID":"mJNA4M1f","properties":{"formattedCitation":"(Abma et al., 2016)","plainCitation":"(Abma et al., 2016)","noteIndex":0},"citationItems":[{"id":800,"uris":["http://zotero.org/users/7873587/items/WN4B5HKE"],"itemData":{"id":800,"type":"article-journal","abstract":"Purpose\nConvergent validity is one type of validity that is commonly assessed for patient-reported outcome measures (PROMs). It is assessed by means of “hypothesis testing”: determining whether the scores of the instrument under study correlate with other instruments in the way that one would expect. Authors of systematic reviews on measurement properties for PROMs may encounter validation articles which do not state hypotheses by which convergent validity can be tested. The information in these articles can therefore not be readily used to determine the adequacy of convergent validity. We suggest that in these cases, reviewers construct their own hypotheses. However, constructing hypotheses and interpreting outcomes is not always straightforward, and we wish to aid reviewers based on our own recent experiences with a systematic review on measurement properties.\n\nRecommendations\nWe have the following recommendations for authors of a systematic review on measurement properties who wish to construct hypotheses for convergent validity: take an active role in judging the suitability of the comparator instruments of validation articles; be transparent about which hypotheses were constructed, the underlying assumptions on which they are based, and whether they were constructed by the authors of the validation article or by the reviewer; discuss unmet hypotheses, especially if convergent validity is judged to be inadequate; and when synthesizing data, add up the results of all hypotheses for one instrument, rather than judging convergent validity per study.","container-title":"BMC Research Notes","DOI":"10.1186/s13104-016-2034-2","ISSN":"1756-0500","journalAbbreviation":"BMC Res Notes","note":"PMID: 27094345\nPMCID: PMC4837507","page":"226","source":"PubMed Central","title":"Appraising convergent validity of patient-reported outcome measures in systematic reviews: constructing hypotheses and interpreting outcomes","title-short":"Appraising convergent validity of patient-reported outcome measures in systematic reviews","volume":"9","author":[{"family":"Abma","given":"Inger L."},{"family":"Rovers","given":"Maroeska"},{"family":"Wees","given":"Philip J.","non-dropping-particle":"van der"}],"issued":{"date-parts":[["2016",4,19]]}}}],"schema":"https://github.com/citation-style-language/schema/raw/master/csl-citation.json"}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(Abma et al., 2016)</w:t>
      </w:r>
      <w:r w:rsidR="009E6B70">
        <w:rPr>
          <w:rFonts w:ascii="Times New Roman" w:hAnsi="Times New Roman" w:cs="Times New Roman"/>
        </w:rPr>
        <w:fldChar w:fldCharType="end"/>
      </w:r>
      <w:r w:rsidR="009E6B70">
        <w:rPr>
          <w:rFonts w:ascii="Times New Roman" w:hAnsi="Times New Roman" w:cs="Times New Roman"/>
        </w:rPr>
        <w:t>.</w:t>
      </w:r>
      <w:r w:rsidRPr="006923E1">
        <w:rPr>
          <w:rFonts w:ascii="Times New Roman" w:hAnsi="Times New Roman" w:cs="Times New Roman"/>
        </w:rPr>
        <w:t xml:space="preserve"> </w:t>
      </w:r>
    </w:p>
    <w:p w14:paraId="5D5CA3A4" w14:textId="77777777" w:rsidR="006923E1" w:rsidRPr="006923E1" w:rsidRDefault="006923E1" w:rsidP="006923E1">
      <w:pPr>
        <w:pStyle w:val="NoSpacing"/>
        <w:spacing w:line="480" w:lineRule="auto"/>
        <w:rPr>
          <w:rFonts w:ascii="Times New Roman" w:hAnsi="Times New Roman" w:cs="Times New Roman"/>
        </w:rPr>
      </w:pPr>
    </w:p>
    <w:p w14:paraId="45FEC16A" w14:textId="4C38B216" w:rsidR="006923E1" w:rsidRPr="006923E1" w:rsidRDefault="006923E1" w:rsidP="009E6B70">
      <w:pPr>
        <w:pStyle w:val="NoSpacing"/>
        <w:spacing w:line="480" w:lineRule="auto"/>
        <w:rPr>
          <w:rFonts w:ascii="Times New Roman" w:hAnsi="Times New Roman" w:cs="Times New Roman"/>
        </w:rPr>
      </w:pPr>
      <w:r w:rsidRPr="006923E1">
        <w:rPr>
          <w:rFonts w:ascii="Times New Roman" w:hAnsi="Times New Roman" w:cs="Times New Roman"/>
        </w:rPr>
        <w:t xml:space="preserve">These findings are important because the majority of VBDM tasks require participants to make choices across trials about their strength of desire to consume a commodity </w:t>
      </w:r>
      <w:r w:rsidR="009E6B70">
        <w:rPr>
          <w:rFonts w:ascii="Times New Roman" w:hAnsi="Times New Roman" w:cs="Times New Roman"/>
        </w:rPr>
        <w:fldChar w:fldCharType="begin"/>
      </w:r>
      <w:r w:rsidR="009E6B70">
        <w:rPr>
          <w:rFonts w:ascii="Times New Roman" w:hAnsi="Times New Roman" w:cs="Times New Roman"/>
        </w:rPr>
        <w:instrText xml:space="preserve"> ADDIN ZOTERO_ITEM CSL_CITATION {"citationID":"sBieDrSc","properties":{"formattedCitation":"(Krajbich et al., 2010; Mormann et al., 2010; Polan\\uc0\\u237{}a et al., 2014; Tusche &amp; Hutcherson, 2018)","plainCitation":"(Krajbich et al., 2010; Mormann et al., 2010; Polanía et al., 2014; Tusche &amp; Hutcherson, 2018)","noteIndex":0},"citationItems":[{"id":1771,"uris":["http://zotero.org/users/7873587/items/3QZ8899I"],"itemData":{"id":1771,"type":"article-journal","abstract":"To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label":"act"},{"id":674,"uris":["http://zotero.org/users/7873587/items/RIYA94KZ"],"itemData":{"id":674,"type":"article-journal","abstract":"An important open problem is how values are compared to make simple choices. A natural hypothesis is that the brain carries out the computations associated with the value comparisons in a manner consistent with the Drift Diffusion Model (DDM), since this model has been able to account for a large amount of data in other domains. We investigated the ability of four different versions of the DDM to explain the data in a real binary food choice task under conditions of high and low time pressure. We found that a seven-parameter version of the DDM can account for the choice and reaction time data with high-accuracy, in both the high and low time pressure conditions. The changes associated with the introduction of time pressure could be traced to changes in two key model parameters: the barrier height and the noise in the slope of the drift process. (PsycInfo Database Record (c) 2021 APA, all rights reserved)","container-title":"Judgment and Decision Making","ISSN":"1930-2975","issue":"6","note":"publisher-place: US\npublisher: Society for Judgment and Decision Making","page":"437-449","source":"APA PsycNet","title":"The drift diffusion model can account for the accuracy and reaction time of value-based choices under high and low time pressure","volume":"5","author":[{"family":"Mormann","given":"Milica"},{"family":"Malmaud","given":"Jonathan"},{"family":"Huth","given":"Alexander"},{"family":"Koch","given":"Christof"},{"family":"Rangel","given":"Antonio"}],"issued":{"date-parts":[["2010"]]}},"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C."}],"issued":{"date-parts":[["2014",5,7]]}},"label":"act"},{"id":1563,"uris":["http://zotero.org/users/7873587/items/4VVSTME8"],"itemData":{"id":1563,"type":"article-journal","abstract":"Are some people generally more successful using cognitive regulation or does it depend on the choice domain? Why? We combined behavioral computational modeling and multivariate decoding of fMRI responses to identify neural loci of regulation-related shifts in value representations across goals and domains (dietary or altruistic choice). Surprisingly, regulatory goals did not alter integrative value representations in the ventromedial prefrontal cortex, which represented all choice-relevant attributes across goals and domains. Instead, the dorsolateral prefrontal cortex (DLPFC) flexibly encoded goal-consistent values and predicted regulatory success for the majority of choice-relevant attributes, using attribute-specific neural codes. We also identified domain-specific exceptions: goal-dependent encoding of prosocial attributes localized to precuneus and temporo-parietal junction (not DLPFC). Our results suggest that cognitive regulation operated by changing specific attribute representations (not integrated values). Evidence of domain-general and domain-specific neural loci reveals important divisions of labor, explaining when and why regulatory success generalizes (or doesn’t) across contexts and domains.","container-title":"eLife","DOI":"10.7554/eLife.31185","ISSN":"2050-084X","note":"publisher: eLife Sciences Publications, Ltd","page":"e31185","source":"eLife","title":"Cognitive regulation alters social and dietary choice by changing attribute representations in domain-general and domain-specific brain circuits","volume":"7","author":[{"family":"Tusche","given":"Anita"},{"family":"Hutcherson","given":"Cendri A"}],"editor":[{"family":"Schoenbaum","given":"Geoffrey"}],"issued":{"date-parts":[["2018",5,29]]}},"label":"act"}],"schema":"https://github.com/citation-style-language/schema/raw/master/csl-citation.json"}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(Krajbich et al., 2010; Mormann et al., 2010; Polanía et al., 2014; Tusche &amp; Hutcherson, 2018)</w:t>
      </w:r>
      <w:r w:rsidR="009E6B70">
        <w:rPr>
          <w:rFonts w:ascii="Times New Roman" w:hAnsi="Times New Roman" w:cs="Times New Roman"/>
        </w:rPr>
        <w:fldChar w:fldCharType="end"/>
      </w:r>
      <w:r w:rsidRPr="006923E1">
        <w:rPr>
          <w:rFonts w:ascii="Times New Roman" w:hAnsi="Times New Roman" w:cs="Times New Roman"/>
        </w:rPr>
        <w:t>, and our findings suggest that variations of trial wording are viable alternatives that can capture value-based choice. Importantly, the variations in trial wording are interpreted to be viable alternatives as opposed to completely identical substitutes because the correlations between EA rates varied in strength across comparisons and the main effect of trial wording approached statistical significance. Furthermore, in line with other research, EA rates increased as trial difficulty decreased (</w:t>
      </w:r>
      <w:proofErr w:type="spellStart"/>
      <w:r w:rsidRPr="006923E1">
        <w:rPr>
          <w:rFonts w:ascii="Times New Roman" w:hAnsi="Times New Roman" w:cs="Times New Roman"/>
        </w:rPr>
        <w:t>Polanía</w:t>
      </w:r>
      <w:proofErr w:type="spellEnd"/>
      <w:r w:rsidRPr="006923E1">
        <w:rPr>
          <w:rFonts w:ascii="Times New Roman" w:hAnsi="Times New Roman" w:cs="Times New Roman"/>
        </w:rPr>
        <w:t xml:space="preserve"> et al., 2014). This establishment of a ‘difficulty effect’, regardless of the wording of the value-based question on that block of </w:t>
      </w:r>
      <w:r w:rsidRPr="006923E1">
        <w:rPr>
          <w:rFonts w:ascii="Times New Roman" w:hAnsi="Times New Roman" w:cs="Times New Roman"/>
        </w:rPr>
        <w:lastRenderedPageBreak/>
        <w:t xml:space="preserve">trials, is important because it demonstrates that the way that participants were responding during the 2AFC trials was compatible with the value judgments that they had made during the image-rating task. </w:t>
      </w:r>
    </w:p>
    <w:p w14:paraId="594EDC7E" w14:textId="77777777" w:rsidR="006923E1" w:rsidRPr="006923E1" w:rsidRDefault="006923E1" w:rsidP="006923E1">
      <w:pPr>
        <w:pStyle w:val="NoSpacing"/>
        <w:spacing w:line="480" w:lineRule="auto"/>
        <w:rPr>
          <w:rFonts w:ascii="Times New Roman" w:hAnsi="Times New Roman" w:cs="Times New Roman"/>
        </w:rPr>
      </w:pPr>
    </w:p>
    <w:p w14:paraId="416DB793" w14:textId="3EF53C89" w:rsidR="006923E1" w:rsidRPr="006923E1" w:rsidRDefault="006923E1" w:rsidP="009E6B70">
      <w:pPr>
        <w:pStyle w:val="NoSpacing"/>
        <w:spacing w:line="480" w:lineRule="auto"/>
        <w:rPr>
          <w:rFonts w:ascii="Times New Roman" w:hAnsi="Times New Roman" w:cs="Times New Roman"/>
        </w:rPr>
      </w:pPr>
      <w:r w:rsidRPr="006923E1">
        <w:rPr>
          <w:rFonts w:ascii="Times New Roman" w:hAnsi="Times New Roman" w:cs="Times New Roman"/>
        </w:rPr>
        <w:t xml:space="preserve">The core focus of this study was EA rates because this parameter is hypothesised to represent value </w:t>
      </w:r>
      <w:r w:rsidR="009E6B70">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{"citationID":"UAN1ZWeH","properties":{"formattedCitation":"(Field,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(Field, Heather, et al., 2020)</w:t>
      </w:r>
      <w:r w:rsidR="009E6B70">
        <w:rPr>
          <w:rFonts w:ascii="Times New Roman" w:hAnsi="Times New Roman" w:cs="Times New Roman"/>
        </w:rPr>
        <w:fldChar w:fldCharType="end"/>
      </w:r>
      <w:r w:rsidRPr="006923E1">
        <w:rPr>
          <w:rFonts w:ascii="Times New Roman" w:hAnsi="Times New Roman" w:cs="Times New Roman"/>
        </w:rPr>
        <w:t xml:space="preserve">, however analyses on other decision parameters derived from the EZ-DDM (response thresholds and non-decision time) are presented in Appendix </w:t>
      </w:r>
      <w:r w:rsidR="009E6B70">
        <w:rPr>
          <w:rFonts w:ascii="Times New Roman" w:hAnsi="Times New Roman" w:cs="Times New Roman"/>
        </w:rPr>
        <w:t>B</w:t>
      </w:r>
      <w:r w:rsidRPr="006923E1">
        <w:rPr>
          <w:rFonts w:ascii="Times New Roman" w:hAnsi="Times New Roman" w:cs="Times New Roman"/>
        </w:rPr>
        <w:t xml:space="preserve">. An implication of this research is that variations of trial wording used in this study may be appropriate to implement in future research contexts whereby it is undesirable to ask participants to make consummatory judgements, such as those in recovery from addiction </w:t>
      </w:r>
      <w:r w:rsidR="009E6B70">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{"citationID":"thXNfUWB","properties":{"formattedCitation":"(Copeland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(Copeland et al., 2021; Field, Heather, et al., 2020)</w:t>
      </w:r>
      <w:r w:rsidR="009E6B70">
        <w:rPr>
          <w:rFonts w:ascii="Times New Roman" w:hAnsi="Times New Roman" w:cs="Times New Roman"/>
        </w:rPr>
        <w:fldChar w:fldCharType="end"/>
      </w:r>
      <w:r w:rsidRPr="006923E1">
        <w:rPr>
          <w:rFonts w:ascii="Times New Roman" w:hAnsi="Times New Roman" w:cs="Times New Roman"/>
        </w:rPr>
        <w:t xml:space="preserve">. It may be less aversive for people in recovery to express preferences in relation to how much they like an image rather than in relation to their desire to consume the item depicted; indeed, similar procedures have been implemented with people with addiction in clinical settings </w:t>
      </w:r>
      <w:r w:rsidR="009E6B70">
        <w:rPr>
          <w:rFonts w:ascii="Times New Roman" w:hAnsi="Times New Roman" w:cs="Times New Roman"/>
        </w:rPr>
        <w:fldChar w:fldCharType="begin"/>
      </w:r>
      <w:r w:rsidR="009E6B70">
        <w:rPr>
          <w:rFonts w:ascii="Times New Roman" w:hAnsi="Times New Roman" w:cs="Times New Roman"/>
        </w:rPr>
        <w:instrText xml:space="preserve"> ADDIN ZOTERO_ITEM CSL_CITATION {"citationID":"15ecKZZn","properties":{"formattedCitation":"(Moeller &amp; Stoops, 2015)","plainCitation":"(Moeller &amp; Stoops, 2015)","noteIndex":0},"citationItems":[{"id":956,"uris":["http://zotero.org/users/7873587/items/L7ME386B"],"itemData":{"id":956,"type":"article-journal","abstract":"Individuals with cocaine use disorder chronically self-administer cocaine to the detriment of other rewarding activities, a phenomenon best modeled in laboratory drug-choice procedures. These procedures can evaluate the reinforcing effects of drugs versus comparably valuable alternatives under multiple behavioral arrangements and schedules of reinforcement. However, assessing drug-choice in treatment-seeking or abstaining humans poses unique challenges: for ethical reasons, these populations typically cannot receive active drugs during research studies. Researchers have thus needed to rely on alternative approaches that approximate drug-choice behavior or assess more general forms of decision-making, but whether these alternatives have relevance to real-world drug-taking that can inform clinical trials is not well-understood. In this mini-review, we (A) summarize several important modulatory variables that influence cocaine choice in nonhuman animals and non-treatment seeking humans; (B) discuss some of the ethical considerations that could arise if treatment-seekers are enrolled in drug-choice studies; (C) consider the efficacy of alternative procedures, including non-drug-related decision-making and ‘simulated’ drug-choice (a choice is made, but no drug is administered) to approximate drug choice; and (D) suggest opportunities for new translational work to bridge the current divide between preclinical and clinical research.","container-title":"Pharmacology, biochemistry, and behavior","DOI":"10.1016/j.pbb.2015.09.020","ISSN":"0091-3057","journalAbbreviation":"Pharmacol Biochem Behav","note":"PMID: 26432174\nPMCID: PMC4641437","page":"133-141","source":"PubMed Central","title":"Cocaine choice procedures in animals, humans, and treatment-seekers: Can we bridge the divide?","title-short":"Cocaine choice procedures in animals, humans, and treatment-seekers","volume":"138","author":[{"family":"Moeller","given":"Scott J."},{"family":"Stoops","given":"William W."}],"issued":{"date-parts":[["2015",11]]}}}],"schema":"https://github.com/citation-style-language/schema/raw/master/csl-citation.json"}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(Moeller &amp; Stoops, 2015)</w:t>
      </w:r>
      <w:r w:rsidR="009E6B70">
        <w:rPr>
          <w:rFonts w:ascii="Times New Roman" w:hAnsi="Times New Roman" w:cs="Times New Roman"/>
        </w:rPr>
        <w:fldChar w:fldCharType="end"/>
      </w:r>
      <w:r w:rsidRPr="006923E1">
        <w:rPr>
          <w:rFonts w:ascii="Times New Roman" w:hAnsi="Times New Roman" w:cs="Times New Roman"/>
        </w:rPr>
        <w:t>. A limitation of this study is that the EZ-DDM model fitting approach (</w:t>
      </w:r>
      <w:proofErr w:type="spellStart"/>
      <w:r w:rsidRPr="006923E1">
        <w:rPr>
          <w:rFonts w:ascii="Times New Roman" w:hAnsi="Times New Roman" w:cs="Times New Roman"/>
        </w:rPr>
        <w:t>Wagenmakers</w:t>
      </w:r>
      <w:proofErr w:type="spellEnd"/>
      <w:r w:rsidRPr="006923E1">
        <w:rPr>
          <w:rFonts w:ascii="Times New Roman" w:hAnsi="Times New Roman" w:cs="Times New Roman"/>
        </w:rPr>
        <w:t xml:space="preserve"> et al., 2007) precluded the fixing of decision parameters across conditions; however, when we used alternative software (the </w:t>
      </w:r>
      <w:r w:rsidRPr="009E6B70">
        <w:rPr>
          <w:rFonts w:ascii="Times New Roman" w:hAnsi="Times New Roman" w:cs="Times New Roman"/>
          <w:i/>
          <w:iCs/>
        </w:rPr>
        <w:t>fast</w:t>
      </w:r>
      <w:r w:rsidRPr="006923E1">
        <w:rPr>
          <w:rFonts w:ascii="Times New Roman" w:hAnsi="Times New Roman" w:cs="Times New Roman"/>
        </w:rPr>
        <w:t>-dm-30</w:t>
      </w:r>
      <w:r w:rsidR="009E6B70">
        <w:rPr>
          <w:rFonts w:ascii="Times New Roman" w:hAnsi="Times New Roman" w:cs="Times New Roman"/>
        </w:rPr>
        <w:t xml:space="preserve">; </w:t>
      </w:r>
      <w:r w:rsidR="009E6B70">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{"citationID":"mfBKseHi","properties":{"formattedCitation":"(Voss et al., 2015)","plainCitation":"(Voss et al., 2015)","dontUpdate":true,"noteIndex":0},"citationItems":[{"id":1782,"uris":["http://zotero.org/users/7873587/items/7T6VYJGY"],"itemData":{"id":1782,"type":"article-journal","abstract":"Diffusion models can be used to infer cognitive processes involved in fast binary decision tasks. The model assumes that information is accumulated continuously until one of two thresholds is hit. In the analysis, response time distributions from numerous trials of the decision task are used to estimate a set of parameters mapping distinct cognitive processes. In recent years, diffusion model analyses have become more and more popular in different fields of psychology. This increased popularity is based on the recent development of several software solutions for the parameter estimation. Although these programs make the application of the model relatively easy, there is a shortage of knowledge about different steps of a state-of-the-art diffusion model study. In this paper, we give a concise tutorial on diffusion modeling, and we present fast-dm-30, a thoroughly revised and extended version of the fast-dm software (Voss and Voss, 2007) for diffusion model data analysis. The most important improvement of the fast-dm version is the possibility to choose between different optimization criteria (i.e., Maximum Likelihood, Chi-Square, and Kolmogorov-Smirnov), which differ in applicability for different data sets.","container-title":"Frontiers in Psychology","ISSN":"1664-1078","source":"Frontiers","title":"Assessing cognitive processes with diffusion model analyses: a tutorial based on fast-dm-30","title-short":"Assessing cognitive processes with diffusion model analyses","URL":"https://www.frontiersin.org/articles/10.3389/fpsyg.2015.00336","volume":"6","author":[{"family":"Voss","given":"Andreas"},{"family":"Voss","given":"Jochen"},{"family":"Lerche","given":"Veronika"}],"accessed":{"date-parts":[["2022",8,4]]},"issued":{"date-parts":[["2015"]]}}}],"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Voss et al., 2015)</w:t>
      </w:r>
      <w:r w:rsidR="009E6B70">
        <w:rPr>
          <w:rFonts w:ascii="Times New Roman" w:hAnsi="Times New Roman" w:cs="Times New Roman"/>
        </w:rPr>
        <w:fldChar w:fldCharType="end"/>
      </w:r>
      <w:r w:rsidRPr="006923E1">
        <w:rPr>
          <w:rFonts w:ascii="Times New Roman" w:hAnsi="Times New Roman" w:cs="Times New Roman"/>
        </w:rPr>
        <w:t xml:space="preserve"> that enabled us to fix decision parameters, the main effect of trial wording on EA rates became statistically significant (see Appendix B). A broader issue is that alternative, more complex models may provide a better fit to behavioural data and thereby be more sensitive to the effects of trial wording </w:t>
      </w:r>
      <w:r w:rsidR="009E6B70">
        <w:rPr>
          <w:rFonts w:ascii="Times New Roman" w:hAnsi="Times New Roman" w:cs="Times New Roman"/>
        </w:rPr>
        <w:fldChar w:fldCharType="begin"/>
      </w:r>
      <w:r w:rsidR="009E6B70">
        <w:rPr>
          <w:rFonts w:ascii="Times New Roman" w:hAnsi="Times New Roman" w:cs="Times New Roman"/>
        </w:rPr>
        <w:instrText xml:space="preserve"> ADDIN ZOTERO_ITEM CSL_CITATION {"citationID":"dhp34jsy","properties":{"formattedCitation":"(Colas, 2017)","plainCitation":"(Colas, 2017)","noteIndex":0},"citationItems":[{"id":946,"uris":["http://zotero.org/users/7873587/items/GF2JGU9N"],"itemData":{"id":946,"type":"article-journal","abstract":"In principle, formal dynamical models of decision making hold the potential to represent fundamental computations underpinning value-based (i.e., preferential) decisions in addition to perceptual decisions. Sequential-sampling models such as the race model and the drift-diffusion model that are grounded in simplicity, analytical tractability, and optimality remain popular, but some of their more recent counterparts have instead been designed with an aim for more feasibility as architectures to be implemented by actual neural systems. Connectionist models are proposed herein at an intermediate level of analysis that bridges mental phenomena and underlying neurophysiological mechanisms. Several such models drawing elements from the established race, drift-diffusion, feedforward-inhibition, divisive-normalization, and competing-accumulator models were tested with respect to fitting empirical data from human participants making choices between foods on the basis of hedonic value rather than a traditional perceptual attribute. Even when considering performance at emulating behavior alone, more neurally plausible models were set apart from more normative race or drift-diffusion models both quantitatively and qualitatively despite remaining parsimonious. To best capture the paradigm, a novel six-parameter computational model was formulated with features including hierarchical levels of competition via mutual inhibition as well as a static approximation of attentional modulation, which promotes “winner-take-all” processing. Moreover, a meta-analysis encompassing several related experiments validated the robustness of model-predicted trends in humans’ value-based choices and concomitant reaction times. These findings have yet further implications for analysis of neurophysiological data in accordance with computational modeling, which is also discussed in this new light.","container-title":"PLOS ONE","DOI":"10.1371/journal.pone.0186822","ISSN":"1932-6203","issue":"10","journalAbbreviation":"PLOS ONE","language":"en","note":"publisher: Public Library of Science","page":"e0186822","source":"PLoS Journals","title":"Value-based decision making via sequential sampling with hierarchical competition and attentional modulation","volume":"12","author":[{"family":"Colas","given":"Jaron T."}],"issued":{"date-parts":[["2017",10,27]]}}}],"schema":"https://github.com/citation-style-language/schema/raw/master/csl-citation.json"} </w:instrText>
      </w:r>
      <w:r w:rsidR="009E6B70">
        <w:rPr>
          <w:rFonts w:ascii="Times New Roman" w:hAnsi="Times New Roman" w:cs="Times New Roman"/>
        </w:rPr>
        <w:fldChar w:fldCharType="separate"/>
      </w:r>
      <w:r w:rsidR="009E6B70" w:rsidRPr="009E6B70">
        <w:rPr>
          <w:rFonts w:ascii="Times New Roman" w:hAnsi="Times New Roman" w:cs="Times New Roman"/>
        </w:rPr>
        <w:t>(Colas, 2017)</w:t>
      </w:r>
      <w:r w:rsidR="009E6B70">
        <w:rPr>
          <w:rFonts w:ascii="Times New Roman" w:hAnsi="Times New Roman" w:cs="Times New Roman"/>
        </w:rPr>
        <w:fldChar w:fldCharType="end"/>
      </w:r>
      <w:r w:rsidRPr="006923E1">
        <w:rPr>
          <w:rFonts w:ascii="Times New Roman" w:hAnsi="Times New Roman" w:cs="Times New Roman"/>
        </w:rPr>
        <w:t>–an important topic for future research. Another limitation is that participants made value ratings, and were reminded of these, prior to completion of the 2AFC task which may have inadvertently affected participant behaviour. Future research could explore the impact of all combinations of initial value ratings and subsequent wording of 2AFC trials using a full factorial design to investigate the robustness of the findings reported in this study.</w:t>
      </w:r>
    </w:p>
    <w:p w14:paraId="2928482A" w14:textId="77777777" w:rsidR="006923E1" w:rsidRPr="006923E1" w:rsidRDefault="006923E1" w:rsidP="006923E1">
      <w:pPr>
        <w:pStyle w:val="NoSpacing"/>
        <w:spacing w:line="480" w:lineRule="auto"/>
        <w:rPr>
          <w:rFonts w:ascii="Times New Roman" w:hAnsi="Times New Roman" w:cs="Times New Roman"/>
        </w:rPr>
      </w:pPr>
    </w:p>
    <w:p w14:paraId="09652ADC" w14:textId="77777777" w:rsidR="006923E1" w:rsidRPr="006923E1" w:rsidRDefault="006923E1" w:rsidP="006923E1">
      <w:pPr>
        <w:pStyle w:val="NoSpacing"/>
        <w:spacing w:line="480" w:lineRule="auto"/>
        <w:rPr>
          <w:rFonts w:ascii="Times New Roman" w:hAnsi="Times New Roman" w:cs="Times New Roman"/>
        </w:rPr>
      </w:pPr>
      <w:r w:rsidRPr="006923E1">
        <w:rPr>
          <w:rFonts w:ascii="Times New Roman" w:hAnsi="Times New Roman" w:cs="Times New Roman"/>
        </w:rPr>
        <w:t>To conclude, this study was an exploration into the sensitivity of VBDM tasks to minor alterations in trial wording. Results demonstrated robust evidence that differences in EA rates (sensitivity to whether trials are easy, medium, or hard determined by participants own value ratings) were equivalent across the variations of trial wording. There was an effect of trial wording on EA rates, however this is confined to absolute EA rates, is not robust, and appeared sensitive to the software used to fit the DDM. This study contributes towards an initial validation of alternative wording that can be appropriate to implement in future research in which it is undesirable to ask participants to make consummatory judgments about the stimuli, such as research into VBDM in people who are in recovery from addiction.</w:t>
      </w:r>
    </w:p>
    <w:p w14:paraId="0929E4DC" w14:textId="77777777" w:rsidR="006923E1" w:rsidRDefault="006923E1" w:rsidP="006923E1">
      <w:pPr>
        <w:pStyle w:val="NoSpacing"/>
      </w:pPr>
    </w:p>
    <w:p w14:paraId="3C0F3C30" w14:textId="2F84C140" w:rsidR="00000B41" w:rsidRDefault="00000B41" w:rsidP="00093B56">
      <w:pPr>
        <w:pStyle w:val="NoSpacing"/>
      </w:pPr>
    </w:p>
    <w:p w14:paraId="12F6767D" w14:textId="142C62C5" w:rsidR="00000B41" w:rsidRDefault="00000B41" w:rsidP="00093B56">
      <w:pPr>
        <w:pStyle w:val="NoSpacing"/>
      </w:pPr>
    </w:p>
    <w:p w14:paraId="05D5CC61" w14:textId="760E4A2D" w:rsidR="00000B41" w:rsidRDefault="00000B41" w:rsidP="00093B56">
      <w:pPr>
        <w:pStyle w:val="NoSpacing"/>
      </w:pPr>
    </w:p>
    <w:p w14:paraId="1D408F3E" w14:textId="50C410C5" w:rsidR="00000B41" w:rsidRDefault="00000B41" w:rsidP="00093B56">
      <w:pPr>
        <w:pStyle w:val="NoSpacing"/>
      </w:pPr>
    </w:p>
    <w:p w14:paraId="0CC427D7" w14:textId="5C392783" w:rsidR="00000B41" w:rsidRDefault="00000B41" w:rsidP="00093B56">
      <w:pPr>
        <w:pStyle w:val="NoSpacing"/>
      </w:pPr>
    </w:p>
    <w:p w14:paraId="17ADC693" w14:textId="00A7C428" w:rsidR="00000B41" w:rsidRDefault="00000B41" w:rsidP="00093B56">
      <w:pPr>
        <w:pStyle w:val="NoSpacing"/>
      </w:pPr>
    </w:p>
    <w:p w14:paraId="3F1CE256" w14:textId="5223D2BC" w:rsidR="00000B41" w:rsidRDefault="00000B41" w:rsidP="00093B56">
      <w:pPr>
        <w:pStyle w:val="NoSpacing"/>
      </w:pPr>
    </w:p>
    <w:p w14:paraId="43586544" w14:textId="3131BBEB" w:rsidR="00000B41" w:rsidRDefault="00000B41" w:rsidP="00093B56">
      <w:pPr>
        <w:pStyle w:val="NoSpacing"/>
      </w:pPr>
    </w:p>
    <w:p w14:paraId="5C02F485" w14:textId="786B7D76" w:rsidR="00000B41" w:rsidRDefault="00000B41" w:rsidP="00093B56">
      <w:pPr>
        <w:pStyle w:val="NoSpacing"/>
      </w:pPr>
    </w:p>
    <w:p w14:paraId="4EB90E54" w14:textId="2C678D1A" w:rsidR="00000B41" w:rsidRDefault="00000B41" w:rsidP="00093B56">
      <w:pPr>
        <w:pStyle w:val="NoSpacing"/>
      </w:pPr>
    </w:p>
    <w:p w14:paraId="1B9CD718" w14:textId="6AF4737B" w:rsidR="00000B41" w:rsidRDefault="00000B41" w:rsidP="00093B56">
      <w:pPr>
        <w:pStyle w:val="NoSpacing"/>
      </w:pPr>
    </w:p>
    <w:p w14:paraId="3EFF25A0" w14:textId="5D535359" w:rsidR="00000B41" w:rsidRDefault="00000B41" w:rsidP="00093B56">
      <w:pPr>
        <w:pStyle w:val="NoSpacing"/>
      </w:pPr>
    </w:p>
    <w:p w14:paraId="60B17092" w14:textId="123878D1" w:rsidR="00000B41" w:rsidRDefault="00000B41" w:rsidP="00093B56">
      <w:pPr>
        <w:pStyle w:val="NoSpacing"/>
      </w:pPr>
    </w:p>
    <w:p w14:paraId="1B7FB35C" w14:textId="0D108433" w:rsidR="00000B41" w:rsidRDefault="00000B41" w:rsidP="00093B56">
      <w:pPr>
        <w:pStyle w:val="NoSpacing"/>
      </w:pPr>
    </w:p>
    <w:p w14:paraId="4DAC5FB5" w14:textId="68E09205" w:rsidR="00000B41" w:rsidRDefault="00000B41" w:rsidP="00093B56">
      <w:pPr>
        <w:pStyle w:val="NoSpacing"/>
      </w:pPr>
    </w:p>
    <w:p w14:paraId="0A4EBFE8" w14:textId="0A24E4F3" w:rsidR="00000B41" w:rsidRDefault="00000B41" w:rsidP="00093B56">
      <w:pPr>
        <w:pStyle w:val="NoSpacing"/>
      </w:pPr>
    </w:p>
    <w:p w14:paraId="4470048F" w14:textId="186BCA54" w:rsidR="00000B41" w:rsidRDefault="00000B41" w:rsidP="00093B56">
      <w:pPr>
        <w:pStyle w:val="NoSpacing"/>
      </w:pPr>
    </w:p>
    <w:p w14:paraId="7A3DACF6" w14:textId="2B215F44" w:rsidR="00000B41" w:rsidRDefault="00000B41" w:rsidP="00093B56">
      <w:pPr>
        <w:pStyle w:val="NoSpacing"/>
      </w:pPr>
    </w:p>
    <w:p w14:paraId="3A507DF5" w14:textId="3CFCFA11" w:rsidR="00000B41" w:rsidRDefault="00000B41" w:rsidP="00093B56">
      <w:pPr>
        <w:pStyle w:val="NoSpacing"/>
      </w:pPr>
    </w:p>
    <w:p w14:paraId="501244C1" w14:textId="67E46D23" w:rsidR="00000B41" w:rsidRDefault="00000B41" w:rsidP="00093B56">
      <w:pPr>
        <w:pStyle w:val="NoSpacing"/>
      </w:pPr>
    </w:p>
    <w:p w14:paraId="413BCD6D" w14:textId="2E44B626" w:rsidR="00000B41" w:rsidRDefault="00000B41" w:rsidP="00093B56">
      <w:pPr>
        <w:pStyle w:val="NoSpacing"/>
      </w:pPr>
    </w:p>
    <w:p w14:paraId="1D0CAAB2" w14:textId="09FD2ECE" w:rsidR="00000B41" w:rsidRDefault="00000B41" w:rsidP="00093B56">
      <w:pPr>
        <w:pStyle w:val="NoSpacing"/>
      </w:pPr>
    </w:p>
    <w:p w14:paraId="50F95AE5" w14:textId="0920D6AA" w:rsidR="00000B41" w:rsidRDefault="00000B41" w:rsidP="00093B56">
      <w:pPr>
        <w:pStyle w:val="NoSpacing"/>
      </w:pPr>
    </w:p>
    <w:p w14:paraId="21844AD4" w14:textId="6B375851" w:rsidR="00000B41" w:rsidRDefault="00000B41" w:rsidP="00093B56">
      <w:pPr>
        <w:pStyle w:val="NoSpacing"/>
      </w:pPr>
    </w:p>
    <w:p w14:paraId="762CACD7" w14:textId="2AEFA9E5" w:rsidR="00093B56" w:rsidRDefault="00093B56" w:rsidP="00093B56">
      <w:pPr>
        <w:pStyle w:val="NoSpacing"/>
      </w:pPr>
    </w:p>
    <w:p w14:paraId="47557E59" w14:textId="77777777" w:rsidR="00093B56" w:rsidRDefault="00093B56" w:rsidP="00093B56">
      <w:pPr>
        <w:pStyle w:val="NoSpacing"/>
      </w:pPr>
    </w:p>
    <w:p w14:paraId="26964FD2" w14:textId="4D09ACC0" w:rsidR="00093B56" w:rsidRDefault="00093B56" w:rsidP="00107EBB">
      <w:pPr>
        <w:pStyle w:val="Heading1"/>
      </w:pPr>
      <w:bookmarkStart w:id="156" w:name="_Toc109911332"/>
      <w:bookmarkStart w:id="157" w:name="_Toc110612735"/>
      <w:bookmarkStart w:id="158" w:name="_Toc110629055"/>
      <w:bookmarkStart w:id="159" w:name="_Toc110870963"/>
      <w:r>
        <w:lastRenderedPageBreak/>
        <w:t>Chapter 4: Modelling value-based decision-making (VBDM) in regular alcohol consumers after experimental manipulation of the value of alcohol</w:t>
      </w:r>
      <w:bookmarkEnd w:id="156"/>
      <w:bookmarkEnd w:id="157"/>
      <w:bookmarkEnd w:id="158"/>
      <w:bookmarkEnd w:id="159"/>
    </w:p>
    <w:p w14:paraId="07351B85" w14:textId="77777777" w:rsidR="00C417D9" w:rsidRPr="00C417D9" w:rsidRDefault="00C417D9" w:rsidP="00C417D9">
      <w:pPr>
        <w:pStyle w:val="NoSpacing"/>
      </w:pPr>
    </w:p>
    <w:p w14:paraId="72DB9225" w14:textId="2E01831E" w:rsidR="00093B56" w:rsidRPr="00C417D9" w:rsidRDefault="00C417D9" w:rsidP="00C417D9">
      <w:pPr>
        <w:pStyle w:val="NoSpacing"/>
        <w:spacing w:line="480" w:lineRule="auto"/>
        <w:rPr>
          <w:rFonts w:asciiTheme="majorBidi" w:hAnsiTheme="majorBidi" w:cstheme="majorBidi"/>
        </w:rPr>
      </w:pPr>
      <w:r w:rsidRPr="00C417D9">
        <w:rPr>
          <w:rFonts w:asciiTheme="majorBidi" w:hAnsiTheme="majorBidi" w:cstheme="majorBidi"/>
        </w:rPr>
        <w:t xml:space="preserve">In Chapter 3, I found that differences in EA rates (sensitivity to whether trials are easy, medium, or hard determined by participants own value ratings) were equivalent across the variations of trial wording on the VBDM task that do not explicitly ask about consumption (i.e., “gold-standard” wording). I therefore demonstrated initial validation of alternative </w:t>
      </w:r>
      <w:r w:rsidR="001C7D48">
        <w:rPr>
          <w:rFonts w:asciiTheme="majorBidi" w:hAnsiTheme="majorBidi" w:cstheme="majorBidi"/>
        </w:rPr>
        <w:t xml:space="preserve">VBDM task </w:t>
      </w:r>
      <w:r w:rsidRPr="00C417D9">
        <w:rPr>
          <w:rFonts w:asciiTheme="majorBidi" w:hAnsiTheme="majorBidi" w:cstheme="majorBidi"/>
        </w:rPr>
        <w:t>trial wording that can be implemented in future research addiction and recovery from it. In the present Chapter, I applied the VBDM task to addiction-related research by investigating whether experimentally manipulating alcohol value (via videos that depict the positive and negative consequences of alcohol) in regular alcohol consumers prior to completion of the task alters decision parameters of value-based choice for alcoholic and soft</w:t>
      </w:r>
      <w:r w:rsidR="001C7D48">
        <w:rPr>
          <w:rFonts w:asciiTheme="majorBidi" w:hAnsiTheme="majorBidi" w:cstheme="majorBidi"/>
        </w:rPr>
        <w:t xml:space="preserve"> </w:t>
      </w:r>
      <w:r w:rsidRPr="00C417D9">
        <w:rPr>
          <w:rFonts w:asciiTheme="majorBidi" w:hAnsiTheme="majorBidi" w:cstheme="majorBidi"/>
        </w:rPr>
        <w:t>drink cues.</w:t>
      </w:r>
    </w:p>
    <w:p w14:paraId="653B74B9" w14:textId="0779C0CD" w:rsidR="00093B56" w:rsidRPr="00C417D9" w:rsidRDefault="00093B56" w:rsidP="00C417D9">
      <w:pPr>
        <w:pStyle w:val="NoSpacing"/>
        <w:spacing w:line="480" w:lineRule="auto"/>
        <w:rPr>
          <w:rFonts w:asciiTheme="majorBidi" w:hAnsiTheme="majorBidi" w:cstheme="majorBidi"/>
        </w:rPr>
      </w:pPr>
    </w:p>
    <w:p w14:paraId="64E62281" w14:textId="4B903F7A" w:rsidR="00C417D9" w:rsidRPr="00C417D9" w:rsidRDefault="00C417D9" w:rsidP="00C417D9">
      <w:pPr>
        <w:pStyle w:val="NoSpacing"/>
        <w:spacing w:line="480" w:lineRule="auto"/>
        <w:rPr>
          <w:rFonts w:asciiTheme="majorBidi" w:hAnsiTheme="majorBidi" w:cstheme="majorBidi"/>
        </w:rPr>
      </w:pPr>
      <w:r w:rsidRPr="00C417D9">
        <w:rPr>
          <w:rFonts w:asciiTheme="majorBidi" w:hAnsiTheme="majorBidi" w:cstheme="majorBidi"/>
          <w:b/>
          <w:bCs/>
        </w:rPr>
        <w:t>Contributions:</w:t>
      </w:r>
      <w:r w:rsidRPr="00C417D9">
        <w:rPr>
          <w:rFonts w:asciiTheme="majorBidi" w:hAnsiTheme="majorBidi" w:cstheme="majorBidi"/>
        </w:rPr>
        <w:t xml:space="preserve"> I designed the study, which was approved by Matt Field and Tom Stafford (primary supervisors). I collected and analysed the data. I wrote the chapter. Matt Field and Tom Stafford provided feedback on the draft.</w:t>
      </w:r>
    </w:p>
    <w:p w14:paraId="6E14F4D1" w14:textId="3500F2AF" w:rsidR="00093B56" w:rsidRDefault="00093B56" w:rsidP="00C417D9">
      <w:pPr>
        <w:pStyle w:val="NoSpacing"/>
        <w:spacing w:line="480" w:lineRule="auto"/>
      </w:pPr>
    </w:p>
    <w:p w14:paraId="006AE7B0" w14:textId="4561FCAB" w:rsidR="00093B56" w:rsidRPr="00192660" w:rsidRDefault="00192660" w:rsidP="00192660">
      <w:pPr>
        <w:pStyle w:val="NoSpacing"/>
        <w:spacing w:line="480" w:lineRule="auto"/>
        <w:rPr>
          <w:rFonts w:ascii="Times New Roman" w:hAnsi="Times New Roman" w:cs="Times New Roman"/>
        </w:rPr>
      </w:pPr>
      <w:r w:rsidRPr="00192660">
        <w:rPr>
          <w:rFonts w:ascii="Times New Roman" w:hAnsi="Times New Roman" w:cs="Times New Roman"/>
        </w:rPr>
        <w:t>As mentioned previously (p.6), findings from this Chapter have been presented</w:t>
      </w:r>
      <w:r w:rsidR="00236212">
        <w:rPr>
          <w:rFonts w:ascii="Times New Roman" w:hAnsi="Times New Roman" w:cs="Times New Roman"/>
        </w:rPr>
        <w:t xml:space="preserve"> as a poster</w:t>
      </w:r>
      <w:r w:rsidRPr="00192660">
        <w:rPr>
          <w:rFonts w:ascii="Times New Roman" w:hAnsi="Times New Roman" w:cs="Times New Roman"/>
        </w:rPr>
        <w:t xml:space="preserve"> at the Society for the Study of Addiction</w:t>
      </w:r>
      <w:r w:rsidR="00236212">
        <w:rPr>
          <w:rFonts w:ascii="Times New Roman" w:hAnsi="Times New Roman" w:cs="Times New Roman"/>
        </w:rPr>
        <w:t>’s Annual Conference</w:t>
      </w:r>
      <w:r w:rsidRPr="00192660">
        <w:rPr>
          <w:rFonts w:ascii="Times New Roman" w:hAnsi="Times New Roman" w:cs="Times New Roman"/>
        </w:rPr>
        <w:t xml:space="preserve"> (</w:t>
      </w:r>
      <w:hyperlink r:id="rId31" w:history="1">
        <w:r w:rsidRPr="00192660">
          <w:rPr>
            <w:rStyle w:val="Hyperlink"/>
            <w:rFonts w:ascii="Times New Roman" w:hAnsi="Times New Roman" w:cs="Times New Roman"/>
          </w:rPr>
          <w:t>https://www.addiction-ssa.org/author-publications/modelling-value-based-decision-making-in-regular-alcohol-consumers-after-experimental-manipulation-of-the-value-of-alcohol/</w:t>
        </w:r>
      </w:hyperlink>
      <w:r w:rsidRPr="00192660">
        <w:rPr>
          <w:rFonts w:ascii="Times New Roman" w:hAnsi="Times New Roman" w:cs="Times New Roman"/>
        </w:rPr>
        <w:t>)</w:t>
      </w:r>
    </w:p>
    <w:p w14:paraId="4F429218" w14:textId="77777777" w:rsidR="00192660" w:rsidRPr="00192660" w:rsidRDefault="00192660" w:rsidP="00192660">
      <w:pPr>
        <w:pStyle w:val="NoSpacing"/>
        <w:spacing w:line="480" w:lineRule="auto"/>
        <w:rPr>
          <w:rFonts w:ascii="Times New Roman" w:hAnsi="Times New Roman" w:cs="Times New Roman"/>
        </w:rPr>
      </w:pPr>
    </w:p>
    <w:p w14:paraId="5F3ED2CF" w14:textId="082A2F60" w:rsidR="00093B56" w:rsidRDefault="00093B56" w:rsidP="00093B56">
      <w:pPr>
        <w:pStyle w:val="NoSpacing"/>
      </w:pPr>
    </w:p>
    <w:p w14:paraId="1A8183DA" w14:textId="6AD5E2FF" w:rsidR="00093B56" w:rsidRDefault="00093B56" w:rsidP="00093B56">
      <w:pPr>
        <w:pStyle w:val="NoSpacing"/>
      </w:pPr>
    </w:p>
    <w:p w14:paraId="2A72459A" w14:textId="7CE4ED3F" w:rsidR="00D57B74" w:rsidRDefault="00D57B74" w:rsidP="00093B56">
      <w:pPr>
        <w:pStyle w:val="NoSpacing"/>
      </w:pPr>
    </w:p>
    <w:p w14:paraId="159CEE28" w14:textId="77777777" w:rsidR="00D57B74" w:rsidRDefault="00D57B74" w:rsidP="00093B56">
      <w:pPr>
        <w:pStyle w:val="NoSpacing"/>
      </w:pPr>
    </w:p>
    <w:p w14:paraId="630AA17D" w14:textId="29E21EFD" w:rsidR="00093B56" w:rsidRDefault="00093B56" w:rsidP="00093B56">
      <w:pPr>
        <w:pStyle w:val="NoSpacing"/>
      </w:pPr>
    </w:p>
    <w:p w14:paraId="4D9B32BB" w14:textId="62F8C07F" w:rsidR="001C7D48" w:rsidRDefault="001C7D48" w:rsidP="001C7D48">
      <w:pPr>
        <w:pStyle w:val="Heading4"/>
      </w:pPr>
      <w:bookmarkStart w:id="160" w:name="_Toc110629056"/>
      <w:bookmarkStart w:id="161" w:name="_Toc110870964"/>
      <w:r w:rsidRPr="001C7D48">
        <w:lastRenderedPageBreak/>
        <w:t>Abstract</w:t>
      </w:r>
      <w:bookmarkEnd w:id="160"/>
      <w:bookmarkEnd w:id="161"/>
    </w:p>
    <w:p w14:paraId="3D4BE475" w14:textId="306C747E" w:rsidR="001C7D48" w:rsidRPr="001C7D48" w:rsidRDefault="001C7D48" w:rsidP="001C7D48">
      <w:pPr>
        <w:pStyle w:val="NoSpacing"/>
        <w:spacing w:line="480" w:lineRule="auto"/>
        <w:rPr>
          <w:rFonts w:ascii="Times New Roman" w:hAnsi="Times New Roman" w:cs="Times New Roman"/>
          <w:b/>
          <w:bCs/>
        </w:rPr>
      </w:pPr>
      <w:r w:rsidRPr="001C7D48">
        <w:rPr>
          <w:rFonts w:ascii="Times New Roman" w:hAnsi="Times New Roman" w:cs="Times New Roman"/>
          <w:b/>
          <w:bCs/>
        </w:rPr>
        <w:t xml:space="preserve">Background: </w:t>
      </w:r>
      <w:r w:rsidRPr="001C7D48">
        <w:rPr>
          <w:rFonts w:ascii="Times New Roman" w:hAnsi="Times New Roman" w:cs="Times New Roman"/>
        </w:rPr>
        <w:t>Devaluation of alcohol leads to reductions in alcohol choice and consumption; however, less is known about the mechanisms behind this.</w:t>
      </w:r>
      <w:r w:rsidRPr="001C7D48">
        <w:rPr>
          <w:rFonts w:ascii="Times New Roman" w:hAnsi="Times New Roman" w:cs="Times New Roman"/>
          <w:b/>
          <w:bCs/>
        </w:rPr>
        <w:t xml:space="preserve"> </w:t>
      </w:r>
      <w:r w:rsidRPr="001C7D48">
        <w:rPr>
          <w:rFonts w:ascii="Times New Roman" w:hAnsi="Times New Roman" w:cs="Times New Roman"/>
        </w:rPr>
        <w:t xml:space="preserve">This is the first study to manipulate the value of alcohol and apply a computational model of value-based decision-making (VBDM) to parameterise the internal processes of decision-making. </w:t>
      </w:r>
      <w:r w:rsidRPr="001C7D48">
        <w:rPr>
          <w:rFonts w:ascii="Times New Roman" w:hAnsi="Times New Roman" w:cs="Times New Roman"/>
          <w:b/>
          <w:bCs/>
        </w:rPr>
        <w:t>Method:</w:t>
      </w:r>
      <w:r w:rsidRPr="001C7D48">
        <w:rPr>
          <w:rFonts w:ascii="Times New Roman" w:hAnsi="Times New Roman" w:cs="Times New Roman"/>
        </w:rPr>
        <w:t xml:space="preserve"> This study was pre-registered. Using a within-subject design, 36 regular alcohol consumers were primed to </w:t>
      </w:r>
      <w:r w:rsidRPr="001C7D48">
        <w:rPr>
          <w:rFonts w:ascii="Times New Roman" w:hAnsi="Times New Roman" w:cs="Times New Roman"/>
          <w:i/>
          <w:iCs/>
        </w:rPr>
        <w:t xml:space="preserve">value </w:t>
      </w:r>
      <w:r w:rsidRPr="001C7D48">
        <w:rPr>
          <w:rFonts w:ascii="Times New Roman" w:hAnsi="Times New Roman" w:cs="Times New Roman"/>
        </w:rPr>
        <w:t xml:space="preserve">and </w:t>
      </w:r>
      <w:r w:rsidRPr="001C7D48">
        <w:rPr>
          <w:rFonts w:ascii="Times New Roman" w:hAnsi="Times New Roman" w:cs="Times New Roman"/>
          <w:i/>
          <w:iCs/>
        </w:rPr>
        <w:t xml:space="preserve">devalue </w:t>
      </w:r>
      <w:r w:rsidRPr="001C7D48">
        <w:rPr>
          <w:rFonts w:ascii="Times New Roman" w:hAnsi="Times New Roman" w:cs="Times New Roman"/>
        </w:rPr>
        <w:t>alcohol by watching videos that emphasised the positive versus the negative consequences of alcohol consumption. After being primed, participants completed a two-alternative forced choice task in which they chose between either two alcohol images (in one block) or two soft drink images (in a different block). On each block, participants pressed a key to select the drink image that they would rather consume. We applied a drift</w:t>
      </w:r>
      <w:r>
        <w:rPr>
          <w:rFonts w:ascii="Times New Roman" w:hAnsi="Times New Roman" w:cs="Times New Roman"/>
        </w:rPr>
        <w:t>-</w:t>
      </w:r>
      <w:r w:rsidRPr="001C7D48">
        <w:rPr>
          <w:rFonts w:ascii="Times New Roman" w:hAnsi="Times New Roman" w:cs="Times New Roman"/>
        </w:rPr>
        <w:t xml:space="preserve">diffusion model (DDM) to the reaction time and accuracy data to estimate evidence accumulation (EA) processes and response thresholds during the different blocks. </w:t>
      </w:r>
      <w:r w:rsidRPr="001C7D48">
        <w:rPr>
          <w:rFonts w:ascii="Times New Roman" w:hAnsi="Times New Roman" w:cs="Times New Roman"/>
          <w:b/>
          <w:bCs/>
        </w:rPr>
        <w:t>Results:</w:t>
      </w:r>
      <w:r w:rsidRPr="001C7D48">
        <w:rPr>
          <w:rFonts w:ascii="Times New Roman" w:hAnsi="Times New Roman" w:cs="Times New Roman"/>
        </w:rPr>
        <w:t xml:space="preserve"> After devaluation of alcohol, soft drink EA rates were significantly increased compared to alcohol EA rates (</w:t>
      </w:r>
      <w:r w:rsidRPr="001C7D48">
        <w:rPr>
          <w:rFonts w:ascii="Times New Roman" w:hAnsi="Times New Roman" w:cs="Times New Roman"/>
          <w:i/>
        </w:rPr>
        <w:t xml:space="preserve">p </w:t>
      </w:r>
      <w:r w:rsidRPr="001C7D48">
        <w:rPr>
          <w:rFonts w:ascii="Times New Roman" w:hAnsi="Times New Roman" w:cs="Times New Roman"/>
        </w:rPr>
        <w:t xml:space="preserve">= .04, </w:t>
      </w:r>
      <w:r w:rsidRPr="001C7D48">
        <w:rPr>
          <w:rFonts w:ascii="Times New Roman" w:hAnsi="Times New Roman" w:cs="Times New Roman"/>
          <w:i/>
        </w:rPr>
        <w:t xml:space="preserve">d </w:t>
      </w:r>
      <w:r w:rsidRPr="001C7D48">
        <w:rPr>
          <w:rFonts w:ascii="Times New Roman" w:hAnsi="Times New Roman" w:cs="Times New Roman"/>
        </w:rPr>
        <w:t>= .31) and compared to soft drink EA rates when participants were primed to value alcohol (</w:t>
      </w:r>
      <w:r w:rsidRPr="001C7D48">
        <w:rPr>
          <w:rFonts w:ascii="Times New Roman" w:hAnsi="Times New Roman" w:cs="Times New Roman"/>
          <w:i/>
        </w:rPr>
        <w:t xml:space="preserve">p </w:t>
      </w:r>
      <w:r w:rsidRPr="001C7D48">
        <w:rPr>
          <w:rFonts w:ascii="Times New Roman" w:hAnsi="Times New Roman" w:cs="Times New Roman"/>
        </w:rPr>
        <w:t xml:space="preserve">= .01, </w:t>
      </w:r>
      <w:r w:rsidRPr="001C7D48">
        <w:rPr>
          <w:rFonts w:ascii="Times New Roman" w:hAnsi="Times New Roman" w:cs="Times New Roman"/>
          <w:i/>
        </w:rPr>
        <w:t xml:space="preserve">d </w:t>
      </w:r>
      <w:r w:rsidRPr="001C7D48">
        <w:rPr>
          <w:rFonts w:ascii="Times New Roman" w:hAnsi="Times New Roman" w:cs="Times New Roman"/>
        </w:rPr>
        <w:t xml:space="preserve">= .38). However, the experimental manipulation had no effect on EA rates for alcoholic drinks or on response thresholds in either priming condition. </w:t>
      </w:r>
      <w:r w:rsidRPr="001C7D48">
        <w:rPr>
          <w:rFonts w:ascii="Times New Roman" w:hAnsi="Times New Roman" w:cs="Times New Roman"/>
          <w:b/>
          <w:bCs/>
        </w:rPr>
        <w:t>Conclusions:</w:t>
      </w:r>
      <w:r w:rsidRPr="001C7D48">
        <w:rPr>
          <w:rFonts w:ascii="Times New Roman" w:hAnsi="Times New Roman" w:cs="Times New Roman"/>
        </w:rPr>
        <w:t xml:space="preserve"> </w:t>
      </w:r>
      <w:bookmarkStart w:id="162" w:name="_Hlk118823490"/>
      <w:r w:rsidR="00D7024C" w:rsidRPr="00342E7D">
        <w:rPr>
          <w:rFonts w:ascii="Times New Roman" w:hAnsi="Times New Roman" w:cs="Times New Roman"/>
        </w:rPr>
        <w:t>The manipulation of alcohol value</w:t>
      </w:r>
      <w:r w:rsidRPr="00342E7D">
        <w:rPr>
          <w:rFonts w:ascii="Times New Roman" w:hAnsi="Times New Roman" w:cs="Times New Roman"/>
        </w:rPr>
        <w:t xml:space="preserve"> </w:t>
      </w:r>
      <w:r w:rsidR="00D7024C" w:rsidRPr="00342E7D">
        <w:rPr>
          <w:rFonts w:ascii="Times New Roman" w:hAnsi="Times New Roman" w:cs="Times New Roman"/>
        </w:rPr>
        <w:t xml:space="preserve">led to alterations in </w:t>
      </w:r>
      <w:r w:rsidRPr="00342E7D">
        <w:rPr>
          <w:rFonts w:ascii="Times New Roman" w:hAnsi="Times New Roman" w:cs="Times New Roman"/>
        </w:rPr>
        <w:t>EA rates for soft drinks compared to alcoholic drinks</w:t>
      </w:r>
      <w:bookmarkEnd w:id="162"/>
      <w:r w:rsidRPr="00342E7D">
        <w:rPr>
          <w:rFonts w:ascii="Times New Roman" w:hAnsi="Times New Roman" w:cs="Times New Roman"/>
        </w:rPr>
        <w:t>.</w:t>
      </w:r>
      <w:r w:rsidRPr="001C7D48">
        <w:rPr>
          <w:rFonts w:ascii="Times New Roman" w:hAnsi="Times New Roman" w:cs="Times New Roman"/>
        </w:rPr>
        <w:t xml:space="preserve"> Surprisingly, the experimental manipulation of alcohol value only altered the internal processes that precede decision-making for soft drinks rather than alcoholic drinks.</w:t>
      </w:r>
    </w:p>
    <w:p w14:paraId="7BFDC3D7" w14:textId="77777777" w:rsidR="001C7D48" w:rsidRPr="001C7D48" w:rsidRDefault="001C7D48" w:rsidP="001C7D48">
      <w:pPr>
        <w:pStyle w:val="NoSpacing"/>
      </w:pPr>
    </w:p>
    <w:p w14:paraId="62CB9CEF" w14:textId="3850728A" w:rsidR="00093B56" w:rsidRDefault="00093B56" w:rsidP="00093B56">
      <w:pPr>
        <w:pStyle w:val="NoSpacing"/>
      </w:pPr>
    </w:p>
    <w:p w14:paraId="0146D953" w14:textId="160BF9AE" w:rsidR="00093B56" w:rsidRDefault="00093B56" w:rsidP="00093B56">
      <w:pPr>
        <w:pStyle w:val="NoSpacing"/>
      </w:pPr>
    </w:p>
    <w:p w14:paraId="64764859" w14:textId="28C27642" w:rsidR="00093B56" w:rsidRDefault="00093B56" w:rsidP="00093B56">
      <w:pPr>
        <w:pStyle w:val="NoSpacing"/>
      </w:pPr>
    </w:p>
    <w:p w14:paraId="473F7DC5" w14:textId="69C8C674" w:rsidR="00093B56" w:rsidRDefault="00093B56" w:rsidP="00093B56">
      <w:pPr>
        <w:pStyle w:val="NoSpacing"/>
      </w:pPr>
    </w:p>
    <w:p w14:paraId="567252D1" w14:textId="7ADFED5F" w:rsidR="00093B56" w:rsidRDefault="00093B56" w:rsidP="00093B56">
      <w:pPr>
        <w:pStyle w:val="NoSpacing"/>
      </w:pPr>
    </w:p>
    <w:p w14:paraId="7BA2405B" w14:textId="1A8BE42A" w:rsidR="00093B56" w:rsidRDefault="00093B56" w:rsidP="00093B56">
      <w:pPr>
        <w:pStyle w:val="NoSpacing"/>
      </w:pPr>
    </w:p>
    <w:p w14:paraId="03BCD18A" w14:textId="7DBF4A09" w:rsidR="00093B56" w:rsidRDefault="00093B56" w:rsidP="00093B56">
      <w:pPr>
        <w:pStyle w:val="NoSpacing"/>
      </w:pPr>
    </w:p>
    <w:p w14:paraId="2E88303C" w14:textId="41EE6AC0" w:rsidR="00093B56" w:rsidRDefault="001C7D48" w:rsidP="001C7D48">
      <w:pPr>
        <w:pStyle w:val="Heading4"/>
      </w:pPr>
      <w:bookmarkStart w:id="163" w:name="_Toc110629057"/>
      <w:bookmarkStart w:id="164" w:name="_Toc110870965"/>
      <w:r>
        <w:lastRenderedPageBreak/>
        <w:t>4.1. Introduction</w:t>
      </w:r>
      <w:bookmarkEnd w:id="163"/>
      <w:bookmarkEnd w:id="164"/>
    </w:p>
    <w:p w14:paraId="5643E8CF" w14:textId="1B72F1E0" w:rsidR="001C7D48" w:rsidRPr="001C7D48" w:rsidRDefault="001C7D48" w:rsidP="00B249CC">
      <w:pPr>
        <w:pStyle w:val="NoSpacing"/>
        <w:spacing w:line="480" w:lineRule="auto"/>
        <w:rPr>
          <w:rFonts w:ascii="Times New Roman" w:hAnsi="Times New Roman" w:cs="Times New Roman"/>
        </w:rPr>
      </w:pPr>
      <w:r w:rsidRPr="001C7D48">
        <w:rPr>
          <w:rFonts w:ascii="Times New Roman" w:hAnsi="Times New Roman" w:cs="Times New Roman"/>
        </w:rPr>
        <w:t xml:space="preserve">Harmful alcohol consumption </w:t>
      </w:r>
      <w:bookmarkStart w:id="165" w:name="_Hlk66262558"/>
      <w:r w:rsidRPr="001C7D48">
        <w:rPr>
          <w:rFonts w:ascii="Times New Roman" w:hAnsi="Times New Roman" w:cs="Times New Roman"/>
        </w:rPr>
        <w:t xml:space="preserve">increases the risk of premature death and ill health </w:t>
      </w:r>
      <w:bookmarkEnd w:id="165"/>
      <w:r w:rsidR="00DC4055">
        <w:rPr>
          <w:rFonts w:ascii="Times New Roman" w:hAnsi="Times New Roman" w:cs="Times New Roman"/>
        </w:rPr>
        <w:fldChar w:fldCharType="begin"/>
      </w:r>
      <w:r w:rsidR="00DC4055">
        <w:rPr>
          <w:rFonts w:ascii="Times New Roman" w:hAnsi="Times New Roman" w:cs="Times New Roman"/>
        </w:rPr>
        <w:instrText xml:space="preserve"> ADDIN ZOTERO_ITEM CSL_CITATION {"citationID":"Uh03HpXn","properties":{"formattedCitation":"(Degenhardt et al., 2018; Rehm et al., 2017)","plainCitation":"(Degenhardt et al., 2018; Rehm et al., 2017)","noteIndex":0},"citationItems":[{"id":986,"uris":["http://zotero.org/users/7873587/items/MEH7Y2NG"],"itemData":{"id":986,"type":"article-journal","container-title":"The Lancet Psychiatry","DOI":"10.1016/S2215-0366(18)30337-7","ISSN":"2215-0366, 2215-0374","issue":"12","journalAbbreviation":"The Lancet Psychiatry","language":"English","note":"publisher: Elsevier\nPMID: 30392731","page":"987-1012","source":"www.thelancet.com","title":"The global burden of disease attributable to alcohol and drug use in 195 countries and territories, 1990–2016: a systematic analysis for the Global Burden of Disease Study 2016","title-short":"The global burden of disease attributable to alcohol and drug use in 195 countries and territories, 1990–2016","volume":"5","author":[{"family":"Degenhardt","given":"Louisa"},{"family":"Charlson","given":"Fiona"},{"family":"Ferrari","given":"Alize"},{"family":"Santomauro","given":"Damian"},{"family":"Erskine","given":"Holly"},{"family":"Mantilla-Herrara","given":"Ana"},{"family":"Whiteford","given":"Harvey"},{"family":"Leung","given":"Janni"},{"family":"Naghavi","given":"Mohsen"},{"family":"Griswold","given":"Max"},{"family":"Rehm","given":"Jürgen"},{"family":"Hall","given":"Wayne"},{"family":"Sartorius","given":"Benn"},{"family":"Scott","given":"James"},{"family":"Vollset","given":"Stein Emil"},{"family":"Knudsen","given":"Ann Kristin"},{"family":"Haro","given":"Josep Maria"},{"family":"Patton","given":"George"},{"family":"Kopec","given":"Jacek"},{"family":"Malta","given":"Deborah Carvalho"},{"family":"Topor-Madry","given":"Roman"},{"family":"McGrath","given":"John"},{"family":"Haagsma","given":"Juanita"},{"family":"Allebeck","given":"Peter"},{"family":"Phillips","given":"Michael"},{"family":"Salomon","given":"Joshua"},{"family":"Hay","given":"Simon"},{"family":"Foreman","given":"Kyle"},{"family":"Lim","given":"Stephen"},{"family":"Mokdad","given":"Ali"},{"family":"Smith","given":"Mari"},{"family":"Gakidou","given":"Emmanuela"},{"family":"Murray","given":"Christopher"},{"family":"Vos","given":"Theo"}],"issued":{"date-parts":[["2018",12,1]]}},"label":"act"},{"id":94,"uris":["http://zotero.org/users/7873587/items/XUGA83YM"],"itemData":{"id":94,"type":"article-journal","abstract":"Background and aims Alcohol use is a major contributor to injuries, mortality and the burden of disease. This review updates knowledge on risk relations between dimensions of alcohol use and health outcomes to be used in global and national Comparative Risk Assessments (CRAs). Methods Systematic review of reviews and meta-analyses on alcohol consumption and health outcomes attributable to alcohol use. For dimensions of exposure: volume of alcohol use, blood alcohol concentration and patterns of drinking, in particular heavy drinking occasions were studied. For liver cirrhosis, quality of alcohol was additionally considered. For all outcomes (mortality and/or morbidity): cause of death and disease/injury categories based on International Classification of Diseases (ICD) codes used in global CRAs; harm to others. Results In total, 255 reviews and meta-analyses were identified. Alcohol use was found to be linked causally to many disease and injury categories, with more than 40 ICD-10 three-digit categories being fully attributable to alcohol. Most partially attributable disease categories showed monotonic relationships with volume of alcohol use: the more alcohol consumed, the higher the risk of disease or death. Exceptions were ischaemic diseases and diabetes, with curvilinear relationships, and with beneficial effects of light to moderate drinking in people without heavy irregular drinking occasions. Biological pathways suggest an impact of heavy drinking occasions on additional diseases; however, the lack of medical epidemiological studies measuring this dimension of alcohol use precluded an in-depth analysis. For injuries, except suicide, blood alcohol concentration was the most important dimension of alcohol use. Alcohol use caused marked harm to others, which has not yet been researched sufficiently. Conclusions Research since 2010 confirms the importance of alcohol use as a risk factor for disease and injuries; for some health outcomes, more than one dimension of use needs to be considered. Epidemiological studies should include measurement of heavy drinking occasions in line with biological knowledge.","container-title":"Addiction","DOI":"10.1111/add.13757","ISSN":"1360-0443","issue":"6","language":"en","license":"© 2017 The Authors. Addiction published by John Wiley &amp; Sons Ltd on behalf of Society for the Study of Addiction.","note":"_eprint: https://onlinelibrary.wiley.com/doi/pdf/10.1111/add.13757","page":"968-1001","source":"Wiley Online Library","title":"The relationship between different dimensions of alcohol use and the burden of disease—an update","volume":"112","author":[{"family":"Rehm","given":"Jürgen"},{"family":"Gmel","given":"Gerhard E."},{"family":"Gmel","given":"Gerrit"},{"family":"Hasan","given":"Omer S. M."},{"family":"Imtiaz","given":"Sameer"},{"family":"Popova","given":"Svetlana"},{"family":"Probst","given":"Charlotte"},{"family":"Roerecke","given":"Michael"},{"family":"Room","given":"Robin"},{"family":"Samokhvalov","given":"Andriy V."},{"family":"Shield","given":"Kevin D."},{"family":"Shuper","given":"Paul A."}],"issued":{"date-parts":[["2017"]]}},"label":"act"}],"schema":"https://github.com/citation-style-language/schema/raw/master/csl-citation.json"} </w:instrText>
      </w:r>
      <w:r w:rsidR="00DC4055">
        <w:rPr>
          <w:rFonts w:ascii="Times New Roman" w:hAnsi="Times New Roman" w:cs="Times New Roman"/>
        </w:rPr>
        <w:fldChar w:fldCharType="separate"/>
      </w:r>
      <w:r w:rsidR="00DC4055" w:rsidRPr="00F907EE">
        <w:rPr>
          <w:rFonts w:ascii="Times New Roman" w:hAnsi="Times New Roman" w:cs="Times New Roman"/>
        </w:rPr>
        <w:t>(Degenhardt et al., 2018; Rehm et al., 2017)</w:t>
      </w:r>
      <w:r w:rsidR="00DC4055">
        <w:rPr>
          <w:rFonts w:ascii="Times New Roman" w:hAnsi="Times New Roman" w:cs="Times New Roman"/>
        </w:rPr>
        <w:fldChar w:fldCharType="end"/>
      </w:r>
      <w:r w:rsidRPr="001C7D48">
        <w:rPr>
          <w:rFonts w:ascii="Times New Roman" w:hAnsi="Times New Roman" w:cs="Times New Roman"/>
        </w:rPr>
        <w:t xml:space="preserve">. In England alone, over 10 million people consume alcohol at levels which are above the United Kingdom (UK) </w:t>
      </w:r>
      <w:bookmarkStart w:id="166" w:name="_Hlk66262542"/>
      <w:r w:rsidRPr="001C7D48">
        <w:rPr>
          <w:rFonts w:ascii="Times New Roman" w:hAnsi="Times New Roman" w:cs="Times New Roman"/>
        </w:rPr>
        <w:t xml:space="preserve">Chief Medical Officers </w:t>
      </w:r>
      <w:bookmarkEnd w:id="166"/>
      <w:r w:rsidRPr="001C7D48">
        <w:rPr>
          <w:rFonts w:ascii="Times New Roman" w:hAnsi="Times New Roman" w:cs="Times New Roman"/>
        </w:rPr>
        <w:t xml:space="preserve">‘low risk’ drinking guidelines of 14 units per week </w:t>
      </w:r>
      <w:r w:rsidR="00DC4055">
        <w:rPr>
          <w:rFonts w:ascii="Times New Roman" w:hAnsi="Times New Roman" w:cs="Times New Roman"/>
        </w:rPr>
        <w:t>(</w:t>
      </w:r>
      <w:r w:rsidR="00DC4055">
        <w:rPr>
          <w:rFonts w:ascii="Times New Roman" w:hAnsi="Times New Roman" w:cs="Times New Roman"/>
        </w:rPr>
        <w:fldChar w:fldCharType="begin"/>
      </w:r>
      <w:r w:rsidR="00C5759B">
        <w:rPr>
          <w:rFonts w:ascii="Times New Roman" w:hAnsi="Times New Roman" w:cs="Times New Roman"/>
        </w:rPr>
        <w:instrText xml:space="preserve"> ADDIN ZOTERO_ITEM CSL_CITATION {"citationID":"nM4H11hU","properties":{"formattedCitation":"(Office for Health Improvement and Disparities, 2022)","plainCitation":"(Office for Health Improvement and Disparities, 2022)","dontUpdate":true,"noteIndex":0},"citationItems":[{"id":977,"uris":["http://zotero.org/users/7873587/items/UXTGNTSJ"],"itemData":{"id":977,"type":"webpage","container-title":"GOV.UK","language":"en","title":"Alcohol: applying All Our Health","title-short":"Alcohol","URL":"https://www.gov.uk/government/publications/alcohol-applying-all-our-health/alcohol-applying-all-our-health","author":[{"literal":"Office for Health Improvement &amp; Disparities"}],"accessed":{"date-parts":[["2022",7,31]]},"issued":{"date-parts":[["2022"]]}}}],"schema":"https://github.com/citation-style-language/schema/raw/master/csl-citation.json"} </w:instrText>
      </w:r>
      <w:r w:rsidR="00DC4055">
        <w:rPr>
          <w:rFonts w:ascii="Times New Roman" w:hAnsi="Times New Roman" w:cs="Times New Roman"/>
        </w:rPr>
        <w:fldChar w:fldCharType="separate"/>
      </w:r>
      <w:r w:rsidR="00DC4055">
        <w:rPr>
          <w:rFonts w:ascii="Times New Roman" w:hAnsi="Times New Roman" w:cs="Times New Roman"/>
          <w:noProof/>
        </w:rPr>
        <w:t>Office for Health Improvement and Disparities, 2022)</w:t>
      </w:r>
      <w:r w:rsidR="00DC4055">
        <w:rPr>
          <w:rFonts w:ascii="Times New Roman" w:hAnsi="Times New Roman" w:cs="Times New Roman"/>
        </w:rPr>
        <w:fldChar w:fldCharType="end"/>
      </w:r>
      <w:r w:rsidRPr="001C7D48">
        <w:rPr>
          <w:rFonts w:ascii="Times New Roman" w:hAnsi="Times New Roman" w:cs="Times New Roman"/>
        </w:rPr>
        <w:t>. Consequently, this leads to substantial socioeconomic costs, of which, £3.5</w:t>
      </w:r>
      <w:r w:rsidR="00DC4055">
        <w:rPr>
          <w:rFonts w:ascii="Times New Roman" w:hAnsi="Times New Roman" w:cs="Times New Roman"/>
        </w:rPr>
        <w:t xml:space="preserve"> </w:t>
      </w:r>
      <w:r w:rsidRPr="001C7D48">
        <w:rPr>
          <w:rFonts w:ascii="Times New Roman" w:hAnsi="Times New Roman" w:cs="Times New Roman"/>
        </w:rPr>
        <w:t>b</w:t>
      </w:r>
      <w:r w:rsidR="00DC4055">
        <w:rPr>
          <w:rFonts w:ascii="Times New Roman" w:hAnsi="Times New Roman" w:cs="Times New Roman"/>
        </w:rPr>
        <w:t>illio</w:t>
      </w:r>
      <w:r w:rsidRPr="001C7D48">
        <w:rPr>
          <w:rFonts w:ascii="Times New Roman" w:hAnsi="Times New Roman" w:cs="Times New Roman"/>
        </w:rPr>
        <w:t xml:space="preserve">n is direct to the National Health Service </w:t>
      </w:r>
      <w:r w:rsidR="00DC4055">
        <w:rPr>
          <w:rFonts w:ascii="Times New Roman" w:hAnsi="Times New Roman" w:cs="Times New Roman"/>
        </w:rPr>
        <w:t>(</w:t>
      </w:r>
      <w:r w:rsidR="00DC4055">
        <w:rPr>
          <w:rFonts w:ascii="Times New Roman" w:hAnsi="Times New Roman" w:cs="Times New Roman"/>
        </w:rPr>
        <w:fldChar w:fldCharType="begin"/>
      </w:r>
      <w:r w:rsidR="00C5759B">
        <w:rPr>
          <w:rFonts w:ascii="Times New Roman" w:hAnsi="Times New Roman" w:cs="Times New Roman"/>
        </w:rPr>
        <w:instrText xml:space="preserve"> ADDIN ZOTERO_ITEM CSL_CITATION {"citationID":"B7Bb91tJ","properties":{"formattedCitation":"(Public Health England, 2016)","plainCitation":"(Public Health England, 2016)","dontUpdate":true,"noteIndex":0},"citationItems":[{"id":1076,"uris":["http://zotero.org/users/7873587/items/2B7Z5SW4"],"itemData":{"id":1076,"type":"webpage","container-title":"GOV.UK","language":"en","title":"Health matters: harmful drinking and alcohol dependence","title-short":"Health matters","URL":"https://www.gov.uk/government/publications/health-matters-harmful-drinking-and-alcohol-dependence/health-matters-harmful-drinking-and-alcohol-dependence","author":[{"literal":"Public Health England"}],"accessed":{"date-parts":[["2022",8,1]]},"issued":{"date-parts":[["2016"]]}}}],"schema":"https://github.com/citation-style-language/schema/raw/master/csl-citation.json"} </w:instrText>
      </w:r>
      <w:r w:rsidR="00DC4055">
        <w:rPr>
          <w:rFonts w:ascii="Times New Roman" w:hAnsi="Times New Roman" w:cs="Times New Roman"/>
        </w:rPr>
        <w:fldChar w:fldCharType="separate"/>
      </w:r>
      <w:r w:rsidR="00DC4055" w:rsidRPr="00A01B25">
        <w:rPr>
          <w:rFonts w:ascii="Times New Roman" w:hAnsi="Times New Roman" w:cs="Times New Roman"/>
        </w:rPr>
        <w:t>Public Health England, 2016)</w:t>
      </w:r>
      <w:r w:rsidR="00DC4055">
        <w:rPr>
          <w:rFonts w:ascii="Times New Roman" w:hAnsi="Times New Roman" w:cs="Times New Roman"/>
        </w:rPr>
        <w:fldChar w:fldCharType="end"/>
      </w:r>
      <w:r w:rsidRPr="001C7D48">
        <w:rPr>
          <w:rFonts w:ascii="Times New Roman" w:hAnsi="Times New Roman" w:cs="Times New Roman"/>
        </w:rPr>
        <w:t xml:space="preserve">. </w:t>
      </w:r>
      <w:r>
        <w:rPr>
          <w:rFonts w:ascii="Times New Roman" w:hAnsi="Times New Roman" w:cs="Times New Roman"/>
        </w:rPr>
        <w:t>Behavioural economic</w:t>
      </w:r>
      <w:r w:rsidRPr="001C7D48">
        <w:rPr>
          <w:rFonts w:ascii="Times New Roman" w:hAnsi="Times New Roman" w:cs="Times New Roman"/>
        </w:rPr>
        <w:t xml:space="preserve"> accounts argue that shifts in valuation processes related to alcohol and competing alcohol-free alternative reinforcers at least partially underlie changes in alcohol consumption </w:t>
      </w:r>
      <w:r w:rsidR="00C5759B">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{"citationID":"2f8RA88e","properties":{"formattedCitation":"(Bickel et al., 2014; Bickel &amp; Athamneh, 2020; Hogarth &amp; Field, 2020; Murphy, MacKillop, et al., 2012; Tucker et al., 2021)","plainCitation":"(Bickel et al., 2014; Bickel &amp; Athamneh, 2020; Hogarth &amp; Field, 2020; Murphy, MacKillop, et al., 2012; Tucker et al., 2021)","noteIndex":0},"citationItems":[{"id":816,"uris":["http://zotero.org/users/7873587/items/R9KVGRWU"],"itemData":{"id":816,"type":"article-journal","abstract":"The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T."},{"family":"Rotgers.","given":"Frederick"}],"issued":{"date-parts":[["2012"]]}},"label":"act"},{"id":1450,"uris":["http://zotero.org/users/7873587/items/86V94KBV"],"itemData":{"id":1450,"type":"article-journal","abstract":"Background Behavioral economics predicts that recovery from Alcohol Use Disorder involves shifts in resource allocation away from drinking, toward valuable nondrinking rewards that reinforce and stabilize recovery behavior patterns. Further, these shifts should distinguish nonproblem drinking (moderation) outcomes from outcomes involving abstinence or relapse. To evaluate these hypotheses, 5 prospective studies of recent natural recovery attempts were integrated to examine changes in monetary spending during the year following the initial cessation of heavy drinking as a function of 1-year drinking outcomes. Methods Problem drinkers from Southeastern U.S. communities (N = 493, 67% male, 65% white, mean age = 46.5 years) were enrolled soon after stopping heavy drinking without treatment and followed prospectively for a year. An expanded Timeline Followback interview assessed daily drinking and monetary spending on alcohol and nondrinking commodities during the year before and after recovery initiation. Results Longitudinal associations between postresolution drinking and spending were evaluated using MPlus v.8. Initial models evaluated whether changes in spending at 4-month intervals predicted drinking outcomes at 1 year and showed significant associations in 6 commodity categories (alcohol, consumable goods, gifts, entertainment, financial/legal affairs, housing/durable goods/insurance; ps &lt; 0.05). Cross-lagged models showed that the moderation outcome group shifted spending mid-year to obtain large rewards with enduring benefits (e.g., housing), whereas the abstinent and relapsed groups spent less overall and purchased smaller rewards (e.g., consumable goods, entertainment, and gifts) throughout the year. Conclusions Dynamic changes in monetary allocation occurred during the postresolution year. As hypothesized, compared to the groups who abstained or relapsed, the moderation group shifted spending in ways that, overall, yielded higher value alcohol-free reinforcement that should reinforce recovery while they enjoyed some limited nonproblem drinking below heavy drinking thresholds. These findings add to evidence that moderation entails different behavioral regulation processes than abstinent and relapse outcomes, which were more similar to one another.","container-title":"Alcoholism: Clinical and Experimental Research","DOI":"10.1111/acer.14620","ISSN":"1530-0277","issue":"6","language":"en","note":"_eprint: https://onlinelibrary.wiley.com/doi/pdf/10.1111/acer.14620","page":"1304-1316","source":"Wiley Online Library","title":"Shifts in behavioral allocation patterns as a natural recovery mechanism: Postresolution expenditure patterns","title-short":"Shifts in behavioral allocation patterns as a natural recovery mechanism","volume":"45","author":[{"family":"Tucker","given":"Jalie A."},{"family":"Cheong","given":"JeeWon"},{"family":"Chandler","given":"Susan D."}],"issued":{"date-parts":[["2021"]]}},"label":"act"}],"schema":"https://github.com/citation-style-language/schema/raw/master/csl-citation.json"} </w:instrText>
      </w:r>
      <w:r w:rsidR="00C5759B">
        <w:rPr>
          <w:rFonts w:ascii="Times New Roman" w:hAnsi="Times New Roman" w:cs="Times New Roman"/>
        </w:rPr>
        <w:fldChar w:fldCharType="separate"/>
      </w:r>
      <w:r w:rsidR="00B249CC" w:rsidRPr="00B249CC">
        <w:rPr>
          <w:rFonts w:ascii="Times New Roman" w:hAnsi="Times New Roman" w:cs="Times New Roman"/>
        </w:rPr>
        <w:t>(Bickel et al., 2014; Bickel &amp; Athamneh, 2020; Hogarth &amp; Field, 2020; Murphy, MacKillop, et al., 2012; Tucker et al., 2021)</w:t>
      </w:r>
      <w:r w:rsidR="00C5759B">
        <w:rPr>
          <w:rFonts w:ascii="Times New Roman" w:hAnsi="Times New Roman" w:cs="Times New Roman"/>
        </w:rPr>
        <w:fldChar w:fldCharType="end"/>
      </w:r>
      <w:r w:rsidRPr="001C7D48">
        <w:rPr>
          <w:rFonts w:ascii="Times New Roman" w:hAnsi="Times New Roman" w:cs="Times New Roman"/>
        </w:rPr>
        <w:t xml:space="preserve">. Indeed, experimental research has demonstrated that devaluation of alcohol leads to reductions in alcohol choice and consumption </w:t>
      </w:r>
      <w:r w:rsidR="00C5759B">
        <w:rPr>
          <w:rFonts w:ascii="Times New Roman" w:hAnsi="Times New Roman" w:cs="Times New Roman"/>
        </w:rPr>
        <w:fldChar w:fldCharType="begin"/>
      </w:r>
      <w:r w:rsidR="00C5759B">
        <w:rPr>
          <w:rFonts w:ascii="Times New Roman" w:hAnsi="Times New Roman" w:cs="Times New Roman"/>
        </w:rPr>
        <w:instrText xml:space="preserve"> ADDIN ZOTERO_ITEM CSL_CITATION {"citationID":"VziZ0V1D","properties":{"formattedCitation":"(Rose et al., 2018)","plainCitation":"(Rose et al., 2018)","noteIndex":0},"citationItems":[{"id":1352,"uris":["http://zotero.org/users/7873587/items/C77DAMBX"],"itemData":{"id":1352,"type":"article-journal","abstract":"RATIONALE: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K."},{"family":"Brown","given":"Kyle"},{"family":"MacKillop","given":"James"},{"family":"Field","given":"Matt"},{"family":"Hogarth","given":"Lee"}],"issued":{"date-parts":[["2018",4]]}}}],"schema":"https://github.com/citation-style-language/schema/raw/master/csl-citation.json"} </w:instrText>
      </w:r>
      <w:r w:rsidR="00C5759B">
        <w:rPr>
          <w:rFonts w:ascii="Times New Roman" w:hAnsi="Times New Roman" w:cs="Times New Roman"/>
        </w:rPr>
        <w:fldChar w:fldCharType="separate"/>
      </w:r>
      <w:r w:rsidR="00C5759B" w:rsidRPr="00C5759B">
        <w:rPr>
          <w:rFonts w:ascii="Times New Roman" w:hAnsi="Times New Roman" w:cs="Times New Roman"/>
        </w:rPr>
        <w:t>(Rose et al., 2018)</w:t>
      </w:r>
      <w:r w:rsidR="00C5759B">
        <w:rPr>
          <w:rFonts w:ascii="Times New Roman" w:hAnsi="Times New Roman" w:cs="Times New Roman"/>
        </w:rPr>
        <w:fldChar w:fldCharType="end"/>
      </w:r>
      <w:r w:rsidRPr="001C7D48">
        <w:rPr>
          <w:rFonts w:ascii="Times New Roman" w:hAnsi="Times New Roman" w:cs="Times New Roman"/>
        </w:rPr>
        <w:t xml:space="preserve">, however little is known about the underlying mechanisms by which valuation processes exert these effects </w:t>
      </w:r>
      <w:r w:rsidR="00C5759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{"citationID":"MpKgYOkw","properties":{"formattedCitation":"(Rose et al., 2013)","plainCitation":"(Rose et al., 2013)","noteIndex":0},"citationItems":[{"id":880,"uris":["http://zotero.org/users/7873587/items/XAJJ69YQ"],"itemData":{"id":880,"type":"article-journal","abstract":"Aims\nTo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K"},{"family":"Brown","given":"Kyle"},{"family":"Field","given":"Matt"},{"family":"Hogarth","given":"Lee"}],"issued":{"date-parts":[["2013",7]]}}}],"schema":"https://github.com/citation-style-language/schema/raw/master/csl-citation.json"} </w:instrText>
      </w:r>
      <w:r w:rsidR="00C5759B">
        <w:rPr>
          <w:rFonts w:ascii="Times New Roman" w:hAnsi="Times New Roman" w:cs="Times New Roman"/>
        </w:rPr>
        <w:fldChar w:fldCharType="separate"/>
      </w:r>
      <w:r w:rsidR="002E0BF4" w:rsidRPr="002E0BF4">
        <w:rPr>
          <w:rFonts w:ascii="Times New Roman" w:hAnsi="Times New Roman" w:cs="Times New Roman"/>
        </w:rPr>
        <w:t>(Rose et al., 2013)</w:t>
      </w:r>
      <w:r w:rsidR="00C5759B">
        <w:rPr>
          <w:rFonts w:ascii="Times New Roman" w:hAnsi="Times New Roman" w:cs="Times New Roman"/>
        </w:rPr>
        <w:fldChar w:fldCharType="end"/>
      </w:r>
      <w:r w:rsidRPr="001C7D48">
        <w:rPr>
          <w:rFonts w:ascii="Times New Roman" w:hAnsi="Times New Roman" w:cs="Times New Roman"/>
        </w:rPr>
        <w:t>. This study aimed to explore the underlying mechanisms that determine discrete alcohol-related choices by applying a computational model of value-based decision-making (VBDM) to regular alcohol consumers’ choices after manipulating alcohol value.</w:t>
      </w:r>
    </w:p>
    <w:p w14:paraId="06472A90" w14:textId="77777777" w:rsidR="001C7D48" w:rsidRPr="001C7D48" w:rsidRDefault="001C7D48" w:rsidP="001C7D48">
      <w:pPr>
        <w:pStyle w:val="NoSpacing"/>
        <w:spacing w:line="480" w:lineRule="auto"/>
        <w:rPr>
          <w:rFonts w:ascii="Times New Roman" w:hAnsi="Times New Roman" w:cs="Times New Roman"/>
        </w:rPr>
      </w:pPr>
    </w:p>
    <w:p w14:paraId="73389639" w14:textId="71E0F381" w:rsidR="001C7D48" w:rsidRPr="001C7D48" w:rsidRDefault="001C7D48" w:rsidP="00CD7832">
      <w:pPr>
        <w:pStyle w:val="NoSpacing"/>
        <w:spacing w:line="480" w:lineRule="auto"/>
        <w:rPr>
          <w:rFonts w:ascii="Times New Roman" w:hAnsi="Times New Roman" w:cs="Times New Roman"/>
        </w:rPr>
      </w:pPr>
      <w:bookmarkStart w:id="167" w:name="_heading=h.30j0zll" w:colFirst="0" w:colLast="0"/>
      <w:bookmarkEnd w:id="167"/>
      <w:r w:rsidRPr="001C7D48">
        <w:rPr>
          <w:rFonts w:ascii="Times New Roman" w:hAnsi="Times New Roman" w:cs="Times New Roman"/>
        </w:rPr>
        <w:t xml:space="preserve">Behavioural economic theories of addiction combine principles from psychology and economics with the goal to better understand the choices that people make over time </w:t>
      </w:r>
      <w:r w:rsidR="002E0BF4">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{"citationID":"TlVAJSF5","properties":{"formattedCitation":"(MacKillop, 2016)","plainCitation":"(MacKillop, 2016)","noteIndex":0},"citationItems":[{"id":1381,"uris":["http://zotero.org/users/7873587/items/DZN7TQ43"],"itemData":{"id":1381,"type":"article-journal","abstract":"Background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disorders","volume":"40","author":[{"family":"MacKillop","given":"James"}],"issued":{"date-parts":[["2016"]]}}}],"schema":"https://github.com/citation-style-language/schema/raw/master/csl-citation.json"} </w:instrText>
      </w:r>
      <w:r w:rsidR="002E0BF4">
        <w:rPr>
          <w:rFonts w:ascii="Times New Roman" w:hAnsi="Times New Roman" w:cs="Times New Roman"/>
        </w:rPr>
        <w:fldChar w:fldCharType="separate"/>
      </w:r>
      <w:r w:rsidR="00B249CC" w:rsidRPr="00B249CC">
        <w:rPr>
          <w:rFonts w:ascii="Times New Roman" w:hAnsi="Times New Roman" w:cs="Times New Roman"/>
        </w:rPr>
        <w:t>(MacKillop, 2016)</w:t>
      </w:r>
      <w:r w:rsidR="002E0BF4">
        <w:rPr>
          <w:rFonts w:ascii="Times New Roman" w:hAnsi="Times New Roman" w:cs="Times New Roman"/>
        </w:rPr>
        <w:fldChar w:fldCharType="end"/>
      </w:r>
      <w:r w:rsidRPr="001C7D48">
        <w:rPr>
          <w:rFonts w:ascii="Times New Roman" w:hAnsi="Times New Roman" w:cs="Times New Roman"/>
        </w:rPr>
        <w:t xml:space="preserve">. The central tenet of these accounts is that the progression to addiction is characterised by persistently high valuation of substance use compared to alternative substance-free reinforcers, and devaluation of outcomes that are </w:t>
      </w:r>
      <w:r w:rsidR="003124B0">
        <w:rPr>
          <w:rFonts w:ascii="Times New Roman" w:hAnsi="Times New Roman" w:cs="Times New Roman"/>
        </w:rPr>
        <w:t xml:space="preserve">only </w:t>
      </w:r>
      <w:r w:rsidRPr="001C7D48">
        <w:rPr>
          <w:rFonts w:ascii="Times New Roman" w:hAnsi="Times New Roman" w:cs="Times New Roman"/>
        </w:rPr>
        <w:t xml:space="preserve">available after a delay </w:t>
      </w:r>
      <w:r w:rsidR="00B249CC">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{"citationID":"BPKfHECD","properties":{"formattedCitation":"(Bickel et al., 2014; Bickel &amp; Athamneh, 2020)","plainCitation":"(Bickel et al., 2014; Bickel &amp; Athamneh, 2020)","noteIndex":0},"citationItems":[{"id":816,"uris":["http://zotero.org/users/7873587/items/R9KVGRWU"],"itemData":{"id":816,"type":"article-journal","abstract":"The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N."}],"issued":{"date-parts":[["2020"]]}},"label":"act"}],"schema":"https://github.com/citation-style-language/schema/raw/master/csl-citation.json"} </w:instrText>
      </w:r>
      <w:r w:rsidR="00B249CC">
        <w:rPr>
          <w:rFonts w:ascii="Times New Roman" w:hAnsi="Times New Roman" w:cs="Times New Roman"/>
        </w:rPr>
        <w:fldChar w:fldCharType="separate"/>
      </w:r>
      <w:r w:rsidR="00B249CC" w:rsidRPr="00B249CC">
        <w:rPr>
          <w:rFonts w:ascii="Times New Roman" w:hAnsi="Times New Roman" w:cs="Times New Roman"/>
        </w:rPr>
        <w:t>(Bickel et al., 2014; Bickel &amp; Athamneh, 2020)</w:t>
      </w:r>
      <w:r w:rsidR="00B249CC">
        <w:rPr>
          <w:rFonts w:ascii="Times New Roman" w:hAnsi="Times New Roman" w:cs="Times New Roman"/>
        </w:rPr>
        <w:fldChar w:fldCharType="end"/>
      </w:r>
      <w:r w:rsidRPr="001C7D48">
        <w:rPr>
          <w:rFonts w:ascii="Times New Roman" w:hAnsi="Times New Roman" w:cs="Times New Roman"/>
        </w:rPr>
        <w:t xml:space="preserve">. Research typically uses hypothetical purchase tasks (Murphy &amp; MacKillop, 2006) and concurrent choice tasks </w:t>
      </w:r>
      <w:r w:rsidR="00B249CC">
        <w:rPr>
          <w:rFonts w:ascii="Times New Roman" w:hAnsi="Times New Roman" w:cs="Times New Roman"/>
        </w:rPr>
        <w:fldChar w:fldCharType="begin"/>
      </w:r>
      <w:r w:rsidR="00B249CC">
        <w:rPr>
          <w:rFonts w:ascii="Times New Roman" w:hAnsi="Times New Roman" w:cs="Times New Roman"/>
        </w:rPr>
        <w:instrText xml:space="preserve"> ADDIN ZOTERO_ITEM CSL_CITATION {"citationID":"kIQeuost","properties":{"formattedCitation":"(Hogarth &amp; Hardy, 2018b)","plainCitation":"(Hogarth &amp; Hardy, 2018b)","noteIndex":0},"citationItems":[{"id":1251,"uris":["http://zotero.org/users/7873587/items/GHJHI6BJ"],"itemData":{"id":1251,"type":"article-journal","abstract":"RATIONALE: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alcohol","volume":"235","author":[{"family":"Hogarth","given":"Lee"},{"family":"Hardy","given":"Lorna"}],"issued":{"date-parts":[["2018",8]]}}}],"schema":"https://github.com/citation-style-language/schema/raw/master/csl-citation.json"} </w:instrText>
      </w:r>
      <w:r w:rsidR="00B249CC">
        <w:rPr>
          <w:rFonts w:ascii="Times New Roman" w:hAnsi="Times New Roman" w:cs="Times New Roman"/>
        </w:rPr>
        <w:fldChar w:fldCharType="separate"/>
      </w:r>
      <w:r w:rsidR="00B249CC" w:rsidRPr="00B249CC">
        <w:rPr>
          <w:rFonts w:ascii="Times New Roman" w:hAnsi="Times New Roman" w:cs="Times New Roman"/>
        </w:rPr>
        <w:t xml:space="preserve">(Hogarth &amp; Hardy, </w:t>
      </w:r>
      <w:r w:rsidR="00B249CC" w:rsidRPr="00B249CC">
        <w:rPr>
          <w:rFonts w:ascii="Times New Roman" w:hAnsi="Times New Roman" w:cs="Times New Roman"/>
        </w:rPr>
        <w:lastRenderedPageBreak/>
        <w:t>2018b)</w:t>
      </w:r>
      <w:r w:rsidR="00B249CC">
        <w:rPr>
          <w:rFonts w:ascii="Times New Roman" w:hAnsi="Times New Roman" w:cs="Times New Roman"/>
        </w:rPr>
        <w:fldChar w:fldCharType="end"/>
      </w:r>
      <w:r w:rsidRPr="001C7D48">
        <w:rPr>
          <w:rFonts w:ascii="Times New Roman" w:hAnsi="Times New Roman" w:cs="Times New Roman"/>
        </w:rPr>
        <w:t xml:space="preserve"> to measure “demand”—a behavioural economic construct that represents the reinforcing value of a substance (MacKillop, 2016). The alcohol purchase task (APT; Murphy &amp; MacKillop, 2006) and brief assessment of alcohol demand (BAAD; Owens </w:t>
      </w:r>
      <w:r w:rsidR="00B249CC">
        <w:rPr>
          <w:rFonts w:ascii="Times New Roman" w:hAnsi="Times New Roman" w:cs="Times New Roman"/>
        </w:rPr>
        <w:t>et al.</w:t>
      </w:r>
      <w:r w:rsidRPr="001C7D48">
        <w:rPr>
          <w:rFonts w:ascii="Times New Roman" w:hAnsi="Times New Roman" w:cs="Times New Roman"/>
        </w:rPr>
        <w:t>, 2015) are used to assess a person’s hypothetical consumption of alcohol across a range of escalating prices. In concurrent choice tasks (Hogarth &amp; Hardy, 2018</w:t>
      </w:r>
      <w:r w:rsidR="00B249CC">
        <w:rPr>
          <w:rFonts w:ascii="Times New Roman" w:hAnsi="Times New Roman" w:cs="Times New Roman"/>
        </w:rPr>
        <w:t>b</w:t>
      </w:r>
      <w:r w:rsidRPr="001C7D48">
        <w:rPr>
          <w:rFonts w:ascii="Times New Roman" w:hAnsi="Times New Roman" w:cs="Times New Roman"/>
        </w:rPr>
        <w:t xml:space="preserve">) people make repeated choices between alcohol and non-alcohol alternative (e.g., food) reinforcers for some type of reward, such as points or enlargement of the image. The percentage choice of alcohol versus the alternative reward is used to infer the relative value that is ascribed to alcohol. Although hypothetical purchase tasks and concurrent choice tasks are methodologically different, scores on these measures are correlated which demonstrates that they tap into a common construct of alcohol value </w:t>
      </w:r>
      <w:r w:rsidR="00B249CC">
        <w:rPr>
          <w:rFonts w:ascii="Times New Roman" w:hAnsi="Times New Roman" w:cs="Times New Roman"/>
        </w:rPr>
        <w:fldChar w:fldCharType="begin"/>
      </w:r>
      <w:r w:rsidR="00CD7832">
        <w:rPr>
          <w:rFonts w:ascii="Times New Roman" w:hAnsi="Times New Roman" w:cs="Times New Roman"/>
        </w:rPr>
        <w:instrText xml:space="preserve"> ADDIN ZOTERO_ITEM CSL_CITATION {"citationID":"VjpSbNO1","properties":{"formattedCitation":"(Chase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00B249CC">
        <w:rPr>
          <w:rFonts w:ascii="Times New Roman" w:hAnsi="Times New Roman" w:cs="Times New Roman"/>
        </w:rPr>
        <w:fldChar w:fldCharType="separate"/>
      </w:r>
      <w:r w:rsidR="00CD7832" w:rsidRPr="00CD7832">
        <w:rPr>
          <w:rFonts w:ascii="Times New Roman" w:hAnsi="Times New Roman" w:cs="Times New Roman"/>
        </w:rPr>
        <w:t>(Chase et al., 2013)</w:t>
      </w:r>
      <w:r w:rsidR="00B249CC">
        <w:rPr>
          <w:rFonts w:ascii="Times New Roman" w:hAnsi="Times New Roman" w:cs="Times New Roman"/>
        </w:rPr>
        <w:fldChar w:fldCharType="end"/>
      </w:r>
      <w:r w:rsidR="00CD7832">
        <w:rPr>
          <w:rFonts w:ascii="Times New Roman" w:hAnsi="Times New Roman" w:cs="Times New Roman"/>
        </w:rPr>
        <w:t>.</w:t>
      </w:r>
    </w:p>
    <w:p w14:paraId="5CE80696" w14:textId="77777777" w:rsidR="001C7D48" w:rsidRPr="001C7D48" w:rsidRDefault="001C7D48" w:rsidP="001C7D48">
      <w:pPr>
        <w:pStyle w:val="NoSpacing"/>
        <w:spacing w:line="480" w:lineRule="auto"/>
        <w:rPr>
          <w:rFonts w:ascii="Times New Roman" w:hAnsi="Times New Roman" w:cs="Times New Roman"/>
        </w:rPr>
      </w:pPr>
    </w:p>
    <w:p w14:paraId="4C518853" w14:textId="7D69826C" w:rsidR="001C7D48" w:rsidRPr="001C7D48" w:rsidRDefault="001C7D48" w:rsidP="008552DC">
      <w:pPr>
        <w:pStyle w:val="NoSpacing"/>
        <w:spacing w:line="480" w:lineRule="auto"/>
        <w:rPr>
          <w:rFonts w:ascii="Times New Roman" w:hAnsi="Times New Roman" w:cs="Times New Roman"/>
        </w:rPr>
      </w:pPr>
      <w:bookmarkStart w:id="168" w:name="_heading=h.1fob9te" w:colFirst="0" w:colLast="0"/>
      <w:bookmarkEnd w:id="168"/>
      <w:r w:rsidRPr="001C7D48">
        <w:rPr>
          <w:rFonts w:ascii="Times New Roman" w:hAnsi="Times New Roman" w:cs="Times New Roman"/>
        </w:rPr>
        <w:t xml:space="preserve">The value ascribed to alcohol is positively associated with alcohol use disorder symptom severity in students </w:t>
      </w:r>
      <w:r w:rsidR="00D569E1">
        <w:rPr>
          <w:rFonts w:ascii="Times New Roman" w:hAnsi="Times New Roman" w:cs="Times New Roman"/>
        </w:rPr>
        <w:fldChar w:fldCharType="begin"/>
      </w:r>
      <w:r w:rsidR="00D569E1">
        <w:rPr>
          <w:rFonts w:ascii="Times New Roman" w:hAnsi="Times New Roman" w:cs="Times New Roman"/>
        </w:rPr>
        <w:instrText xml:space="preserve"> ADDIN ZOTERO_ITEM CSL_CITATION {"citationID":"PQ9MHMWR","properties":{"formattedCitation":"(Hardy et al., 2017; Hogarth &amp; Hardy, 2018b)","plainCitation":"(Hardy et al., 2017; Hogarth &amp; Hardy, 2018b)","noteIndex":0},"citationItems":[{"id":1250,"uris":["http://zotero.org/users/7873587/items/4XNBMZDP"],"itemData":{"id":1250,"type":"article-journal","abstract":"Rationale\nDrug cue reactivity plays a crucial role in addiction, yet the underlying mechanisms are poorly understood. According to the binary associative account, drug stimuli retrieve an expectation of the drug outcome, which, in turn, elicits the associated drug-seeking response (S-O-R). By contrast, according to the hierarchical account, drug stimuli retrieve an expectation that the contingency between the drug-seeking response and the drug outcome is currently more effective, promoting performance of the drug-seeking response (S:R-O).\n\nMethods\nThe current study discriminated between these two accounts using a biconditional Pavlovian-to-instrumental transfer (PIT) task with 128 alcohol drinkers. A biconditional discrimination was first trained in which two responses produced alcohol and food outcomes, respectively, and these response-outcome contingencies were reversed across two discriminative stimuli (SDs). In the PIT test, alcohol and food cues were compounded with the two SDs to examine their impact on percent alcohol choice in extinction.\n\nResults\nIt was found that alcohol and food cues selectively primed choice of the response that earned that outcome in each SD (p &lt; .001), and this effect was associated with participants’ belief that cues signalled greater effectiveness of that response (p &lt; .0001).\n\nConclusions\nThe alcohol stimulus could not have selectively primed the alcohol-seeking response through binary S-O-R associations because the drug outcome was equally associated with both responses. Rather, the alcohol stimulus must have retrieved an expectation that the response-alcohol contingency available in the current context was more likely to be effective (S:R-O), which primed performance of the alcohol-seeking response.","container-title":"Psychopharmacology","DOI":"10.1007/s00213-017-4605-x","ISSN":"0033-3158","issue":"13","journalAbbreviation":"Psychopharmacology (Berl)","note":"PMID: 28412771\nPMCID: PMC5486939","page":"1977-1984","source":"PubMed Central","title":"Drug cue reactivity involves hierarchical instrumental learning: evidence from a biconditional Pavlovian to instrumental transfer task","title-short":"Drug cue reactivity involves hierarchical instrumental learning","volume":"234","author":[{"family":"Hardy","given":"Lorna"},{"family":"Mitchell","given":"Chris"},{"family":"Seabrooke","given":"Tina"},{"family":"Hogarth","given":"Lee"}],"issued":{"date-parts":[["2017"]]}},"label":"act"},{"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alcohol","volume":"235","author":[{"family":"Hogarth","given":"Lee"},{"family":"Hardy","given":"Lorna"}],"issued":{"date-parts":[["2018",8]]}},"label":"act"}],"schema":"https://github.com/citation-style-language/schema/raw/master/csl-citation.json"} </w:instrText>
      </w:r>
      <w:r w:rsidR="00D569E1">
        <w:rPr>
          <w:rFonts w:ascii="Times New Roman" w:hAnsi="Times New Roman" w:cs="Times New Roman"/>
        </w:rPr>
        <w:fldChar w:fldCharType="separate"/>
      </w:r>
      <w:r w:rsidR="00D569E1" w:rsidRPr="00D569E1">
        <w:rPr>
          <w:rFonts w:ascii="Times New Roman" w:hAnsi="Times New Roman" w:cs="Times New Roman"/>
        </w:rPr>
        <w:t>(Hardy et al., 2017; Hogarth &amp; Hardy, 2018b)</w:t>
      </w:r>
      <w:r w:rsidR="00D569E1">
        <w:rPr>
          <w:rFonts w:ascii="Times New Roman" w:hAnsi="Times New Roman" w:cs="Times New Roman"/>
        </w:rPr>
        <w:fldChar w:fldCharType="end"/>
      </w:r>
      <w:r w:rsidR="00D569E1">
        <w:rPr>
          <w:rFonts w:ascii="Times New Roman" w:hAnsi="Times New Roman" w:cs="Times New Roman"/>
        </w:rPr>
        <w:t xml:space="preserve">, </w:t>
      </w:r>
      <w:r w:rsidRPr="001C7D48">
        <w:rPr>
          <w:rFonts w:ascii="Times New Roman" w:hAnsi="Times New Roman" w:cs="Times New Roman"/>
        </w:rPr>
        <w:t xml:space="preserve">young adults </w:t>
      </w:r>
      <w:r w:rsidR="001A25F0">
        <w:rPr>
          <w:rFonts w:ascii="Times New Roman" w:hAnsi="Times New Roman" w:cs="Times New Roman"/>
        </w:rPr>
        <w:fldChar w:fldCharType="begin"/>
      </w:r>
      <w:r w:rsidR="001A25F0">
        <w:rPr>
          <w:rFonts w:ascii="Times New Roman" w:hAnsi="Times New Roman" w:cs="Times New Roman"/>
        </w:rPr>
        <w:instrText xml:space="preserve"> ADDIN ZOTERO_ITEM CSL_CITATION {"citationID":"9gCKe0ic","properties":{"formattedCitation":"(Hogarth et al., 2018)","plainCitation":"(Hogarth et al., 2018)","noteIndex":0},"citationItems":[{"id":872,"uris":["http://zotero.org/users/7873587/items/MVRX9KV6"],"itemData":{"id":872,"type":"article-journal","abstract":"Acute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R."},{"family":"Hitsman","given":"Brian"}],"issued":{"date-parts":[["2018",4]]}}}],"schema":"https://github.com/citation-style-language/schema/raw/master/csl-citation.json"} </w:instrText>
      </w:r>
      <w:r w:rsidR="001A25F0">
        <w:rPr>
          <w:rFonts w:ascii="Times New Roman" w:hAnsi="Times New Roman" w:cs="Times New Roman"/>
        </w:rPr>
        <w:fldChar w:fldCharType="separate"/>
      </w:r>
      <w:r w:rsidR="001A25F0" w:rsidRPr="001A25F0">
        <w:rPr>
          <w:rFonts w:ascii="Times New Roman" w:hAnsi="Times New Roman" w:cs="Times New Roman"/>
        </w:rPr>
        <w:t>(Hogarth et al., 2018)</w:t>
      </w:r>
      <w:r w:rsidR="001A25F0">
        <w:rPr>
          <w:rFonts w:ascii="Times New Roman" w:hAnsi="Times New Roman" w:cs="Times New Roman"/>
        </w:rPr>
        <w:fldChar w:fldCharType="end"/>
      </w:r>
      <w:r w:rsidRPr="001C7D48">
        <w:rPr>
          <w:rFonts w:ascii="Times New Roman" w:hAnsi="Times New Roman" w:cs="Times New Roman"/>
        </w:rPr>
        <w:t xml:space="preserve">, community samples </w:t>
      </w:r>
      <w:r w:rsidR="001A25F0">
        <w:rPr>
          <w:rFonts w:ascii="Times New Roman" w:hAnsi="Times New Roman" w:cs="Times New Roman"/>
        </w:rPr>
        <w:fldChar w:fldCharType="begin"/>
      </w:r>
      <w:r w:rsidR="001A25F0">
        <w:rPr>
          <w:rFonts w:ascii="Times New Roman" w:hAnsi="Times New Roman" w:cs="Times New Roman"/>
        </w:rPr>
        <w:instrText xml:space="preserve"> ADDIN ZOTERO_ITEM CSL_CITATION {"citationID":"qjbAiaEZ","properties":{"formattedCitation":"(Hardy &amp; Hogarth, 2017)","plainCitation":"(Hardy &amp; Hogarth, 2017)","noteIndex":0},"citationItems":[{"id":875,"uris":["http://zotero.org/users/7873587/items/E23ESQBL"],"itemData":{"id":875,"type":"article-journal","abstract":"This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drinkers","volume":"25","author":[{"family":"Hardy","given":"Lorna"},{"family":"Hogarth","given":"Lee"}],"issued":{"date-parts":[["2017",12]]}}}],"schema":"https://github.com/citation-style-language/schema/raw/master/csl-citation.json"} </w:instrText>
      </w:r>
      <w:r w:rsidR="001A25F0">
        <w:rPr>
          <w:rFonts w:ascii="Times New Roman" w:hAnsi="Times New Roman" w:cs="Times New Roman"/>
        </w:rPr>
        <w:fldChar w:fldCharType="separate"/>
      </w:r>
      <w:r w:rsidR="001A25F0" w:rsidRPr="001A25F0">
        <w:rPr>
          <w:rFonts w:ascii="Times New Roman" w:hAnsi="Times New Roman" w:cs="Times New Roman"/>
        </w:rPr>
        <w:t>(Hardy &amp; Hogarth, 2017)</w:t>
      </w:r>
      <w:r w:rsidR="001A25F0">
        <w:rPr>
          <w:rFonts w:ascii="Times New Roman" w:hAnsi="Times New Roman" w:cs="Times New Roman"/>
        </w:rPr>
        <w:fldChar w:fldCharType="end"/>
      </w:r>
      <w:r w:rsidR="001A25F0">
        <w:rPr>
          <w:rFonts w:ascii="Times New Roman" w:hAnsi="Times New Roman" w:cs="Times New Roman"/>
        </w:rPr>
        <w:t>,</w:t>
      </w:r>
      <w:r w:rsidRPr="001C7D48">
        <w:rPr>
          <w:rFonts w:ascii="Times New Roman" w:hAnsi="Times New Roman" w:cs="Times New Roman"/>
        </w:rPr>
        <w:t xml:space="preserve"> and dependent drinkers engaged with treatment services </w:t>
      </w:r>
      <w:r w:rsidR="001A25F0">
        <w:rPr>
          <w:rFonts w:ascii="Times New Roman" w:hAnsi="Times New Roman" w:cs="Times New Roman"/>
        </w:rPr>
        <w:fldChar w:fldCharType="begin"/>
      </w:r>
      <w:r w:rsidR="001A25F0">
        <w:rPr>
          <w:rFonts w:ascii="Times New Roman" w:hAnsi="Times New Roman" w:cs="Times New Roman"/>
        </w:rPr>
        <w:instrText xml:space="preserve"> ADDIN ZOTERO_ITEM CSL_CITATION {"citationID":"Id6b6I3j","properties":{"formattedCitation":"(Hardy et al., 2018)","plainCitation":"(Hardy et al., 2018)","noteIndex":0},"citationItems":[{"id":830,"uris":["http://zotero.org/users/7873587/items/NPLX5NWL"],"itemData":{"id":830,"type":"article-journal","abstract":"Concurrent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1A25F0">
        <w:rPr>
          <w:rFonts w:ascii="Times New Roman" w:hAnsi="Times New Roman" w:cs="Times New Roman"/>
        </w:rPr>
        <w:fldChar w:fldCharType="separate"/>
      </w:r>
      <w:r w:rsidR="001A25F0" w:rsidRPr="001A25F0">
        <w:rPr>
          <w:rFonts w:ascii="Times New Roman" w:hAnsi="Times New Roman" w:cs="Times New Roman"/>
        </w:rPr>
        <w:t>(Hardy et al., 2018)</w:t>
      </w:r>
      <w:r w:rsidR="001A25F0">
        <w:rPr>
          <w:rFonts w:ascii="Times New Roman" w:hAnsi="Times New Roman" w:cs="Times New Roman"/>
        </w:rPr>
        <w:fldChar w:fldCharType="end"/>
      </w:r>
      <w:r w:rsidRPr="001C7D48">
        <w:rPr>
          <w:rFonts w:ascii="Times New Roman" w:hAnsi="Times New Roman" w:cs="Times New Roman"/>
        </w:rPr>
        <w:t xml:space="preserve">. These findings are compatible with behavioural economic accounts </w:t>
      </w:r>
      <w:r w:rsidR="001A25F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{"citationID":"U9DYv3Rm","properties":{"formattedCitation":"(Bickel et al., 2014; MacKillop, 2016)","plainCitation":"(Bickel et al., 2014; MacKillop,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disorders","volume":"40","author":[{"family":"MacKillop","given":"James"}],"issued":{"date-parts":[["2016"]]}},"label":"act"}],"schema":"https://github.com/citation-style-language/schema/raw/master/csl-citation.json"} </w:instrText>
      </w:r>
      <w:r w:rsidR="001A25F0">
        <w:rPr>
          <w:rFonts w:ascii="Times New Roman" w:hAnsi="Times New Roman" w:cs="Times New Roman"/>
        </w:rPr>
        <w:fldChar w:fldCharType="separate"/>
      </w:r>
      <w:r w:rsidR="008552DC" w:rsidRPr="008552DC">
        <w:rPr>
          <w:rFonts w:ascii="Times New Roman" w:hAnsi="Times New Roman" w:cs="Times New Roman"/>
        </w:rPr>
        <w:t>(Bickel et al., 2014; MacKillop, 2016)</w:t>
      </w:r>
      <w:r w:rsidR="001A25F0">
        <w:rPr>
          <w:rFonts w:ascii="Times New Roman" w:hAnsi="Times New Roman" w:cs="Times New Roman"/>
        </w:rPr>
        <w:fldChar w:fldCharType="end"/>
      </w:r>
      <w:r w:rsidRPr="001C7D48">
        <w:rPr>
          <w:rFonts w:ascii="Times New Roman" w:hAnsi="Times New Roman" w:cs="Times New Roman"/>
        </w:rPr>
        <w:t xml:space="preserve">. Furthermore, the value ascribed to alcohol is sensitive to experimental manipulations that alter motivation for consumption </w:t>
      </w:r>
      <w:r w:rsidR="008552DC">
        <w:rPr>
          <w:rFonts w:ascii="Times New Roman" w:hAnsi="Times New Roman" w:cs="Times New Roman"/>
        </w:rPr>
        <w:fldChar w:fldCharType="begin"/>
      </w:r>
      <w:r w:rsidR="008552DC">
        <w:rPr>
          <w:rFonts w:ascii="Times New Roman" w:hAnsi="Times New Roman" w:cs="Times New Roman"/>
        </w:rPr>
        <w:instrText xml:space="preserve"> ADDIN ZOTERO_ITEM CSL_CITATION {"citationID":"IXmDtqDH","properties":{"formattedCitation":"(Acuff,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008552DC">
        <w:rPr>
          <w:rFonts w:ascii="Times New Roman" w:hAnsi="Times New Roman" w:cs="Times New Roman"/>
        </w:rPr>
        <w:fldChar w:fldCharType="separate"/>
      </w:r>
      <w:r w:rsidR="008552DC" w:rsidRPr="008552DC">
        <w:rPr>
          <w:rFonts w:ascii="Times New Roman" w:hAnsi="Times New Roman" w:cs="Times New Roman"/>
        </w:rPr>
        <w:t>(Acuff, Amlung, et al., 2020)</w:t>
      </w:r>
      <w:r w:rsidR="008552DC">
        <w:rPr>
          <w:rFonts w:ascii="Times New Roman" w:hAnsi="Times New Roman" w:cs="Times New Roman"/>
        </w:rPr>
        <w:fldChar w:fldCharType="end"/>
      </w:r>
      <w:r w:rsidRPr="001C7D48">
        <w:rPr>
          <w:rFonts w:ascii="Times New Roman" w:hAnsi="Times New Roman" w:cs="Times New Roman"/>
        </w:rPr>
        <w:t xml:space="preserve">. In regular alcohol consumers, when alcohol is manipulated to taste aversive to humans, this results in devaluation of alcohol: both the percentage of alcohol choice (Rose et al., 2013) and actual consumption of alcohol (Rose et al., 2018) reduce compared to a control condition (no manipulation). Furthermore, when negative mood is induced, this results in increased value of alcohol, reflected in a greater percentage of alcohol choice </w:t>
      </w:r>
      <w:r w:rsidR="008552DC">
        <w:rPr>
          <w:rFonts w:ascii="Times New Roman" w:hAnsi="Times New Roman" w:cs="Times New Roman"/>
        </w:rPr>
        <w:fldChar w:fldCharType="begin"/>
      </w:r>
      <w:r w:rsidR="008552DC">
        <w:rPr>
          <w:rFonts w:ascii="Times New Roman" w:hAnsi="Times New Roman" w:cs="Times New Roman"/>
        </w:rPr>
        <w:instrText xml:space="preserve"> ADDIN ZOTERO_ITEM CSL_CITATION {"citationID":"6Zq6qhYJ","properties":{"formattedCitation":"(Hardy &amp; Hogarth, 2017; Hogarth et al., 2018; Hogarth &amp; Hardy, 2018a)","plainCitation":"(Hardy &amp; Hogarth, 2017; Hogarth et al., 2018; Hogarth &amp; Hardy, 2018a)","noteIndex":0},"citationItems":[{"id":875,"uris":["http://zotero.org/users/7873587/items/E23ESQBL"],"itemData":{"id":875,"type":"article-journal","abstract":"This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act"},{"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R."},{"family":"Hitsman","given":"Brian"}],"issued":{"date-parts":[["2018",4]]}},"label":"act"},{"id":1357,"uris":["http://zotero.org/users/7873587/items/QCWLZRQS"],"itemData":{"id":1357,"type":"article-journal","abstract":"BACKGROUND: Most variants of negative reinforcement theory predict that acute depressed mood can promote alcohol-seeking behaviour, but the precise mechanisms underpinning this effect remain contested. One possibility is that mood-induced alcohol-seeking is due to the formation of a stimulus-response (S-R) association, enabling depressed mood to elicit alcohol-seeking automatically. A second possibility is that depressed mood undergoes incentive learning, enabling it to enhance the expected value of alcohol and thus promote goal-directed alcohol-seeking.\nOBJECTIVES: These two explanations were distinguished using a human outcome-revaluation procedure.\nMETHODS: One hundred and twenty-eight alcohol drinkers completed questionnaires of alcohol use disorder, drinking to cope with negative affect and depression symptoms. Participants then learned that two responses earned alcohol and food points respectively (baseline) in two alternative forced choice trials. At test, participants rated the valence of randomly sampled negative and positive mood statements and, after each statement, chose between the alcohol- and food-seeking responses in extinction.\nRESULTS: The percentage of alcohol- versus food-seeking responses was increased significantly in trials containing negative statements compared to baseline and positive statement trials, in individuals who reported drinking to cope with negative affect (p = .004), but there was no such interaction with indices of alcohol use disorder (p = .87) or depression symptoms (p = .58).\nCONCLUSIONS: Individuals who drink to cope with negative affect are more sensitive to the motivational impact of acute depressed mood statements priming goal-directed alcohol-seeking. Negative copers' vulnerability to alcohol dependence may be better explained by excessive affective incentive learning than by S-R habit formation.","container-title":"Psychopharmacology","DOI":"10.1007/s00213-017-4765-8","ISSN":"1432-2072","issue":"1","journalAbbreviation":"Psychopharmacology (Berl)","language":"eng","note":"PMID: 29082424\nPMCID: PMC5748391","page":"269-279","source":"PubMed","title":"Depressive statements prime goal-directed alcohol-seeking in individuals who report drinking to cope with negative affect","volume":"235","author":[{"family":"Hogarth","given":"Lee"},{"family":"Hardy","given":"Lorna"}],"issued":{"date-parts":[["2018",1]]}},"label":"act"}],"schema":"https://github.com/citation-style-language/schema/raw/master/csl-citation.json"} </w:instrText>
      </w:r>
      <w:r w:rsidR="008552DC">
        <w:rPr>
          <w:rFonts w:ascii="Times New Roman" w:hAnsi="Times New Roman" w:cs="Times New Roman"/>
        </w:rPr>
        <w:fldChar w:fldCharType="separate"/>
      </w:r>
      <w:r w:rsidR="008552DC" w:rsidRPr="008552DC">
        <w:rPr>
          <w:rFonts w:ascii="Times New Roman" w:hAnsi="Times New Roman" w:cs="Times New Roman"/>
        </w:rPr>
        <w:t>(Hardy &amp; Hogarth, 2017; Hogarth et al., 2018; Hogarth &amp; Hardy, 2018a)</w:t>
      </w:r>
      <w:r w:rsidR="008552DC">
        <w:rPr>
          <w:rFonts w:ascii="Times New Roman" w:hAnsi="Times New Roman" w:cs="Times New Roman"/>
        </w:rPr>
        <w:fldChar w:fldCharType="end"/>
      </w:r>
      <w:r w:rsidR="008552DC">
        <w:rPr>
          <w:rFonts w:ascii="Times New Roman" w:hAnsi="Times New Roman" w:cs="Times New Roman"/>
        </w:rPr>
        <w:t xml:space="preserve"> </w:t>
      </w:r>
      <w:r w:rsidRPr="001C7D48">
        <w:rPr>
          <w:rFonts w:ascii="Times New Roman" w:hAnsi="Times New Roman" w:cs="Times New Roman"/>
        </w:rPr>
        <w:t xml:space="preserve">compared to baseline and when positive mood is induced. The implication of these findings is that </w:t>
      </w:r>
      <w:r w:rsidRPr="001C7D48">
        <w:rPr>
          <w:rFonts w:ascii="Times New Roman" w:hAnsi="Times New Roman" w:cs="Times New Roman"/>
        </w:rPr>
        <w:lastRenderedPageBreak/>
        <w:t xml:space="preserve">addiction is the result of goal-directed behaviour because alcohol choice is governed by the current motivational value of alcohol (see </w:t>
      </w:r>
      <w:r w:rsidR="008552DC">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{"citationID":"rG8YQLHk","properties":{"formattedCitation":"(Hogarth, 2020)","plainCitation":"(Hogarth, 2020)","dontUpdate":true,"noteIndex":0},"citationItems":[{"id":1258,"uris":["http://zotero.org/users/7873587/items/9DVNYNDZ"],"itemData":{"id":1258,"type":"article-journal","abstract":"Drug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affect","volume":"45","author":[{"family":"Hogarth","given":"Lee"}],"issued":{"date-parts":[["2020",4]]}}}],"schema":"https://github.com/citation-style-language/schema/raw/master/csl-citation.json"} </w:instrText>
      </w:r>
      <w:r w:rsidR="008552DC">
        <w:rPr>
          <w:rFonts w:ascii="Times New Roman" w:hAnsi="Times New Roman" w:cs="Times New Roman"/>
        </w:rPr>
        <w:fldChar w:fldCharType="separate"/>
      </w:r>
      <w:r w:rsidR="008552DC" w:rsidRPr="008552DC">
        <w:rPr>
          <w:rFonts w:ascii="Times New Roman" w:hAnsi="Times New Roman" w:cs="Times New Roman"/>
        </w:rPr>
        <w:t>Hogarth, 2020</w:t>
      </w:r>
      <w:r w:rsidR="008552DC">
        <w:rPr>
          <w:rFonts w:ascii="Times New Roman" w:hAnsi="Times New Roman" w:cs="Times New Roman"/>
        </w:rPr>
        <w:fldChar w:fldCharType="end"/>
      </w:r>
      <w:r w:rsidRPr="001C7D48">
        <w:rPr>
          <w:rFonts w:ascii="Times New Roman" w:hAnsi="Times New Roman" w:cs="Times New Roman"/>
        </w:rPr>
        <w:t>, for a review).</w:t>
      </w:r>
    </w:p>
    <w:p w14:paraId="6EE7BE34" w14:textId="77777777" w:rsidR="001C7D48" w:rsidRPr="001C7D48" w:rsidRDefault="001C7D48" w:rsidP="001C7D48">
      <w:pPr>
        <w:pStyle w:val="NoSpacing"/>
        <w:spacing w:line="480" w:lineRule="auto"/>
        <w:rPr>
          <w:rFonts w:ascii="Times New Roman" w:hAnsi="Times New Roman" w:cs="Times New Roman"/>
        </w:rPr>
      </w:pPr>
    </w:p>
    <w:p w14:paraId="4216608B" w14:textId="5E911954" w:rsidR="000A0EDC" w:rsidRDefault="001C7D48" w:rsidP="000A0EDC">
      <w:pPr>
        <w:pStyle w:val="NoSpacing"/>
        <w:spacing w:line="480" w:lineRule="auto"/>
        <w:rPr>
          <w:rFonts w:ascii="Times New Roman" w:hAnsi="Times New Roman" w:cs="Times New Roman"/>
        </w:rPr>
      </w:pPr>
      <w:bookmarkStart w:id="169" w:name="_heading=h.3znysh7" w:colFirst="0" w:colLast="0"/>
      <w:bookmarkEnd w:id="169"/>
      <w:r w:rsidRPr="001C7D48">
        <w:rPr>
          <w:rFonts w:ascii="Times New Roman" w:hAnsi="Times New Roman" w:cs="Times New Roman"/>
        </w:rPr>
        <w:t xml:space="preserve">A lack of competing alternative reinforcers in a person’s environment is also of importance within the development and persistence of addiction </w:t>
      </w:r>
      <w:r w:rsidR="00B509F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{"citationID":"bUFqmJ16","properties":{"formattedCitation":"(McKay, 2017; Vuchinich &amp; Tucker, 1988)","plainCitation":"(McKay, 2017; Vuchinich &amp; Tucker, 1988)","noteIndex":0},"citationItems":[{"id":1461,"uris":["http://zotero.org/users/7873587/items/9C4JF8KC"],"itemData":{"id":1461,"type":"article-journal","abstract":"Background\nResearch has led to improvements in the effectiveness of interventions for substance use disorders (SUD), but for the most part progress has been modest, particularly with regard to longer-term outcomes. Moreover, most individuals with SUD do not seek out treatment.\n\nArgument/analysis\nThis paper presents two recommendations on how to improve treatment engagement and long-term outcomes for those with SUD. First, treatments should go beyond a focus on reducing or eliminating substance use to target greater access to and more time spent in experiences that will be enjoyable or otherwise rewarding to clients. Second, there must be sufficient incentives in the environment to justify the effort needed to sustain long-term abstinence for individuals who often have limited access to such incentives.\n\nConclusions\nTo increase rates of long-term recovery from substance misuse, treatments should link clients to reinforcers that will make continued abstinence more appealing. This work needs to extend beyond interventions focused on the individual or family to include the local community and national policy in an effort to more strongly incentivize longer-term recoveries.","container-title":"Addiction","DOI":"10.1111/add.13502","ISSN":"0965-2140","issue":"5","journalAbbreviation":"Addiction","note":"PMID: 27535787\nPMCID: PMC5315690","page":"751-757","source":"PubMed Central","title":"Making the hard work of recovery more attractive for those with substance use disorders","volume":"112","author":[{"family":"McKay","given":"James R."}],"issued":{"date-parts":[["2017",5]]}},"label":"act"},{"id":1879,"uris":["http://zotero.org/users/7873587/items/KT6SM8CT"],"itemData":{"id":1879,"type":"article-journal","abstract":"Behavioral theories of choice are applied to an analysis of the conditions under which alcohol consumption emerges as a highly preferred activity from among a set of available activities. The approach highlights two classes of variables as important determinants of alcohol preference: (a) direct constraints on access to alcohol and (b) availability of other reinforcers and constraints on access to them. A selective review of studies of human and animal alcohol and drug self-administration indicates that preference for alcohol and drug consumption (a) varies inversely with direct constraints on consumption and (b) varies inversely with the availability of alternative reinforcers and directly with constraints on access to them. Environmental conditions under which alcohol consumption emerges as a highly preferred activity may thus involve minimal constraints on access to alcohol and sparse alternative reinforcers and/or heightened constraints on access to them. The latter variables may be more important in determining alcohol consumption in natural environments. A research application to alcoholic relapse is described, and general implications for clinical research in natural environments are explored. Limitations of the approach and its complementary relation to other approaches to studying alcohol abuse are discussed. (PsycInfo Database Record (c) 2022 APA, all rights reserved)","container-title":"Journal of Abnormal Psychology","DOI":"10.1037/0021-843X.97.2.181","ISSN":"1939-1846","issue":"2","note":"publisher-place: US\npublisher: American Psychological Association","page":"181-195","source":"APA PsycNet","title":"Contributions from behavioral theories of choice to an analysis of alcohol abuse","volume":"97","author":[{"family":"Vuchinich","given":"Rudy E."},{"family":"Tucker","given":"Jalie A."}],"issued":{"date-parts":[["1988"]]}},"label":"act"}],"schema":"https://github.com/citation-style-language/schema/raw/master/csl-citation.json"} </w:instrText>
      </w:r>
      <w:r w:rsidR="00B509F9">
        <w:rPr>
          <w:rFonts w:ascii="Times New Roman" w:hAnsi="Times New Roman" w:cs="Times New Roman"/>
        </w:rPr>
        <w:fldChar w:fldCharType="separate"/>
      </w:r>
      <w:r w:rsidR="00B509F9" w:rsidRPr="00B509F9">
        <w:rPr>
          <w:rFonts w:ascii="Times New Roman" w:hAnsi="Times New Roman" w:cs="Times New Roman"/>
        </w:rPr>
        <w:t>(McKay, 2017; Vuchinich &amp; Tucker, 1988)</w:t>
      </w:r>
      <w:r w:rsidR="00B509F9">
        <w:rPr>
          <w:rFonts w:ascii="Times New Roman" w:hAnsi="Times New Roman" w:cs="Times New Roman"/>
        </w:rPr>
        <w:fldChar w:fldCharType="end"/>
      </w:r>
      <w:r w:rsidRPr="001C7D48">
        <w:rPr>
          <w:rFonts w:ascii="Times New Roman" w:hAnsi="Times New Roman" w:cs="Times New Roman"/>
        </w:rPr>
        <w:t xml:space="preserve">. Indeed, a robust body of research has demonstrated inverse associations between alcohol consumption and availability of alternative reinforcers </w:t>
      </w:r>
      <w:r w:rsidR="00B509F9">
        <w:rPr>
          <w:rFonts w:ascii="Times New Roman" w:hAnsi="Times New Roman" w:cs="Times New Roman"/>
        </w:rPr>
        <w:fldChar w:fldCharType="begin"/>
      </w:r>
      <w:r w:rsidR="00B509F9">
        <w:rPr>
          <w:rFonts w:ascii="Times New Roman" w:hAnsi="Times New Roman" w:cs="Times New Roman"/>
        </w:rPr>
        <w:instrText xml:space="preserve"> ADDIN ZOTERO_ITEM CSL_CITATION {"citationID":"S0y4LVY6","properties":{"unsorted":true,"formattedCitation":"(Acuff et al., 2019; Correia et al., 2003; Vuchinich &amp; Tucker, 1983)","plainCitation":"(Acuff et al., 2019; Correia et al., 2003; Vuchinich &amp; Tucker, 1983)","noteIndex":0},"citationItems":[{"id":1452,"uris":["http://zotero.org/users/7873587/items/2ENG4DDR"],"itemData":{"id":1452,"type":"article-journal","abstract":"A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G."}],"issued":{"date-parts":[["2019"]]}},"label":"act"},{"id":1883,"uris":["http://zotero.org/users/7873587/items/QAFSKRMF"],"itemData":{"id":1883,"type":"article-journal","abstract":"Heavy episodic drinking is a relatively common phenomenon among college students, and students who engage in binge drinking are at increased risk for a variety of adverse consequences. This paper investigates relationships between substance use and reinforcement derived from specific categories of substance-free activities among a sample of 256 college undergraduates. Data from a standardized behavioral inventory were used to compare the frequency, pleasure, and reinforcement potential of substance-free events and activities experienced by binge drinkers and a comparison group. Binge drinkers reported significantly lower scores across a variety of substance-free activity categories and, in the majority of the cases, the relationship between binge drinking and decreased reinforcement density remained significant after accounting for the effects of the use of other drugs and demographic variables. These results are consistent with a growing body of evidence linking substance use to deprivation of substance-free reinforcement.","container-title":"Addictive behaviors","ISSN":"0306-4603","issue":"2","journalAbbreviation":"Addict Behav","note":"PMID: 12573686\nPMCID: PMC3749433","page":"361-368","source":"PubMed Central","title":"Relationships between binge drinking and substance-free reinforcement in a sample of college students A preliminary investigation","volume":"28","author":[{"family":"Correia","given":"Christopher J."},{"family":"Carey","given":"Kate B."},{"family":"Simons","given":"Jeffrey"},{"family":"Borsari","given":"Brian E."}],"issued":{"date-parts":[["2003",3]]}},"label":"act"},{"id":493,"uris":["http://zotero.org/users/7873587/items/UCY43V3Z"],"itemData":{"id":493,"type":"article-journal","abstract":"54 male college students were placed in a choice situation with 2 behavioral alternatives: One produced access to alcohol consumption, and one produced access to money. Any alcohol chosen was available during the session, and constraints on access to it were held constant. Two independent variables involving constraints on access to money were manipulated in a 2 × 3 factorial design: (a) amount of money available (either 2 or 10 cents per unit or behavioral allocation) and (b) delay in receipt of the money (either no delay, a 2-wk delay, or an 8-wk delay). The primary dependent measures were the proportion of responses allocated to gain access to alcohol, response-outcome expectations, and mood state. Results show that Ss' preference for alcohol varied negatively with amount of money and positively with delay. Expectations and mood states were not related to Ss' choice behavior. Results support a formulation regarding the determinants of drinking that is developed from the perspective of behavioral theories of choice. (37 ref) (PsycINFO Database Record (c) 2016 APA, all rights reserved)","container-title":"Journal of Abnormal Psychology","DOI":"10.1037/0021-843X.92.4.408","ISSN":"1939-1846","issue":"4","page":"408-416","source":"APA PsycNet","title":"Behavioral theories of choice as a framework for studying drinking behavior","volume":"92","author":[{"family":"Vuchinich","given":"Rudy E."},{"family":"Tucker","given":"Jalie A."}],"issued":{"date-parts":[["1983"]]}},"label":"act"}],"schema":"https://github.com/citation-style-language/schema/raw/master/csl-citation.json"} </w:instrText>
      </w:r>
      <w:r w:rsidR="00B509F9">
        <w:rPr>
          <w:rFonts w:ascii="Times New Roman" w:hAnsi="Times New Roman" w:cs="Times New Roman"/>
        </w:rPr>
        <w:fldChar w:fldCharType="separate"/>
      </w:r>
      <w:r w:rsidR="00B509F9" w:rsidRPr="00B509F9">
        <w:rPr>
          <w:rFonts w:ascii="Times New Roman" w:hAnsi="Times New Roman" w:cs="Times New Roman"/>
        </w:rPr>
        <w:t>(Acuff et al., 2019; Correia et al., 2003; Vuchinich &amp; Tucker, 1983)</w:t>
      </w:r>
      <w:r w:rsidR="00B509F9">
        <w:rPr>
          <w:rFonts w:ascii="Times New Roman" w:hAnsi="Times New Roman" w:cs="Times New Roman"/>
        </w:rPr>
        <w:fldChar w:fldCharType="end"/>
      </w:r>
      <w:r w:rsidRPr="001C7D48">
        <w:rPr>
          <w:rFonts w:ascii="Times New Roman" w:hAnsi="Times New Roman" w:cs="Times New Roman"/>
        </w:rPr>
        <w:t xml:space="preserve">. For example, one study found that young adults who were randomly assigned to a condition that instructed them to increase engagement with alcohol-free alternative reinforcers (creative activities and exercise) demonstrated significant reductions in alcohol consumption compared to those in a control condition </w:t>
      </w:r>
      <w:r w:rsidR="00B509F9">
        <w:rPr>
          <w:rFonts w:ascii="Times New Roman" w:hAnsi="Times New Roman" w:cs="Times New Roman"/>
        </w:rPr>
        <w:fldChar w:fldCharType="begin"/>
      </w:r>
      <w:r w:rsidR="00B509F9">
        <w:rPr>
          <w:rFonts w:ascii="Times New Roman" w:hAnsi="Times New Roman" w:cs="Times New Roman"/>
        </w:rPr>
        <w:instrText xml:space="preserve"> ADDIN ZOTERO_ITEM CSL_CITATION {"citationID":"Z2lnSUG2","properties":{"formattedCitation":"(Correia et al., 2005)","plainCitation":"(Correia et al., 2005)","noteIndex":0},"citationItems":[{"id":409,"uris":["http://zotero.org/users/7873587/items/RBNEWI2I"],"itemData":{"id":409,"type":"article-journal","abstract":"Research derived from behavioral economic theories has demonstrated reciprocal links between substance use and engagement in substance-free activities. The current study used an experimental manipulation to further investigate the relationship between substance use and substance-free behaviors in a nonclinical sample of 133 young adults. Participants completed surveys on substance use and engagement in specific substance-free behaviors (exercise and creative behaviors) on two occasions separated by a 28-day interval. During the 4 weeks separating assessments, the 105 participants who reported recent substance use were randomly assigned to one of three experimental conditions with corresponding behavioral instructions: substance use reduction (SR), activity increase (AI), and a no-change control. Participants assigned to both the SR and AI conditions reported a significant decrease in their substance use behavior. These results are consistent with previous studies in demonstrating that decreases in substance use can be achieved by increasing engagement in substance-free behaviors.","container-title":"Addictive Behaviors","DOI":"10.1016/j.addbeh.2004.04.006","ISSN":"0306-4603","issue":"1","journalAbbreviation":"Addict Behav","language":"eng","note":"PMID: 15561446","page":"19-27","source":"PubMed","title":"Decreased substance use following increases in alternative behaviors: a preliminary investigation","title-short":"Decreased substance use following increases in alternative behaviors","volume":"30","author":[{"family":"Correia","given":"Christopher J."},{"family":"Benson","given":"Trisha A."},{"family":"Carey","given":"Kate B."}],"issued":{"date-parts":[["2005",1]]}}}],"schema":"https://github.com/citation-style-language/schema/raw/master/csl-citation.json"} </w:instrText>
      </w:r>
      <w:r w:rsidR="00B509F9">
        <w:rPr>
          <w:rFonts w:ascii="Times New Roman" w:hAnsi="Times New Roman" w:cs="Times New Roman"/>
        </w:rPr>
        <w:fldChar w:fldCharType="separate"/>
      </w:r>
      <w:r w:rsidR="00B509F9" w:rsidRPr="00B509F9">
        <w:rPr>
          <w:rFonts w:ascii="Times New Roman" w:hAnsi="Times New Roman" w:cs="Times New Roman"/>
        </w:rPr>
        <w:t>(Correia et al., 2005)</w:t>
      </w:r>
      <w:r w:rsidR="00B509F9">
        <w:rPr>
          <w:rFonts w:ascii="Times New Roman" w:hAnsi="Times New Roman" w:cs="Times New Roman"/>
        </w:rPr>
        <w:fldChar w:fldCharType="end"/>
      </w:r>
      <w:r w:rsidRPr="001C7D48">
        <w:rPr>
          <w:rFonts w:ascii="Times New Roman" w:hAnsi="Times New Roman" w:cs="Times New Roman"/>
        </w:rPr>
        <w:t xml:space="preserve">. Furthermore, anhedonia is a common consequence of addiction </w:t>
      </w:r>
      <w:r w:rsidR="00B509F9">
        <w:rPr>
          <w:rFonts w:ascii="Times New Roman" w:hAnsi="Times New Roman" w:cs="Times New Roman"/>
        </w:rPr>
        <w:fldChar w:fldCharType="begin"/>
      </w:r>
      <w:r w:rsidR="003022B9">
        <w:rPr>
          <w:rFonts w:ascii="Times New Roman" w:hAnsi="Times New Roman" w:cs="Times New Roman"/>
        </w:rPr>
        <w:instrText xml:space="preserve"> ADDIN ZOTERO_ITEM CSL_CITATION {"citationID":"3mv2uViu","properties":{"formattedCitation":"(Garfield et al., 2014; Sussman &amp; Leventhal, 2014)","plainCitation":"(Garfield et al., 2014; Sussman &amp; Leventhal, 2014)","noteIndex":0},"citationItems":[{"id":1360,"uris":["http://zotero.org/users/7873587/items/H5LFTCRX"],"itemData":{"id":1360,"type":"article-journal","abstract":"OBJECTIVE: There is growing evidence that anhedonia is a commonly experienced symptom among substance-using populations. This systematic review synthesises findings across a range of substances to address questions regarding the time course of anhedonia, how anhedonia relates to other symptoms of substance dependence and whether it is similarly prevalent across all addictive drugs.\nMETHOD: A literature search was conducted on PubMed, PsycINFO and MEDLINE, yielding 32 studies that used self-report measures of anhedonia among participants with a history of a substance abuse, dependence or long-term daily use of addictive substances.\nRESULTS: Findings from these studies indicate that anhedonia (1) is elevated in samples dependent on a range of substances; (2) typically appears as a consequence of substance abuse or dependence, and diminishes with abstinence; and (3) predicts increased drug cravings and the likelihood of relapse in those attempting abstinence.\nCONCLUSIONS: The common experience of anhedonia in substance-dependent populations, and its relationship to relapse, emphasises the importance of developing therapeutic interventions that specifically target anhedonia in the treatment of all substance use disorders.","container-title":"The Australian and New Zealand Journal of Psychiatry","DOI":"10.1177/0004867413508455","ISSN":"1440-1614","issue":"1","journalAbbreviation":"Aust N Z J Psychiatry","language":"eng","note":"PMID: 24270310","page":"36-51","source":"PubMed","title":"Anhedonia in substance use disorders: a systematic review of its nature, course and clinical correlates","title-short":"Anhedonia in substance use disorders","volume":"48","author":[{"family":"Garfield","given":"Joshua B. B."},{"family":"Lubman","given":"Dan I."},{"family":"Yücel","given":"Murat"}],"issued":{"date-parts":[["2014",1]]}},"label":"act"},{"id":1364,"uris":["http://zotero.org/users/7873587/items/R2HIWQKG"],"itemData":{"id":1364,"type":"article-journal","abstract":"Anhedonia refers to the inability of experiencing pleasure in positive life events. It has been conceptualized as a stable yet malleable characteristic and is associated with hypoactivity in the mesolimbic and mesocortical dopaminergic systems. Very recently, it has been posited as an etiologic factor associated with drug addiction onset, escalation, and relapse. Prevention programming could be developed to counteract the harmful impact of anhedonia, so as to minimize its impact on drug misuse. Remedial efforts are those that either (1) permit the individual to tolerate low levels of pleasure without resorting to drug misuse or other maladaptive behaviors that may unhealthily besot pleasure (for example, through normalization, structuring time, or meditation) or (2) counteract anhedonia by enhancing ones capability to experience pleasure (for example, behavioral activation, positive psychology, pharmacotherapy, or pursuit of positive addictions). School-based activities could be developed that can be completed by individuals, small workgroups, or the whole classroom. The concept of anhedonia is described in this chapter, and possible prevention strategies that might be utilized in schools as well as other contexts are discussed.","container-title":"New Directions for Youth Development","DOI":"10.1002/yd.20085","ISSN":"1537-5781","issue":"141","journalAbbreviation":"New Dir Youth Dev","language":"eng","note":"PMID: 24753277\nPMCID: PMC4181563","page":"45-56, 10","source":"PubMed","title":"Substance misuse prevention: addressing anhedonia","title-short":"Substance misuse prevention","volume":"2014","author":[{"family":"Sussman","given":"Steve"},{"family":"Leventhal","given":"Adam"}],"issued":{"date-parts":[["2014"]]}},"label":"act"}],"schema":"https://github.com/citation-style-language/schema/raw/master/csl-citation.json"} </w:instrText>
      </w:r>
      <w:r w:rsidR="00B509F9">
        <w:rPr>
          <w:rFonts w:ascii="Times New Roman" w:hAnsi="Times New Roman" w:cs="Times New Roman"/>
        </w:rPr>
        <w:fldChar w:fldCharType="separate"/>
      </w:r>
      <w:r w:rsidR="003022B9" w:rsidRPr="003022B9">
        <w:rPr>
          <w:rFonts w:ascii="Times New Roman" w:hAnsi="Times New Roman" w:cs="Times New Roman"/>
        </w:rPr>
        <w:t>(Garfield et al., 2014; Sussman &amp; Leventhal, 2014)</w:t>
      </w:r>
      <w:r w:rsidR="00B509F9">
        <w:rPr>
          <w:rFonts w:ascii="Times New Roman" w:hAnsi="Times New Roman" w:cs="Times New Roman"/>
        </w:rPr>
        <w:fldChar w:fldCharType="end"/>
      </w:r>
      <w:r w:rsidRPr="001C7D48">
        <w:rPr>
          <w:rFonts w:ascii="Times New Roman" w:hAnsi="Times New Roman" w:cs="Times New Roman"/>
        </w:rPr>
        <w:t xml:space="preserve"> and the overvaluation of alcohol may therefore be explained in part by an absence of competing rewarding activities and/or reduced ability to experience reinforcement derived from alcohol-free alternative activities. In line with this, many effective treatments and interventions for reducing alcohol consumption emphasise the importance of targeting substance-free engagement (McKay, 2017), such as behavioural activation (Daughters et al., 2018), contingency management </w:t>
      </w:r>
      <w:r w:rsidR="003022B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{"citationID":"2vMUmZMR","properties":{"formattedCitation":"(Petry et al., 2017)","plainCitation":"(Petry et al., 2017)","noteIndex":0},"citationItems":[{"id":1471,"uris":["http://zotero.org/users/7873587/items/8ABIP8TW"],"itemData":{"id":1471,"type":"article-journal","abstract":"Contingency management (CM) interventions consistently improve substance abuse treatment outcomes, yet CM remains a highly controversial intervention and is rarely implemented in practice settings. This paper briefly outlines the evidence base of CM and then describes four of the most often cited concerns about it: philosophical, motivational, durability, and economic. Data supporting and refuting each of these issues are reviewed. The paper concludes with suggestions to address these matters and other important areas for CM research and implementation, with the aims of improving uptake of this efficacious intervention in practice settings and outcomes of patients with substance use disorders.","container-title":"Psychology of addictive behaviors","DOI":"10.1037/adb0000287","ISSN":"0893-164X","issue":"8","journalAbbreviation":"Psychol Addict Behav","note":"PMID: 28639812\nPMCID: PMC5714694","page":"897-906","source":"PubMed Central","title":"Contingency management treatment for substance use disorders: How far has it come, and where does it need to go?","title-short":"Contingency management treatment for substance use disorders","volume":"31","author":[{"family":"Petry","given":"Nancy M."},{"family":"Alessi","given":"Sheila M."},{"family":"Olmstead","given":"Todd A."},{"family":"Rash","given":"Carla J."},{"family":"Zajac","given":"Kristyn"}],"issued":{"date-parts":[["2017",12]]}}}],"schema":"https://github.com/citation-style-language/schema/raw/master/csl-citation.json"} </w:instrText>
      </w:r>
      <w:r w:rsidR="003022B9">
        <w:rPr>
          <w:rFonts w:ascii="Times New Roman" w:hAnsi="Times New Roman" w:cs="Times New Roman"/>
        </w:rPr>
        <w:fldChar w:fldCharType="separate"/>
      </w:r>
      <w:r w:rsidR="003022B9" w:rsidRPr="003022B9">
        <w:rPr>
          <w:rFonts w:ascii="Times New Roman" w:hAnsi="Times New Roman" w:cs="Times New Roman"/>
        </w:rPr>
        <w:t>(Petry et al., 2017)</w:t>
      </w:r>
      <w:r w:rsidR="003022B9">
        <w:rPr>
          <w:rFonts w:ascii="Times New Roman" w:hAnsi="Times New Roman" w:cs="Times New Roman"/>
        </w:rPr>
        <w:fldChar w:fldCharType="end"/>
      </w:r>
      <w:r w:rsidRPr="001C7D48">
        <w:rPr>
          <w:rFonts w:ascii="Times New Roman" w:hAnsi="Times New Roman" w:cs="Times New Roman"/>
        </w:rPr>
        <w:t xml:space="preserve">, and substance-free activity sessions (SFAS; </w:t>
      </w:r>
      <w:r w:rsidR="003022B9">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{"citationID":"wyCw9YkF","properties":{"formattedCitation":"(Murphy, Dennhardt, et al., 2012)","plainCitation":"(Murphy, Dennhardt, et al., 2012)","dontUpdate":true,"noteIndex":0},"citationItems":[{"id":1507,"uris":["http://zotero.org/users/7873587/items/WTDNLQ6L"],"itemData":{"id":1507,"type":"article-journal","abstract":"OBJECTIVE: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P."}],"issued":{"date-parts":[["2012",10]]}}}],"schema":"https://github.com/citation-style-language/schema/raw/master/csl-citation.json"} </w:instrText>
      </w:r>
      <w:r w:rsidR="003022B9">
        <w:rPr>
          <w:rFonts w:ascii="Times New Roman" w:hAnsi="Times New Roman" w:cs="Times New Roman"/>
        </w:rPr>
        <w:fldChar w:fldCharType="separate"/>
      </w:r>
      <w:r w:rsidR="003022B9" w:rsidRPr="003022B9">
        <w:rPr>
          <w:rFonts w:ascii="Times New Roman" w:hAnsi="Times New Roman" w:cs="Times New Roman"/>
        </w:rPr>
        <w:t>Murphy, Dennhardt, et al., 2012)</w:t>
      </w:r>
      <w:r w:rsidR="003022B9">
        <w:rPr>
          <w:rFonts w:ascii="Times New Roman" w:hAnsi="Times New Roman" w:cs="Times New Roman"/>
        </w:rPr>
        <w:fldChar w:fldCharType="end"/>
      </w:r>
      <w:r w:rsidRPr="001C7D48">
        <w:rPr>
          <w:rFonts w:ascii="Times New Roman" w:hAnsi="Times New Roman" w:cs="Times New Roman"/>
        </w:rPr>
        <w:t>. The efficacy of treatment interventions may therefore depend on the extent to which they can increase the value of substance-free alternative activities, and</w:t>
      </w:r>
      <w:r w:rsidR="0090444E">
        <w:rPr>
          <w:rFonts w:ascii="Times New Roman" w:hAnsi="Times New Roman" w:cs="Times New Roman"/>
        </w:rPr>
        <w:t xml:space="preserve">/or </w:t>
      </w:r>
      <w:r w:rsidRPr="001C7D48">
        <w:rPr>
          <w:rFonts w:ascii="Times New Roman" w:hAnsi="Times New Roman" w:cs="Times New Roman"/>
        </w:rPr>
        <w:t xml:space="preserve">reduce the value of alcohol (McKay, 2017). Consistent with behavioural economic predictions then, behaviour change and recovery depend upon the rebalance of distorted valuation processes that leave people vulnerable to addiction </w:t>
      </w:r>
      <w:r w:rsidR="003022B9">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{"citationID":"QU4rC6Kg","properties":{"formattedCitation":"(Bickel et al., 2014; Redish et al., 2008)","plainCitation":"(Bickel et al., 2014; Redish et al., 2008)","noteIndex":0},"citationItems":[{"id":816,"uris":["http://zotero.org/users/7873587/items/R9KVGRWU"],"itemData":{"id":816,"type":"article-journal","abstract":"The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G."}],"issued":{"date-parts":[["2014"]]}},"label":"act"},{"id":1371,"uris":["http://zotero.org/users/7873587/items/5I6AVVFG"],"itemData":{"id":1371,"type":"article-journal","abstract":"The understanding of decision-making systems has come together in recent years to form a unified theory of decision-making in the mammalian brain as arising from multiple, interacting systems (a planning system, a habit system, and a situation-recognition system). This unified decision-making system has multiple potential access points through which it can be driven to make maladaptive choices, particularly choices that entail seeking of certain drugs or behaviors. We identify 10 key vulnerabilities in the system: (1) moving away from homeostasis, (2) changing allostatic set points, (3) euphorigenic “reward-like” signals, (4) overvaluation in the planning system, (5) incorrect search of situation-action-outcome relationships, (6) misclassification of situations, (7) overvaluation in the habit system, (8) a mismatch in the balance of the two decision systems, (9) over-fast discounting processes, and (10) changed learning rates. These vulnerabilities provide a taxonomy of potential problems with decision-making systems. Although each vulnerability can drive an agent to return to the addictive choice, each vulnerability also implies a characteristic symptomology. Different drugs, different behaviors, and different individuals are likely to access different vulnerabilities. This has implications for an individual’s susceptibility to addiction and the transition to addiction, for the potential for relapse, and for the potential for treatment.","container-title":"The Behavioral and brain sciences","DOI":"10.1017/S0140525X0800472X","ISSN":"0140-525X","issue":"4","journalAbbreviation":"Behav Brain Sci","note":"PMID: 18662461\nPMCID: PMC3774323","page":"415-487","source":"PubMed Central","title":"A unified framework for addiction: Vulnerabilities in the decision process","title-short":"A unified framework for addiction","volume":"31","author":[{"family":"Redish","given":"A. David"},{"family":"Jensen","given":"Steve"},{"family":"Johnson","given":"Adam"}],"issued":{"date-parts":[["2008",8]]}},"label":"act"}],"schema":"https://github.com/citation-style-language/schema/raw/master/csl-citation.json"} </w:instrText>
      </w:r>
      <w:r w:rsidR="003022B9">
        <w:rPr>
          <w:rFonts w:ascii="Times New Roman" w:hAnsi="Times New Roman" w:cs="Times New Roman"/>
        </w:rPr>
        <w:fldChar w:fldCharType="separate"/>
      </w:r>
      <w:r w:rsidR="003022B9" w:rsidRPr="003022B9">
        <w:rPr>
          <w:rFonts w:ascii="Times New Roman" w:hAnsi="Times New Roman" w:cs="Times New Roman"/>
        </w:rPr>
        <w:t>(Bickel et al., 2014; Redish et al., 2008)</w:t>
      </w:r>
      <w:r w:rsidR="003022B9">
        <w:rPr>
          <w:rFonts w:ascii="Times New Roman" w:hAnsi="Times New Roman" w:cs="Times New Roman"/>
        </w:rPr>
        <w:fldChar w:fldCharType="end"/>
      </w:r>
      <w:r w:rsidR="003022B9">
        <w:rPr>
          <w:rFonts w:ascii="Times New Roman" w:hAnsi="Times New Roman" w:cs="Times New Roman"/>
        </w:rPr>
        <w:t>.</w:t>
      </w:r>
      <w:r w:rsidRPr="001C7D48">
        <w:rPr>
          <w:rFonts w:ascii="Times New Roman" w:hAnsi="Times New Roman" w:cs="Times New Roman"/>
        </w:rPr>
        <w:t xml:space="preserve"> </w:t>
      </w:r>
      <w:bookmarkStart w:id="170" w:name="_heading=h.2et92p0" w:colFirst="0" w:colLast="0"/>
      <w:bookmarkEnd w:id="170"/>
      <w:r w:rsidR="000A0EDC">
        <w:rPr>
          <w:rFonts w:ascii="Times New Roman" w:hAnsi="Times New Roman" w:cs="Times New Roman"/>
        </w:rPr>
        <w:t>However, a</w:t>
      </w:r>
      <w:r w:rsidRPr="001C7D48">
        <w:rPr>
          <w:rFonts w:ascii="Times New Roman" w:hAnsi="Times New Roman" w:cs="Times New Roman"/>
        </w:rPr>
        <w:t xml:space="preserve">lthough behavioural economics has contributed substantially to knowledge on addiction, what is less </w:t>
      </w:r>
      <w:r w:rsidRPr="001C7D48">
        <w:rPr>
          <w:rFonts w:ascii="Times New Roman" w:hAnsi="Times New Roman" w:cs="Times New Roman"/>
        </w:rPr>
        <w:lastRenderedPageBreak/>
        <w:t xml:space="preserve">known are the underlying mechanisms by which changes in valuation processes alter decision-making (Rose et al., 2013). </w:t>
      </w:r>
    </w:p>
    <w:p w14:paraId="7D95B6AE" w14:textId="77777777" w:rsidR="000A0EDC" w:rsidRDefault="000A0EDC" w:rsidP="000A0EDC">
      <w:pPr>
        <w:pStyle w:val="NoSpacing"/>
        <w:spacing w:line="480" w:lineRule="auto"/>
        <w:rPr>
          <w:rFonts w:ascii="Times New Roman" w:hAnsi="Times New Roman" w:cs="Times New Roman"/>
        </w:rPr>
      </w:pPr>
    </w:p>
    <w:p w14:paraId="39B6167C" w14:textId="2EBD8FFA" w:rsidR="001C7D48" w:rsidRPr="001C7D48" w:rsidRDefault="001C7D48" w:rsidP="00834133">
      <w:pPr>
        <w:pStyle w:val="NoSpacing"/>
        <w:spacing w:line="480" w:lineRule="auto"/>
        <w:rPr>
          <w:rFonts w:ascii="Times New Roman" w:hAnsi="Times New Roman" w:cs="Times New Roman"/>
        </w:rPr>
      </w:pPr>
      <w:r w:rsidRPr="001C7D48">
        <w:rPr>
          <w:rFonts w:ascii="Times New Roman" w:hAnsi="Times New Roman" w:cs="Times New Roman"/>
        </w:rPr>
        <w:t>Value-based decision-making (VBDM) provides a framework and set of experimental tools that can model the internal processes that constitute decision-making (Berkman</w:t>
      </w:r>
      <w:r w:rsidR="000A0EDC">
        <w:rPr>
          <w:rFonts w:ascii="Times New Roman" w:hAnsi="Times New Roman" w:cs="Times New Roman"/>
        </w:rPr>
        <w:t xml:space="preserve"> et al., </w:t>
      </w:r>
      <w:r w:rsidRPr="001C7D48">
        <w:rPr>
          <w:rFonts w:ascii="Times New Roman" w:hAnsi="Times New Roman" w:cs="Times New Roman"/>
        </w:rPr>
        <w:t xml:space="preserve">2017), and this has been tentatively extended to the study of addiction and recovery from it </w:t>
      </w:r>
      <w:r w:rsidR="000A0EDC">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{"citationID":"DSvcoDbQ","properties":{"formattedCitation":"(Field,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0A0EDC">
        <w:rPr>
          <w:rFonts w:ascii="Times New Roman" w:hAnsi="Times New Roman" w:cs="Times New Roman"/>
        </w:rPr>
        <w:fldChar w:fldCharType="separate"/>
      </w:r>
      <w:r w:rsidR="00D10AED" w:rsidRPr="00D10AED">
        <w:rPr>
          <w:rFonts w:ascii="Times New Roman" w:hAnsi="Times New Roman" w:cs="Times New Roman"/>
        </w:rPr>
        <w:t>(Field, Heather, et al., 2020)</w:t>
      </w:r>
      <w:r w:rsidR="000A0EDC">
        <w:rPr>
          <w:rFonts w:ascii="Times New Roman" w:hAnsi="Times New Roman" w:cs="Times New Roman"/>
        </w:rPr>
        <w:fldChar w:fldCharType="end"/>
      </w:r>
      <w:r w:rsidRPr="001C7D48">
        <w:rPr>
          <w:rFonts w:ascii="Times New Roman" w:hAnsi="Times New Roman" w:cs="Times New Roman"/>
        </w:rPr>
        <w:t xml:space="preserve">. </w:t>
      </w:r>
      <w:sdt>
        <w:sdtPr>
          <w:rPr>
            <w:rFonts w:ascii="Times New Roman" w:hAnsi="Times New Roman" w:cs="Times New Roman"/>
          </w:rPr>
          <w:tag w:val="goog_rdk_0"/>
          <w:id w:val="-1774468113"/>
        </w:sdtPr>
        <w:sdtContent/>
      </w:sdt>
      <w:r w:rsidRPr="001C7D48">
        <w:rPr>
          <w:rFonts w:ascii="Times New Roman" w:hAnsi="Times New Roman" w:cs="Times New Roman"/>
        </w:rPr>
        <w:t xml:space="preserve">VBDM </w:t>
      </w:r>
      <w:r w:rsidR="003124B0">
        <w:rPr>
          <w:rFonts w:ascii="Times New Roman" w:hAnsi="Times New Roman" w:cs="Times New Roman"/>
        </w:rPr>
        <w:t xml:space="preserve">postulates </w:t>
      </w:r>
      <w:r w:rsidRPr="001C7D48">
        <w:rPr>
          <w:rFonts w:ascii="Times New Roman" w:hAnsi="Times New Roman" w:cs="Times New Roman"/>
        </w:rPr>
        <w:t xml:space="preserve">that when a person is faced with a decision, they firstly identify the possible response options. The overall value of each response option is </w:t>
      </w:r>
      <w:r w:rsidR="00D10AED">
        <w:rPr>
          <w:rFonts w:ascii="Times New Roman" w:hAnsi="Times New Roman" w:cs="Times New Roman"/>
        </w:rPr>
        <w:t xml:space="preserve">determined via a </w:t>
      </w:r>
      <w:r w:rsidRPr="001C7D48">
        <w:rPr>
          <w:rFonts w:ascii="Times New Roman" w:hAnsi="Times New Roman" w:cs="Times New Roman"/>
        </w:rPr>
        <w:t xml:space="preserve">dynamic integration of choice-relevant attributes, which include things such as the </w:t>
      </w:r>
      <w:r w:rsidR="00D10AED">
        <w:rPr>
          <w:rFonts w:ascii="Times New Roman" w:hAnsi="Times New Roman" w:cs="Times New Roman"/>
        </w:rPr>
        <w:t>anticipated positive and negative consequences</w:t>
      </w:r>
      <w:r w:rsidRPr="001C7D48">
        <w:rPr>
          <w:rFonts w:ascii="Times New Roman" w:hAnsi="Times New Roman" w:cs="Times New Roman"/>
        </w:rPr>
        <w:t xml:space="preserve"> </w:t>
      </w:r>
      <w:r w:rsidR="003124B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{"citationID":"Ygsx5hX9","properties":{"formattedCitation":"(Berkman, 2018; Berkman et al., 2017)","plainCitation":"(Berkman, 2018; Berkman et al., 2017)","noteIndex":0},"citationItems":[{"id":1538,"uris":["http://zotero.org/users/7873587/items/WURW4J4N"],"itemData":{"id":1538,"type":"article-journal","abstract":"OBJECTIVE: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T."}],"issued":{"date-parts":[["2018",1]]}},"label":"act"},{"id":1528,"uris":["http://zotero.org/users/7873587/items/BGCGUKYV"],"itemData":{"id":1528,"type":"article-journal","abstract":"Self-control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E."},{"family":"Inzlicht","given":"Michael"}],"issued":{"date-parts":[["2017"]]}},"label":"act"}],"schema":"https://github.com/citation-style-language/schema/raw/master/csl-citation.json"} </w:instrText>
      </w:r>
      <w:r w:rsidR="003124B0">
        <w:rPr>
          <w:rFonts w:ascii="Times New Roman" w:hAnsi="Times New Roman" w:cs="Times New Roman"/>
        </w:rPr>
        <w:fldChar w:fldCharType="separate"/>
      </w:r>
      <w:r w:rsidR="00834133" w:rsidRPr="00834133">
        <w:rPr>
          <w:rFonts w:ascii="Times New Roman" w:hAnsi="Times New Roman" w:cs="Times New Roman"/>
        </w:rPr>
        <w:t>(Berkman, 2018; Berkman et al., 2017)</w:t>
      </w:r>
      <w:r w:rsidR="003124B0">
        <w:rPr>
          <w:rFonts w:ascii="Times New Roman" w:hAnsi="Times New Roman" w:cs="Times New Roman"/>
        </w:rPr>
        <w:fldChar w:fldCharType="end"/>
      </w:r>
      <w:r w:rsidRPr="001C7D48">
        <w:rPr>
          <w:rFonts w:ascii="Times New Roman" w:hAnsi="Times New Roman" w:cs="Times New Roman"/>
        </w:rPr>
        <w:t xml:space="preserve">. Subsequently, response options are compared and the option with the highest value is acted upon through a value-to-action evidence accumulation (EA) process (Berkman, 2018) which can be parameterised using the drift-diffusion model (DDM; </w:t>
      </w:r>
      <w:proofErr w:type="spellStart"/>
      <w:r w:rsidRPr="001C7D48">
        <w:rPr>
          <w:rFonts w:ascii="Times New Roman" w:hAnsi="Times New Roman" w:cs="Times New Roman"/>
        </w:rPr>
        <w:t>Forstmann</w:t>
      </w:r>
      <w:proofErr w:type="spellEnd"/>
      <w:r w:rsidR="00D10AED">
        <w:rPr>
          <w:rFonts w:ascii="Times New Roman" w:hAnsi="Times New Roman" w:cs="Times New Roman"/>
        </w:rPr>
        <w:t xml:space="preserve"> et al.,</w:t>
      </w:r>
      <w:r w:rsidRPr="001C7D48">
        <w:rPr>
          <w:rFonts w:ascii="Times New Roman" w:hAnsi="Times New Roman" w:cs="Times New Roman"/>
        </w:rPr>
        <w:t xml:space="preserve"> 2016; Ratcliff &amp; </w:t>
      </w:r>
      <w:proofErr w:type="spellStart"/>
      <w:r w:rsidRPr="001C7D48">
        <w:rPr>
          <w:rFonts w:ascii="Times New Roman" w:hAnsi="Times New Roman" w:cs="Times New Roman"/>
        </w:rPr>
        <w:t>McKoon</w:t>
      </w:r>
      <w:proofErr w:type="spellEnd"/>
      <w:r w:rsidRPr="001C7D48">
        <w:rPr>
          <w:rFonts w:ascii="Times New Roman" w:hAnsi="Times New Roman" w:cs="Times New Roman"/>
        </w:rPr>
        <w:t>, 2008). The DDM assumes that value signals from the brain are tracked in a noisy and probabilistic manner, accumulating until some response threshold for committing to a decision is crossed.</w:t>
      </w:r>
    </w:p>
    <w:p w14:paraId="19895C1B" w14:textId="77777777" w:rsidR="001C7D48" w:rsidRPr="001C7D48" w:rsidRDefault="001C7D48" w:rsidP="001C7D48">
      <w:pPr>
        <w:pStyle w:val="NoSpacing"/>
        <w:spacing w:line="480" w:lineRule="auto"/>
        <w:rPr>
          <w:rFonts w:ascii="Times New Roman" w:hAnsi="Times New Roman" w:cs="Times New Roman"/>
        </w:rPr>
      </w:pPr>
    </w:p>
    <w:p w14:paraId="5FCD0D8A" w14:textId="1C353185" w:rsidR="00B60B23" w:rsidRPr="00EF2D5C" w:rsidRDefault="001C7D48" w:rsidP="00A83476">
      <w:pPr>
        <w:pStyle w:val="NoSpacing"/>
        <w:spacing w:line="480" w:lineRule="auto"/>
        <w:rPr>
          <w:rFonts w:ascii="Times New Roman" w:hAnsi="Times New Roman" w:cs="Times New Roman"/>
        </w:rPr>
      </w:pPr>
      <w:bookmarkStart w:id="171" w:name="_heading=h.tyjcwt" w:colFirst="0" w:colLast="0"/>
      <w:bookmarkEnd w:id="171"/>
      <w:r w:rsidRPr="001C7D48">
        <w:rPr>
          <w:rFonts w:ascii="Times New Roman" w:hAnsi="Times New Roman" w:cs="Times New Roman"/>
        </w:rPr>
        <w:t>The standard procedure of a VBDM task (</w:t>
      </w:r>
      <w:proofErr w:type="spellStart"/>
      <w:r w:rsidRPr="001C7D48">
        <w:rPr>
          <w:rFonts w:ascii="Times New Roman" w:hAnsi="Times New Roman" w:cs="Times New Roman"/>
        </w:rPr>
        <w:t>Polanía</w:t>
      </w:r>
      <w:proofErr w:type="spellEnd"/>
      <w:r w:rsidR="00D10AED">
        <w:rPr>
          <w:rFonts w:ascii="Times New Roman" w:hAnsi="Times New Roman" w:cs="Times New Roman"/>
        </w:rPr>
        <w:t xml:space="preserve"> et al., </w:t>
      </w:r>
      <w:r w:rsidRPr="001C7D48">
        <w:rPr>
          <w:rFonts w:ascii="Times New Roman" w:hAnsi="Times New Roman" w:cs="Times New Roman"/>
        </w:rPr>
        <w:t>2014) involves participants rank ordering a set of stimuli (e.g., food images) from most valued to least valued</w:t>
      </w:r>
      <w:r w:rsidR="00D10AED">
        <w:rPr>
          <w:rFonts w:ascii="Times New Roman" w:hAnsi="Times New Roman" w:cs="Times New Roman"/>
        </w:rPr>
        <w:t xml:space="preserve">. Subsequently, two images appear on the screen and participants are instructed to select the image they prefer as quickly as possible over repeated trials. </w:t>
      </w:r>
      <w:r w:rsidRPr="001C7D48">
        <w:rPr>
          <w:rFonts w:ascii="Times New Roman" w:hAnsi="Times New Roman" w:cs="Times New Roman"/>
        </w:rPr>
        <w:t>This generates both reaction time (RT) and accuracy data (</w:t>
      </w:r>
      <w:r w:rsidR="00D10AED">
        <w:rPr>
          <w:rFonts w:ascii="Times New Roman" w:hAnsi="Times New Roman" w:cs="Times New Roman"/>
        </w:rPr>
        <w:t xml:space="preserve">i.e., </w:t>
      </w:r>
      <w:r w:rsidRPr="001C7D48">
        <w:rPr>
          <w:rFonts w:ascii="Times New Roman" w:hAnsi="Times New Roman" w:cs="Times New Roman"/>
        </w:rPr>
        <w:t xml:space="preserve">how long the participant took to make a decision, and whether they chose the image that they had previously rated as highest in value), and </w:t>
      </w:r>
      <w:r w:rsidR="00D10AED">
        <w:rPr>
          <w:rFonts w:ascii="Times New Roman" w:hAnsi="Times New Roman" w:cs="Times New Roman"/>
        </w:rPr>
        <w:t>the DDM is fitted to this behavioural data to recover parameters of decision-making (Stafford et al., 2020).</w:t>
      </w:r>
      <w:r w:rsidR="00EF2D5C">
        <w:rPr>
          <w:rFonts w:ascii="Times New Roman" w:hAnsi="Times New Roman" w:cs="Times New Roman"/>
        </w:rPr>
        <w:t xml:space="preserve"> </w:t>
      </w:r>
      <w:r w:rsidR="00EF2D5C" w:rsidRPr="00EF2D5C">
        <w:rPr>
          <w:rFonts w:ascii="Times New Roman" w:hAnsi="Times New Roman" w:cs="Times New Roman"/>
        </w:rPr>
        <w:t xml:space="preserve">Key parameters include </w:t>
      </w:r>
      <w:r w:rsidR="00B60B23">
        <w:rPr>
          <w:rFonts w:ascii="Times New Roman" w:hAnsi="Times New Roman" w:cs="Times New Roman"/>
        </w:rPr>
        <w:t>EA rate</w:t>
      </w:r>
      <w:r w:rsidR="00EF2D5C" w:rsidRPr="00EF2D5C">
        <w:rPr>
          <w:rFonts w:ascii="Times New Roman" w:hAnsi="Times New Roman" w:cs="Times New Roman"/>
        </w:rPr>
        <w:t xml:space="preserve"> (also known as the ‘drift rate’</w:t>
      </w:r>
      <w:r w:rsidR="00B60B23">
        <w:rPr>
          <w:rFonts w:ascii="Times New Roman" w:hAnsi="Times New Roman" w:cs="Times New Roman"/>
        </w:rPr>
        <w:t xml:space="preserve">; the average rate by which </w:t>
      </w:r>
      <w:r w:rsidR="00B60B23">
        <w:rPr>
          <w:rFonts w:ascii="Times New Roman" w:hAnsi="Times New Roman" w:cs="Times New Roman"/>
        </w:rPr>
        <w:lastRenderedPageBreak/>
        <w:t>participants accumulate value evidence</w:t>
      </w:r>
      <w:r w:rsidR="00EF2D5C" w:rsidRPr="00EF2D5C">
        <w:rPr>
          <w:rFonts w:ascii="Times New Roman" w:hAnsi="Times New Roman" w:cs="Times New Roman"/>
        </w:rPr>
        <w:t>)</w:t>
      </w:r>
      <w:r w:rsidR="00B60B23">
        <w:rPr>
          <w:rFonts w:ascii="Times New Roman" w:hAnsi="Times New Roman" w:cs="Times New Roman"/>
        </w:rPr>
        <w:t>,</w:t>
      </w:r>
      <w:r w:rsidR="00EF2D5C" w:rsidRPr="00EF2D5C">
        <w:rPr>
          <w:rFonts w:ascii="Times New Roman" w:hAnsi="Times New Roman" w:cs="Times New Roman"/>
        </w:rPr>
        <w:t xml:space="preserve"> response threshold (participant caution)</w:t>
      </w:r>
      <w:r w:rsidR="00B60B23">
        <w:rPr>
          <w:rFonts w:ascii="Times New Roman" w:hAnsi="Times New Roman" w:cs="Times New Roman"/>
        </w:rPr>
        <w:t>, and non-decision time (</w:t>
      </w:r>
      <w:r w:rsidR="00A83476">
        <w:rPr>
          <w:rFonts w:ascii="Times New Roman" w:hAnsi="Times New Roman" w:cs="Times New Roman"/>
        </w:rPr>
        <w:t xml:space="preserve">processes related to encoding and motor execution; </w:t>
      </w:r>
      <w:r w:rsidR="00A83476">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{"citationID":"5Awmgpd0","properties":{"formattedCitation":"(Ratcliff et al., 2016; Wagenmakers et al., 2007)","plainCitation":"(Ratcliff et al., 2016; Wagenmakers et al., 2007)","dontUpdate":true,"noteIndex":0},"citationItems":[{"id":638,"uris":["http://zotero.org/users/7873587/items/5N92IPGL"],"itemData":{"id":638,"type":"article-journal","abstract":"There is growing interest in diffusion models to represent the cognitive and neural processes of speeded decision making. Sequential-sampling models like the diffusion model have a long history in psychology. They view decision making as a process of noisy accumulation of evidence from a stimulus. The standard model assumes that evidence accumulates at a constant rate during the second or two it takes to make a decision. This process can be linked to the behaviors of populations of neurons and to theories of optimality. Diffusion models have been used successfully in a range of cognitive tasks and as psychometric tools in clinical research to examine individual differences. In this review, we relate the models to both earlier and more recent research in psychology.","container-title":"Trends in Cognitive Sciences","DOI":"10.1016/j.tics.2016.01.007","ISSN":"1364-6613","issue":"4","journalAbbreviation":"Trends in Cognitive Sciences","language":"en","page":"260-281","source":"ScienceDirect","title":"Diffusion decision model: current issues and history","title-short":"Diffusion Decision Model","volume":"20","author":[{"family":"Ratcliff","given":"Roger"},{"family":"Smith","given":"Philip L."},{"family":"Brown","given":"Scott D."},{"family":"McKoon","given":"Gail"}],"issued":{"date-parts":[["2016"]]}},"label":"page"},{"id":52,"uris":["http://zotero.org/users/7873587/items/6JI6YTPQ"],"itemData":{"id":52,"type":"article-journal","abstract":"The EZ-diffusion model for two-choice response time tasks takes mean response time, the variance of response time, and response accuracy as inputs. The model transforms these data via three simple equations to produce unique values for the quality of information, response conservativeness, and nondecision time. This transformation of observed data in terms of unobserved variables addresses the speed—accuracy trade-off and allows an unambiguous quantification of performance differences in two-choice response time tasks. The EZ-diffusion model can be applied to data-sparse situations to facilitate individual subject analysis. We studied the performance of the EZ-diffusion model in terms of parameter recovery and robustness against misspecification by using Monte Carlo simulations. The EZ model was also applied to a real-world data set.","container-title":"Psychonomic Bulletin &amp; Review","DOI":"10.3758/BF03194023","ISSN":"1531-5320","issue":"1","journalAbbreviation":"Psychonomic Bulletin &amp; Review","language":"en","page":"3-22","source":"Springer Link","title":"An EZ-diffusion model for response time and accuracy","volume":"14","author":[{"family":"Wagenmakers","given":"Eric-Jan"},{"family":"Van Der Maas","given":"Han L. J."},{"family":"Grasman","given":"Raoul P. P. P."}],"issued":{"date-parts":[["2007"]]}},"label":"act"}],"schema":"https://github.com/citation-style-language/schema/raw/master/csl-citation.json"} </w:instrText>
      </w:r>
      <w:r w:rsidR="00A83476">
        <w:rPr>
          <w:rFonts w:ascii="Times New Roman" w:hAnsi="Times New Roman" w:cs="Times New Roman"/>
        </w:rPr>
        <w:fldChar w:fldCharType="separate"/>
      </w:r>
      <w:r w:rsidR="00A83476" w:rsidRPr="00A83476">
        <w:rPr>
          <w:rFonts w:ascii="Times New Roman" w:hAnsi="Times New Roman" w:cs="Times New Roman"/>
        </w:rPr>
        <w:t>Ratcliff et al., 2016; Wagenmakers et al., 2007)</w:t>
      </w:r>
      <w:r w:rsidR="00A83476">
        <w:rPr>
          <w:rFonts w:ascii="Times New Roman" w:hAnsi="Times New Roman" w:cs="Times New Roman"/>
        </w:rPr>
        <w:fldChar w:fldCharType="end"/>
      </w:r>
      <w:r w:rsidR="00B60B23">
        <w:rPr>
          <w:rFonts w:ascii="Times New Roman" w:hAnsi="Times New Roman" w:cs="Times New Roman"/>
        </w:rPr>
        <w:t>.</w:t>
      </w:r>
      <w:r w:rsidR="00A83476">
        <w:rPr>
          <w:rFonts w:ascii="Times New Roman" w:hAnsi="Times New Roman" w:cs="Times New Roman"/>
        </w:rPr>
        <w:t xml:space="preserve"> </w:t>
      </w:r>
      <w:r w:rsidR="00B60B23" w:rsidRPr="001C7D48">
        <w:rPr>
          <w:rFonts w:ascii="Times New Roman" w:hAnsi="Times New Roman" w:cs="Times New Roman"/>
        </w:rPr>
        <w:t xml:space="preserve">Importantly, by reconciling RT and accuracy data in a principled way, the DDM is able to </w:t>
      </w:r>
      <w:r w:rsidR="00B60B23" w:rsidRPr="00EF2D5C">
        <w:rPr>
          <w:rFonts w:ascii="Times New Roman" w:hAnsi="Times New Roman" w:cs="Times New Roman"/>
        </w:rPr>
        <w:t xml:space="preserve">decompose raw behavioural data into decision parameters that represent the underlying cognitive components of decision-making </w:t>
      </w:r>
      <w:r w:rsidR="00B60B23" w:rsidRPr="00EF2D5C">
        <w:rPr>
          <w:rFonts w:ascii="Times New Roman" w:hAnsi="Times New Roman" w:cs="Times New Roman"/>
        </w:rPr>
        <w:fldChar w:fldCharType="begin"/>
      </w:r>
      <w:r w:rsidR="00B60B23" w:rsidRPr="00EF2D5C">
        <w:rPr>
          <w:rFonts w:ascii="Times New Roman" w:hAnsi="Times New Roman" w:cs="Times New Roman"/>
        </w:rPr>
        <w:instrText xml:space="preserve"> ADDIN ZOTERO_ITEM CSL_CITATION {"citationID":"75C6LWo7","properties":{"formattedCitation":"(Evans &amp; Wagenmakers, 2019)","plainCitation":"(Evans &amp; Wagenmakers, 2019)","noteIndex":0},"citationItems":[{"id":1705,"uris":["http://zotero.org/users/7873587/items/YPNXDY2X"],"itemData":{"id":1705,"type":"article-journal","abstract":"This scientific commentary refers to ‘The ease and sureness of a decision: evidence accumulation of conflict and uncertainty’, by Mandali et al. (doi:10.1093/brain/awz013).One of the most dominant models of human decision-making over the past decades has been the diffusion model (Ratcliff, 1978; Ratcliff et al., 2016). However, the diffusion model may not be familiar to all readers of Brain, as the model has primarily been applied within the field of cognitive psychology. The diffusion model proposes that decision-making results from an internal process of sequential evidence accumulation, where each potential choice alternative accumulates evidence from the environment over time, until the evidence for one alternative reaches some threshold level of evidence that triggers a decision. Importantly, the diffusion model can decompose the accuracy and time taken for each decision into latent parameters from the underlying decision-making process, most notably drift rate, decision threshold, and non-decision time. The drift rate parameter is the rate of evidence accumulation, with faster accumulation indicating better ability. The decision threshold parameter is the amount of evidence required to trigger a decision, with higher decision thresholds indicating greater caution. The non-decision time parameter represents the time taken up by processes such as perceptual encoding and motor responding. These latent parameters allow researchers to directly assess changes in the components of the underlying cognitive process, rather than attempting to indirectly infer changes from the raw observed variables, such as accuracy and mean response time. A schematic overview of the diffusion model is provided in Fig. 1.","container-title":"Brain","DOI":"10.1093/brain/awz073","ISSN":"0006-8950","issue":"5","journalAbbreviation":"Brain","page":"1172-1175","source":"Silverchair","title":"Theoretically meaningful models can answer clinically relevant questions","volume":"142","author":[{"family":"Evans","given":"Nathan J"},{"family":"Wagenmakers","given":"Eric-Jan"}],"issued":{"date-parts":[["2019",5,1]]}}}],"schema":"https://github.com/citation-style-language/schema/raw/master/csl-citation.json"} </w:instrText>
      </w:r>
      <w:r w:rsidR="00B60B23" w:rsidRPr="00EF2D5C">
        <w:rPr>
          <w:rFonts w:ascii="Times New Roman" w:hAnsi="Times New Roman" w:cs="Times New Roman"/>
        </w:rPr>
        <w:fldChar w:fldCharType="separate"/>
      </w:r>
      <w:r w:rsidR="00B60B23" w:rsidRPr="00EF2D5C">
        <w:rPr>
          <w:rFonts w:ascii="Times New Roman" w:hAnsi="Times New Roman" w:cs="Times New Roman"/>
        </w:rPr>
        <w:t>(Evans &amp; Wagenmakers, 2019)</w:t>
      </w:r>
      <w:r w:rsidR="00B60B23" w:rsidRPr="00EF2D5C">
        <w:rPr>
          <w:rFonts w:ascii="Times New Roman" w:hAnsi="Times New Roman" w:cs="Times New Roman"/>
        </w:rPr>
        <w:fldChar w:fldCharType="end"/>
      </w:r>
      <w:r w:rsidR="00B60B23" w:rsidRPr="00EF2D5C">
        <w:rPr>
          <w:rFonts w:ascii="Times New Roman" w:hAnsi="Times New Roman" w:cs="Times New Roman"/>
        </w:rPr>
        <w:t>.</w:t>
      </w:r>
    </w:p>
    <w:p w14:paraId="06DEFA99" w14:textId="77777777" w:rsidR="001C7D48" w:rsidRPr="001C7D48" w:rsidRDefault="001C7D48" w:rsidP="001C7D48">
      <w:pPr>
        <w:pStyle w:val="NoSpacing"/>
        <w:spacing w:line="480" w:lineRule="auto"/>
        <w:rPr>
          <w:rFonts w:ascii="Times New Roman" w:hAnsi="Times New Roman" w:cs="Times New Roman"/>
        </w:rPr>
      </w:pPr>
    </w:p>
    <w:p w14:paraId="3340869D" w14:textId="7AAA1C6B" w:rsidR="001C7D48" w:rsidRPr="001C7D48" w:rsidRDefault="001C7D48" w:rsidP="00EF2D5C">
      <w:pPr>
        <w:pStyle w:val="NoSpacing"/>
        <w:spacing w:line="480" w:lineRule="auto"/>
        <w:rPr>
          <w:rFonts w:ascii="Times New Roman" w:hAnsi="Times New Roman" w:cs="Times New Roman"/>
        </w:rPr>
      </w:pPr>
      <w:bookmarkStart w:id="172" w:name="_heading=h.3dy6vkm" w:colFirst="0" w:colLast="0"/>
      <w:bookmarkEnd w:id="172"/>
      <w:r w:rsidRPr="001C7D48">
        <w:rPr>
          <w:rFonts w:ascii="Times New Roman" w:hAnsi="Times New Roman" w:cs="Times New Roman"/>
        </w:rPr>
        <w:t xml:space="preserve">VBDM was recently extended by </w:t>
      </w:r>
      <w:r w:rsidR="003124B0">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{"citationID":"jI6V1C4I","properties":{"formattedCitation":"(Field,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3124B0">
        <w:rPr>
          <w:rFonts w:ascii="Times New Roman" w:hAnsi="Times New Roman" w:cs="Times New Roman"/>
        </w:rPr>
        <w:fldChar w:fldCharType="separate"/>
      </w:r>
      <w:r w:rsidR="003124B0" w:rsidRPr="003124B0">
        <w:rPr>
          <w:rFonts w:ascii="Times New Roman" w:hAnsi="Times New Roman" w:cs="Times New Roman"/>
        </w:rPr>
        <w:t xml:space="preserve">Field, Heather, et al. </w:t>
      </w:r>
      <w:r w:rsidR="003124B0">
        <w:rPr>
          <w:rFonts w:ascii="Times New Roman" w:hAnsi="Times New Roman" w:cs="Times New Roman"/>
        </w:rPr>
        <w:t>(</w:t>
      </w:r>
      <w:r w:rsidR="003124B0" w:rsidRPr="003124B0">
        <w:rPr>
          <w:rFonts w:ascii="Times New Roman" w:hAnsi="Times New Roman" w:cs="Times New Roman"/>
        </w:rPr>
        <w:t>2020)</w:t>
      </w:r>
      <w:r w:rsidR="003124B0">
        <w:rPr>
          <w:rFonts w:ascii="Times New Roman" w:hAnsi="Times New Roman" w:cs="Times New Roman"/>
        </w:rPr>
        <w:fldChar w:fldCharType="end"/>
      </w:r>
      <w:r w:rsidRPr="001C7D48">
        <w:rPr>
          <w:rFonts w:ascii="Times New Roman" w:hAnsi="Times New Roman" w:cs="Times New Roman"/>
        </w:rPr>
        <w:t xml:space="preserve"> to recovery from addiction. The authors propose three main hypotheses about recovery—inspired by Berkman et al.'s (2017) VBDM framework and informed by existing behavioural economic</w:t>
      </w:r>
      <w:r w:rsidR="00EF2D5C">
        <w:rPr>
          <w:rFonts w:ascii="Times New Roman" w:hAnsi="Times New Roman" w:cs="Times New Roman"/>
        </w:rPr>
        <w:t xml:space="preserve"> research</w:t>
      </w:r>
      <w:r w:rsidRPr="001C7D48">
        <w:rPr>
          <w:rFonts w:ascii="Times New Roman" w:hAnsi="Times New Roman" w:cs="Times New Roman"/>
        </w:rPr>
        <w:t xml:space="preserve"> </w:t>
      </w:r>
      <w:r w:rsidR="00EF2D5C">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{"citationID":"eI5wlHf4","properties":{"formattedCitation":"(Bickel et al., 2014; Murphy, MacKillop, et al., 2012)","plainCitation":"(Bickel et al., 2014; Murphy, MacKillop, et al., 2012)","noteIndex":0},"citationItems":[{"id":816,"uris":["http://zotero.org/users/7873587/items/R9KVGRWU"],"itemData":{"id":816,"type":"article-journal","abstract":"The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T."},{"family":"Rotgers.","given":"Frederick"}],"issued":{"date-parts":[["2012"]]}},"label":"act"}],"schema":"https://github.com/citation-style-language/schema/raw/master/csl-citation.json"} </w:instrText>
      </w:r>
      <w:r w:rsidR="00EF2D5C">
        <w:rPr>
          <w:rFonts w:ascii="Times New Roman" w:hAnsi="Times New Roman" w:cs="Times New Roman"/>
        </w:rPr>
        <w:fldChar w:fldCharType="separate"/>
      </w:r>
      <w:r w:rsidR="00EF2D5C" w:rsidRPr="00EF2D5C">
        <w:rPr>
          <w:rFonts w:ascii="Times New Roman" w:hAnsi="Times New Roman" w:cs="Times New Roman"/>
        </w:rPr>
        <w:t>(Bickel et al., 2014; Murphy, MacKillop, et al., 2012)</w:t>
      </w:r>
      <w:r w:rsidR="00EF2D5C">
        <w:rPr>
          <w:rFonts w:ascii="Times New Roman" w:hAnsi="Times New Roman" w:cs="Times New Roman"/>
        </w:rPr>
        <w:fldChar w:fldCharType="end"/>
      </w:r>
      <w:r w:rsidRPr="001C7D48">
        <w:rPr>
          <w:rFonts w:ascii="Times New Roman" w:hAnsi="Times New Roman" w:cs="Times New Roman"/>
        </w:rPr>
        <w:t>. These hypotheses are that recovery is characterised by the following</w:t>
      </w:r>
      <w:r w:rsidR="00B67291">
        <w:rPr>
          <w:rFonts w:ascii="Times New Roman" w:hAnsi="Times New Roman" w:cs="Times New Roman"/>
        </w:rPr>
        <w:t>,</w:t>
      </w:r>
      <w:r w:rsidRPr="001C7D48">
        <w:rPr>
          <w:rFonts w:ascii="Times New Roman" w:hAnsi="Times New Roman" w:cs="Times New Roman"/>
        </w:rPr>
        <w:t xml:space="preserve"> either in combination or isolation: 1) amplified EA rates for substance-free alternatives, 2) suppressed EA rates for substances, and 3) increased response threshold</w:t>
      </w:r>
      <w:r w:rsidR="00B67291">
        <w:rPr>
          <w:rFonts w:ascii="Times New Roman" w:hAnsi="Times New Roman" w:cs="Times New Roman"/>
        </w:rPr>
        <w:t>s</w:t>
      </w:r>
      <w:r w:rsidRPr="001C7D48">
        <w:rPr>
          <w:rFonts w:ascii="Times New Roman" w:hAnsi="Times New Roman" w:cs="Times New Roman"/>
        </w:rPr>
        <w:t xml:space="preserve"> when making substance-related choices. Therefore, </w:t>
      </w:r>
      <w:r w:rsidR="00EF2D5C">
        <w:rPr>
          <w:rFonts w:ascii="Times New Roman" w:hAnsi="Times New Roman" w:cs="Times New Roman"/>
        </w:rPr>
        <w:t xml:space="preserve">according to this conceptual account </w:t>
      </w:r>
      <w:r w:rsidRPr="001C7D48">
        <w:rPr>
          <w:rFonts w:ascii="Times New Roman" w:hAnsi="Times New Roman" w:cs="Times New Roman"/>
        </w:rPr>
        <w:t xml:space="preserve">the underlying mechanisms by which valuation exerts its effects may be shifts in the internal processes that precede decision-making: specifically, alterations in response thresholds and EA rates. However, this has not yet been explored. </w:t>
      </w:r>
    </w:p>
    <w:p w14:paraId="4D79165E" w14:textId="77777777" w:rsidR="001C7D48" w:rsidRPr="001C7D48" w:rsidRDefault="001C7D48" w:rsidP="001C7D48">
      <w:pPr>
        <w:pStyle w:val="NoSpacing"/>
        <w:spacing w:line="480" w:lineRule="auto"/>
        <w:rPr>
          <w:rFonts w:ascii="Times New Roman" w:hAnsi="Times New Roman" w:cs="Times New Roman"/>
        </w:rPr>
      </w:pPr>
    </w:p>
    <w:p w14:paraId="7998DA40" w14:textId="560ED825" w:rsidR="001C7D48" w:rsidRPr="001C7D48" w:rsidRDefault="001C7D48" w:rsidP="001C7D48">
      <w:pPr>
        <w:pStyle w:val="NoSpacing"/>
        <w:spacing w:line="480" w:lineRule="auto"/>
        <w:rPr>
          <w:rFonts w:ascii="Times New Roman" w:hAnsi="Times New Roman" w:cs="Times New Roman"/>
        </w:rPr>
      </w:pPr>
      <w:bookmarkStart w:id="173" w:name="_heading=h.1t3h5sf" w:colFirst="0" w:colLast="0"/>
      <w:bookmarkEnd w:id="173"/>
      <w:r w:rsidRPr="001C7D48">
        <w:rPr>
          <w:rFonts w:ascii="Times New Roman" w:hAnsi="Times New Roman" w:cs="Times New Roman"/>
        </w:rPr>
        <w:t>This study investigated whether experimental manipulation of alcohol value alters the recovered parameters of VBDM in regular alcohol consumers. To achieve this, the DDM was fitted to RT and error data from a VBDM task in two different experimental conditions: an alcohol valuation condition and an alcohol devaluation condition. Design, hypothesis, and analysis strategy were pre-registered before data collection commenced (</w:t>
      </w:r>
      <w:hyperlink r:id="rId32">
        <w:r w:rsidRPr="001C7D48">
          <w:rPr>
            <w:rStyle w:val="Hyperlink"/>
            <w:rFonts w:ascii="Times New Roman" w:hAnsi="Times New Roman" w:cs="Times New Roman"/>
          </w:rPr>
          <w:t>http://aspredicted.org/blind.php?x=fp9z36</w:t>
        </w:r>
      </w:hyperlink>
      <w:r w:rsidRPr="001C7D48">
        <w:rPr>
          <w:rFonts w:ascii="Times New Roman" w:hAnsi="Times New Roman" w:cs="Times New Roman"/>
        </w:rPr>
        <w:t>). It was hypothesised that:</w:t>
      </w:r>
    </w:p>
    <w:p w14:paraId="77F9B478" w14:textId="23827F8B" w:rsidR="001C7D48" w:rsidRPr="001C7D48" w:rsidRDefault="001C7D48" w:rsidP="001C7D48">
      <w:pPr>
        <w:pStyle w:val="NoSpacing"/>
        <w:numPr>
          <w:ilvl w:val="0"/>
          <w:numId w:val="10"/>
        </w:numPr>
        <w:spacing w:line="480" w:lineRule="auto"/>
        <w:rPr>
          <w:rFonts w:ascii="Times New Roman" w:hAnsi="Times New Roman" w:cs="Times New Roman"/>
        </w:rPr>
      </w:pPr>
      <w:bookmarkStart w:id="174" w:name="_Hlk108019955"/>
      <w:r w:rsidRPr="001C7D48">
        <w:rPr>
          <w:rFonts w:ascii="Times New Roman" w:hAnsi="Times New Roman" w:cs="Times New Roman"/>
        </w:rPr>
        <w:lastRenderedPageBreak/>
        <w:t>When participants are primed to value alcohol, they will have increased EA rates and lower response thresholds when choosing between alcohol images compared to when choosing between soft</w:t>
      </w:r>
      <w:r w:rsidR="00BA1F0E">
        <w:rPr>
          <w:rFonts w:ascii="Times New Roman" w:hAnsi="Times New Roman" w:cs="Times New Roman"/>
        </w:rPr>
        <w:t xml:space="preserve"> </w:t>
      </w:r>
      <w:r w:rsidRPr="001C7D48">
        <w:rPr>
          <w:rFonts w:ascii="Times New Roman" w:hAnsi="Times New Roman" w:cs="Times New Roman"/>
        </w:rPr>
        <w:t>drink images.</w:t>
      </w:r>
    </w:p>
    <w:p w14:paraId="418D5D19" w14:textId="6D660450" w:rsidR="001C7D48" w:rsidRPr="001C7D48" w:rsidRDefault="001C7D48" w:rsidP="001C7D48">
      <w:pPr>
        <w:pStyle w:val="NoSpacing"/>
        <w:numPr>
          <w:ilvl w:val="0"/>
          <w:numId w:val="10"/>
        </w:numPr>
        <w:spacing w:line="480" w:lineRule="auto"/>
        <w:rPr>
          <w:rFonts w:ascii="Times New Roman" w:hAnsi="Times New Roman" w:cs="Times New Roman"/>
        </w:rPr>
      </w:pPr>
      <w:bookmarkStart w:id="175" w:name="_Hlk108019981"/>
      <w:bookmarkEnd w:id="174"/>
      <w:r w:rsidRPr="001C7D48">
        <w:rPr>
          <w:rFonts w:ascii="Times New Roman" w:hAnsi="Times New Roman" w:cs="Times New Roman"/>
        </w:rPr>
        <w:t>When participants are primed to devalue alcohol, they will have increased EA rates and lower response thresholds when choosing between soft</w:t>
      </w:r>
      <w:r w:rsidR="00BA1F0E">
        <w:rPr>
          <w:rFonts w:ascii="Times New Roman" w:hAnsi="Times New Roman" w:cs="Times New Roman"/>
        </w:rPr>
        <w:t xml:space="preserve"> </w:t>
      </w:r>
      <w:r w:rsidRPr="001C7D48">
        <w:rPr>
          <w:rFonts w:ascii="Times New Roman" w:hAnsi="Times New Roman" w:cs="Times New Roman"/>
        </w:rPr>
        <w:t>drink images compared to when choosing between alcohol images.</w:t>
      </w:r>
    </w:p>
    <w:bookmarkEnd w:id="175"/>
    <w:p w14:paraId="67396B83" w14:textId="77777777" w:rsidR="001C7D48" w:rsidRPr="001C7D48" w:rsidRDefault="001C7D48" w:rsidP="001C7D48">
      <w:pPr>
        <w:pStyle w:val="NoSpacing"/>
        <w:numPr>
          <w:ilvl w:val="0"/>
          <w:numId w:val="10"/>
        </w:numPr>
        <w:spacing w:line="480" w:lineRule="auto"/>
        <w:rPr>
          <w:rFonts w:ascii="Times New Roman" w:hAnsi="Times New Roman" w:cs="Times New Roman"/>
        </w:rPr>
      </w:pPr>
      <w:r w:rsidRPr="001C7D48">
        <w:rPr>
          <w:rFonts w:ascii="Times New Roman" w:hAnsi="Times New Roman" w:cs="Times New Roman"/>
        </w:rPr>
        <w:t>When participants are choosing between alcohol images, they will have increased EA rates and lower response thresholds when primed to value alcohol compared to when primed to devalue alcohol.</w:t>
      </w:r>
    </w:p>
    <w:p w14:paraId="20DE5BDB" w14:textId="58422C6B" w:rsidR="001C7D48" w:rsidRDefault="001C7D48" w:rsidP="001C7D48">
      <w:pPr>
        <w:pStyle w:val="NoSpacing"/>
        <w:numPr>
          <w:ilvl w:val="0"/>
          <w:numId w:val="10"/>
        </w:numPr>
        <w:spacing w:line="480" w:lineRule="auto"/>
        <w:rPr>
          <w:rFonts w:ascii="Times New Roman" w:hAnsi="Times New Roman" w:cs="Times New Roman"/>
        </w:rPr>
      </w:pPr>
      <w:r w:rsidRPr="001C7D48">
        <w:rPr>
          <w:rFonts w:ascii="Times New Roman" w:hAnsi="Times New Roman" w:cs="Times New Roman"/>
        </w:rPr>
        <w:t>When participants are choosing between soft</w:t>
      </w:r>
      <w:r w:rsidR="00BA1F0E">
        <w:rPr>
          <w:rFonts w:ascii="Times New Roman" w:hAnsi="Times New Roman" w:cs="Times New Roman"/>
        </w:rPr>
        <w:t xml:space="preserve"> </w:t>
      </w:r>
      <w:r w:rsidRPr="001C7D48">
        <w:rPr>
          <w:rFonts w:ascii="Times New Roman" w:hAnsi="Times New Roman" w:cs="Times New Roman"/>
        </w:rPr>
        <w:t>drink images, they will have increased EA rates and lower response thresholds when primed to devalue alcohol compared to when primed to value alcohol.</w:t>
      </w:r>
    </w:p>
    <w:p w14:paraId="72820CC2" w14:textId="77777777" w:rsidR="001C7D48" w:rsidRPr="001C7D48" w:rsidRDefault="001C7D48" w:rsidP="001C7D48">
      <w:pPr>
        <w:pStyle w:val="NoSpacing"/>
      </w:pPr>
    </w:p>
    <w:p w14:paraId="11BB6827" w14:textId="5AF81928" w:rsidR="00093B56" w:rsidRDefault="003124B0" w:rsidP="003124B0">
      <w:pPr>
        <w:pStyle w:val="Heading4"/>
      </w:pPr>
      <w:bookmarkStart w:id="176" w:name="_Toc110629058"/>
      <w:bookmarkStart w:id="177" w:name="_Toc110870966"/>
      <w:r>
        <w:t>4.2. Method</w:t>
      </w:r>
      <w:bookmarkEnd w:id="176"/>
      <w:bookmarkEnd w:id="177"/>
    </w:p>
    <w:p w14:paraId="061CACA6" w14:textId="77777777" w:rsidR="007B2473" w:rsidRPr="007B2473" w:rsidRDefault="007B2473" w:rsidP="007B2473">
      <w:pPr>
        <w:pStyle w:val="NoSpacing"/>
        <w:spacing w:line="480" w:lineRule="auto"/>
        <w:rPr>
          <w:rFonts w:ascii="Times New Roman" w:hAnsi="Times New Roman" w:cs="Times New Roman"/>
          <w:b/>
        </w:rPr>
      </w:pPr>
      <w:r w:rsidRPr="007B2473">
        <w:rPr>
          <w:rFonts w:ascii="Times New Roman" w:hAnsi="Times New Roman" w:cs="Times New Roman"/>
          <w:b/>
        </w:rPr>
        <w:t>Design</w:t>
      </w:r>
    </w:p>
    <w:p w14:paraId="151813FB" w14:textId="7D6068B0" w:rsidR="007B2473" w:rsidRPr="007B2473" w:rsidRDefault="007B2473" w:rsidP="007B2473">
      <w:pPr>
        <w:pStyle w:val="NoSpacing"/>
        <w:spacing w:line="480" w:lineRule="auto"/>
        <w:rPr>
          <w:rFonts w:ascii="Times New Roman" w:hAnsi="Times New Roman" w:cs="Times New Roman"/>
        </w:rPr>
      </w:pPr>
      <w:r w:rsidRPr="005A20BE">
        <w:rPr>
          <w:rFonts w:ascii="Times New Roman" w:hAnsi="Times New Roman" w:cs="Times New Roman"/>
        </w:rPr>
        <w:t>Pre-registered e</w:t>
      </w:r>
      <w:r w:rsidRPr="007B2473">
        <w:rPr>
          <w:rFonts w:ascii="Times New Roman" w:hAnsi="Times New Roman" w:cs="Times New Roman"/>
        </w:rPr>
        <w:t xml:space="preserve">xperimental within-subject design. Dependent variables were EA rates and response thresholds (estimated by applying a DDM to reaction time and error data during the VBDM task). Independent variables were </w:t>
      </w:r>
      <w:bookmarkStart w:id="178" w:name="_Hlk108002722"/>
      <w:r w:rsidRPr="007B2473">
        <w:rPr>
          <w:rFonts w:ascii="Times New Roman" w:hAnsi="Times New Roman" w:cs="Times New Roman"/>
        </w:rPr>
        <w:t>experimental manipulation condition (alcohol valuation and alcohol devaluation)</w:t>
      </w:r>
      <w:bookmarkEnd w:id="178"/>
      <w:r w:rsidRPr="007B2473">
        <w:rPr>
          <w:rFonts w:ascii="Times New Roman" w:hAnsi="Times New Roman" w:cs="Times New Roman"/>
        </w:rPr>
        <w:t>, and image type (alcohol images and soft</w:t>
      </w:r>
      <w:r w:rsidRPr="005A20BE">
        <w:rPr>
          <w:rFonts w:ascii="Times New Roman" w:hAnsi="Times New Roman" w:cs="Times New Roman"/>
        </w:rPr>
        <w:t xml:space="preserve"> </w:t>
      </w:r>
      <w:r w:rsidRPr="007B2473">
        <w:rPr>
          <w:rFonts w:ascii="Times New Roman" w:hAnsi="Times New Roman" w:cs="Times New Roman"/>
        </w:rPr>
        <w:t xml:space="preserve">drink (control) images). An </w:t>
      </w:r>
      <w:r w:rsidRPr="007B2473">
        <w:rPr>
          <w:rFonts w:ascii="Times New Roman" w:hAnsi="Times New Roman" w:cs="Times New Roman"/>
          <w:i/>
          <w:iCs/>
        </w:rPr>
        <w:t xml:space="preserve">a priori </w:t>
      </w:r>
      <w:r w:rsidRPr="007B2473">
        <w:rPr>
          <w:rFonts w:ascii="Times New Roman" w:hAnsi="Times New Roman" w:cs="Times New Roman"/>
        </w:rPr>
        <w:t>power analysis conducted on G*power (</w:t>
      </w:r>
      <w:proofErr w:type="spellStart"/>
      <w:r w:rsidRPr="007B2473">
        <w:rPr>
          <w:rFonts w:ascii="Times New Roman" w:hAnsi="Times New Roman" w:cs="Times New Roman"/>
        </w:rPr>
        <w:t>Faul</w:t>
      </w:r>
      <w:proofErr w:type="spellEnd"/>
      <w:r w:rsidRPr="007B2473">
        <w:rPr>
          <w:rFonts w:ascii="Times New Roman" w:hAnsi="Times New Roman" w:cs="Times New Roman"/>
        </w:rPr>
        <w:t xml:space="preserve"> et al., 2007) revealed that to detect a difference between two dependent groups with a medium effect (</w:t>
      </w:r>
      <w:r w:rsidRPr="007B2473">
        <w:rPr>
          <w:rFonts w:ascii="Times New Roman" w:hAnsi="Times New Roman" w:cs="Times New Roman"/>
          <w:i/>
          <w:iCs/>
        </w:rPr>
        <w:t>d</w:t>
      </w:r>
      <w:r w:rsidRPr="007B2473">
        <w:rPr>
          <w:rFonts w:ascii="Times New Roman" w:hAnsi="Times New Roman" w:cs="Times New Roman"/>
        </w:rPr>
        <w:t xml:space="preserve"> = 0.5; Cohen, 1988), at 90% power with an alpha of 0.05, a sample size of at least 36 volunteers was required.</w:t>
      </w:r>
    </w:p>
    <w:p w14:paraId="57C33616" w14:textId="77777777" w:rsidR="007B2473" w:rsidRPr="007B2473" w:rsidRDefault="007B2473" w:rsidP="007B2473">
      <w:pPr>
        <w:pStyle w:val="NoSpacing"/>
        <w:spacing w:line="480" w:lineRule="auto"/>
        <w:rPr>
          <w:rFonts w:ascii="Times New Roman" w:hAnsi="Times New Roman" w:cs="Times New Roman"/>
        </w:rPr>
      </w:pPr>
    </w:p>
    <w:p w14:paraId="76FEC2C7" w14:textId="77777777" w:rsidR="007B2473" w:rsidRPr="007B2473" w:rsidRDefault="007B2473" w:rsidP="007B2473">
      <w:pPr>
        <w:pStyle w:val="NoSpacing"/>
        <w:spacing w:line="480" w:lineRule="auto"/>
        <w:rPr>
          <w:rFonts w:ascii="Times New Roman" w:hAnsi="Times New Roman" w:cs="Times New Roman"/>
          <w:b/>
        </w:rPr>
      </w:pPr>
      <w:r w:rsidRPr="007B2473">
        <w:rPr>
          <w:rFonts w:ascii="Times New Roman" w:hAnsi="Times New Roman" w:cs="Times New Roman"/>
          <w:b/>
        </w:rPr>
        <w:t>Participants</w:t>
      </w:r>
    </w:p>
    <w:p w14:paraId="26337483" w14:textId="6D847E61" w:rsidR="007B2473" w:rsidRPr="005A20BE" w:rsidRDefault="007B2473" w:rsidP="007B2473">
      <w:pPr>
        <w:pStyle w:val="NoSpacing"/>
        <w:spacing w:line="480" w:lineRule="auto"/>
        <w:rPr>
          <w:rFonts w:ascii="Times New Roman" w:hAnsi="Times New Roman" w:cs="Times New Roman"/>
        </w:rPr>
      </w:pPr>
      <w:r w:rsidRPr="007B2473">
        <w:rPr>
          <w:rFonts w:ascii="Times New Roman" w:hAnsi="Times New Roman" w:cs="Times New Roman"/>
        </w:rPr>
        <w:lastRenderedPageBreak/>
        <w:t xml:space="preserve">Thirty-six regular alcohol consumers </w:t>
      </w:r>
      <w:r w:rsidR="005A20BE">
        <w:rPr>
          <w:rFonts w:ascii="Times New Roman" w:hAnsi="Times New Roman" w:cs="Times New Roman"/>
        </w:rPr>
        <w:t xml:space="preserve">were recruited </w:t>
      </w:r>
      <w:r w:rsidRPr="007B2473">
        <w:rPr>
          <w:rFonts w:ascii="Times New Roman" w:hAnsi="Times New Roman" w:cs="Times New Roman"/>
        </w:rPr>
        <w:t xml:space="preserve">to attend the laboratory through social media platforms (Facebook and Twitter) and the online research participation system (ORPS) at the University of Sheffield. Ages ranged from 18 to 62 years old (mean age = 26.11, SD = 10.84). Inclusion criteria were consumption of at least 14 UK units of alcohol per week (1 UK unit = 8g of pure alcohol). The 14-unit threshold was chosen because it represents </w:t>
      </w:r>
      <w:r w:rsidRPr="005A20BE">
        <w:rPr>
          <w:rFonts w:ascii="Times New Roman" w:hAnsi="Times New Roman" w:cs="Times New Roman"/>
        </w:rPr>
        <w:t>alcohol consumption levels that exceed the</w:t>
      </w:r>
      <w:r w:rsidRPr="007B2473">
        <w:rPr>
          <w:rFonts w:ascii="Times New Roman" w:hAnsi="Times New Roman" w:cs="Times New Roman"/>
        </w:rPr>
        <w:t xml:space="preserve"> “low-risk” weekly drinking guideline</w:t>
      </w:r>
      <w:r w:rsidR="005A20BE">
        <w:rPr>
          <w:rFonts w:ascii="Times New Roman" w:hAnsi="Times New Roman" w:cs="Times New Roman"/>
        </w:rPr>
        <w:t xml:space="preserve"> </w:t>
      </w:r>
      <w:r w:rsidRPr="007B2473">
        <w:rPr>
          <w:rFonts w:ascii="Times New Roman" w:hAnsi="Times New Roman" w:cs="Times New Roman"/>
        </w:rPr>
        <w:t xml:space="preserve">recommended by the UK Government </w:t>
      </w:r>
      <w:r w:rsidRPr="005A20BE">
        <w:rPr>
          <w:rFonts w:ascii="Times New Roman" w:hAnsi="Times New Roman" w:cs="Times New Roman"/>
        </w:rPr>
        <w:fldChar w:fldCharType="begin"/>
      </w:r>
      <w:r w:rsidRPr="005A20BE">
        <w:rPr>
          <w:rFonts w:ascii="Times New Roman" w:hAnsi="Times New Roman" w:cs="Times New Roman"/>
        </w:rPr>
        <w:instrText xml:space="preserve"> ADDIN ZOTERO_ITEM CSL_CITATION {"citationID":"d99H07tZ","properties":{"formattedCitation":"(Department of Health, 2016)","plainCitation":"(Department of Health, 2016)","noteIndex":0},"citationItems":[{"id":763,"uris":["http://zotero.org/users/7873587/items/L6NXVYHD"],"itemData":{"id":763,"type":"report","event-place":"London","publisher":"Department of Health","publisher-place":"London","title":"UK Chief Medical Officers' Low Risk Drinking Guidelines.","URL":"https:// assets.publishing.service.gov.uk/government/uploads/system/uploads/ attachment_data/file/602132/Communicating_2016_CMO_guidelines_Mar_17.pdf","author":[{"literal":"Department of Health"}],"issued":{"date-parts":[["2016"]]}}}],"schema":"https://github.com/citation-style-language/schema/raw/master/csl-citation.json"} </w:instrText>
      </w:r>
      <w:r w:rsidRPr="005A20BE">
        <w:rPr>
          <w:rFonts w:ascii="Times New Roman" w:hAnsi="Times New Roman" w:cs="Times New Roman"/>
        </w:rPr>
        <w:fldChar w:fldCharType="separate"/>
      </w:r>
      <w:r w:rsidRPr="005A20BE">
        <w:rPr>
          <w:rFonts w:ascii="Times New Roman" w:hAnsi="Times New Roman" w:cs="Times New Roman"/>
        </w:rPr>
        <w:t>(Department of Health, 2016)</w:t>
      </w:r>
      <w:r w:rsidRPr="005A20BE">
        <w:rPr>
          <w:rFonts w:ascii="Times New Roman" w:hAnsi="Times New Roman" w:cs="Times New Roman"/>
        </w:rPr>
        <w:fldChar w:fldCharType="end"/>
      </w:r>
      <w:r w:rsidRPr="007B2473">
        <w:rPr>
          <w:rFonts w:ascii="Times New Roman" w:hAnsi="Times New Roman" w:cs="Times New Roman"/>
        </w:rPr>
        <w:t>. The exclusion criterion was history of treatment for alcohol use disorder. The average score on the Alcohol Use Disorders Identification Test (AUDIT) was 13.75 (</w:t>
      </w:r>
      <w:r w:rsidRPr="007B2473">
        <w:rPr>
          <w:rFonts w:ascii="Times New Roman" w:hAnsi="Times New Roman" w:cs="Times New Roman"/>
          <w:iCs/>
        </w:rPr>
        <w:t>SD</w:t>
      </w:r>
      <w:r w:rsidRPr="007B2473">
        <w:rPr>
          <w:rFonts w:ascii="Times New Roman" w:hAnsi="Times New Roman" w:cs="Times New Roman"/>
          <w:i/>
        </w:rPr>
        <w:t xml:space="preserve"> </w:t>
      </w:r>
      <w:r w:rsidRPr="007B2473">
        <w:rPr>
          <w:rFonts w:ascii="Times New Roman" w:hAnsi="Times New Roman" w:cs="Times New Roman"/>
          <w:iCs/>
        </w:rPr>
        <w:t>= 4.80) with 94.44% of participants scoring &gt;7, demonstrating that the sample were indeed hazardous alcohol consumers. The study was approved by the University of Sheffield research ethics committee, and all participants gave informed consent. Recruitment took place between January 2020 and February 2020. Participants were reimbursed with a £10 high-street voucher (or course credits</w:t>
      </w:r>
      <w:r w:rsidRPr="007B2473">
        <w:rPr>
          <w:rFonts w:ascii="Times New Roman" w:hAnsi="Times New Roman" w:cs="Times New Roman"/>
        </w:rPr>
        <w:t xml:space="preserve"> </w:t>
      </w:r>
      <w:r w:rsidRPr="007B2473">
        <w:rPr>
          <w:rFonts w:ascii="Times New Roman" w:hAnsi="Times New Roman" w:cs="Times New Roman"/>
          <w:iCs/>
        </w:rPr>
        <w:t xml:space="preserve">if they </w:t>
      </w:r>
      <w:r w:rsidRPr="005A20BE">
        <w:rPr>
          <w:rFonts w:ascii="Times New Roman" w:hAnsi="Times New Roman" w:cs="Times New Roman"/>
          <w:iCs/>
        </w:rPr>
        <w:t xml:space="preserve">were students who </w:t>
      </w:r>
      <w:r w:rsidRPr="007B2473">
        <w:rPr>
          <w:rFonts w:ascii="Times New Roman" w:hAnsi="Times New Roman" w:cs="Times New Roman"/>
          <w:iCs/>
        </w:rPr>
        <w:t>participated through the ORPS).</w:t>
      </w:r>
    </w:p>
    <w:p w14:paraId="4CC36CD3" w14:textId="77777777" w:rsidR="007B2473" w:rsidRPr="005A20BE" w:rsidRDefault="007B2473" w:rsidP="007B2473">
      <w:pPr>
        <w:pStyle w:val="NoSpacing"/>
        <w:spacing w:line="480" w:lineRule="auto"/>
        <w:rPr>
          <w:rFonts w:ascii="Times New Roman" w:hAnsi="Times New Roman" w:cs="Times New Roman"/>
        </w:rPr>
      </w:pPr>
    </w:p>
    <w:p w14:paraId="261D5311" w14:textId="77777777" w:rsidR="007B2473" w:rsidRPr="005A20BE" w:rsidRDefault="007B2473" w:rsidP="007B2473">
      <w:pPr>
        <w:pStyle w:val="NoSpacing"/>
        <w:spacing w:line="480" w:lineRule="auto"/>
        <w:rPr>
          <w:rFonts w:ascii="Times New Roman" w:hAnsi="Times New Roman" w:cs="Times New Roman"/>
          <w:b/>
          <w:bCs/>
        </w:rPr>
      </w:pPr>
      <w:r w:rsidRPr="005A20BE">
        <w:rPr>
          <w:rFonts w:ascii="Times New Roman" w:hAnsi="Times New Roman" w:cs="Times New Roman"/>
          <w:b/>
          <w:bCs/>
        </w:rPr>
        <w:t>Materials</w:t>
      </w:r>
    </w:p>
    <w:p w14:paraId="3FC4A808" w14:textId="3698FC8C" w:rsidR="007B2473" w:rsidRPr="005A20BE" w:rsidRDefault="007B2473" w:rsidP="007B2473">
      <w:pPr>
        <w:pStyle w:val="NoSpacing"/>
        <w:spacing w:line="480" w:lineRule="auto"/>
        <w:rPr>
          <w:rFonts w:ascii="Times New Roman" w:hAnsi="Times New Roman" w:cs="Times New Roman"/>
          <w:i/>
          <w:iCs/>
        </w:rPr>
      </w:pPr>
      <w:r w:rsidRPr="005A20BE">
        <w:rPr>
          <w:rFonts w:ascii="Times New Roman" w:hAnsi="Times New Roman" w:cs="Times New Roman"/>
          <w:i/>
          <w:iCs/>
        </w:rPr>
        <w:t>Pictorial stimuli</w:t>
      </w:r>
    </w:p>
    <w:p w14:paraId="766F13C5" w14:textId="5277A215" w:rsidR="007B2473" w:rsidRPr="005A20BE" w:rsidRDefault="007B2473" w:rsidP="007B2473">
      <w:pPr>
        <w:pStyle w:val="NoSpacing"/>
        <w:spacing w:line="480" w:lineRule="auto"/>
        <w:rPr>
          <w:rFonts w:ascii="Times New Roman" w:hAnsi="Times New Roman" w:cs="Times New Roman"/>
        </w:rPr>
      </w:pPr>
      <w:r w:rsidRPr="005A20BE">
        <w:rPr>
          <w:rFonts w:ascii="Times New Roman" w:hAnsi="Times New Roman" w:cs="Times New Roman"/>
        </w:rPr>
        <w:t xml:space="preserve">The 35 alcohol and 35 soft drink images were taken from Amsterdam Beverage Picture Set (ABPS: Pronk et al., 2015) and Google. We selected a subsection of images from the ABPS that depicted common brands in English and that only portrayed the drink on a white background (e.g., no glass, tray, or person present in the image). We then </w:t>
      </w:r>
      <w:r w:rsidR="00107EBB" w:rsidRPr="00342E7D">
        <w:rPr>
          <w:rFonts w:ascii="Times New Roman" w:hAnsi="Times New Roman" w:cs="Times New Roman"/>
        </w:rPr>
        <w:t>complemented</w:t>
      </w:r>
      <w:r w:rsidR="00107EBB" w:rsidRPr="005A20BE">
        <w:rPr>
          <w:rFonts w:ascii="Times New Roman" w:hAnsi="Times New Roman" w:cs="Times New Roman"/>
        </w:rPr>
        <w:t xml:space="preserve"> </w:t>
      </w:r>
      <w:r w:rsidRPr="005A20BE">
        <w:rPr>
          <w:rFonts w:ascii="Times New Roman" w:hAnsi="Times New Roman" w:cs="Times New Roman"/>
        </w:rPr>
        <w:t xml:space="preserve">these with images from Google that similarly portrayed common brands of drinks on a white background. This was done to increase the variability of recognisable alcohol (e.g., spirits, beer, wine) and soft drink (e.g., hot drinks, fizzy drinks, smoothies) options and ensure there were images that people would evaluate as high in value (e.g., want to consume a lot), others </w:t>
      </w:r>
      <w:r w:rsidRPr="005A20BE">
        <w:rPr>
          <w:rFonts w:ascii="Times New Roman" w:hAnsi="Times New Roman" w:cs="Times New Roman"/>
        </w:rPr>
        <w:lastRenderedPageBreak/>
        <w:t xml:space="preserve">that were likely to be evaluated as low in value (e.g., not want to consume at all), and others that are in-between. </w:t>
      </w:r>
    </w:p>
    <w:p w14:paraId="1E5656BE" w14:textId="77777777" w:rsidR="007B2473" w:rsidRPr="005A20BE" w:rsidRDefault="007B2473" w:rsidP="007B2473">
      <w:pPr>
        <w:pStyle w:val="NoSpacing"/>
        <w:spacing w:line="480" w:lineRule="auto"/>
        <w:rPr>
          <w:rFonts w:ascii="Times New Roman" w:hAnsi="Times New Roman" w:cs="Times New Roman"/>
        </w:rPr>
      </w:pPr>
    </w:p>
    <w:p w14:paraId="714A7955" w14:textId="77777777" w:rsidR="007B2473" w:rsidRPr="005A20BE" w:rsidRDefault="007B2473" w:rsidP="007B2473">
      <w:pPr>
        <w:pStyle w:val="NoSpacing"/>
        <w:spacing w:line="480" w:lineRule="auto"/>
        <w:rPr>
          <w:rFonts w:ascii="Times New Roman" w:hAnsi="Times New Roman" w:cs="Times New Roman"/>
          <w:i/>
          <w:iCs/>
        </w:rPr>
      </w:pPr>
      <w:r w:rsidRPr="005A20BE">
        <w:rPr>
          <w:rFonts w:ascii="Times New Roman" w:hAnsi="Times New Roman" w:cs="Times New Roman"/>
          <w:i/>
          <w:iCs/>
        </w:rPr>
        <w:t>Video stimuli (experimental manipulation)</w:t>
      </w:r>
    </w:p>
    <w:p w14:paraId="5E34E2A1" w14:textId="77777777" w:rsidR="007B2473" w:rsidRPr="005A20BE" w:rsidRDefault="007B2473" w:rsidP="007B2473">
      <w:pPr>
        <w:pStyle w:val="NoSpacing"/>
        <w:spacing w:line="480" w:lineRule="auto"/>
        <w:rPr>
          <w:rFonts w:ascii="Times New Roman" w:hAnsi="Times New Roman" w:cs="Times New Roman"/>
        </w:rPr>
      </w:pPr>
      <w:bookmarkStart w:id="179" w:name="_heading=h.4d34og8" w:colFirst="0" w:colLast="0"/>
      <w:bookmarkEnd w:id="179"/>
      <w:r w:rsidRPr="005A20BE">
        <w:rPr>
          <w:rFonts w:ascii="Times New Roman" w:hAnsi="Times New Roman" w:cs="Times New Roman"/>
        </w:rPr>
        <w:t>Previously validated videos (Di Lemma et al., 2015) were used to prime participants to 'value' (evoke approach inclinations) and 'devalue' (evoke avoidance inclinations) alcohol. As in Hogarth et al. (2015), we did not include a neutral group because the contrast between two more extreme groups (alcohol valuation versus alcohol devaluation) offered the best strategy to detect an effect. The videos were created in Windows Movie Maker (version 2.6). Each video lasted for 3 minutes and 45 seconds, and participants wore headphones while watching the videos on a Dell computer screen, with a spatial resolution of 1920 x 1080 pixels and a temporal resolution of 60Hz.</w:t>
      </w:r>
    </w:p>
    <w:p w14:paraId="19BAF5E0" w14:textId="77777777" w:rsidR="007B2473" w:rsidRPr="005A20BE" w:rsidRDefault="007B2473" w:rsidP="007B2473">
      <w:pPr>
        <w:pStyle w:val="NoSpacing"/>
        <w:spacing w:line="480" w:lineRule="auto"/>
        <w:rPr>
          <w:rFonts w:ascii="Times New Roman" w:hAnsi="Times New Roman" w:cs="Times New Roman"/>
        </w:rPr>
      </w:pPr>
    </w:p>
    <w:p w14:paraId="6115D30C" w14:textId="68E41294" w:rsidR="007B2473" w:rsidRPr="005A20BE" w:rsidRDefault="007B2473" w:rsidP="007B2473">
      <w:pPr>
        <w:pStyle w:val="NoSpacing"/>
        <w:spacing w:line="480" w:lineRule="auto"/>
        <w:rPr>
          <w:rFonts w:ascii="Times New Roman" w:hAnsi="Times New Roman" w:cs="Times New Roman"/>
        </w:rPr>
      </w:pPr>
      <w:r w:rsidRPr="007B2473">
        <w:rPr>
          <w:rFonts w:ascii="Times New Roman" w:hAnsi="Times New Roman" w:cs="Times New Roman"/>
        </w:rPr>
        <w:t xml:space="preserve">The alcohol-positive video was intended to prime participants to value alcohol (evoke approach inclinations). It comprised of positive images of people having fun whilst consuming alcohol (e.g., partying and playing pool), accompanied by an upbeat soundtrack and slides with text about the positive consequences of consuming alcohol. The alcohol-negative video was intended to prime participants to devalue alcohol (evoke approach inclinations). It comprised of negative images of people consuming alcohol (e.g., vomiting and alcohol-related violence), accompanied by a downbeat soundtrack and slides with text about alcohol-related organ damage and consequences of drink-driving. </w:t>
      </w:r>
    </w:p>
    <w:p w14:paraId="10A9B712" w14:textId="77777777" w:rsidR="007B2473" w:rsidRPr="005A20BE" w:rsidRDefault="007B2473" w:rsidP="007B2473">
      <w:pPr>
        <w:pStyle w:val="NoSpacing"/>
        <w:spacing w:line="480" w:lineRule="auto"/>
        <w:rPr>
          <w:rFonts w:ascii="Times New Roman" w:hAnsi="Times New Roman" w:cs="Times New Roman"/>
        </w:rPr>
      </w:pPr>
    </w:p>
    <w:p w14:paraId="7A20B425" w14:textId="24FB8B25" w:rsidR="007B2473" w:rsidRPr="007B2473" w:rsidRDefault="007B2473" w:rsidP="007B2473">
      <w:pPr>
        <w:pStyle w:val="NoSpacing"/>
        <w:spacing w:line="480" w:lineRule="auto"/>
        <w:rPr>
          <w:rFonts w:ascii="Times New Roman" w:hAnsi="Times New Roman" w:cs="Times New Roman"/>
          <w:i/>
          <w:iCs/>
        </w:rPr>
      </w:pPr>
      <w:r w:rsidRPr="007B2473">
        <w:rPr>
          <w:rFonts w:ascii="Times New Roman" w:hAnsi="Times New Roman" w:cs="Times New Roman"/>
          <w:i/>
          <w:iCs/>
        </w:rPr>
        <w:t>Questionnaires</w:t>
      </w:r>
    </w:p>
    <w:p w14:paraId="53ABDFFC" w14:textId="736310BF" w:rsidR="007B2473" w:rsidRPr="007B2473" w:rsidRDefault="007B2473" w:rsidP="00B74A78">
      <w:pPr>
        <w:pStyle w:val="NoSpacing"/>
        <w:spacing w:line="480" w:lineRule="auto"/>
        <w:rPr>
          <w:rFonts w:ascii="Times New Roman" w:hAnsi="Times New Roman" w:cs="Times New Roman"/>
        </w:rPr>
      </w:pPr>
      <w:bookmarkStart w:id="180" w:name="_heading=h.2s8eyo1" w:colFirst="0" w:colLast="0"/>
      <w:bookmarkEnd w:id="180"/>
      <w:r w:rsidRPr="007B2473">
        <w:rPr>
          <w:rFonts w:ascii="Times New Roman" w:hAnsi="Times New Roman" w:cs="Times New Roman"/>
          <w:i/>
        </w:rPr>
        <w:t>Brief self-control scale</w:t>
      </w:r>
      <w:r w:rsidRPr="007B2473">
        <w:rPr>
          <w:rFonts w:ascii="Times New Roman" w:hAnsi="Times New Roman" w:cs="Times New Roman"/>
        </w:rPr>
        <w:t xml:space="preserve"> (BSCS; Tangney</w:t>
      </w:r>
      <w:r w:rsidR="008D6161">
        <w:rPr>
          <w:rFonts w:ascii="Times New Roman" w:hAnsi="Times New Roman" w:cs="Times New Roman"/>
        </w:rPr>
        <w:t xml:space="preserve"> et al.</w:t>
      </w:r>
      <w:r w:rsidRPr="007B2473">
        <w:rPr>
          <w:rFonts w:ascii="Times New Roman" w:hAnsi="Times New Roman" w:cs="Times New Roman"/>
        </w:rPr>
        <w:t xml:space="preserve">, 2004): This 13-item scale is used to capture the extent to which people feel that they can resist external influences and </w:t>
      </w:r>
      <w:r w:rsidR="00B74A78">
        <w:rPr>
          <w:rFonts w:ascii="Times New Roman" w:hAnsi="Times New Roman" w:cs="Times New Roman"/>
        </w:rPr>
        <w:t xml:space="preserve">exert </w:t>
      </w:r>
      <w:r w:rsidRPr="007B2473">
        <w:rPr>
          <w:rFonts w:ascii="Times New Roman" w:hAnsi="Times New Roman" w:cs="Times New Roman"/>
        </w:rPr>
        <w:t xml:space="preserve">control </w:t>
      </w:r>
      <w:r w:rsidR="00B74A78">
        <w:rPr>
          <w:rFonts w:ascii="Times New Roman" w:hAnsi="Times New Roman" w:cs="Times New Roman"/>
        </w:rPr>
        <w:t xml:space="preserve">over </w:t>
      </w:r>
      <w:r w:rsidRPr="007B2473">
        <w:rPr>
          <w:rFonts w:ascii="Times New Roman" w:hAnsi="Times New Roman" w:cs="Times New Roman"/>
        </w:rPr>
        <w:lastRenderedPageBreak/>
        <w:t>their behaviour, for example “I</w:t>
      </w:r>
      <w:r w:rsidR="00B74A78">
        <w:rPr>
          <w:rFonts w:ascii="Times New Roman" w:hAnsi="Times New Roman" w:cs="Times New Roman"/>
        </w:rPr>
        <w:t xml:space="preserve"> refuse things that are bad for me</w:t>
      </w:r>
      <w:r w:rsidRPr="007B2473">
        <w:rPr>
          <w:rFonts w:ascii="Times New Roman" w:hAnsi="Times New Roman" w:cs="Times New Roman"/>
        </w:rPr>
        <w:t>”. Participants responded on a 1 (not at all like me) to 5 (very much like me) scale. In the current sample, the BSCS had acceptable internal reliability, McDonald’s ω = .81 (McDonald, 1970, 1999)</w:t>
      </w:r>
    </w:p>
    <w:p w14:paraId="03BC99CC" w14:textId="77777777" w:rsidR="007B2473" w:rsidRPr="007B2473" w:rsidRDefault="007B2473" w:rsidP="007B2473">
      <w:pPr>
        <w:pStyle w:val="NoSpacing"/>
        <w:spacing w:line="480" w:lineRule="auto"/>
        <w:rPr>
          <w:rFonts w:ascii="Times New Roman" w:hAnsi="Times New Roman" w:cs="Times New Roman"/>
        </w:rPr>
      </w:pPr>
    </w:p>
    <w:p w14:paraId="7564D304" w14:textId="63127631" w:rsidR="007B2473" w:rsidRPr="007B2473" w:rsidRDefault="007B2473" w:rsidP="007B2473">
      <w:pPr>
        <w:pStyle w:val="NoSpacing"/>
        <w:spacing w:line="480" w:lineRule="auto"/>
        <w:rPr>
          <w:rFonts w:ascii="Times New Roman" w:hAnsi="Times New Roman" w:cs="Times New Roman"/>
          <w:iCs/>
        </w:rPr>
      </w:pPr>
      <w:bookmarkStart w:id="181" w:name="_heading=h.17dp8vu" w:colFirst="0" w:colLast="0"/>
      <w:bookmarkEnd w:id="181"/>
      <w:r w:rsidRPr="007B2473">
        <w:rPr>
          <w:rFonts w:ascii="Times New Roman" w:hAnsi="Times New Roman" w:cs="Times New Roman"/>
          <w:i/>
        </w:rPr>
        <w:t xml:space="preserve">Alcohol Use Disorders Identification Test </w:t>
      </w:r>
      <w:r w:rsidRPr="007B2473">
        <w:rPr>
          <w:rFonts w:ascii="Times New Roman" w:hAnsi="Times New Roman" w:cs="Times New Roman"/>
          <w:iCs/>
        </w:rPr>
        <w:t>(AUDIT; Saunders</w:t>
      </w:r>
      <w:r w:rsidR="005A20BE">
        <w:rPr>
          <w:rFonts w:ascii="Times New Roman" w:hAnsi="Times New Roman" w:cs="Times New Roman"/>
          <w:iCs/>
        </w:rPr>
        <w:t xml:space="preserve"> et al., </w:t>
      </w:r>
      <w:r w:rsidRPr="007B2473">
        <w:rPr>
          <w:rFonts w:ascii="Times New Roman" w:hAnsi="Times New Roman" w:cs="Times New Roman"/>
          <w:iCs/>
        </w:rPr>
        <w:t>1993): The full 10-item AUDIT is used to detect patterns of alcohol consumption that are hazardous to health. Total scores range between 0 and 40, with scores of &gt; 7 indicating hazardous alcohol use. The AUDIT had just under acceptable internal reliability, ω = .64.</w:t>
      </w:r>
    </w:p>
    <w:p w14:paraId="38002B3A" w14:textId="77777777" w:rsidR="007B2473" w:rsidRPr="007B2473" w:rsidRDefault="007B2473" w:rsidP="007B2473">
      <w:pPr>
        <w:pStyle w:val="NoSpacing"/>
        <w:spacing w:line="480" w:lineRule="auto"/>
        <w:rPr>
          <w:rFonts w:ascii="Times New Roman" w:hAnsi="Times New Roman" w:cs="Times New Roman"/>
        </w:rPr>
      </w:pPr>
    </w:p>
    <w:p w14:paraId="798723C3" w14:textId="417A3958" w:rsidR="007B2473" w:rsidRPr="007B2473" w:rsidRDefault="007B2473" w:rsidP="007B2473">
      <w:pPr>
        <w:pStyle w:val="NoSpacing"/>
        <w:spacing w:line="480" w:lineRule="auto"/>
        <w:rPr>
          <w:rFonts w:ascii="Times New Roman" w:hAnsi="Times New Roman" w:cs="Times New Roman"/>
        </w:rPr>
      </w:pPr>
      <w:bookmarkStart w:id="182" w:name="_heading=h.3rdcrjn" w:colFirst="0" w:colLast="0"/>
      <w:bookmarkEnd w:id="182"/>
      <w:r w:rsidRPr="007B2473">
        <w:rPr>
          <w:rFonts w:ascii="Times New Roman" w:hAnsi="Times New Roman" w:cs="Times New Roman"/>
          <w:i/>
        </w:rPr>
        <w:t>Brief Assessment of Alcohol Demand</w:t>
      </w:r>
      <w:r w:rsidRPr="007B2473">
        <w:rPr>
          <w:rFonts w:ascii="Times New Roman" w:hAnsi="Times New Roman" w:cs="Times New Roman"/>
        </w:rPr>
        <w:t xml:space="preserve"> (BAAD; Owens et al., 2015): This 3-item scale was used to measure alcohol demand (intensity, </w:t>
      </w:r>
      <w:proofErr w:type="spellStart"/>
      <w:r w:rsidRPr="00987C08">
        <w:rPr>
          <w:rFonts w:ascii="Times New Roman" w:hAnsi="Times New Roman" w:cs="Times New Roman"/>
        </w:rPr>
        <w:t>O</w:t>
      </w:r>
      <w:r w:rsidRPr="00987C08">
        <w:rPr>
          <w:rFonts w:ascii="Times New Roman" w:hAnsi="Times New Roman" w:cs="Times New Roman"/>
          <w:vertAlign w:val="subscript"/>
        </w:rPr>
        <w:t>max</w:t>
      </w:r>
      <w:proofErr w:type="spellEnd"/>
      <w:r w:rsidRPr="007B2473">
        <w:rPr>
          <w:rFonts w:ascii="Times New Roman" w:hAnsi="Times New Roman" w:cs="Times New Roman"/>
        </w:rPr>
        <w:t>, and breakpoint) by asking participants about their alcohol consumption across a range of escalating price points. The hypothetical scenario presented to participant</w:t>
      </w:r>
      <w:r w:rsidR="00463E60">
        <w:rPr>
          <w:rFonts w:ascii="Times New Roman" w:hAnsi="Times New Roman" w:cs="Times New Roman"/>
        </w:rPr>
        <w:t>s</w:t>
      </w:r>
      <w:r w:rsidRPr="007B2473">
        <w:rPr>
          <w:rFonts w:ascii="Times New Roman" w:hAnsi="Times New Roman" w:cs="Times New Roman"/>
        </w:rPr>
        <w:t xml:space="preserve"> read “Think about a scenario that is typical of your usual drinking behaviour, such as at a bar on a night out with </w:t>
      </w:r>
      <w:proofErr w:type="gramStart"/>
      <w:r w:rsidRPr="007B2473">
        <w:rPr>
          <w:rFonts w:ascii="Times New Roman" w:hAnsi="Times New Roman" w:cs="Times New Roman"/>
        </w:rPr>
        <w:t>friends, or</w:t>
      </w:r>
      <w:proofErr w:type="gramEnd"/>
      <w:r w:rsidRPr="007B2473">
        <w:rPr>
          <w:rFonts w:ascii="Times New Roman" w:hAnsi="Times New Roman" w:cs="Times New Roman"/>
        </w:rPr>
        <w:t xml:space="preserve"> drinking at home. The following questions ask how many drinks you would purchase at various prices. The available drinks are a pint of beer or lager, wine (medium glass), and shots of spirits (25ml) or mixed drinks with one shot of spirits”. Intensity refers to alcohol consumption independent of price and was measured with the question “If drinks were free, how many would you have?” (Responses were multiple choice and ranged from: 0 to 10 drinks). </w:t>
      </w:r>
      <w:proofErr w:type="spellStart"/>
      <w:r w:rsidRPr="004A7333">
        <w:rPr>
          <w:rFonts w:ascii="Times New Roman" w:hAnsi="Times New Roman" w:cs="Times New Roman"/>
        </w:rPr>
        <w:t>O</w:t>
      </w:r>
      <w:r w:rsidRPr="004A7333">
        <w:rPr>
          <w:rFonts w:ascii="Times New Roman" w:hAnsi="Times New Roman" w:cs="Times New Roman"/>
          <w:vertAlign w:val="subscript"/>
        </w:rPr>
        <w:t>max</w:t>
      </w:r>
      <w:proofErr w:type="spellEnd"/>
      <w:r w:rsidRPr="004A7333">
        <w:rPr>
          <w:rFonts w:ascii="Times New Roman" w:hAnsi="Times New Roman" w:cs="Times New Roman"/>
        </w:rPr>
        <w:t xml:space="preserve"> </w:t>
      </w:r>
      <w:r w:rsidRPr="007B2473">
        <w:rPr>
          <w:rFonts w:ascii="Times New Roman" w:hAnsi="Times New Roman" w:cs="Times New Roman"/>
        </w:rPr>
        <w:t xml:space="preserve">refers to the maximum expenditure on alcohol across differing prices, and was measured with the question “What is the maximum total amount you would spend on drinking during that drinking occasion?” (Responses were multiple choice, given in pounds, and ranged from £0 to £30 or more). Breakpoint refers to the first price that suppresses consumption to zero and was measured with the question “What is the maximum you would pay for a single drink?” </w:t>
      </w:r>
      <w:r w:rsidRPr="007B2473">
        <w:rPr>
          <w:rFonts w:ascii="Times New Roman" w:hAnsi="Times New Roman" w:cs="Times New Roman"/>
        </w:rPr>
        <w:lastRenderedPageBreak/>
        <w:t>(Reponses were multiple choice, given in pounds, and ranged from £0 to £15 or more). See Appendix C for the exact price increments that were used in this study.</w:t>
      </w:r>
    </w:p>
    <w:p w14:paraId="5073EBEC" w14:textId="77777777" w:rsidR="007B2473" w:rsidRPr="007B2473" w:rsidRDefault="007B2473" w:rsidP="007B2473">
      <w:pPr>
        <w:pStyle w:val="NoSpacing"/>
        <w:spacing w:line="480" w:lineRule="auto"/>
        <w:rPr>
          <w:rFonts w:ascii="Times New Roman" w:hAnsi="Times New Roman" w:cs="Times New Roman"/>
          <w:i/>
        </w:rPr>
      </w:pPr>
    </w:p>
    <w:p w14:paraId="0A2E8EC9" w14:textId="01040277" w:rsidR="007B2473" w:rsidRPr="007B2473" w:rsidRDefault="007B2473" w:rsidP="00946E33">
      <w:pPr>
        <w:pStyle w:val="NoSpacing"/>
        <w:spacing w:line="480" w:lineRule="auto"/>
        <w:rPr>
          <w:rFonts w:ascii="Times New Roman" w:hAnsi="Times New Roman" w:cs="Times New Roman"/>
          <w:i/>
        </w:rPr>
      </w:pPr>
      <w:bookmarkStart w:id="183" w:name="_heading=h.26in1rg" w:colFirst="0" w:colLast="0"/>
      <w:bookmarkEnd w:id="183"/>
      <w:r w:rsidRPr="007B2473">
        <w:rPr>
          <w:rFonts w:ascii="Times New Roman" w:hAnsi="Times New Roman" w:cs="Times New Roman"/>
          <w:i/>
        </w:rPr>
        <w:t xml:space="preserve">Approach and Avoidance of Alcohol Questionnaire, Right Now Version </w:t>
      </w:r>
      <w:r w:rsidRPr="007B2473">
        <w:rPr>
          <w:rFonts w:ascii="Times New Roman" w:hAnsi="Times New Roman" w:cs="Times New Roman"/>
          <w:iCs/>
        </w:rPr>
        <w:t xml:space="preserve">(AAAQ; </w:t>
      </w:r>
      <w:r w:rsidR="00946E33">
        <w:rPr>
          <w:rFonts w:ascii="Times New Roman" w:hAnsi="Times New Roman" w:cs="Times New Roman"/>
          <w:iCs/>
        </w:rPr>
        <w:fldChar w:fldCharType="begin"/>
      </w:r>
      <w:r w:rsidR="00996CF6">
        <w:rPr>
          <w:rFonts w:ascii="Times New Roman" w:hAnsi="Times New Roman" w:cs="Times New Roman"/>
          <w:iCs/>
        </w:rPr>
        <w:instrText xml:space="preserve"> ADDIN ZOTERO_ITEM CSL_CITATION {"citationID":"RYlyrPVG","properties":{"formattedCitation":"(McEvoy et al., 2004)","plainCitation":"(McEvoy et al., 2004)","dontUpdate":true,"noteIndex":0},"citationItems":[{"id":1885,"uris":["http://zotero.org/users/7873587/items/F7AQMJ4M"],"itemData":{"id":1885,"type":"article-journal","abstract":"AIMS: The aim of study 1 was to develop a three-factor Approach and Avoidance of Alcohol Questionnaire (AAAQ), designed to assess mild and intense inclinations to drink, as well as inclinations to avoid drinking. The aims of study 2 were to cross-validate the AAAQ with an independent sample and to test the goodness-of-fit of three models of craving for alcohol: (a) the traditional unidimensional model; (b) a two-dimensional, approach-avoidance ambivalence model; and (c) an expanded two-dimensional neuroanatomical model that retains avoidance, while positing a threshold that partitions approach into two distinct levels and relates all three factors involved in craving to brain pathways associated with inhibitory processes, reward and obsessive-compulsive behaviour, respectively.\nDESIGN, SETTING AND PARTICIPANTS: The survey was administered to 589 Australian university students (69% women) in study 1 and to 523 American university students (64% women) in study 2.\nMEASUREMENTS: Inclinations to drink and to not drink (AAAQ), drinking behaviour (quantity and frequency), drinking problems (Young Adult Alcohol Problems Screening Test; YAAPST) and readiness for change (Stages of Change Readiness and Treatment Eagerness Scale; SOCRATES).\nFINDINGS: The expanded two-dimensional neuroanatomical model provided the best fit to the data. The AAAQ explained a substantial proportion of the variance in drinking frequency (41-53%), drinking quantity (49-60%) and drinking problems (43%). AAAQ profiles differed as a function of drinking-related risk, and the three AAAQ scales differentially predicted readiness for change.\nCONCLUSIONS: Approach and avoidance inclinations toward alcohol are separable constructs, and their activation may not be invariably reciprocal. Craving can be defined as the relative activation of substance-related response inclinations along these two primary dimensions. There may be a threshold of intensity that separates mild from intense approach inclinations.","container-title":"Addiction","DOI":"10.1111/j.1360-0443.2004.00714.x","ISSN":"0965-2140","issue":"4","journalAbbreviation":"Addiction","language":"eng","note":"PMID: 15049748","page":"482-497","source":"PubMed","title":"Comparison of three models of alcohol craving in young adults: a cross-validation","title-short":"Comparison of three models of alcohol craving in young adults","volume":"99","author":[{"family":"McEvoy","given":"Peter M."},{"family":"Stritzke","given":"Werner G. K."},{"family":"French","given":"Davina J."},{"family":"Lang","given":"Alan R."},{"family":"Ketterman","given":"Rita"}],"issued":{"date-parts":[["2004",4]]}}}],"schema":"https://github.com/citation-style-language/schema/raw/master/csl-citation.json"} </w:instrText>
      </w:r>
      <w:r w:rsidR="00946E33">
        <w:rPr>
          <w:rFonts w:ascii="Times New Roman" w:hAnsi="Times New Roman" w:cs="Times New Roman"/>
          <w:iCs/>
        </w:rPr>
        <w:fldChar w:fldCharType="separate"/>
      </w:r>
      <w:r w:rsidR="00946E33" w:rsidRPr="00946E33">
        <w:rPr>
          <w:rFonts w:ascii="Times New Roman" w:hAnsi="Times New Roman" w:cs="Times New Roman"/>
        </w:rPr>
        <w:t>McEvoy et al., 2004)</w:t>
      </w:r>
      <w:r w:rsidR="00946E33">
        <w:rPr>
          <w:rFonts w:ascii="Times New Roman" w:hAnsi="Times New Roman" w:cs="Times New Roman"/>
          <w:iCs/>
        </w:rPr>
        <w:fldChar w:fldCharType="end"/>
      </w:r>
      <w:r w:rsidRPr="007B2473">
        <w:rPr>
          <w:rFonts w:ascii="Times New Roman" w:hAnsi="Times New Roman" w:cs="Times New Roman"/>
          <w:iCs/>
        </w:rPr>
        <w:t xml:space="preserve">: This 14-item questionnaire is used to assess motivational tendencies to approach or avoid drinking at that moment in time. Three subscales are generated from this questionnaire, which are: Inclined-indulgent (mild inclinations to drink), assessed by questions such as “I would like to have a drink or two”. Obsessed-compelled (strong inclinations to drink), assessed by questions such as “My desire to drink seems overwhelming”. Resolved-regulated (inclinations to avoid alcohol), assessed by questions such as “I am thinking about the benefits of being sober”. The three subscales had acceptable internal reliability in each of the four times that the questionnaire was administered (all </w:t>
      </w:r>
      <w:proofErr w:type="spellStart"/>
      <w:r w:rsidRPr="007B2473">
        <w:rPr>
          <w:rFonts w:ascii="Times New Roman" w:hAnsi="Times New Roman" w:cs="Times New Roman"/>
          <w:iCs/>
        </w:rPr>
        <w:t>ω’s</w:t>
      </w:r>
      <w:proofErr w:type="spellEnd"/>
      <w:r w:rsidRPr="007B2473">
        <w:rPr>
          <w:rFonts w:ascii="Times New Roman" w:hAnsi="Times New Roman" w:cs="Times New Roman"/>
          <w:iCs/>
        </w:rPr>
        <w:t xml:space="preserve"> ≥ .72). Specifically, reliability of the AAAQ subscales before the negative video: inclined-indulgent, ω = .85; obsessed-compelled, ω = .77; resolved-regulated, ω = .84. After the negative video: inclined-indulgent, ω = .88; obsessed-compelled, ω = .81; resolved-regulated, ω = .80. Reliability of the AAAQ subscales before the positive video: inclined-indulgent, ω = .89; obsessed-compelled, ω = .79; resolved-regulated, ω = .72. After the positive video: inclined-indulgent, ω = .89; obsessed-compelled, ω = .87; resolved-regulated, ω = .78.</w:t>
      </w:r>
    </w:p>
    <w:p w14:paraId="3F555443" w14:textId="77777777" w:rsidR="00946E33" w:rsidRDefault="00946E33" w:rsidP="00946E33">
      <w:pPr>
        <w:pStyle w:val="NoSpacing"/>
        <w:spacing w:line="480" w:lineRule="auto"/>
        <w:rPr>
          <w:rFonts w:ascii="Times New Roman" w:hAnsi="Times New Roman" w:cs="Times New Roman"/>
          <w:b/>
        </w:rPr>
      </w:pPr>
    </w:p>
    <w:p w14:paraId="0DEDA221" w14:textId="7A0C2787" w:rsidR="00946E33" w:rsidRPr="00946E33" w:rsidRDefault="00946E33" w:rsidP="00946E33">
      <w:pPr>
        <w:pStyle w:val="NoSpacing"/>
        <w:spacing w:line="480" w:lineRule="auto"/>
        <w:rPr>
          <w:rFonts w:ascii="Times New Roman" w:hAnsi="Times New Roman" w:cs="Times New Roman"/>
          <w:b/>
        </w:rPr>
      </w:pPr>
      <w:r w:rsidRPr="00946E33">
        <w:rPr>
          <w:rFonts w:ascii="Times New Roman" w:hAnsi="Times New Roman" w:cs="Times New Roman"/>
          <w:b/>
        </w:rPr>
        <w:t xml:space="preserve">Procedure </w:t>
      </w:r>
    </w:p>
    <w:p w14:paraId="707183F5" w14:textId="6FF51203" w:rsidR="00946E33" w:rsidRDefault="00946E33" w:rsidP="00946E33">
      <w:pPr>
        <w:pStyle w:val="NoSpacing"/>
        <w:spacing w:line="480" w:lineRule="auto"/>
        <w:rPr>
          <w:rFonts w:ascii="Times New Roman" w:hAnsi="Times New Roman" w:cs="Times New Roman"/>
        </w:rPr>
      </w:pPr>
      <w:r w:rsidRPr="00946E33">
        <w:rPr>
          <w:rFonts w:ascii="Times New Roman" w:hAnsi="Times New Roman" w:cs="Times New Roman"/>
        </w:rPr>
        <w:t xml:space="preserve">See Figure 4.1 for a schematic overview of the study procedure. Volunteers attended a single session at the University of Sheffield’s Department of Psychology, </w:t>
      </w:r>
      <w:r w:rsidRPr="00946E33">
        <w:rPr>
          <w:rFonts w:ascii="Times New Roman" w:hAnsi="Times New Roman" w:cs="Times New Roman"/>
          <w:bCs/>
        </w:rPr>
        <w:t>which lasted between 60–80 minutes.</w:t>
      </w:r>
      <w:r w:rsidRPr="00946E33">
        <w:rPr>
          <w:rFonts w:ascii="Times New Roman" w:hAnsi="Times New Roman" w:cs="Times New Roman"/>
        </w:rPr>
        <w:t xml:space="preserve"> They firstly completed an online questionnaire, which consisted of demographic questions (age and gender), AUDIT, BAAD, BSCS, and an image-rating phase. </w:t>
      </w:r>
    </w:p>
    <w:p w14:paraId="27C0ED2F" w14:textId="77777777" w:rsidR="00946E33" w:rsidRPr="00946E33" w:rsidRDefault="00946E33" w:rsidP="00946E33">
      <w:pPr>
        <w:pStyle w:val="NoSpacing"/>
        <w:spacing w:line="480" w:lineRule="auto"/>
        <w:rPr>
          <w:rFonts w:ascii="Times New Roman" w:hAnsi="Times New Roman" w:cs="Times New Roman"/>
        </w:rPr>
      </w:pPr>
    </w:p>
    <w:p w14:paraId="358306DD" w14:textId="77777777" w:rsidR="00946E33" w:rsidRPr="00946E33" w:rsidRDefault="00946E33" w:rsidP="00014944">
      <w:pPr>
        <w:pStyle w:val="NoSpacing"/>
        <w:spacing w:line="480" w:lineRule="auto"/>
        <w:rPr>
          <w:rFonts w:ascii="Times New Roman" w:hAnsi="Times New Roman" w:cs="Times New Roman"/>
        </w:rPr>
      </w:pPr>
      <w:r w:rsidRPr="00946E33">
        <w:rPr>
          <w:rFonts w:ascii="Times New Roman" w:hAnsi="Times New Roman" w:cs="Times New Roman"/>
        </w:rPr>
        <w:lastRenderedPageBreak/>
        <w:t xml:space="preserve">Before attending the laboratory, participants were randomly assigned to one of two experimental conditions which meant the order of video viewing was randomized across participants, such that for half of the sample the alcohol value condition was first, while for the other half the alcohol devalue condition was first. In the alcohol devalue condition participants watched an alcohol-negative video, whilst in the alcohol value condition participants watched an alcohol-positive video. Regardless of the condition they were assigned to, the remaining procedure was identical (aside from the content of the video). Participants self-reported their inclinations to approach and avoid alcohol, both before and after watching the video, and this was followed by the completion of the VBDM task. In-between the experimental conditions, we included a “washout” phase to minimise any carry-over effects from the previously viewed video. This consisted of a distraction task where participants were presented with random facts about Sheffield and then asked to recall them (see Appendix C for order effect analyses and further detail about the distraction task). </w:t>
      </w:r>
    </w:p>
    <w:p w14:paraId="394B6DD7" w14:textId="77777777" w:rsidR="00014944" w:rsidRDefault="00014944" w:rsidP="00014944">
      <w:pPr>
        <w:pStyle w:val="NoSpacing"/>
        <w:spacing w:line="480" w:lineRule="auto"/>
        <w:rPr>
          <w:rFonts w:ascii="Times New Roman" w:hAnsi="Times New Roman" w:cs="Times New Roman"/>
          <w:i/>
        </w:rPr>
      </w:pPr>
    </w:p>
    <w:p w14:paraId="6DEECD50" w14:textId="24DFD06B" w:rsidR="00014944" w:rsidRPr="00014944" w:rsidRDefault="00014944" w:rsidP="00014944">
      <w:pPr>
        <w:pStyle w:val="NoSpacing"/>
        <w:spacing w:line="480" w:lineRule="auto"/>
        <w:rPr>
          <w:rFonts w:ascii="Times New Roman" w:hAnsi="Times New Roman" w:cs="Times New Roman"/>
          <w:i/>
        </w:rPr>
      </w:pPr>
      <w:r w:rsidRPr="00014944">
        <w:rPr>
          <w:rFonts w:ascii="Times New Roman" w:hAnsi="Times New Roman" w:cs="Times New Roman"/>
          <w:i/>
        </w:rPr>
        <w:t>Image-rating phase</w:t>
      </w:r>
    </w:p>
    <w:p w14:paraId="7D47707E" w14:textId="48F27801" w:rsidR="00014944" w:rsidRDefault="00014944" w:rsidP="00014944">
      <w:pPr>
        <w:pStyle w:val="NoSpacing"/>
        <w:spacing w:line="480" w:lineRule="auto"/>
        <w:rPr>
          <w:rFonts w:ascii="Times New Roman" w:hAnsi="Times New Roman" w:cs="Times New Roman"/>
        </w:rPr>
      </w:pPr>
      <w:r w:rsidRPr="00014944">
        <w:rPr>
          <w:rFonts w:ascii="Times New Roman" w:hAnsi="Times New Roman" w:cs="Times New Roman"/>
        </w:rPr>
        <w:t>We asked participants to view two sets of 35 images (an alcohol set, and a soft</w:t>
      </w:r>
      <w:r>
        <w:rPr>
          <w:rFonts w:ascii="Times New Roman" w:hAnsi="Times New Roman" w:cs="Times New Roman"/>
        </w:rPr>
        <w:t xml:space="preserve"> </w:t>
      </w:r>
      <w:r w:rsidRPr="00014944">
        <w:rPr>
          <w:rFonts w:ascii="Times New Roman" w:hAnsi="Times New Roman" w:cs="Times New Roman"/>
        </w:rPr>
        <w:t>drink set) and make value judgements about each. This was done firstly for soft</w:t>
      </w:r>
      <w:r>
        <w:rPr>
          <w:rFonts w:ascii="Times New Roman" w:hAnsi="Times New Roman" w:cs="Times New Roman"/>
        </w:rPr>
        <w:t xml:space="preserve"> </w:t>
      </w:r>
      <w:r w:rsidRPr="00014944">
        <w:rPr>
          <w:rFonts w:ascii="Times New Roman" w:hAnsi="Times New Roman" w:cs="Times New Roman"/>
        </w:rPr>
        <w:t xml:space="preserve">drink images and then for alcohol images. They did this by placing each of the images into one of four boxes to indicate how much they would like to consume the drink depicted at the end of the experiment, with the following options: ‘A lot’, ‘A little bit, ‘Not really’, and ‘Not at all’. For each picture set, participants were instructed to rate all 35 images, whilst assigning at least five images to each category by dragging and dropping them using a computer mouse. </w:t>
      </w:r>
    </w:p>
    <w:p w14:paraId="18F293B6" w14:textId="77777777" w:rsidR="00014944" w:rsidRDefault="00014944" w:rsidP="00014944">
      <w:pPr>
        <w:pStyle w:val="NoSpacing"/>
        <w:spacing w:line="480" w:lineRule="auto"/>
        <w:rPr>
          <w:rFonts w:ascii="Times New Roman" w:hAnsi="Times New Roman" w:cs="Times New Roman"/>
        </w:rPr>
      </w:pPr>
    </w:p>
    <w:p w14:paraId="58A057A4" w14:textId="77777777" w:rsidR="00014944" w:rsidRPr="00014944" w:rsidRDefault="00014944" w:rsidP="00014944">
      <w:pPr>
        <w:pStyle w:val="NoSpacing"/>
        <w:spacing w:line="480" w:lineRule="auto"/>
        <w:rPr>
          <w:rFonts w:ascii="Times New Roman" w:hAnsi="Times New Roman" w:cs="Times New Roman"/>
          <w:i/>
        </w:rPr>
      </w:pPr>
      <w:r w:rsidRPr="00014944">
        <w:rPr>
          <w:rFonts w:ascii="Times New Roman" w:hAnsi="Times New Roman" w:cs="Times New Roman"/>
          <w:i/>
        </w:rPr>
        <w:t xml:space="preserve">Value-based decision-making (VBDM) task </w:t>
      </w:r>
    </w:p>
    <w:p w14:paraId="1A4F1C0D" w14:textId="0C631D3B" w:rsidR="00014944" w:rsidRDefault="00014944" w:rsidP="00014944">
      <w:pPr>
        <w:pStyle w:val="NoSpacing"/>
        <w:spacing w:line="480" w:lineRule="auto"/>
        <w:rPr>
          <w:rFonts w:ascii="Times New Roman" w:hAnsi="Times New Roman" w:cs="Times New Roman"/>
        </w:rPr>
      </w:pPr>
      <w:bookmarkStart w:id="184" w:name="_heading=h.lnxbz9" w:colFirst="0" w:colLast="0"/>
      <w:bookmarkEnd w:id="184"/>
      <w:r w:rsidRPr="00014944">
        <w:rPr>
          <w:rFonts w:ascii="Times New Roman" w:hAnsi="Times New Roman" w:cs="Times New Roman"/>
        </w:rPr>
        <w:lastRenderedPageBreak/>
        <w:t xml:space="preserve">The task was programmed in </w:t>
      </w:r>
      <w:proofErr w:type="spellStart"/>
      <w:r w:rsidRPr="00014944">
        <w:rPr>
          <w:rFonts w:ascii="Times New Roman" w:hAnsi="Times New Roman" w:cs="Times New Roman"/>
        </w:rPr>
        <w:t>PsychoPy</w:t>
      </w:r>
      <w:proofErr w:type="spellEnd"/>
      <w:r w:rsidRPr="00014944">
        <w:rPr>
          <w:rFonts w:ascii="Times New Roman" w:hAnsi="Times New Roman" w:cs="Times New Roman"/>
        </w:rPr>
        <w:t xml:space="preserve"> (Peirce et al., 2019). </w:t>
      </w:r>
      <w:r>
        <w:rPr>
          <w:rFonts w:ascii="Times New Roman" w:hAnsi="Times New Roman" w:cs="Times New Roman"/>
        </w:rPr>
        <w:t>To begin,</w:t>
      </w:r>
      <w:r w:rsidRPr="00014944">
        <w:rPr>
          <w:rFonts w:ascii="Times New Roman" w:hAnsi="Times New Roman" w:cs="Times New Roman"/>
        </w:rPr>
        <w:t xml:space="preserve"> five images were randomly selected from each of the categories of value (‘A lot’, ‘A little bit’, ‘Not really’, ‘Not at all’)</w:t>
      </w:r>
      <w:r>
        <w:rPr>
          <w:rFonts w:ascii="Times New Roman" w:hAnsi="Times New Roman" w:cs="Times New Roman"/>
        </w:rPr>
        <w:t xml:space="preserve"> and </w:t>
      </w:r>
      <w:r w:rsidRPr="00014944">
        <w:rPr>
          <w:rFonts w:ascii="Times New Roman" w:hAnsi="Times New Roman" w:cs="Times New Roman"/>
        </w:rPr>
        <w:t>were displayed on the centre of the screen for 3 seconds, followed by a 500ms fixation cross. The purpose of this was to show participants which 5 images from each value category had been selected at random, as well as to remind them how they evaluated each of the images. Following this, participants completed the VBDM task. On each trial, two images appeared in the centre of the screen (one on the left and one on the right), and participants were instructed to use one of two keys to choose the image that they would rather consume by pressing one of two keys (‘Z’ for left and ‘M’ for right) as quickly as possible (see Figure 4.2). Before starting the VBDM task, to familiarise participants, they completed a practice block consisting of 12 trials (50% soft</w:t>
      </w:r>
      <w:r w:rsidR="00BA1F0E">
        <w:rPr>
          <w:rFonts w:ascii="Times New Roman" w:hAnsi="Times New Roman" w:cs="Times New Roman"/>
        </w:rPr>
        <w:t xml:space="preserve"> </w:t>
      </w:r>
      <w:r w:rsidRPr="00014944">
        <w:rPr>
          <w:rFonts w:ascii="Times New Roman" w:hAnsi="Times New Roman" w:cs="Times New Roman"/>
        </w:rPr>
        <w:t>drink trials and 50% alcohol trials).  The choice task consisted of two blocks (one soft</w:t>
      </w:r>
      <w:r w:rsidR="00BA1F0E">
        <w:rPr>
          <w:rFonts w:ascii="Times New Roman" w:hAnsi="Times New Roman" w:cs="Times New Roman"/>
        </w:rPr>
        <w:t xml:space="preserve"> </w:t>
      </w:r>
      <w:r w:rsidRPr="00014944">
        <w:rPr>
          <w:rFonts w:ascii="Times New Roman" w:hAnsi="Times New Roman" w:cs="Times New Roman"/>
        </w:rPr>
        <w:t>drink block and one alcohol block; order randomised) of 150 trials (300 trials in total) with embedded breaks after every 50 trials. Difficulty levels varied, in that some of the trials were more difficult than others. For example, when the differences in the value ratings between the two images were minimal, these were difficult trials (e.g., “A little bit” versus “Not really”) because it is harder to immediately distinguish which one is higher in value. However, when the differences in the value ratings between the two images were large, these were easier trials (e.g., “A lot” versus “Not at all”), because it is likely to be more apparent which one is higher in value. On each trial there was a correct answer, and whether this appeared on the left or the right of the screen was random so that the ‘correct’ answer should have been a left or right key press with equal frequency. Stimuli were displayed on a Dell computer screen, with a spatial resolution of 1920 x 1080 pixels and a temporal resolution of 60Hz. Participants were given maximum of four seconds to respond on each trial, responses outside of this response window were classed as “miss trials” as commonly used in VBDM tasks (</w:t>
      </w:r>
      <w:proofErr w:type="spellStart"/>
      <w:r w:rsidRPr="00014944">
        <w:rPr>
          <w:rFonts w:ascii="Times New Roman" w:hAnsi="Times New Roman" w:cs="Times New Roman"/>
        </w:rPr>
        <w:t>Polanía</w:t>
      </w:r>
      <w:proofErr w:type="spellEnd"/>
      <w:r w:rsidRPr="00014944">
        <w:rPr>
          <w:rFonts w:ascii="Times New Roman" w:hAnsi="Times New Roman" w:cs="Times New Roman"/>
        </w:rPr>
        <w:t xml:space="preserve"> et al., 2014). </w:t>
      </w:r>
    </w:p>
    <w:p w14:paraId="085D8AB5" w14:textId="77777777" w:rsidR="00014944" w:rsidRPr="00014944" w:rsidRDefault="00014944" w:rsidP="00014944">
      <w:pPr>
        <w:pStyle w:val="NoSpacing"/>
        <w:spacing w:line="480" w:lineRule="auto"/>
        <w:rPr>
          <w:rFonts w:ascii="Times New Roman" w:hAnsi="Times New Roman" w:cs="Times New Roman"/>
        </w:rPr>
      </w:pPr>
    </w:p>
    <w:p w14:paraId="1C32E25A" w14:textId="77777777" w:rsidR="00014944" w:rsidRDefault="00014944" w:rsidP="00014944">
      <w:pPr>
        <w:pStyle w:val="NoSpacing"/>
        <w:spacing w:line="480" w:lineRule="auto"/>
        <w:rPr>
          <w:rFonts w:ascii="Times New Roman" w:hAnsi="Times New Roman" w:cs="Times New Roman"/>
          <w:b/>
          <w:bCs/>
        </w:rPr>
      </w:pPr>
      <w:bookmarkStart w:id="185" w:name="_Hlk110613985"/>
      <w:r w:rsidRPr="00014944">
        <w:rPr>
          <w:rFonts w:ascii="Times New Roman" w:hAnsi="Times New Roman" w:cs="Times New Roman"/>
          <w:b/>
          <w:bCs/>
        </w:rPr>
        <w:t>Figure 4.1</w:t>
      </w:r>
    </w:p>
    <w:p w14:paraId="24B80942" w14:textId="6089A95B" w:rsidR="00014944" w:rsidRPr="00014944" w:rsidRDefault="00014944" w:rsidP="00014944">
      <w:pPr>
        <w:pStyle w:val="NoSpacing"/>
        <w:spacing w:line="480" w:lineRule="auto"/>
        <w:rPr>
          <w:rFonts w:ascii="Times New Roman" w:hAnsi="Times New Roman" w:cs="Times New Roman"/>
          <w:i/>
          <w:iCs/>
        </w:rPr>
      </w:pPr>
      <w:r w:rsidRPr="00014944">
        <w:rPr>
          <w:rFonts w:ascii="Times New Roman" w:hAnsi="Times New Roman" w:cs="Times New Roman"/>
          <w:i/>
          <w:iCs/>
        </w:rPr>
        <w:t>Schematic overview of the study procedure</w:t>
      </w:r>
    </w:p>
    <w:bookmarkEnd w:id="185"/>
    <w:p w14:paraId="2AC4E9FA" w14:textId="7F54294F" w:rsidR="00014944" w:rsidRPr="00014944" w:rsidRDefault="00014944" w:rsidP="00014944">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EB2A920" wp14:editId="0670F453">
            <wp:extent cx="5084445" cy="4029710"/>
            <wp:effectExtent l="0" t="0" r="190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84445" cy="4029710"/>
                    </a:xfrm>
                    <a:prstGeom prst="rect">
                      <a:avLst/>
                    </a:prstGeom>
                    <a:noFill/>
                  </pic:spPr>
                </pic:pic>
              </a:graphicData>
            </a:graphic>
          </wp:inline>
        </w:drawing>
      </w:r>
    </w:p>
    <w:p w14:paraId="40632612" w14:textId="77777777" w:rsidR="00014944" w:rsidRPr="00014944" w:rsidRDefault="00014944" w:rsidP="00014944">
      <w:pPr>
        <w:pStyle w:val="NoSpacing"/>
        <w:spacing w:line="480" w:lineRule="auto"/>
        <w:rPr>
          <w:rFonts w:ascii="Times New Roman" w:hAnsi="Times New Roman" w:cs="Times New Roman"/>
          <w:b/>
          <w:bCs/>
        </w:rPr>
      </w:pPr>
      <w:r w:rsidRPr="00014944">
        <w:rPr>
          <w:rFonts w:ascii="Times New Roman" w:hAnsi="Times New Roman" w:cs="Times New Roman"/>
          <w:i/>
          <w:iCs/>
        </w:rPr>
        <w:t>Note.</w:t>
      </w:r>
      <w:r w:rsidRPr="00014944">
        <w:rPr>
          <w:rFonts w:ascii="Times New Roman" w:hAnsi="Times New Roman" w:cs="Times New Roman"/>
          <w:b/>
          <w:bCs/>
        </w:rPr>
        <w:t xml:space="preserve"> </w:t>
      </w:r>
      <w:r w:rsidRPr="00014944">
        <w:rPr>
          <w:rFonts w:ascii="Times New Roman" w:hAnsi="Times New Roman" w:cs="Times New Roman"/>
        </w:rPr>
        <w:t>Self-report questionnaires comprise demographic questions (age and gender), the Brief self-control scale (BSCS), the Alcohol Use Disorders Identification Test (AUDIT), and</w:t>
      </w:r>
      <w:r w:rsidRPr="00014944">
        <w:rPr>
          <w:rFonts w:ascii="Times New Roman" w:hAnsi="Times New Roman" w:cs="Times New Roman"/>
          <w:b/>
          <w:bCs/>
        </w:rPr>
        <w:t xml:space="preserve"> </w:t>
      </w:r>
      <w:r w:rsidRPr="00014944">
        <w:rPr>
          <w:rFonts w:ascii="Times New Roman" w:hAnsi="Times New Roman" w:cs="Times New Roman"/>
        </w:rPr>
        <w:t>the Brief Assessment of Alcohol Demand (BAAD). The order by which participants completed the experimental conditions to manipulate alcohol value was randomised across participants.</w:t>
      </w:r>
    </w:p>
    <w:p w14:paraId="581F6198" w14:textId="77777777" w:rsidR="00014944" w:rsidRDefault="00014944" w:rsidP="00014944">
      <w:pPr>
        <w:pStyle w:val="NoSpacing"/>
        <w:spacing w:line="480" w:lineRule="auto"/>
        <w:rPr>
          <w:rFonts w:ascii="Times New Roman" w:hAnsi="Times New Roman" w:cs="Times New Roman"/>
        </w:rPr>
      </w:pPr>
    </w:p>
    <w:p w14:paraId="7ECBC867" w14:textId="77777777" w:rsidR="00014944" w:rsidRDefault="00014944" w:rsidP="00014944">
      <w:pPr>
        <w:pStyle w:val="NoSpacing"/>
        <w:spacing w:line="480" w:lineRule="auto"/>
        <w:rPr>
          <w:rFonts w:ascii="Times New Roman" w:hAnsi="Times New Roman" w:cs="Times New Roman"/>
          <w:b/>
          <w:bCs/>
        </w:rPr>
      </w:pPr>
      <w:bookmarkStart w:id="186" w:name="_Hlk110613994"/>
      <w:r w:rsidRPr="00014944">
        <w:rPr>
          <w:rFonts w:ascii="Times New Roman" w:hAnsi="Times New Roman" w:cs="Times New Roman"/>
          <w:b/>
          <w:bCs/>
        </w:rPr>
        <w:t>Figure 4.2</w:t>
      </w:r>
    </w:p>
    <w:p w14:paraId="1EEF394D" w14:textId="273E48B4" w:rsidR="00014944" w:rsidRDefault="00014944" w:rsidP="00014944">
      <w:pPr>
        <w:pStyle w:val="NoSpacing"/>
        <w:spacing w:line="480" w:lineRule="auto"/>
        <w:rPr>
          <w:rFonts w:ascii="Times New Roman" w:hAnsi="Times New Roman" w:cs="Times New Roman"/>
          <w:i/>
          <w:iCs/>
        </w:rPr>
      </w:pPr>
      <w:r w:rsidRPr="00014944">
        <w:rPr>
          <w:rFonts w:ascii="Times New Roman" w:hAnsi="Times New Roman" w:cs="Times New Roman"/>
          <w:i/>
          <w:iCs/>
        </w:rPr>
        <w:t>Example of typical trials (in the soft drink block)</w:t>
      </w:r>
    </w:p>
    <w:bookmarkEnd w:id="186"/>
    <w:p w14:paraId="1B77F2EA" w14:textId="744DEA5E" w:rsidR="00014944" w:rsidRPr="00014944" w:rsidRDefault="00014944" w:rsidP="00014944">
      <w:pPr>
        <w:pStyle w:val="NoSpacing"/>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1CA1749F" wp14:editId="79C777DA">
            <wp:extent cx="4078605" cy="2292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8605" cy="2292350"/>
                    </a:xfrm>
                    <a:prstGeom prst="rect">
                      <a:avLst/>
                    </a:prstGeom>
                    <a:noFill/>
                  </pic:spPr>
                </pic:pic>
              </a:graphicData>
            </a:graphic>
          </wp:inline>
        </w:drawing>
      </w:r>
    </w:p>
    <w:p w14:paraId="427572AC" w14:textId="77777777" w:rsidR="00014944" w:rsidRPr="00014944" w:rsidRDefault="00014944" w:rsidP="00014944">
      <w:pPr>
        <w:pStyle w:val="NoSpacing"/>
        <w:spacing w:line="480" w:lineRule="auto"/>
        <w:rPr>
          <w:rFonts w:ascii="Times New Roman" w:hAnsi="Times New Roman" w:cs="Times New Roman"/>
        </w:rPr>
      </w:pPr>
      <w:r w:rsidRPr="00014944">
        <w:rPr>
          <w:rFonts w:ascii="Times New Roman" w:hAnsi="Times New Roman" w:cs="Times New Roman"/>
          <w:i/>
          <w:iCs/>
        </w:rPr>
        <w:t>Note.</w:t>
      </w:r>
      <w:r w:rsidRPr="00014944">
        <w:rPr>
          <w:rFonts w:ascii="Times New Roman" w:hAnsi="Times New Roman" w:cs="Times New Roman"/>
        </w:rPr>
        <w:t xml:space="preserve"> The question asked was “which would you rather consume” and participants were instructed to press a key to select either of the images (‘Z’ for left, ‘M’ for right). Participants had 4 seconds to make a decision per trial, and each trial was followed by a 500ms fixation cross located in the centre of the screen. </w:t>
      </w:r>
      <w:bookmarkStart w:id="187" w:name="_Hlk110698865"/>
      <w:r w:rsidRPr="00014944">
        <w:rPr>
          <w:rFonts w:ascii="Times New Roman" w:hAnsi="Times New Roman" w:cs="Times New Roman"/>
        </w:rPr>
        <w:t xml:space="preserve">Images are taken from the </w:t>
      </w:r>
      <w:bookmarkEnd w:id="187"/>
      <w:r w:rsidRPr="00014944">
        <w:rPr>
          <w:rFonts w:ascii="Times New Roman" w:hAnsi="Times New Roman" w:cs="Times New Roman"/>
        </w:rPr>
        <w:t>Amsterdam Beverage</w:t>
      </w:r>
    </w:p>
    <w:p w14:paraId="2EBD0D9F" w14:textId="49116839" w:rsidR="00014944" w:rsidRDefault="00014944" w:rsidP="00014944">
      <w:pPr>
        <w:pStyle w:val="NoSpacing"/>
        <w:spacing w:line="480" w:lineRule="auto"/>
        <w:rPr>
          <w:rFonts w:ascii="Times New Roman" w:hAnsi="Times New Roman" w:cs="Times New Roman"/>
        </w:rPr>
      </w:pPr>
      <w:r w:rsidRPr="00014944">
        <w:rPr>
          <w:rFonts w:ascii="Times New Roman" w:hAnsi="Times New Roman" w:cs="Times New Roman"/>
        </w:rPr>
        <w:t>Picture Set (Pronk et al., 2015).</w:t>
      </w:r>
    </w:p>
    <w:p w14:paraId="3BD84174" w14:textId="77777777" w:rsidR="00014944" w:rsidRPr="00014944" w:rsidRDefault="00014944" w:rsidP="00014944">
      <w:pPr>
        <w:pStyle w:val="NoSpacing"/>
        <w:spacing w:line="480" w:lineRule="auto"/>
        <w:rPr>
          <w:rFonts w:ascii="Times New Roman" w:hAnsi="Times New Roman" w:cs="Times New Roman"/>
        </w:rPr>
      </w:pPr>
    </w:p>
    <w:p w14:paraId="2635E8F4" w14:textId="77777777" w:rsidR="00014944" w:rsidRPr="00014944" w:rsidRDefault="00014944" w:rsidP="00014944">
      <w:pPr>
        <w:pStyle w:val="NoSpacing"/>
        <w:spacing w:line="480" w:lineRule="auto"/>
        <w:rPr>
          <w:rFonts w:ascii="Times New Roman" w:hAnsi="Times New Roman" w:cs="Times New Roman"/>
          <w:b/>
        </w:rPr>
      </w:pPr>
      <w:r w:rsidRPr="00014944">
        <w:rPr>
          <w:rFonts w:ascii="Times New Roman" w:hAnsi="Times New Roman" w:cs="Times New Roman"/>
          <w:b/>
        </w:rPr>
        <w:t>Data preparation and analysis</w:t>
      </w:r>
    </w:p>
    <w:p w14:paraId="7D368EA9" w14:textId="48866EF4" w:rsidR="00014944" w:rsidRDefault="00014944" w:rsidP="0011194E">
      <w:pPr>
        <w:pStyle w:val="NoSpacing"/>
        <w:spacing w:line="480" w:lineRule="auto"/>
        <w:rPr>
          <w:rFonts w:ascii="Times New Roman" w:hAnsi="Times New Roman" w:cs="Times New Roman"/>
        </w:rPr>
      </w:pPr>
      <w:bookmarkStart w:id="188" w:name="_heading=h.35nkun2" w:colFirst="0" w:colLast="0"/>
      <w:bookmarkEnd w:id="188"/>
      <w:r w:rsidRPr="00014944">
        <w:rPr>
          <w:rFonts w:ascii="Times New Roman" w:hAnsi="Times New Roman" w:cs="Times New Roman"/>
        </w:rPr>
        <w:t xml:space="preserve">On the VBDM task, “miss trials” (responses exceeding 4 seconds) were removed (0.13%) in addition to trials that were under 300ms (0.06%) as these are likely to be fast guesses </w:t>
      </w:r>
      <w:r>
        <w:rPr>
          <w:rFonts w:ascii="Times New Roman" w:hAnsi="Times New Roman" w:cs="Times New Roman"/>
        </w:rPr>
        <w:fldChar w:fldCharType="begin"/>
      </w:r>
      <w:r w:rsidR="0011194E">
        <w:rPr>
          <w:rFonts w:ascii="Times New Roman" w:hAnsi="Times New Roman" w:cs="Times New Roman"/>
        </w:rPr>
        <w:instrText xml:space="preserve"> ADDIN ZOTERO_ITEM CSL_CITATION {"citationID":"zSP1qOSM","properties":{"formattedCitation":"(Ratcliff et al., 2006b)","plainCitation":"(Ratcliff et al., 2006b)","noteIndex":0},"citationItems":[{"id":658,"uris":["http://zotero.org/users/7873587/items/GVYLJ39Z"],"itemData":{"id":658,"type":"article-journal","abstract":"Practice effects were examined in a masked letter discrimination task and a masked brightness discrimination task for college-age and 60- to 75-year-old subjects. The diffusion model (Ratcliff, 1978) was fit to the response time and accuracy data and used to extract estimates of components of processing from the data. Relative to young subjects, the older subjects began the experiments with slower and less accurate performance; however, across sessions their accuracy improved because the quality of the information on which their decisions were based improved, and this, along with reduced decision criteria, led to shorter response times. For the brightness, but not the letter, discrimination task, the older subjects' performance matched that of the younger group by the end of 4 sessions, except that their nondecision components of processing were slightly slower. These analyses illustrate how a well-specified model can provide a unified view of multiple aspects of data that are often interpreted separately.","container-title":"Psychology and Aging","DOI":"10.1037/0882-7974.21.2.353","ISSN":"0882-7974","issue":"2","journalAbbreviation":"Psychol Aging","language":"eng","note":"PMID: 16768580\nPMCID: PMC2386252","page":"353-371","source":"PubMed","title":"Aging, practice, and perceptual tasks: a diffusion model analysis","title-short":"Aging, practice, and perceptual tasks","volume":"21","author":[{"family":"Ratcliff","given":"Roger"},{"family":"Thapar","given":"Anjali"},{"family":"McKoon","given":"Gail"}],"issued":{"date-parts":[["2006",6]]}}}],"schema":"https://github.com/citation-style-language/schema/raw/master/csl-citation.json"} </w:instrText>
      </w:r>
      <w:r>
        <w:rPr>
          <w:rFonts w:ascii="Times New Roman" w:hAnsi="Times New Roman" w:cs="Times New Roman"/>
        </w:rPr>
        <w:fldChar w:fldCharType="separate"/>
      </w:r>
      <w:r w:rsidR="0011194E" w:rsidRPr="0011194E">
        <w:rPr>
          <w:rFonts w:ascii="Times New Roman" w:hAnsi="Times New Roman" w:cs="Times New Roman"/>
        </w:rPr>
        <w:t>(Ratcliff et al., 2006b)</w:t>
      </w:r>
      <w:r>
        <w:rPr>
          <w:rFonts w:ascii="Times New Roman" w:hAnsi="Times New Roman" w:cs="Times New Roman"/>
        </w:rPr>
        <w:fldChar w:fldCharType="end"/>
      </w:r>
      <w:r w:rsidRPr="00014944">
        <w:rPr>
          <w:rFonts w:ascii="Times New Roman" w:hAnsi="Times New Roman" w:cs="Times New Roman"/>
        </w:rPr>
        <w:t xml:space="preserve">. This resulted in the overall removal of 0.19% of trials. We then fitted the DDM (Ratcliff &amp; </w:t>
      </w:r>
      <w:proofErr w:type="spellStart"/>
      <w:r w:rsidRPr="00014944">
        <w:rPr>
          <w:rFonts w:ascii="Times New Roman" w:hAnsi="Times New Roman" w:cs="Times New Roman"/>
        </w:rPr>
        <w:t>McKoon</w:t>
      </w:r>
      <w:proofErr w:type="spellEnd"/>
      <w:r w:rsidRPr="00014944">
        <w:rPr>
          <w:rFonts w:ascii="Times New Roman" w:hAnsi="Times New Roman" w:cs="Times New Roman"/>
        </w:rPr>
        <w:t>, 2008) to accuracy and speed data from responses on the VBDM task</w:t>
      </w:r>
      <w:r w:rsidR="0011194E">
        <w:rPr>
          <w:rFonts w:ascii="Times New Roman" w:hAnsi="Times New Roman" w:cs="Times New Roman"/>
        </w:rPr>
        <w:t xml:space="preserve">, using the </w:t>
      </w:r>
      <w:r w:rsidRPr="00014944">
        <w:rPr>
          <w:rFonts w:ascii="Times New Roman" w:hAnsi="Times New Roman" w:cs="Times New Roman"/>
        </w:rPr>
        <w:t>EZ method (</w:t>
      </w:r>
      <w:proofErr w:type="spellStart"/>
      <w:r w:rsidRPr="00014944">
        <w:rPr>
          <w:rFonts w:ascii="Times New Roman" w:hAnsi="Times New Roman" w:cs="Times New Roman"/>
        </w:rPr>
        <w:t>Wagenmakers</w:t>
      </w:r>
      <w:proofErr w:type="spellEnd"/>
      <w:r w:rsidR="0011194E">
        <w:rPr>
          <w:rFonts w:ascii="Times New Roman" w:hAnsi="Times New Roman" w:cs="Times New Roman"/>
        </w:rPr>
        <w:t xml:space="preserve"> et al.</w:t>
      </w:r>
      <w:r w:rsidRPr="00014944">
        <w:rPr>
          <w:rFonts w:ascii="Times New Roman" w:hAnsi="Times New Roman" w:cs="Times New Roman"/>
        </w:rPr>
        <w:t>, 2007</w:t>
      </w:r>
      <w:r w:rsidR="0011194E">
        <w:rPr>
          <w:rFonts w:ascii="Times New Roman" w:hAnsi="Times New Roman" w:cs="Times New Roman"/>
        </w:rPr>
        <w:t>)</w:t>
      </w:r>
      <w:r w:rsidRPr="00014944">
        <w:rPr>
          <w:rFonts w:ascii="Times New Roman" w:hAnsi="Times New Roman" w:cs="Times New Roman"/>
        </w:rPr>
        <w:t>. This simplified version of the DDM takes the mean correct response time, variance of correct response, and response accuracy as input and produces three key parameters which are: drift rate (</w:t>
      </w:r>
      <w:r w:rsidRPr="00014944">
        <w:rPr>
          <w:rFonts w:ascii="Times New Roman" w:hAnsi="Times New Roman" w:cs="Times New Roman"/>
          <w:i/>
        </w:rPr>
        <w:t>v</w:t>
      </w:r>
      <w:r w:rsidRPr="00014944">
        <w:rPr>
          <w:rFonts w:ascii="Times New Roman" w:hAnsi="Times New Roman" w:cs="Times New Roman"/>
        </w:rPr>
        <w:t>), boundary separation (</w:t>
      </w:r>
      <w:r w:rsidRPr="00014944">
        <w:rPr>
          <w:rFonts w:ascii="Times New Roman" w:hAnsi="Times New Roman" w:cs="Times New Roman"/>
          <w:i/>
        </w:rPr>
        <w:t>a</w:t>
      </w:r>
      <w:r w:rsidRPr="00014944">
        <w:rPr>
          <w:rFonts w:ascii="Times New Roman" w:hAnsi="Times New Roman" w:cs="Times New Roman"/>
        </w:rPr>
        <w:t>), and non-decision time (</w:t>
      </w:r>
      <w:r w:rsidRPr="00014944">
        <w:rPr>
          <w:rFonts w:ascii="Times New Roman" w:hAnsi="Times New Roman" w:cs="Times New Roman"/>
          <w:i/>
        </w:rPr>
        <w:t>T</w:t>
      </w:r>
      <w:r w:rsidRPr="00014944">
        <w:rPr>
          <w:rFonts w:ascii="Times New Roman" w:hAnsi="Times New Roman" w:cs="Times New Roman"/>
          <w:i/>
          <w:vertAlign w:val="subscript"/>
        </w:rPr>
        <w:t>er</w:t>
      </w:r>
      <w:r w:rsidRPr="00014944">
        <w:rPr>
          <w:rFonts w:ascii="Times New Roman" w:hAnsi="Times New Roman" w:cs="Times New Roman"/>
        </w:rPr>
        <w:t>). We estimated the parameters (EA rates and response thresholds) for each of the experimental conditions, for each difficulty level, and for each image type separately (see Appendix C for analyses on difficulty levels in isolation).</w:t>
      </w:r>
    </w:p>
    <w:p w14:paraId="685B5C82" w14:textId="77777777" w:rsidR="0011194E" w:rsidRPr="00014944" w:rsidRDefault="0011194E" w:rsidP="0011194E">
      <w:pPr>
        <w:pStyle w:val="NoSpacing"/>
        <w:spacing w:line="480" w:lineRule="auto"/>
        <w:rPr>
          <w:rFonts w:ascii="Times New Roman" w:hAnsi="Times New Roman" w:cs="Times New Roman"/>
        </w:rPr>
      </w:pPr>
    </w:p>
    <w:p w14:paraId="49FF303E" w14:textId="1753AF39" w:rsidR="0011194E" w:rsidRDefault="0011194E" w:rsidP="0011194E">
      <w:pPr>
        <w:pStyle w:val="NoSpacing"/>
        <w:spacing w:line="480" w:lineRule="auto"/>
        <w:rPr>
          <w:rFonts w:ascii="Times New Roman" w:hAnsi="Times New Roman" w:cs="Times New Roman"/>
        </w:rPr>
      </w:pPr>
      <w:r w:rsidRPr="0011194E">
        <w:rPr>
          <w:rFonts w:ascii="Times New Roman" w:hAnsi="Times New Roman" w:cs="Times New Roman"/>
        </w:rPr>
        <w:lastRenderedPageBreak/>
        <w:t xml:space="preserve">Paired samples (one-tailed) </w:t>
      </w:r>
      <w:r w:rsidRPr="0011194E">
        <w:rPr>
          <w:rFonts w:ascii="Times New Roman" w:hAnsi="Times New Roman" w:cs="Times New Roman"/>
          <w:i/>
        </w:rPr>
        <w:t>t</w:t>
      </w:r>
      <w:r w:rsidRPr="0011194E">
        <w:rPr>
          <w:rFonts w:ascii="Times New Roman" w:hAnsi="Times New Roman" w:cs="Times New Roman"/>
        </w:rPr>
        <w:t xml:space="preserve">-tests were used to analyse the data for the core pre-registered hypotheses, supplemented by exploratory repeated-measure ANOVAs to interpret any group differences in VBDM parameters. Non-parametric tests were used for data that were not approximately normally distributed. Statistical analyses were conducted in RStudio version 4.0.2 (R Core Team, 2020). </w:t>
      </w:r>
    </w:p>
    <w:p w14:paraId="0075DEE6" w14:textId="77777777" w:rsidR="0011194E" w:rsidRDefault="0011194E" w:rsidP="0011194E">
      <w:pPr>
        <w:pStyle w:val="NoSpacing"/>
        <w:spacing w:line="480" w:lineRule="auto"/>
        <w:rPr>
          <w:rFonts w:ascii="Times New Roman" w:hAnsi="Times New Roman" w:cs="Times New Roman"/>
        </w:rPr>
      </w:pPr>
    </w:p>
    <w:p w14:paraId="0C52F990" w14:textId="0CF2391B" w:rsidR="0011194E" w:rsidRDefault="0011194E" w:rsidP="0011194E">
      <w:pPr>
        <w:pStyle w:val="Heading4"/>
      </w:pPr>
      <w:bookmarkStart w:id="189" w:name="_Toc110629059"/>
      <w:bookmarkStart w:id="190" w:name="_Toc110870967"/>
      <w:r>
        <w:t>4.3. Results</w:t>
      </w:r>
      <w:bookmarkEnd w:id="189"/>
      <w:bookmarkEnd w:id="190"/>
    </w:p>
    <w:p w14:paraId="354837AE" w14:textId="77777777" w:rsidR="0011194E" w:rsidRPr="0011194E" w:rsidRDefault="0011194E" w:rsidP="0011194E">
      <w:pPr>
        <w:pStyle w:val="NoSpacing"/>
        <w:spacing w:line="480" w:lineRule="auto"/>
        <w:rPr>
          <w:rFonts w:ascii="Times New Roman" w:hAnsi="Times New Roman" w:cs="Times New Roman"/>
          <w:b/>
          <w:bCs/>
          <w:iCs/>
        </w:rPr>
      </w:pPr>
      <w:bookmarkStart w:id="191" w:name="_Hlk110614005"/>
      <w:r w:rsidRPr="0011194E">
        <w:rPr>
          <w:rFonts w:ascii="Times New Roman" w:hAnsi="Times New Roman" w:cs="Times New Roman"/>
          <w:b/>
          <w:bCs/>
          <w:iCs/>
        </w:rPr>
        <w:t>Table 4.1</w:t>
      </w:r>
    </w:p>
    <w:p w14:paraId="21691B17" w14:textId="45C7CE9B" w:rsidR="0011194E" w:rsidRDefault="00EB6A55" w:rsidP="0011194E">
      <w:pPr>
        <w:pStyle w:val="NoSpacing"/>
        <w:spacing w:line="480" w:lineRule="auto"/>
        <w:rPr>
          <w:rFonts w:ascii="Times New Roman" w:hAnsi="Times New Roman" w:cs="Times New Roman"/>
          <w:i/>
          <w:iCs/>
        </w:rPr>
      </w:pPr>
      <w:r w:rsidRPr="00EB6A55">
        <w:rPr>
          <w:rFonts w:ascii="Times New Roman" w:hAnsi="Times New Roman" w:cs="Times New Roman"/>
          <w:i/>
          <w:iCs/>
        </w:rPr>
        <w:t>Descriptive statistics of the sample (values represent the mean, standard deviation, and range). All but two people (94.44% of the sample) were hazardous or harmful drinkers (AUDIT &gt; 7)</w:t>
      </w:r>
    </w:p>
    <w:bookmarkEnd w:id="191"/>
    <w:tbl>
      <w:tblPr>
        <w:tblStyle w:val="TableGrid"/>
        <w:tblW w:w="0" w:type="auto"/>
        <w:tblLook w:val="04A0" w:firstRow="1" w:lastRow="0" w:firstColumn="1" w:lastColumn="0" w:noHBand="0" w:noVBand="1"/>
      </w:tblPr>
      <w:tblGrid>
        <w:gridCol w:w="4455"/>
        <w:gridCol w:w="4455"/>
      </w:tblGrid>
      <w:tr w:rsidR="0011194E" w:rsidRPr="0011194E" w14:paraId="1681B5E2" w14:textId="77777777" w:rsidTr="0011194E">
        <w:trPr>
          <w:trHeight w:val="480"/>
        </w:trPr>
        <w:tc>
          <w:tcPr>
            <w:tcW w:w="4455" w:type="dxa"/>
            <w:tcBorders>
              <w:top w:val="single" w:sz="18" w:space="0" w:color="auto"/>
              <w:left w:val="nil"/>
              <w:bottom w:val="single" w:sz="18" w:space="0" w:color="auto"/>
              <w:right w:val="nil"/>
            </w:tcBorders>
          </w:tcPr>
          <w:p w14:paraId="5D3610E8" w14:textId="77777777" w:rsidR="0011194E" w:rsidRPr="0011194E" w:rsidRDefault="0011194E" w:rsidP="0011194E">
            <w:pPr>
              <w:pStyle w:val="NoSpacing"/>
              <w:rPr>
                <w:rFonts w:ascii="Times New Roman" w:hAnsi="Times New Roman" w:cs="Times New Roman"/>
              </w:rPr>
            </w:pPr>
          </w:p>
        </w:tc>
        <w:tc>
          <w:tcPr>
            <w:tcW w:w="4455" w:type="dxa"/>
            <w:tcBorders>
              <w:top w:val="single" w:sz="18" w:space="0" w:color="auto"/>
              <w:left w:val="nil"/>
              <w:bottom w:val="single" w:sz="18" w:space="0" w:color="auto"/>
              <w:right w:val="nil"/>
            </w:tcBorders>
          </w:tcPr>
          <w:p w14:paraId="7E3370F7"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Mean (SD, range)</w:t>
            </w:r>
          </w:p>
        </w:tc>
      </w:tr>
      <w:tr w:rsidR="0011194E" w:rsidRPr="0011194E" w14:paraId="614C066E" w14:textId="77777777" w:rsidTr="0011194E">
        <w:trPr>
          <w:trHeight w:val="507"/>
        </w:trPr>
        <w:tc>
          <w:tcPr>
            <w:tcW w:w="4455" w:type="dxa"/>
            <w:tcBorders>
              <w:top w:val="single" w:sz="18" w:space="0" w:color="auto"/>
              <w:left w:val="nil"/>
              <w:bottom w:val="nil"/>
              <w:right w:val="nil"/>
            </w:tcBorders>
          </w:tcPr>
          <w:p w14:paraId="092B6636" w14:textId="77777777" w:rsidR="0011194E" w:rsidRPr="0011194E" w:rsidRDefault="0011194E" w:rsidP="0011194E">
            <w:pPr>
              <w:pStyle w:val="NoSpacing"/>
              <w:rPr>
                <w:rFonts w:ascii="Times New Roman" w:hAnsi="Times New Roman" w:cs="Times New Roman"/>
              </w:rPr>
            </w:pPr>
            <w:r w:rsidRPr="0011194E">
              <w:rPr>
                <w:rFonts w:ascii="Times New Roman" w:hAnsi="Times New Roman" w:cs="Times New Roman"/>
              </w:rPr>
              <w:t>Age</w:t>
            </w:r>
          </w:p>
        </w:tc>
        <w:tc>
          <w:tcPr>
            <w:tcW w:w="4455" w:type="dxa"/>
            <w:tcBorders>
              <w:top w:val="single" w:sz="18" w:space="0" w:color="auto"/>
              <w:left w:val="nil"/>
              <w:bottom w:val="nil"/>
              <w:right w:val="nil"/>
            </w:tcBorders>
          </w:tcPr>
          <w:p w14:paraId="60FCE78D"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26.11 (10.84, 18-62)</w:t>
            </w:r>
          </w:p>
        </w:tc>
      </w:tr>
      <w:tr w:rsidR="0011194E" w:rsidRPr="0011194E" w14:paraId="785C9181" w14:textId="77777777" w:rsidTr="0011194E">
        <w:trPr>
          <w:trHeight w:val="480"/>
        </w:trPr>
        <w:tc>
          <w:tcPr>
            <w:tcW w:w="4455" w:type="dxa"/>
            <w:tcBorders>
              <w:top w:val="nil"/>
              <w:left w:val="nil"/>
              <w:bottom w:val="nil"/>
              <w:right w:val="nil"/>
            </w:tcBorders>
          </w:tcPr>
          <w:p w14:paraId="3C9F8D9E" w14:textId="77777777" w:rsidR="0011194E" w:rsidRPr="0011194E" w:rsidRDefault="0011194E" w:rsidP="0011194E">
            <w:pPr>
              <w:pStyle w:val="NoSpacing"/>
              <w:rPr>
                <w:rFonts w:ascii="Times New Roman" w:hAnsi="Times New Roman" w:cs="Times New Roman"/>
              </w:rPr>
            </w:pPr>
            <w:r w:rsidRPr="0011194E">
              <w:rPr>
                <w:rFonts w:ascii="Times New Roman" w:hAnsi="Times New Roman" w:cs="Times New Roman"/>
              </w:rPr>
              <w:t>BSCS</w:t>
            </w:r>
          </w:p>
        </w:tc>
        <w:tc>
          <w:tcPr>
            <w:tcW w:w="4455" w:type="dxa"/>
            <w:tcBorders>
              <w:top w:val="nil"/>
              <w:left w:val="nil"/>
              <w:bottom w:val="nil"/>
              <w:right w:val="nil"/>
            </w:tcBorders>
          </w:tcPr>
          <w:p w14:paraId="5008B034"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39.47 (7.60, 25-53)</w:t>
            </w:r>
          </w:p>
        </w:tc>
      </w:tr>
      <w:tr w:rsidR="0011194E" w:rsidRPr="0011194E" w14:paraId="5080A267" w14:textId="77777777" w:rsidTr="0011194E">
        <w:trPr>
          <w:trHeight w:val="507"/>
        </w:trPr>
        <w:tc>
          <w:tcPr>
            <w:tcW w:w="4455" w:type="dxa"/>
            <w:tcBorders>
              <w:top w:val="nil"/>
              <w:left w:val="nil"/>
              <w:bottom w:val="nil"/>
              <w:right w:val="nil"/>
            </w:tcBorders>
          </w:tcPr>
          <w:p w14:paraId="1247012B" w14:textId="77777777" w:rsidR="0011194E" w:rsidRPr="0011194E" w:rsidRDefault="0011194E" w:rsidP="0011194E">
            <w:pPr>
              <w:pStyle w:val="NoSpacing"/>
              <w:rPr>
                <w:rFonts w:ascii="Times New Roman" w:hAnsi="Times New Roman" w:cs="Times New Roman"/>
              </w:rPr>
            </w:pPr>
            <w:r w:rsidRPr="0011194E">
              <w:rPr>
                <w:rFonts w:ascii="Times New Roman" w:hAnsi="Times New Roman" w:cs="Times New Roman"/>
              </w:rPr>
              <w:t xml:space="preserve">AUDIT </w:t>
            </w:r>
          </w:p>
        </w:tc>
        <w:tc>
          <w:tcPr>
            <w:tcW w:w="4455" w:type="dxa"/>
            <w:tcBorders>
              <w:top w:val="nil"/>
              <w:left w:val="nil"/>
              <w:bottom w:val="nil"/>
              <w:right w:val="nil"/>
            </w:tcBorders>
          </w:tcPr>
          <w:p w14:paraId="49049979"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13.75 (4.80, 6-23)</w:t>
            </w:r>
          </w:p>
        </w:tc>
      </w:tr>
      <w:tr w:rsidR="0011194E" w:rsidRPr="0011194E" w14:paraId="49010F3C" w14:textId="77777777" w:rsidTr="0011194E">
        <w:trPr>
          <w:trHeight w:val="480"/>
        </w:trPr>
        <w:tc>
          <w:tcPr>
            <w:tcW w:w="4455" w:type="dxa"/>
            <w:tcBorders>
              <w:top w:val="nil"/>
              <w:left w:val="nil"/>
              <w:bottom w:val="nil"/>
              <w:right w:val="nil"/>
            </w:tcBorders>
          </w:tcPr>
          <w:p w14:paraId="71E33563" w14:textId="77777777" w:rsidR="0011194E" w:rsidRPr="0011194E" w:rsidRDefault="0011194E" w:rsidP="0011194E">
            <w:pPr>
              <w:pStyle w:val="NoSpacing"/>
              <w:rPr>
                <w:rFonts w:ascii="Times New Roman" w:hAnsi="Times New Roman" w:cs="Times New Roman"/>
              </w:rPr>
            </w:pPr>
            <w:r w:rsidRPr="0011194E">
              <w:rPr>
                <w:rFonts w:ascii="Times New Roman" w:hAnsi="Times New Roman" w:cs="Times New Roman"/>
              </w:rPr>
              <w:t>Intensity</w:t>
            </w:r>
          </w:p>
        </w:tc>
        <w:tc>
          <w:tcPr>
            <w:tcW w:w="4455" w:type="dxa"/>
            <w:tcBorders>
              <w:top w:val="nil"/>
              <w:left w:val="nil"/>
              <w:bottom w:val="nil"/>
              <w:right w:val="nil"/>
            </w:tcBorders>
          </w:tcPr>
          <w:p w14:paraId="34840D5A"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6.67 (2.18, 3-10)</w:t>
            </w:r>
          </w:p>
        </w:tc>
      </w:tr>
      <w:tr w:rsidR="0011194E" w:rsidRPr="0011194E" w14:paraId="440F5077" w14:textId="77777777" w:rsidTr="0011194E">
        <w:trPr>
          <w:trHeight w:val="480"/>
        </w:trPr>
        <w:tc>
          <w:tcPr>
            <w:tcW w:w="4455" w:type="dxa"/>
            <w:tcBorders>
              <w:top w:val="nil"/>
              <w:left w:val="nil"/>
              <w:bottom w:val="nil"/>
              <w:right w:val="nil"/>
            </w:tcBorders>
          </w:tcPr>
          <w:p w14:paraId="48B24CF5" w14:textId="77777777" w:rsidR="0011194E" w:rsidRPr="0011194E" w:rsidRDefault="0011194E" w:rsidP="0011194E">
            <w:pPr>
              <w:pStyle w:val="NoSpacing"/>
              <w:rPr>
                <w:rFonts w:ascii="Times New Roman" w:hAnsi="Times New Roman" w:cs="Times New Roman"/>
              </w:rPr>
            </w:pPr>
            <w:proofErr w:type="spellStart"/>
            <w:r w:rsidRPr="0011194E">
              <w:rPr>
                <w:rFonts w:ascii="Times New Roman" w:hAnsi="Times New Roman" w:cs="Times New Roman"/>
              </w:rPr>
              <w:t>O</w:t>
            </w:r>
            <w:r w:rsidRPr="0011194E">
              <w:rPr>
                <w:rFonts w:ascii="Times New Roman" w:hAnsi="Times New Roman" w:cs="Times New Roman"/>
                <w:vertAlign w:val="subscript"/>
              </w:rPr>
              <w:t>max</w:t>
            </w:r>
            <w:proofErr w:type="spellEnd"/>
          </w:p>
        </w:tc>
        <w:tc>
          <w:tcPr>
            <w:tcW w:w="4455" w:type="dxa"/>
            <w:tcBorders>
              <w:top w:val="nil"/>
              <w:left w:val="nil"/>
              <w:bottom w:val="nil"/>
              <w:right w:val="nil"/>
            </w:tcBorders>
          </w:tcPr>
          <w:p w14:paraId="7B3F3CE0"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20.33 (7.53, 3-30)</w:t>
            </w:r>
          </w:p>
        </w:tc>
      </w:tr>
      <w:tr w:rsidR="0011194E" w:rsidRPr="0011194E" w14:paraId="7B66DC01" w14:textId="77777777" w:rsidTr="0011194E">
        <w:trPr>
          <w:trHeight w:val="507"/>
        </w:trPr>
        <w:tc>
          <w:tcPr>
            <w:tcW w:w="4455" w:type="dxa"/>
            <w:tcBorders>
              <w:top w:val="nil"/>
              <w:left w:val="nil"/>
              <w:bottom w:val="single" w:sz="18" w:space="0" w:color="auto"/>
              <w:right w:val="nil"/>
            </w:tcBorders>
          </w:tcPr>
          <w:p w14:paraId="1A8EBF12" w14:textId="77777777" w:rsidR="0011194E" w:rsidRPr="0011194E" w:rsidRDefault="0011194E" w:rsidP="0011194E">
            <w:pPr>
              <w:pStyle w:val="NoSpacing"/>
              <w:rPr>
                <w:rFonts w:ascii="Times New Roman" w:hAnsi="Times New Roman" w:cs="Times New Roman"/>
              </w:rPr>
            </w:pPr>
            <w:r w:rsidRPr="0011194E">
              <w:rPr>
                <w:rFonts w:ascii="Times New Roman" w:hAnsi="Times New Roman" w:cs="Times New Roman"/>
              </w:rPr>
              <w:t>Breakpoint</w:t>
            </w:r>
          </w:p>
        </w:tc>
        <w:tc>
          <w:tcPr>
            <w:tcW w:w="4455" w:type="dxa"/>
            <w:tcBorders>
              <w:top w:val="nil"/>
              <w:left w:val="nil"/>
              <w:bottom w:val="single" w:sz="18" w:space="0" w:color="auto"/>
              <w:right w:val="nil"/>
            </w:tcBorders>
          </w:tcPr>
          <w:p w14:paraId="7144E735" w14:textId="7777777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rPr>
              <w:t>6.24 (2.36, 3-15)</w:t>
            </w:r>
          </w:p>
        </w:tc>
      </w:tr>
    </w:tbl>
    <w:p w14:paraId="3EDF9595" w14:textId="2A192074" w:rsidR="0011194E" w:rsidRPr="0011194E" w:rsidRDefault="0011194E" w:rsidP="0011194E">
      <w:pPr>
        <w:pStyle w:val="NoSpacing"/>
        <w:spacing w:line="480" w:lineRule="auto"/>
        <w:rPr>
          <w:rFonts w:ascii="Times New Roman" w:hAnsi="Times New Roman" w:cs="Times New Roman"/>
        </w:rPr>
      </w:pPr>
      <w:r w:rsidRPr="0011194E">
        <w:rPr>
          <w:rFonts w:ascii="Times New Roman" w:hAnsi="Times New Roman" w:cs="Times New Roman"/>
          <w:i/>
          <w:iCs/>
        </w:rPr>
        <w:t>Note.</w:t>
      </w:r>
      <w:r w:rsidRPr="0011194E">
        <w:rPr>
          <w:rFonts w:ascii="Times New Roman" w:hAnsi="Times New Roman" w:cs="Times New Roman"/>
        </w:rPr>
        <w:t xml:space="preserve"> BSCS refers to brief self-control scale (possible range of values: 13 to 65). AUDIT refers to the </w:t>
      </w:r>
      <w:r>
        <w:rPr>
          <w:rFonts w:ascii="Times New Roman" w:hAnsi="Times New Roman" w:cs="Times New Roman"/>
        </w:rPr>
        <w:t>A</w:t>
      </w:r>
      <w:r w:rsidRPr="0011194E">
        <w:rPr>
          <w:rFonts w:ascii="Times New Roman" w:hAnsi="Times New Roman" w:cs="Times New Roman"/>
        </w:rPr>
        <w:t xml:space="preserve">lcohol </w:t>
      </w:r>
      <w:r>
        <w:rPr>
          <w:rFonts w:ascii="Times New Roman" w:hAnsi="Times New Roman" w:cs="Times New Roman"/>
        </w:rPr>
        <w:t>U</w:t>
      </w:r>
      <w:r w:rsidRPr="0011194E">
        <w:rPr>
          <w:rFonts w:ascii="Times New Roman" w:hAnsi="Times New Roman" w:cs="Times New Roman"/>
        </w:rPr>
        <w:t xml:space="preserve">se </w:t>
      </w:r>
      <w:r>
        <w:rPr>
          <w:rFonts w:ascii="Times New Roman" w:hAnsi="Times New Roman" w:cs="Times New Roman"/>
        </w:rPr>
        <w:t>D</w:t>
      </w:r>
      <w:r w:rsidRPr="0011194E">
        <w:rPr>
          <w:rFonts w:ascii="Times New Roman" w:hAnsi="Times New Roman" w:cs="Times New Roman"/>
        </w:rPr>
        <w:t xml:space="preserve">isorders </w:t>
      </w:r>
      <w:r>
        <w:rPr>
          <w:rFonts w:ascii="Times New Roman" w:hAnsi="Times New Roman" w:cs="Times New Roman"/>
        </w:rPr>
        <w:t>I</w:t>
      </w:r>
      <w:r w:rsidRPr="0011194E">
        <w:rPr>
          <w:rFonts w:ascii="Times New Roman" w:hAnsi="Times New Roman" w:cs="Times New Roman"/>
        </w:rPr>
        <w:t xml:space="preserve">dentification </w:t>
      </w:r>
      <w:r>
        <w:rPr>
          <w:rFonts w:ascii="Times New Roman" w:hAnsi="Times New Roman" w:cs="Times New Roman"/>
        </w:rPr>
        <w:t>T</w:t>
      </w:r>
      <w:r w:rsidRPr="0011194E">
        <w:rPr>
          <w:rFonts w:ascii="Times New Roman" w:hAnsi="Times New Roman" w:cs="Times New Roman"/>
        </w:rPr>
        <w:t xml:space="preserve">est (possible range of values: 0 to 40). Intensity refers to hypothetical consumption of drinks if they are free (possible range of values: 0-10 drinks). </w:t>
      </w:r>
      <w:proofErr w:type="spellStart"/>
      <w:r w:rsidRPr="0011194E">
        <w:rPr>
          <w:rFonts w:ascii="Times New Roman" w:hAnsi="Times New Roman" w:cs="Times New Roman"/>
        </w:rPr>
        <w:t>O</w:t>
      </w:r>
      <w:r w:rsidRPr="0011194E">
        <w:rPr>
          <w:rFonts w:ascii="Times New Roman" w:hAnsi="Times New Roman" w:cs="Times New Roman"/>
          <w:vertAlign w:val="subscript"/>
        </w:rPr>
        <w:t>max</w:t>
      </w:r>
      <w:proofErr w:type="spellEnd"/>
      <w:r w:rsidRPr="0011194E">
        <w:rPr>
          <w:rFonts w:ascii="Times New Roman" w:hAnsi="Times New Roman" w:cs="Times New Roman"/>
        </w:rPr>
        <w:t xml:space="preserve"> refers to the hypothetical maximum expenditure on alcohol during a drinking occasion (possible range of values: £0 - £30). Breakpoint refers to hypothetical maximum expenditure on a single drink (possible range of values: £0 to £15 or more). </w:t>
      </w:r>
    </w:p>
    <w:p w14:paraId="6667D869" w14:textId="77777777" w:rsidR="0011194E" w:rsidRDefault="0011194E" w:rsidP="0011194E">
      <w:pPr>
        <w:pStyle w:val="NoSpacing"/>
        <w:spacing w:line="480" w:lineRule="auto"/>
        <w:rPr>
          <w:rFonts w:ascii="Times New Roman" w:hAnsi="Times New Roman" w:cs="Times New Roman"/>
          <w:bCs/>
        </w:rPr>
      </w:pPr>
    </w:p>
    <w:p w14:paraId="68A0E803" w14:textId="46F6AD0F" w:rsidR="0011194E" w:rsidRDefault="0011194E" w:rsidP="0011194E">
      <w:pPr>
        <w:pStyle w:val="NoSpacing"/>
        <w:spacing w:line="480" w:lineRule="auto"/>
        <w:rPr>
          <w:rFonts w:ascii="Times New Roman" w:hAnsi="Times New Roman" w:cs="Times New Roman"/>
          <w:bCs/>
        </w:rPr>
      </w:pPr>
      <w:r w:rsidRPr="0011194E">
        <w:rPr>
          <w:rFonts w:ascii="Times New Roman" w:hAnsi="Times New Roman" w:cs="Times New Roman"/>
          <w:bCs/>
        </w:rPr>
        <w:t>See Table 4.1 for descriptive statistics.</w:t>
      </w:r>
    </w:p>
    <w:p w14:paraId="0059EAA6" w14:textId="148B9FC0" w:rsidR="0011194E" w:rsidRDefault="0011194E" w:rsidP="0011194E">
      <w:pPr>
        <w:pStyle w:val="NoSpacing"/>
        <w:spacing w:line="480" w:lineRule="auto"/>
        <w:rPr>
          <w:rFonts w:ascii="Times New Roman" w:hAnsi="Times New Roman" w:cs="Times New Roman"/>
          <w:bCs/>
        </w:rPr>
      </w:pPr>
    </w:p>
    <w:p w14:paraId="77CEE0BA" w14:textId="77777777" w:rsidR="0011194E" w:rsidRPr="0011194E" w:rsidRDefault="0011194E" w:rsidP="0011194E">
      <w:pPr>
        <w:pStyle w:val="NoSpacing"/>
        <w:spacing w:line="480" w:lineRule="auto"/>
        <w:rPr>
          <w:rFonts w:ascii="Times New Roman" w:hAnsi="Times New Roman" w:cs="Times New Roman"/>
          <w:b/>
          <w:bCs/>
        </w:rPr>
      </w:pPr>
      <w:r w:rsidRPr="0011194E">
        <w:rPr>
          <w:rFonts w:ascii="Times New Roman" w:hAnsi="Times New Roman" w:cs="Times New Roman"/>
          <w:b/>
          <w:bCs/>
        </w:rPr>
        <w:t>Effects of video manipulation on AAAQ scores (Figures 4.3 and 4.4)</w:t>
      </w:r>
    </w:p>
    <w:p w14:paraId="569042B2" w14:textId="4C79F1B1" w:rsidR="0011194E" w:rsidRPr="0011194E" w:rsidRDefault="0011194E" w:rsidP="0011194E">
      <w:pPr>
        <w:pStyle w:val="NoSpacing"/>
        <w:spacing w:line="480" w:lineRule="auto"/>
        <w:rPr>
          <w:rFonts w:ascii="Times New Roman" w:hAnsi="Times New Roman" w:cs="Times New Roman"/>
          <w:bCs/>
        </w:rPr>
      </w:pPr>
      <w:r w:rsidRPr="0011194E">
        <w:rPr>
          <w:rFonts w:ascii="Times New Roman" w:hAnsi="Times New Roman" w:cs="Times New Roman"/>
          <w:bCs/>
        </w:rPr>
        <w:t xml:space="preserve">AAAQ ratings were analysed using a three-way repeated measures ANOVA with subscale (3: inclined-indulgent; obsessed-compelled; resolved-regulated), time (2: before video; after video), and experimental condition (2: alcohol value; alcohol devalue) as within-subject variables. There was a significant three-way interaction between subscale, time, and condition, </w:t>
      </w:r>
      <w:proofErr w:type="gramStart"/>
      <w:r w:rsidRPr="0011194E">
        <w:rPr>
          <w:rFonts w:ascii="Times New Roman" w:hAnsi="Times New Roman" w:cs="Times New Roman"/>
          <w:bCs/>
          <w:i/>
          <w:iCs/>
        </w:rPr>
        <w:t>F</w:t>
      </w:r>
      <w:r w:rsidRPr="0011194E">
        <w:rPr>
          <w:rFonts w:ascii="Times New Roman" w:hAnsi="Times New Roman" w:cs="Times New Roman"/>
          <w:bCs/>
        </w:rPr>
        <w:t>(</w:t>
      </w:r>
      <w:proofErr w:type="gramEnd"/>
      <w:r w:rsidRPr="0011194E">
        <w:rPr>
          <w:rFonts w:ascii="Times New Roman" w:hAnsi="Times New Roman" w:cs="Times New Roman"/>
          <w:bCs/>
        </w:rPr>
        <w:t xml:space="preserve">1.65, 57.60) = 42.68, </w:t>
      </w:r>
      <w:r w:rsidRPr="0011194E">
        <w:rPr>
          <w:rFonts w:ascii="Times New Roman" w:hAnsi="Times New Roman" w:cs="Times New Roman"/>
          <w:bCs/>
          <w:i/>
        </w:rPr>
        <w:t>p</w:t>
      </w:r>
      <w:r w:rsidRPr="0011194E">
        <w:rPr>
          <w:rFonts w:ascii="Times New Roman" w:hAnsi="Times New Roman" w:cs="Times New Roman"/>
          <w:bCs/>
        </w:rPr>
        <w:t xml:space="preserve"> &lt; .001, η</w:t>
      </w:r>
      <w:r w:rsidRPr="0011194E">
        <w:rPr>
          <w:rFonts w:ascii="Times New Roman" w:hAnsi="Times New Roman" w:cs="Times New Roman"/>
          <w:bCs/>
          <w:vertAlign w:val="subscript"/>
        </w:rPr>
        <w:t>p</w:t>
      </w:r>
      <w:r w:rsidRPr="0011194E">
        <w:rPr>
          <w:rFonts w:ascii="Times New Roman" w:hAnsi="Times New Roman" w:cs="Times New Roman"/>
          <w:bCs/>
          <w:vertAlign w:val="superscript"/>
        </w:rPr>
        <w:t xml:space="preserve">2  </w:t>
      </w:r>
      <w:r w:rsidRPr="0011194E">
        <w:rPr>
          <w:rFonts w:ascii="Times New Roman" w:hAnsi="Times New Roman" w:cs="Times New Roman"/>
          <w:bCs/>
        </w:rPr>
        <w:t xml:space="preserve">= .55. To examine this interaction further, subsequent two-way ANOVAs were conducted on each subscale separately, followed by </w:t>
      </w:r>
      <w:r>
        <w:rPr>
          <w:rFonts w:ascii="Times New Roman" w:hAnsi="Times New Roman" w:cs="Times New Roman"/>
          <w:bCs/>
        </w:rPr>
        <w:t>post-hoc tests</w:t>
      </w:r>
      <w:r w:rsidRPr="0011194E">
        <w:rPr>
          <w:rFonts w:ascii="Times New Roman" w:hAnsi="Times New Roman" w:cs="Times New Roman"/>
          <w:bCs/>
        </w:rPr>
        <w:t xml:space="preserve"> </w:t>
      </w:r>
      <w:bookmarkStart w:id="192" w:name="_Hlk108714379"/>
      <w:r w:rsidRPr="0011194E">
        <w:rPr>
          <w:rFonts w:ascii="Times New Roman" w:hAnsi="Times New Roman" w:cs="Times New Roman"/>
          <w:bCs/>
        </w:rPr>
        <w:t xml:space="preserve">(applying </w:t>
      </w:r>
      <w:proofErr w:type="spellStart"/>
      <w:r w:rsidRPr="00B85248">
        <w:rPr>
          <w:rFonts w:ascii="Times New Roman" w:hAnsi="Times New Roman" w:cs="Times New Roman"/>
          <w:bCs/>
        </w:rPr>
        <w:t>Bonferonni</w:t>
      </w:r>
      <w:proofErr w:type="spellEnd"/>
      <w:r w:rsidRPr="00B85248">
        <w:rPr>
          <w:rFonts w:ascii="Times New Roman" w:hAnsi="Times New Roman" w:cs="Times New Roman"/>
          <w:bCs/>
        </w:rPr>
        <w:t>-Holm</w:t>
      </w:r>
      <w:r w:rsidRPr="0011194E">
        <w:rPr>
          <w:rFonts w:ascii="Times New Roman" w:hAnsi="Times New Roman" w:cs="Times New Roman"/>
          <w:bCs/>
        </w:rPr>
        <w:t xml:space="preserve"> correction to </w:t>
      </w:r>
      <w:r w:rsidRPr="0011194E">
        <w:rPr>
          <w:rFonts w:ascii="Times New Roman" w:hAnsi="Times New Roman" w:cs="Times New Roman"/>
          <w:bCs/>
          <w:i/>
          <w:iCs/>
        </w:rPr>
        <w:t>p</w:t>
      </w:r>
      <w:r w:rsidRPr="0011194E">
        <w:rPr>
          <w:rFonts w:ascii="Times New Roman" w:hAnsi="Times New Roman" w:cs="Times New Roman"/>
          <w:bCs/>
        </w:rPr>
        <w:t>-values for multiple comparisons).</w:t>
      </w:r>
      <w:bookmarkEnd w:id="192"/>
      <w:r w:rsidRPr="0011194E">
        <w:rPr>
          <w:rFonts w:ascii="Times New Roman" w:hAnsi="Times New Roman" w:cs="Times New Roman"/>
          <w:bCs/>
        </w:rPr>
        <w:t xml:space="preserve"> These analyses revealed a significant interaction between time and experimental condition for all three subscales (inclined-indulgent, </w:t>
      </w:r>
      <w:proofErr w:type="gramStart"/>
      <w:r w:rsidRPr="0011194E">
        <w:rPr>
          <w:rFonts w:ascii="Times New Roman" w:hAnsi="Times New Roman" w:cs="Times New Roman"/>
          <w:bCs/>
          <w:i/>
          <w:iCs/>
        </w:rPr>
        <w:t>F</w:t>
      </w:r>
      <w:r w:rsidRPr="0011194E">
        <w:rPr>
          <w:rFonts w:ascii="Times New Roman" w:hAnsi="Times New Roman" w:cs="Times New Roman"/>
          <w:bCs/>
        </w:rPr>
        <w:t>(</w:t>
      </w:r>
      <w:proofErr w:type="gramEnd"/>
      <w:r w:rsidRPr="0011194E">
        <w:rPr>
          <w:rFonts w:ascii="Times New Roman" w:hAnsi="Times New Roman" w:cs="Times New Roman"/>
          <w:bCs/>
        </w:rPr>
        <w:t xml:space="preserve">1, 35) = 35.19, </w:t>
      </w:r>
      <w:r w:rsidRPr="0011194E">
        <w:rPr>
          <w:rFonts w:ascii="Times New Roman" w:hAnsi="Times New Roman" w:cs="Times New Roman"/>
          <w:bCs/>
          <w:i/>
        </w:rPr>
        <w:t>p</w:t>
      </w:r>
      <w:r w:rsidRPr="0011194E">
        <w:rPr>
          <w:rFonts w:ascii="Times New Roman" w:hAnsi="Times New Roman" w:cs="Times New Roman"/>
          <w:bCs/>
        </w:rPr>
        <w:t xml:space="preserve"> &lt; .001, η</w:t>
      </w:r>
      <w:r w:rsidRPr="0011194E">
        <w:rPr>
          <w:rFonts w:ascii="Times New Roman" w:hAnsi="Times New Roman" w:cs="Times New Roman"/>
          <w:bCs/>
          <w:vertAlign w:val="subscript"/>
        </w:rPr>
        <w:t>p</w:t>
      </w:r>
      <w:r w:rsidRPr="0011194E">
        <w:rPr>
          <w:rFonts w:ascii="Times New Roman" w:hAnsi="Times New Roman" w:cs="Times New Roman"/>
          <w:bCs/>
          <w:vertAlign w:val="superscript"/>
        </w:rPr>
        <w:t>2</w:t>
      </w:r>
      <w:r w:rsidRPr="0011194E">
        <w:rPr>
          <w:rFonts w:ascii="Times New Roman" w:hAnsi="Times New Roman" w:cs="Times New Roman"/>
          <w:bCs/>
        </w:rPr>
        <w:t xml:space="preserve"> = .50; obsessed-compelled, </w:t>
      </w:r>
      <w:r w:rsidRPr="0011194E">
        <w:rPr>
          <w:rFonts w:ascii="Times New Roman" w:hAnsi="Times New Roman" w:cs="Times New Roman"/>
          <w:bCs/>
          <w:i/>
          <w:iCs/>
        </w:rPr>
        <w:t>F</w:t>
      </w:r>
      <w:r w:rsidRPr="0011194E">
        <w:rPr>
          <w:rFonts w:ascii="Times New Roman" w:hAnsi="Times New Roman" w:cs="Times New Roman"/>
          <w:bCs/>
        </w:rPr>
        <w:t xml:space="preserve">(1, 35) = 24.80, </w:t>
      </w:r>
      <w:r w:rsidRPr="0011194E">
        <w:rPr>
          <w:rFonts w:ascii="Times New Roman" w:hAnsi="Times New Roman" w:cs="Times New Roman"/>
          <w:bCs/>
          <w:i/>
        </w:rPr>
        <w:t>p</w:t>
      </w:r>
      <w:r w:rsidRPr="0011194E">
        <w:rPr>
          <w:rFonts w:ascii="Times New Roman" w:hAnsi="Times New Roman" w:cs="Times New Roman"/>
          <w:bCs/>
        </w:rPr>
        <w:t xml:space="preserve"> &lt; .001, η</w:t>
      </w:r>
      <w:r w:rsidRPr="0011194E">
        <w:rPr>
          <w:rFonts w:ascii="Times New Roman" w:hAnsi="Times New Roman" w:cs="Times New Roman"/>
          <w:bCs/>
          <w:vertAlign w:val="subscript"/>
        </w:rPr>
        <w:t>p</w:t>
      </w:r>
      <w:r w:rsidRPr="0011194E">
        <w:rPr>
          <w:rFonts w:ascii="Times New Roman" w:hAnsi="Times New Roman" w:cs="Times New Roman"/>
          <w:bCs/>
          <w:vertAlign w:val="superscript"/>
        </w:rPr>
        <w:t>2</w:t>
      </w:r>
      <w:r w:rsidRPr="0011194E">
        <w:rPr>
          <w:rFonts w:ascii="Times New Roman" w:hAnsi="Times New Roman" w:cs="Times New Roman"/>
          <w:bCs/>
        </w:rPr>
        <w:t xml:space="preserve"> = .41; and resolved-regulated, </w:t>
      </w:r>
      <w:r w:rsidRPr="0011194E">
        <w:rPr>
          <w:rFonts w:ascii="Times New Roman" w:hAnsi="Times New Roman" w:cs="Times New Roman"/>
          <w:bCs/>
          <w:i/>
          <w:iCs/>
        </w:rPr>
        <w:t>F</w:t>
      </w:r>
      <w:r w:rsidRPr="0011194E">
        <w:rPr>
          <w:rFonts w:ascii="Times New Roman" w:hAnsi="Times New Roman" w:cs="Times New Roman"/>
          <w:bCs/>
        </w:rPr>
        <w:t xml:space="preserve">(1, 35) = 41.14, </w:t>
      </w:r>
      <w:r w:rsidRPr="0011194E">
        <w:rPr>
          <w:rFonts w:ascii="Times New Roman" w:hAnsi="Times New Roman" w:cs="Times New Roman"/>
          <w:bCs/>
          <w:i/>
        </w:rPr>
        <w:t>p</w:t>
      </w:r>
      <w:r w:rsidRPr="0011194E">
        <w:rPr>
          <w:rFonts w:ascii="Times New Roman" w:hAnsi="Times New Roman" w:cs="Times New Roman"/>
          <w:bCs/>
        </w:rPr>
        <w:t xml:space="preserve"> &lt; .001, η</w:t>
      </w:r>
      <w:r w:rsidRPr="0011194E">
        <w:rPr>
          <w:rFonts w:ascii="Times New Roman" w:hAnsi="Times New Roman" w:cs="Times New Roman"/>
          <w:bCs/>
          <w:vertAlign w:val="subscript"/>
        </w:rPr>
        <w:t>p</w:t>
      </w:r>
      <w:r w:rsidRPr="0011194E">
        <w:rPr>
          <w:rFonts w:ascii="Times New Roman" w:hAnsi="Times New Roman" w:cs="Times New Roman"/>
          <w:bCs/>
          <w:vertAlign w:val="superscript"/>
        </w:rPr>
        <w:t>2</w:t>
      </w:r>
      <w:r w:rsidRPr="0011194E">
        <w:rPr>
          <w:rFonts w:ascii="Times New Roman" w:hAnsi="Times New Roman" w:cs="Times New Roman"/>
          <w:bCs/>
        </w:rPr>
        <w:t xml:space="preserve"> = .54). </w:t>
      </w:r>
      <w:r>
        <w:rPr>
          <w:rFonts w:ascii="Times New Roman" w:hAnsi="Times New Roman" w:cs="Times New Roman"/>
          <w:bCs/>
        </w:rPr>
        <w:t>Post-hoc tests</w:t>
      </w:r>
      <w:r w:rsidRPr="0011194E">
        <w:rPr>
          <w:rFonts w:ascii="Times New Roman" w:hAnsi="Times New Roman" w:cs="Times New Roman"/>
          <w:bCs/>
        </w:rPr>
        <w:t xml:space="preserve"> revealed that in the alcohol devalue condition, after watching the alcohol-negative video scores on the inclined-indulgent and obsessed-compelled subscales decreased compared to before the video (both </w:t>
      </w:r>
      <w:r w:rsidRPr="0011194E">
        <w:rPr>
          <w:rFonts w:ascii="Times New Roman" w:hAnsi="Times New Roman" w:cs="Times New Roman"/>
          <w:bCs/>
          <w:i/>
        </w:rPr>
        <w:t xml:space="preserve">p’s </w:t>
      </w:r>
      <w:r w:rsidRPr="0011194E">
        <w:rPr>
          <w:rFonts w:ascii="Times New Roman" w:hAnsi="Times New Roman" w:cs="Times New Roman"/>
          <w:bCs/>
        </w:rPr>
        <w:t>&lt; .001). Whereas scores on the resolved-regulated subscale increased after watching the video (</w:t>
      </w:r>
      <w:r w:rsidRPr="0011194E">
        <w:rPr>
          <w:rFonts w:ascii="Times New Roman" w:hAnsi="Times New Roman" w:cs="Times New Roman"/>
          <w:bCs/>
          <w:i/>
        </w:rPr>
        <w:t>p</w:t>
      </w:r>
      <w:r w:rsidRPr="0011194E">
        <w:rPr>
          <w:rFonts w:ascii="Times New Roman" w:hAnsi="Times New Roman" w:cs="Times New Roman"/>
          <w:bCs/>
        </w:rPr>
        <w:t xml:space="preserve"> &lt; .001). A different pattern was seen in the alcohol value condition; after participants watched the alcohol-positive video (positive condition) scores on the inclined-indulgent and obsessed-compelled subscales increased (both </w:t>
      </w:r>
      <w:r w:rsidRPr="0011194E">
        <w:rPr>
          <w:rFonts w:ascii="Times New Roman" w:hAnsi="Times New Roman" w:cs="Times New Roman"/>
          <w:bCs/>
          <w:i/>
        </w:rPr>
        <w:t>p’s</w:t>
      </w:r>
      <w:r w:rsidRPr="0011194E">
        <w:rPr>
          <w:rFonts w:ascii="Times New Roman" w:hAnsi="Times New Roman" w:cs="Times New Roman"/>
          <w:bCs/>
        </w:rPr>
        <w:t xml:space="preserve"> &lt; .001). However, there were no significant decreases in scores on the resolved-regulated subscale after watching the positive video (</w:t>
      </w:r>
      <w:r w:rsidRPr="0011194E">
        <w:rPr>
          <w:rFonts w:ascii="Times New Roman" w:hAnsi="Times New Roman" w:cs="Times New Roman"/>
          <w:bCs/>
          <w:i/>
        </w:rPr>
        <w:t>p</w:t>
      </w:r>
      <w:r w:rsidRPr="0011194E">
        <w:rPr>
          <w:rFonts w:ascii="Times New Roman" w:hAnsi="Times New Roman" w:cs="Times New Roman"/>
          <w:bCs/>
        </w:rPr>
        <w:t xml:space="preserve"> = .18). </w:t>
      </w:r>
    </w:p>
    <w:p w14:paraId="775B7BB4" w14:textId="77777777" w:rsidR="0011194E" w:rsidRPr="0011194E" w:rsidRDefault="0011194E" w:rsidP="0011194E">
      <w:pPr>
        <w:pStyle w:val="NoSpacing"/>
        <w:spacing w:line="480" w:lineRule="auto"/>
        <w:rPr>
          <w:rFonts w:ascii="Times New Roman" w:hAnsi="Times New Roman" w:cs="Times New Roman"/>
          <w:bCs/>
        </w:rPr>
      </w:pPr>
    </w:p>
    <w:p w14:paraId="0BA5AED1" w14:textId="4784C780" w:rsidR="0011194E" w:rsidRDefault="0011194E" w:rsidP="0011194E">
      <w:pPr>
        <w:pStyle w:val="NoSpacing"/>
        <w:spacing w:line="480" w:lineRule="auto"/>
        <w:rPr>
          <w:rFonts w:ascii="Times New Roman" w:hAnsi="Times New Roman" w:cs="Times New Roman"/>
          <w:bCs/>
        </w:rPr>
      </w:pPr>
      <w:r w:rsidRPr="0011194E">
        <w:rPr>
          <w:rFonts w:ascii="Times New Roman" w:hAnsi="Times New Roman" w:cs="Times New Roman"/>
          <w:bCs/>
        </w:rPr>
        <w:t xml:space="preserve">To explore differences in each of the subscale scores after watching each of the videos (e.g., the positive video versus the negative video), a two-way ANOVA with subscale (3: inclined-indulgent; obsessed-compelled; resolved-regulated) and experimental condition (2: alcohol value; alcohol devalue) using only scores from after video viewing was conducted. There was </w:t>
      </w:r>
      <w:r w:rsidRPr="0011194E">
        <w:rPr>
          <w:rFonts w:ascii="Times New Roman" w:hAnsi="Times New Roman" w:cs="Times New Roman"/>
          <w:bCs/>
        </w:rPr>
        <w:lastRenderedPageBreak/>
        <w:t xml:space="preserve">a significant interaction between subscale and experimental condition, </w:t>
      </w:r>
      <w:proofErr w:type="gramStart"/>
      <w:r w:rsidRPr="0011194E">
        <w:rPr>
          <w:rFonts w:ascii="Times New Roman" w:hAnsi="Times New Roman" w:cs="Times New Roman"/>
          <w:bCs/>
          <w:i/>
          <w:iCs/>
        </w:rPr>
        <w:t>F</w:t>
      </w:r>
      <w:r w:rsidRPr="0011194E">
        <w:rPr>
          <w:rFonts w:ascii="Times New Roman" w:hAnsi="Times New Roman" w:cs="Times New Roman"/>
          <w:bCs/>
        </w:rPr>
        <w:t>(</w:t>
      </w:r>
      <w:proofErr w:type="gramEnd"/>
      <w:r w:rsidRPr="0011194E">
        <w:rPr>
          <w:rFonts w:ascii="Times New Roman" w:hAnsi="Times New Roman" w:cs="Times New Roman"/>
          <w:bCs/>
        </w:rPr>
        <w:t xml:space="preserve">1.46, 50.94) = 25.22, </w:t>
      </w:r>
      <w:r w:rsidRPr="0011194E">
        <w:rPr>
          <w:rFonts w:ascii="Times New Roman" w:hAnsi="Times New Roman" w:cs="Times New Roman"/>
          <w:bCs/>
          <w:i/>
        </w:rPr>
        <w:t>p</w:t>
      </w:r>
      <w:r w:rsidRPr="0011194E">
        <w:rPr>
          <w:rFonts w:ascii="Times New Roman" w:hAnsi="Times New Roman" w:cs="Times New Roman"/>
          <w:bCs/>
        </w:rPr>
        <w:t xml:space="preserve"> &lt; .001, </w:t>
      </w:r>
      <w:bookmarkStart w:id="193" w:name="_Hlk107938049"/>
      <w:r w:rsidRPr="0011194E">
        <w:rPr>
          <w:rFonts w:ascii="Times New Roman" w:hAnsi="Times New Roman" w:cs="Times New Roman"/>
          <w:bCs/>
        </w:rPr>
        <w:t>η</w:t>
      </w:r>
      <w:r w:rsidRPr="0011194E">
        <w:rPr>
          <w:rFonts w:ascii="Times New Roman" w:hAnsi="Times New Roman" w:cs="Times New Roman"/>
          <w:bCs/>
          <w:vertAlign w:val="subscript"/>
        </w:rPr>
        <w:t>p</w:t>
      </w:r>
      <w:r w:rsidRPr="0011194E">
        <w:rPr>
          <w:rFonts w:ascii="Times New Roman" w:hAnsi="Times New Roman" w:cs="Times New Roman"/>
          <w:bCs/>
          <w:vertAlign w:val="superscript"/>
        </w:rPr>
        <w:t>2</w:t>
      </w:r>
      <w:r w:rsidRPr="0011194E">
        <w:rPr>
          <w:rFonts w:ascii="Times New Roman" w:hAnsi="Times New Roman" w:cs="Times New Roman"/>
          <w:bCs/>
        </w:rPr>
        <w:t xml:space="preserve"> </w:t>
      </w:r>
      <w:bookmarkEnd w:id="193"/>
      <w:r w:rsidRPr="0011194E">
        <w:rPr>
          <w:rFonts w:ascii="Times New Roman" w:hAnsi="Times New Roman" w:cs="Times New Roman"/>
          <w:bCs/>
        </w:rPr>
        <w:t xml:space="preserve">= .42. </w:t>
      </w:r>
      <w:r>
        <w:rPr>
          <w:rFonts w:ascii="Times New Roman" w:hAnsi="Times New Roman" w:cs="Times New Roman"/>
          <w:bCs/>
        </w:rPr>
        <w:t>Post-hoc tests</w:t>
      </w:r>
      <w:r w:rsidRPr="0011194E">
        <w:rPr>
          <w:rFonts w:ascii="Times New Roman" w:hAnsi="Times New Roman" w:cs="Times New Roman"/>
          <w:bCs/>
        </w:rPr>
        <w:t xml:space="preserve"> revealed that scores on the inclined-indulgent and obsessed-compelled subscales were decreased in the alcohol devalue condition after watching the negative video compared to in the alcohol value condition after watching the positive video (</w:t>
      </w:r>
      <w:r w:rsidRPr="0011194E">
        <w:rPr>
          <w:rFonts w:ascii="Times New Roman" w:hAnsi="Times New Roman" w:cs="Times New Roman"/>
          <w:bCs/>
          <w:i/>
        </w:rPr>
        <w:t>p</w:t>
      </w:r>
      <w:r w:rsidRPr="0011194E">
        <w:rPr>
          <w:rFonts w:ascii="Times New Roman" w:hAnsi="Times New Roman" w:cs="Times New Roman"/>
          <w:bCs/>
        </w:rPr>
        <w:t xml:space="preserve"> &lt; .001 and </w:t>
      </w:r>
      <w:r w:rsidRPr="0011194E">
        <w:rPr>
          <w:rFonts w:ascii="Times New Roman" w:hAnsi="Times New Roman" w:cs="Times New Roman"/>
          <w:bCs/>
          <w:i/>
        </w:rPr>
        <w:t>p</w:t>
      </w:r>
      <w:r w:rsidRPr="0011194E">
        <w:rPr>
          <w:rFonts w:ascii="Times New Roman" w:hAnsi="Times New Roman" w:cs="Times New Roman"/>
          <w:bCs/>
        </w:rPr>
        <w:t xml:space="preserve"> = .03, respectively). Scores on the resolved-regulated subscale were increased after watching the negative video (alcohol devalue condition) compared to after watching the positive video (alcohol value condition; </w:t>
      </w:r>
      <w:r w:rsidRPr="0011194E">
        <w:rPr>
          <w:rFonts w:ascii="Times New Roman" w:hAnsi="Times New Roman" w:cs="Times New Roman"/>
          <w:bCs/>
          <w:i/>
        </w:rPr>
        <w:t>p</w:t>
      </w:r>
      <w:r w:rsidRPr="0011194E">
        <w:rPr>
          <w:rFonts w:ascii="Times New Roman" w:hAnsi="Times New Roman" w:cs="Times New Roman"/>
          <w:bCs/>
        </w:rPr>
        <w:t xml:space="preserve"> &lt; .001). These findings are comparable to those reported in Di Lemma et al. (2015).</w:t>
      </w:r>
    </w:p>
    <w:p w14:paraId="4BE64DDE" w14:textId="77777777" w:rsidR="0011194E" w:rsidRPr="0011194E" w:rsidRDefault="0011194E" w:rsidP="0011194E">
      <w:pPr>
        <w:pStyle w:val="NoSpacing"/>
        <w:spacing w:line="480" w:lineRule="auto"/>
        <w:rPr>
          <w:rFonts w:ascii="Times New Roman" w:hAnsi="Times New Roman" w:cs="Times New Roman"/>
          <w:bCs/>
        </w:rPr>
      </w:pPr>
    </w:p>
    <w:p w14:paraId="1D68EFCA" w14:textId="77777777" w:rsidR="0011194E" w:rsidRDefault="0011194E" w:rsidP="0011194E">
      <w:pPr>
        <w:pStyle w:val="NoSpacing"/>
        <w:spacing w:line="480" w:lineRule="auto"/>
        <w:rPr>
          <w:rFonts w:ascii="Times New Roman" w:hAnsi="Times New Roman" w:cs="Times New Roman"/>
          <w:b/>
          <w:bCs/>
        </w:rPr>
      </w:pPr>
      <w:bookmarkStart w:id="194" w:name="_Hlk110614015"/>
      <w:r w:rsidRPr="0011194E">
        <w:rPr>
          <w:rFonts w:ascii="Times New Roman" w:hAnsi="Times New Roman" w:cs="Times New Roman"/>
          <w:b/>
          <w:bCs/>
        </w:rPr>
        <w:t>Figure 4.3</w:t>
      </w:r>
    </w:p>
    <w:p w14:paraId="0CC1C4E8" w14:textId="5DC3EC60" w:rsidR="0011194E" w:rsidRPr="0011194E" w:rsidRDefault="0011194E" w:rsidP="0011194E">
      <w:pPr>
        <w:pStyle w:val="NoSpacing"/>
        <w:spacing w:line="480" w:lineRule="auto"/>
        <w:rPr>
          <w:rFonts w:ascii="Times New Roman" w:hAnsi="Times New Roman" w:cs="Times New Roman"/>
          <w:bCs/>
          <w:i/>
          <w:iCs/>
        </w:rPr>
      </w:pPr>
      <w:r w:rsidRPr="0011194E">
        <w:rPr>
          <w:rFonts w:ascii="Times New Roman" w:hAnsi="Times New Roman" w:cs="Times New Roman"/>
          <w:bCs/>
          <w:i/>
          <w:iCs/>
        </w:rPr>
        <w:t>Mean AAAQ scores before (pre) and after (post) watching the negative video intended to decrease alcohol value</w:t>
      </w:r>
    </w:p>
    <w:bookmarkEnd w:id="194"/>
    <w:p w14:paraId="5A948D28" w14:textId="27056623" w:rsidR="0011194E" w:rsidRPr="0011194E" w:rsidRDefault="0011194E" w:rsidP="0011194E">
      <w:pPr>
        <w:pStyle w:val="NoSpacing"/>
        <w:jc w:val="center"/>
        <w:rPr>
          <w:rFonts w:asciiTheme="majorBidi" w:hAnsiTheme="majorBidi" w:cstheme="majorBidi"/>
        </w:rPr>
      </w:pPr>
      <w:r w:rsidRPr="0011194E">
        <w:rPr>
          <w:rFonts w:asciiTheme="majorBidi" w:hAnsiTheme="majorBidi" w:cstheme="majorBidi"/>
          <w:noProof/>
        </w:rPr>
        <w:drawing>
          <wp:inline distT="0" distB="0" distL="0" distR="0" wp14:anchorId="3AFB69E3" wp14:editId="722EA88C">
            <wp:extent cx="4962525" cy="3459856"/>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228" cy="3461740"/>
                    </a:xfrm>
                    <a:prstGeom prst="rect">
                      <a:avLst/>
                    </a:prstGeom>
                    <a:noFill/>
                  </pic:spPr>
                </pic:pic>
              </a:graphicData>
            </a:graphic>
          </wp:inline>
        </w:drawing>
      </w:r>
    </w:p>
    <w:p w14:paraId="30529D57" w14:textId="77777777" w:rsidR="0011194E" w:rsidRPr="0011194E" w:rsidRDefault="0011194E" w:rsidP="0011194E">
      <w:pPr>
        <w:pStyle w:val="NoSpacing"/>
        <w:spacing w:line="480" w:lineRule="auto"/>
        <w:rPr>
          <w:rFonts w:asciiTheme="majorBidi" w:hAnsiTheme="majorBidi" w:cstheme="majorBidi"/>
        </w:rPr>
      </w:pPr>
      <w:r w:rsidRPr="0011194E">
        <w:rPr>
          <w:rFonts w:asciiTheme="majorBidi" w:hAnsiTheme="majorBidi" w:cstheme="majorBidi"/>
          <w:i/>
          <w:iCs/>
        </w:rPr>
        <w:t>Note.</w:t>
      </w:r>
      <w:r w:rsidRPr="0011194E">
        <w:rPr>
          <w:rFonts w:asciiTheme="majorBidi" w:hAnsiTheme="majorBidi" w:cstheme="majorBidi"/>
        </w:rPr>
        <w:t xml:space="preserve"> Error bars represent the standard error of the mean (SE).</w:t>
      </w:r>
    </w:p>
    <w:p w14:paraId="6ABEDE14" w14:textId="77777777" w:rsidR="0011194E" w:rsidRPr="0011194E" w:rsidRDefault="0011194E" w:rsidP="0011194E">
      <w:pPr>
        <w:pStyle w:val="NoSpacing"/>
        <w:spacing w:line="480" w:lineRule="auto"/>
        <w:rPr>
          <w:rFonts w:asciiTheme="majorBidi" w:hAnsiTheme="majorBidi" w:cstheme="majorBidi"/>
        </w:rPr>
      </w:pPr>
    </w:p>
    <w:p w14:paraId="0427664E" w14:textId="77777777" w:rsidR="0011194E" w:rsidRDefault="0011194E" w:rsidP="0011194E">
      <w:pPr>
        <w:pStyle w:val="NoSpacing"/>
        <w:spacing w:line="480" w:lineRule="auto"/>
        <w:rPr>
          <w:rFonts w:asciiTheme="majorBidi" w:hAnsiTheme="majorBidi" w:cstheme="majorBidi"/>
          <w:b/>
          <w:bCs/>
        </w:rPr>
      </w:pPr>
      <w:bookmarkStart w:id="195" w:name="_Hlk110614022"/>
      <w:r w:rsidRPr="0011194E">
        <w:rPr>
          <w:rFonts w:asciiTheme="majorBidi" w:hAnsiTheme="majorBidi" w:cstheme="majorBidi"/>
          <w:b/>
          <w:bCs/>
        </w:rPr>
        <w:t>Figure 4.4</w:t>
      </w:r>
    </w:p>
    <w:p w14:paraId="1F143D3F" w14:textId="06D154E6" w:rsidR="0011194E" w:rsidRDefault="0011194E" w:rsidP="0011194E">
      <w:pPr>
        <w:pStyle w:val="NoSpacing"/>
        <w:spacing w:line="480" w:lineRule="auto"/>
        <w:rPr>
          <w:rFonts w:asciiTheme="majorBidi" w:hAnsiTheme="majorBidi" w:cstheme="majorBidi"/>
          <w:i/>
          <w:iCs/>
        </w:rPr>
      </w:pPr>
      <w:r w:rsidRPr="0011194E">
        <w:rPr>
          <w:rFonts w:asciiTheme="majorBidi" w:hAnsiTheme="majorBidi" w:cstheme="majorBidi"/>
          <w:i/>
          <w:iCs/>
        </w:rPr>
        <w:lastRenderedPageBreak/>
        <w:t>Mean AAAQ scores before (pre) and after (post) watching the positive video intended to increase alcohol value</w:t>
      </w:r>
    </w:p>
    <w:bookmarkEnd w:id="195"/>
    <w:p w14:paraId="27B2B939" w14:textId="4DEC6757" w:rsidR="0011194E" w:rsidRPr="0011194E" w:rsidRDefault="0011194E" w:rsidP="0011194E">
      <w:pPr>
        <w:pStyle w:val="NoSpacing"/>
        <w:jc w:val="center"/>
        <w:rPr>
          <w:rFonts w:ascii="Times New Roman" w:hAnsi="Times New Roman" w:cs="Times New Roman"/>
        </w:rPr>
      </w:pPr>
      <w:r w:rsidRPr="0011194E">
        <w:rPr>
          <w:rFonts w:ascii="Times New Roman" w:hAnsi="Times New Roman" w:cs="Times New Roman"/>
          <w:noProof/>
        </w:rPr>
        <w:drawing>
          <wp:inline distT="0" distB="0" distL="0" distR="0" wp14:anchorId="63074E6D" wp14:editId="3AF42286">
            <wp:extent cx="4972050" cy="34698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0982" cy="3476039"/>
                    </a:xfrm>
                    <a:prstGeom prst="rect">
                      <a:avLst/>
                    </a:prstGeom>
                    <a:noFill/>
                  </pic:spPr>
                </pic:pic>
              </a:graphicData>
            </a:graphic>
          </wp:inline>
        </w:drawing>
      </w:r>
    </w:p>
    <w:p w14:paraId="18C13E76" w14:textId="77777777" w:rsidR="0011194E" w:rsidRPr="0011194E" w:rsidRDefault="0011194E" w:rsidP="00B71DB9">
      <w:pPr>
        <w:pStyle w:val="NoSpacing"/>
        <w:spacing w:line="480" w:lineRule="auto"/>
        <w:rPr>
          <w:rFonts w:ascii="Times New Roman" w:hAnsi="Times New Roman" w:cs="Times New Roman"/>
        </w:rPr>
      </w:pPr>
      <w:r w:rsidRPr="0011194E">
        <w:rPr>
          <w:rFonts w:ascii="Times New Roman" w:hAnsi="Times New Roman" w:cs="Times New Roman"/>
          <w:i/>
          <w:iCs/>
        </w:rPr>
        <w:t>Note.</w:t>
      </w:r>
      <w:r w:rsidRPr="0011194E">
        <w:rPr>
          <w:rFonts w:ascii="Times New Roman" w:hAnsi="Times New Roman" w:cs="Times New Roman"/>
        </w:rPr>
        <w:t xml:space="preserve"> Error bars represent the standard error of the mean (SE).</w:t>
      </w:r>
    </w:p>
    <w:p w14:paraId="43857DF3" w14:textId="77777777" w:rsidR="0011194E" w:rsidRPr="0011194E" w:rsidRDefault="0011194E" w:rsidP="00B71DB9">
      <w:pPr>
        <w:pStyle w:val="NoSpacing"/>
        <w:spacing w:line="480" w:lineRule="auto"/>
        <w:rPr>
          <w:rFonts w:ascii="Times New Roman" w:hAnsi="Times New Roman" w:cs="Times New Roman"/>
        </w:rPr>
      </w:pPr>
    </w:p>
    <w:p w14:paraId="72F8045A" w14:textId="66366D70" w:rsid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rPr>
        <w:t>Hypothesis 1:</w:t>
      </w:r>
      <w:r w:rsidRPr="00B71DB9">
        <w:rPr>
          <w:rFonts w:ascii="Times New Roman" w:hAnsi="Times New Roman" w:cs="Times New Roman"/>
        </w:rPr>
        <w:t xml:space="preserve"> When participants are primed to value alcohol, they will have increased EA rates and lower response thresholds when choosing between alcohol images compared to when choosing between soft</w:t>
      </w:r>
      <w:r w:rsidR="00BA1F0E">
        <w:rPr>
          <w:rFonts w:ascii="Times New Roman" w:hAnsi="Times New Roman" w:cs="Times New Roman"/>
        </w:rPr>
        <w:t xml:space="preserve"> </w:t>
      </w:r>
      <w:r w:rsidRPr="00B71DB9">
        <w:rPr>
          <w:rFonts w:ascii="Times New Roman" w:hAnsi="Times New Roman" w:cs="Times New Roman"/>
        </w:rPr>
        <w:t>drink images.</w:t>
      </w:r>
    </w:p>
    <w:p w14:paraId="02B190B0" w14:textId="77777777" w:rsidR="00B71DB9" w:rsidRPr="00B71DB9" w:rsidRDefault="00B71DB9" w:rsidP="00B71DB9">
      <w:pPr>
        <w:pStyle w:val="NoSpacing"/>
        <w:spacing w:line="480" w:lineRule="auto"/>
        <w:rPr>
          <w:rFonts w:ascii="Times New Roman" w:hAnsi="Times New Roman" w:cs="Times New Roman"/>
        </w:rPr>
      </w:pPr>
    </w:p>
    <w:p w14:paraId="67E66DB1" w14:textId="22EDD91D" w:rsidR="00B71DB9" w:rsidRDefault="00B71DB9" w:rsidP="00B722FA">
      <w:pPr>
        <w:pStyle w:val="NoSpacing"/>
        <w:spacing w:line="480" w:lineRule="auto"/>
        <w:rPr>
          <w:rFonts w:ascii="Times New Roman" w:hAnsi="Times New Roman" w:cs="Times New Roman"/>
        </w:rPr>
      </w:pPr>
      <w:r w:rsidRPr="00B71DB9">
        <w:rPr>
          <w:rFonts w:ascii="Times New Roman" w:hAnsi="Times New Roman" w:cs="Times New Roman"/>
        </w:rPr>
        <w:t>When participants were primed to value alcohol, there were no significant increases in alcohol EA rates (</w:t>
      </w:r>
      <w:r w:rsidRPr="00B71DB9">
        <w:rPr>
          <w:rFonts w:ascii="Times New Roman" w:hAnsi="Times New Roman" w:cs="Times New Roman"/>
          <w:iCs/>
        </w:rPr>
        <w:t>M</w:t>
      </w:r>
      <w:r w:rsidRPr="00B71DB9">
        <w:rPr>
          <w:rFonts w:ascii="Times New Roman" w:hAnsi="Times New Roman" w:cs="Times New Roman"/>
          <w:i/>
        </w:rPr>
        <w:t xml:space="preserve"> </w:t>
      </w:r>
      <w:r w:rsidRPr="00B71DB9">
        <w:rPr>
          <w:rFonts w:ascii="Times New Roman" w:hAnsi="Times New Roman" w:cs="Times New Roman"/>
        </w:rPr>
        <w:t xml:space="preserve">= 1.89, </w:t>
      </w:r>
      <w:r w:rsidRPr="00B71DB9">
        <w:rPr>
          <w:rFonts w:ascii="Times New Roman" w:hAnsi="Times New Roman" w:cs="Times New Roman"/>
          <w:iCs/>
        </w:rPr>
        <w:t>SD</w:t>
      </w:r>
      <w:r w:rsidRPr="00B71DB9">
        <w:rPr>
          <w:rFonts w:ascii="Times New Roman" w:hAnsi="Times New Roman" w:cs="Times New Roman"/>
        </w:rPr>
        <w:t xml:space="preserve"> = .55) compared to soft</w:t>
      </w:r>
      <w:r w:rsidR="00BA1F0E">
        <w:rPr>
          <w:rFonts w:ascii="Times New Roman" w:hAnsi="Times New Roman" w:cs="Times New Roman"/>
        </w:rPr>
        <w:t xml:space="preserve"> </w:t>
      </w:r>
      <w:r w:rsidRPr="00B71DB9">
        <w:rPr>
          <w:rFonts w:ascii="Times New Roman" w:hAnsi="Times New Roman" w:cs="Times New Roman"/>
        </w:rPr>
        <w:t>drink EA rates (</w:t>
      </w:r>
      <w:r w:rsidRPr="00B71DB9">
        <w:rPr>
          <w:rFonts w:ascii="Times New Roman" w:hAnsi="Times New Roman" w:cs="Times New Roman"/>
          <w:iCs/>
        </w:rPr>
        <w:t xml:space="preserve">M </w:t>
      </w:r>
      <w:r w:rsidRPr="00B71DB9">
        <w:rPr>
          <w:rFonts w:ascii="Times New Roman" w:hAnsi="Times New Roman" w:cs="Times New Roman"/>
        </w:rPr>
        <w:t xml:space="preserve">= 1.89, </w:t>
      </w:r>
      <w:r w:rsidRPr="00B71DB9">
        <w:rPr>
          <w:rFonts w:ascii="Times New Roman" w:hAnsi="Times New Roman" w:cs="Times New Roman"/>
          <w:iCs/>
        </w:rPr>
        <w:t>SD</w:t>
      </w:r>
      <w:r w:rsidRPr="00B71DB9">
        <w:rPr>
          <w:rFonts w:ascii="Times New Roman" w:hAnsi="Times New Roman" w:cs="Times New Roman"/>
        </w:rPr>
        <w:t xml:space="preserve"> = .34),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.07, </w:t>
      </w:r>
      <w:r w:rsidRPr="00B71DB9">
        <w:rPr>
          <w:rFonts w:ascii="Times New Roman" w:hAnsi="Times New Roman" w:cs="Times New Roman"/>
          <w:i/>
        </w:rPr>
        <w:t>p</w:t>
      </w:r>
      <w:r w:rsidRPr="00B71DB9">
        <w:rPr>
          <w:rFonts w:ascii="Times New Roman" w:hAnsi="Times New Roman" w:cs="Times New Roman"/>
        </w:rPr>
        <w:t xml:space="preserve"> = .47, </w:t>
      </w:r>
      <w:r w:rsidRPr="00B71DB9">
        <w:rPr>
          <w:rFonts w:ascii="Times New Roman" w:hAnsi="Times New Roman" w:cs="Times New Roman"/>
          <w:i/>
        </w:rPr>
        <w:t>d</w:t>
      </w:r>
      <w:r w:rsidRPr="00B71DB9">
        <w:rPr>
          <w:rFonts w:ascii="Times New Roman" w:hAnsi="Times New Roman" w:cs="Times New Roman"/>
        </w:rPr>
        <w:t xml:space="preserve"> = .01. Furthermore, there were no significant decreases in alcohol response thresholds (M = 1.64, SD = .39) compared to soft drink thresholds (</w:t>
      </w:r>
      <w:r w:rsidRPr="00B71DB9">
        <w:rPr>
          <w:rFonts w:ascii="Times New Roman" w:hAnsi="Times New Roman" w:cs="Times New Roman"/>
          <w:iCs/>
        </w:rPr>
        <w:t>M</w:t>
      </w:r>
      <w:r w:rsidRPr="00B71DB9">
        <w:rPr>
          <w:rFonts w:ascii="Times New Roman" w:hAnsi="Times New Roman" w:cs="Times New Roman"/>
        </w:rPr>
        <w:t xml:space="preserve"> = 1.63, </w:t>
      </w:r>
      <w:r w:rsidRPr="00B71DB9">
        <w:rPr>
          <w:rFonts w:ascii="Times New Roman" w:hAnsi="Times New Roman" w:cs="Times New Roman"/>
          <w:iCs/>
        </w:rPr>
        <w:t xml:space="preserve">SD </w:t>
      </w:r>
      <w:r w:rsidRPr="00B71DB9">
        <w:rPr>
          <w:rFonts w:ascii="Times New Roman" w:hAnsi="Times New Roman" w:cs="Times New Roman"/>
        </w:rPr>
        <w:t xml:space="preserve">= .36),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.26, </w:t>
      </w:r>
      <w:r w:rsidRPr="00B71DB9">
        <w:rPr>
          <w:rFonts w:ascii="Times New Roman" w:hAnsi="Times New Roman" w:cs="Times New Roman"/>
          <w:i/>
        </w:rPr>
        <w:t>p</w:t>
      </w:r>
      <w:r w:rsidRPr="00B71DB9">
        <w:rPr>
          <w:rFonts w:ascii="Times New Roman" w:hAnsi="Times New Roman" w:cs="Times New Roman"/>
        </w:rPr>
        <w:t xml:space="preserve"> = .60, </w:t>
      </w:r>
      <w:r w:rsidRPr="00B71DB9">
        <w:rPr>
          <w:rFonts w:ascii="Times New Roman" w:hAnsi="Times New Roman" w:cs="Times New Roman"/>
          <w:i/>
        </w:rPr>
        <w:t>d</w:t>
      </w:r>
      <w:r w:rsidRPr="00B71DB9">
        <w:rPr>
          <w:rFonts w:ascii="Times New Roman" w:hAnsi="Times New Roman" w:cs="Times New Roman"/>
        </w:rPr>
        <w:t xml:space="preserve"> = .04. </w:t>
      </w:r>
    </w:p>
    <w:p w14:paraId="69A9CD61" w14:textId="77777777" w:rsidR="00B71DB9" w:rsidRDefault="00B71DB9" w:rsidP="00B71DB9">
      <w:pPr>
        <w:pStyle w:val="NoSpacing"/>
        <w:spacing w:line="480" w:lineRule="auto"/>
        <w:rPr>
          <w:rFonts w:ascii="Times New Roman" w:hAnsi="Times New Roman" w:cs="Times New Roman"/>
        </w:rPr>
      </w:pPr>
    </w:p>
    <w:p w14:paraId="281C2026" w14:textId="68CF35A9" w:rsid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rPr>
        <w:lastRenderedPageBreak/>
        <w:t>Hypothesis 2:</w:t>
      </w:r>
      <w:r w:rsidRPr="00B71DB9">
        <w:rPr>
          <w:rFonts w:ascii="Times New Roman" w:hAnsi="Times New Roman" w:cs="Times New Roman"/>
        </w:rPr>
        <w:t xml:space="preserve"> When participants are primed to devalue alcohol, they will have increased EA rates and lower response thresholds when choosing between soft</w:t>
      </w:r>
      <w:r w:rsidR="00BA1F0E">
        <w:rPr>
          <w:rFonts w:ascii="Times New Roman" w:hAnsi="Times New Roman" w:cs="Times New Roman"/>
        </w:rPr>
        <w:t xml:space="preserve"> </w:t>
      </w:r>
      <w:r w:rsidRPr="00B71DB9">
        <w:rPr>
          <w:rFonts w:ascii="Times New Roman" w:hAnsi="Times New Roman" w:cs="Times New Roman"/>
        </w:rPr>
        <w:t>drink images compared to when choosing between alcohol images.</w:t>
      </w:r>
    </w:p>
    <w:p w14:paraId="11398164" w14:textId="77777777" w:rsidR="00B71DB9" w:rsidRDefault="00B71DB9" w:rsidP="00B71DB9">
      <w:pPr>
        <w:pStyle w:val="NoSpacing"/>
        <w:spacing w:line="480" w:lineRule="auto"/>
        <w:rPr>
          <w:rFonts w:ascii="Times New Roman" w:hAnsi="Times New Roman" w:cs="Times New Roman"/>
        </w:rPr>
      </w:pPr>
    </w:p>
    <w:p w14:paraId="4CE792FA" w14:textId="06E98AB8" w:rsidR="00B71DB9" w:rsidRPr="00B71DB9" w:rsidRDefault="00B71DB9" w:rsidP="00B722FA">
      <w:pPr>
        <w:pStyle w:val="NoSpacing"/>
        <w:spacing w:line="480" w:lineRule="auto"/>
        <w:rPr>
          <w:rFonts w:ascii="Times New Roman" w:hAnsi="Times New Roman" w:cs="Times New Roman"/>
        </w:rPr>
      </w:pPr>
      <w:r w:rsidRPr="00B71DB9">
        <w:rPr>
          <w:rFonts w:ascii="Times New Roman" w:hAnsi="Times New Roman" w:cs="Times New Roman"/>
        </w:rPr>
        <w:t>When participants were primed to devalue alcohol, they had significantly increased soft</w:t>
      </w:r>
      <w:r w:rsidR="00BA1F0E">
        <w:rPr>
          <w:rFonts w:ascii="Times New Roman" w:hAnsi="Times New Roman" w:cs="Times New Roman"/>
        </w:rPr>
        <w:t xml:space="preserve"> </w:t>
      </w:r>
      <w:r w:rsidRPr="00B71DB9">
        <w:rPr>
          <w:rFonts w:ascii="Times New Roman" w:hAnsi="Times New Roman" w:cs="Times New Roman"/>
        </w:rPr>
        <w:t>drink EA rates (</w:t>
      </w:r>
      <w:r w:rsidRPr="00B71DB9">
        <w:rPr>
          <w:rFonts w:ascii="Times New Roman" w:hAnsi="Times New Roman" w:cs="Times New Roman"/>
          <w:iCs/>
        </w:rPr>
        <w:t>M</w:t>
      </w:r>
      <w:r w:rsidRPr="00B71DB9">
        <w:rPr>
          <w:rFonts w:ascii="Times New Roman" w:hAnsi="Times New Roman" w:cs="Times New Roman"/>
        </w:rPr>
        <w:t xml:space="preserve"> = 2.02, </w:t>
      </w:r>
      <w:r w:rsidRPr="00B71DB9">
        <w:rPr>
          <w:rFonts w:ascii="Times New Roman" w:hAnsi="Times New Roman" w:cs="Times New Roman"/>
          <w:iCs/>
        </w:rPr>
        <w:t xml:space="preserve">SD </w:t>
      </w:r>
      <w:r w:rsidRPr="00B71DB9">
        <w:rPr>
          <w:rFonts w:ascii="Times New Roman" w:hAnsi="Times New Roman" w:cs="Times New Roman"/>
        </w:rPr>
        <w:t>= .49) compared to alcohol EA rates (</w:t>
      </w:r>
      <w:r w:rsidRPr="00B71DB9">
        <w:rPr>
          <w:rFonts w:ascii="Times New Roman" w:hAnsi="Times New Roman" w:cs="Times New Roman"/>
          <w:iCs/>
        </w:rPr>
        <w:t>M</w:t>
      </w:r>
      <w:r w:rsidRPr="00B71DB9">
        <w:rPr>
          <w:rFonts w:ascii="Times New Roman" w:hAnsi="Times New Roman" w:cs="Times New Roman"/>
        </w:rPr>
        <w:t xml:space="preserve"> = 1.88, </w:t>
      </w:r>
      <w:r w:rsidRPr="00B71DB9">
        <w:rPr>
          <w:rFonts w:ascii="Times New Roman" w:hAnsi="Times New Roman" w:cs="Times New Roman"/>
          <w:iCs/>
        </w:rPr>
        <w:t>SD</w:t>
      </w:r>
      <w:r w:rsidRPr="00B71DB9">
        <w:rPr>
          <w:rFonts w:ascii="Times New Roman" w:hAnsi="Times New Roman" w:cs="Times New Roman"/>
        </w:rPr>
        <w:t xml:space="preserve"> = .50),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w:t>
      </w:r>
      <w:sdt>
        <w:sdtPr>
          <w:rPr>
            <w:rFonts w:ascii="Times New Roman" w:hAnsi="Times New Roman" w:cs="Times New Roman"/>
          </w:rPr>
          <w:tag w:val="goog_rdk_7"/>
          <w:id w:val="-1608805849"/>
        </w:sdtPr>
        <w:sdtContent/>
      </w:sdt>
      <w:r w:rsidRPr="00B71DB9">
        <w:rPr>
          <w:rFonts w:ascii="Times New Roman" w:hAnsi="Times New Roman" w:cs="Times New Roman"/>
        </w:rPr>
        <w:t xml:space="preserve">-1.86, </w:t>
      </w:r>
      <w:r w:rsidRPr="00B71DB9">
        <w:rPr>
          <w:rFonts w:ascii="Times New Roman" w:hAnsi="Times New Roman" w:cs="Times New Roman"/>
          <w:i/>
        </w:rPr>
        <w:t>p</w:t>
      </w:r>
      <w:r w:rsidRPr="00B71DB9">
        <w:rPr>
          <w:rFonts w:ascii="Times New Roman" w:hAnsi="Times New Roman" w:cs="Times New Roman"/>
        </w:rPr>
        <w:t xml:space="preserve"> = .04, </w:t>
      </w:r>
      <w:r w:rsidRPr="00B71DB9">
        <w:rPr>
          <w:rFonts w:ascii="Times New Roman" w:hAnsi="Times New Roman" w:cs="Times New Roman"/>
          <w:i/>
        </w:rPr>
        <w:t>d</w:t>
      </w:r>
      <w:r w:rsidRPr="00B71DB9">
        <w:rPr>
          <w:rFonts w:ascii="Times New Roman" w:hAnsi="Times New Roman" w:cs="Times New Roman"/>
        </w:rPr>
        <w:t xml:space="preserve"> = .31. Response thresholds for soft drinks (</w:t>
      </w:r>
      <w:r w:rsidRPr="00B71DB9">
        <w:rPr>
          <w:rFonts w:ascii="Times New Roman" w:hAnsi="Times New Roman" w:cs="Times New Roman"/>
          <w:iCs/>
        </w:rPr>
        <w:t>M</w:t>
      </w:r>
      <w:r w:rsidRPr="00B71DB9">
        <w:rPr>
          <w:rFonts w:ascii="Times New Roman" w:hAnsi="Times New Roman" w:cs="Times New Roman"/>
        </w:rPr>
        <w:t xml:space="preserve"> = 1.54, </w:t>
      </w:r>
      <w:r w:rsidRPr="00B71DB9">
        <w:rPr>
          <w:rFonts w:ascii="Times New Roman" w:hAnsi="Times New Roman" w:cs="Times New Roman"/>
          <w:iCs/>
        </w:rPr>
        <w:t>SD</w:t>
      </w:r>
      <w:r w:rsidRPr="00B71DB9">
        <w:rPr>
          <w:rFonts w:ascii="Times New Roman" w:hAnsi="Times New Roman" w:cs="Times New Roman"/>
        </w:rPr>
        <w:t xml:space="preserve"> = .36) were lower compared to response thresholds for alcoholic drinks (</w:t>
      </w:r>
      <w:r w:rsidRPr="00B71DB9">
        <w:rPr>
          <w:rFonts w:ascii="Times New Roman" w:hAnsi="Times New Roman" w:cs="Times New Roman"/>
          <w:iCs/>
        </w:rPr>
        <w:t>M</w:t>
      </w:r>
      <w:r w:rsidRPr="00B71DB9">
        <w:rPr>
          <w:rFonts w:ascii="Times New Roman" w:hAnsi="Times New Roman" w:cs="Times New Roman"/>
        </w:rPr>
        <w:t xml:space="preserve"> = 1.60, </w:t>
      </w:r>
      <w:r w:rsidRPr="00B71DB9">
        <w:rPr>
          <w:rFonts w:ascii="Times New Roman" w:hAnsi="Times New Roman" w:cs="Times New Roman"/>
          <w:iCs/>
        </w:rPr>
        <w:t xml:space="preserve">SD </w:t>
      </w:r>
      <w:r w:rsidRPr="00B71DB9">
        <w:rPr>
          <w:rFonts w:ascii="Times New Roman" w:hAnsi="Times New Roman" w:cs="Times New Roman"/>
        </w:rPr>
        <w:t xml:space="preserve">= .30), however this did not reach statistical significance,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1.35, </w:t>
      </w:r>
      <w:r w:rsidRPr="00B71DB9">
        <w:rPr>
          <w:rFonts w:ascii="Times New Roman" w:hAnsi="Times New Roman" w:cs="Times New Roman"/>
          <w:i/>
        </w:rPr>
        <w:t>p</w:t>
      </w:r>
      <w:r w:rsidRPr="00B71DB9">
        <w:rPr>
          <w:rFonts w:ascii="Times New Roman" w:hAnsi="Times New Roman" w:cs="Times New Roman"/>
        </w:rPr>
        <w:t xml:space="preserve"> = .09, </w:t>
      </w:r>
      <w:r w:rsidRPr="00B71DB9">
        <w:rPr>
          <w:rFonts w:ascii="Times New Roman" w:hAnsi="Times New Roman" w:cs="Times New Roman"/>
          <w:i/>
        </w:rPr>
        <w:t>d</w:t>
      </w:r>
      <w:r w:rsidRPr="00B71DB9">
        <w:rPr>
          <w:rFonts w:ascii="Times New Roman" w:hAnsi="Times New Roman" w:cs="Times New Roman"/>
        </w:rPr>
        <w:t xml:space="preserve"> = .22. </w:t>
      </w:r>
    </w:p>
    <w:p w14:paraId="4CC12185" w14:textId="662582C3" w:rsidR="00B71DB9" w:rsidRDefault="00B71DB9" w:rsidP="00B71DB9">
      <w:pPr>
        <w:pStyle w:val="NoSpacing"/>
        <w:spacing w:line="480" w:lineRule="auto"/>
        <w:rPr>
          <w:rFonts w:ascii="Times New Roman" w:hAnsi="Times New Roman" w:cs="Times New Roman"/>
        </w:rPr>
      </w:pPr>
    </w:p>
    <w:p w14:paraId="6320B055" w14:textId="77777777" w:rsid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rPr>
        <w:t>Hypothesis 3:</w:t>
      </w:r>
      <w:r w:rsidRPr="00B71DB9">
        <w:rPr>
          <w:rFonts w:ascii="Times New Roman" w:hAnsi="Times New Roman" w:cs="Times New Roman"/>
        </w:rPr>
        <w:t xml:space="preserve"> When participants are choosing between alcohol images, they will have increased EA rates and lower response thresholds when primed to value alcohol compared to when primed to devalue alcohol.</w:t>
      </w:r>
    </w:p>
    <w:p w14:paraId="08DE952A" w14:textId="77777777" w:rsidR="00B71DB9" w:rsidRDefault="00B71DB9" w:rsidP="00B71DB9">
      <w:pPr>
        <w:pStyle w:val="NoSpacing"/>
        <w:spacing w:line="480" w:lineRule="auto"/>
        <w:rPr>
          <w:rFonts w:ascii="Times New Roman" w:hAnsi="Times New Roman" w:cs="Times New Roman"/>
        </w:rPr>
      </w:pPr>
    </w:p>
    <w:p w14:paraId="05C8B310" w14:textId="10A3B56A" w:rsidR="00B71DB9" w:rsidRDefault="00B71DB9" w:rsidP="00B722FA">
      <w:pPr>
        <w:pStyle w:val="NoSpacing"/>
        <w:spacing w:line="480" w:lineRule="auto"/>
        <w:rPr>
          <w:rFonts w:ascii="Times New Roman" w:hAnsi="Times New Roman" w:cs="Times New Roman"/>
        </w:rPr>
      </w:pPr>
      <w:r w:rsidRPr="00B71DB9">
        <w:rPr>
          <w:rFonts w:ascii="Times New Roman" w:hAnsi="Times New Roman" w:cs="Times New Roman"/>
        </w:rPr>
        <w:t>When participants are choosing between alcohol images, there were no significant increases in alcohol EA rates in the alcohol value priming condition (</w:t>
      </w:r>
      <w:r w:rsidRPr="00B71DB9">
        <w:rPr>
          <w:rFonts w:ascii="Times New Roman" w:hAnsi="Times New Roman" w:cs="Times New Roman"/>
          <w:iCs/>
        </w:rPr>
        <w:t xml:space="preserve">M </w:t>
      </w:r>
      <w:r w:rsidRPr="00B71DB9">
        <w:rPr>
          <w:rFonts w:ascii="Times New Roman" w:hAnsi="Times New Roman" w:cs="Times New Roman"/>
        </w:rPr>
        <w:t xml:space="preserve">= 1.89, </w:t>
      </w:r>
      <w:r w:rsidRPr="00B71DB9">
        <w:rPr>
          <w:rFonts w:ascii="Times New Roman" w:hAnsi="Times New Roman" w:cs="Times New Roman"/>
          <w:iCs/>
        </w:rPr>
        <w:t>SD</w:t>
      </w:r>
      <w:r w:rsidRPr="00B71DB9">
        <w:rPr>
          <w:rFonts w:ascii="Times New Roman" w:hAnsi="Times New Roman" w:cs="Times New Roman"/>
        </w:rPr>
        <w:t xml:space="preserve"> = .55) compared to the alcohol devalue priming condition (</w:t>
      </w:r>
      <w:r w:rsidRPr="00B71DB9">
        <w:rPr>
          <w:rFonts w:ascii="Times New Roman" w:hAnsi="Times New Roman" w:cs="Times New Roman"/>
          <w:iCs/>
        </w:rPr>
        <w:t xml:space="preserve">M </w:t>
      </w:r>
      <w:r w:rsidRPr="00B71DB9">
        <w:rPr>
          <w:rFonts w:ascii="Times New Roman" w:hAnsi="Times New Roman" w:cs="Times New Roman"/>
        </w:rPr>
        <w:t xml:space="preserve">= 1.88, </w:t>
      </w:r>
      <w:r w:rsidRPr="00B71DB9">
        <w:rPr>
          <w:rFonts w:ascii="Times New Roman" w:hAnsi="Times New Roman" w:cs="Times New Roman"/>
          <w:iCs/>
        </w:rPr>
        <w:t xml:space="preserve">SD </w:t>
      </w:r>
      <w:r w:rsidRPr="00B71DB9">
        <w:rPr>
          <w:rFonts w:ascii="Times New Roman" w:hAnsi="Times New Roman" w:cs="Times New Roman"/>
        </w:rPr>
        <w:t xml:space="preserve">= .50),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.18, </w:t>
      </w:r>
      <w:r w:rsidRPr="00B71DB9">
        <w:rPr>
          <w:rFonts w:ascii="Times New Roman" w:hAnsi="Times New Roman" w:cs="Times New Roman"/>
          <w:i/>
        </w:rPr>
        <w:t>p</w:t>
      </w:r>
      <w:r w:rsidRPr="00B71DB9">
        <w:rPr>
          <w:rFonts w:ascii="Times New Roman" w:hAnsi="Times New Roman" w:cs="Times New Roman"/>
        </w:rPr>
        <w:t xml:space="preserve"> = .43, </w:t>
      </w:r>
      <w:r w:rsidRPr="00B71DB9">
        <w:rPr>
          <w:rFonts w:ascii="Times New Roman" w:hAnsi="Times New Roman" w:cs="Times New Roman"/>
          <w:i/>
        </w:rPr>
        <w:t>d</w:t>
      </w:r>
      <w:r w:rsidRPr="00B71DB9">
        <w:rPr>
          <w:rFonts w:ascii="Times New Roman" w:hAnsi="Times New Roman" w:cs="Times New Roman"/>
        </w:rPr>
        <w:t xml:space="preserve"> = .03. Furthermore, participants did not have a lower response threshold for alcohol in the value priming condition (</w:t>
      </w:r>
      <w:r w:rsidRPr="00B71DB9">
        <w:rPr>
          <w:rFonts w:ascii="Times New Roman" w:hAnsi="Times New Roman" w:cs="Times New Roman"/>
          <w:iCs/>
        </w:rPr>
        <w:t>M</w:t>
      </w:r>
      <w:r w:rsidRPr="00B71DB9">
        <w:rPr>
          <w:rFonts w:ascii="Times New Roman" w:hAnsi="Times New Roman" w:cs="Times New Roman"/>
        </w:rPr>
        <w:t xml:space="preserve"> = 1.64, </w:t>
      </w:r>
      <w:r w:rsidRPr="00B71DB9">
        <w:rPr>
          <w:rFonts w:ascii="Times New Roman" w:hAnsi="Times New Roman" w:cs="Times New Roman"/>
          <w:iCs/>
        </w:rPr>
        <w:t>SD</w:t>
      </w:r>
      <w:r w:rsidRPr="00B71DB9">
        <w:rPr>
          <w:rFonts w:ascii="Times New Roman" w:hAnsi="Times New Roman" w:cs="Times New Roman"/>
        </w:rPr>
        <w:t xml:space="preserve"> = .39) compared to in the devalue priming condition (</w:t>
      </w:r>
      <w:r w:rsidRPr="00B71DB9">
        <w:rPr>
          <w:rFonts w:ascii="Times New Roman" w:hAnsi="Times New Roman" w:cs="Times New Roman"/>
          <w:iCs/>
        </w:rPr>
        <w:t>M</w:t>
      </w:r>
      <w:r w:rsidRPr="00B71DB9">
        <w:rPr>
          <w:rFonts w:ascii="Times New Roman" w:hAnsi="Times New Roman" w:cs="Times New Roman"/>
        </w:rPr>
        <w:t xml:space="preserve"> = 1.60, </w:t>
      </w:r>
      <w:r w:rsidRPr="00B71DB9">
        <w:rPr>
          <w:rFonts w:ascii="Times New Roman" w:hAnsi="Times New Roman" w:cs="Times New Roman"/>
          <w:iCs/>
        </w:rPr>
        <w:t xml:space="preserve">SD </w:t>
      </w:r>
      <w:r w:rsidRPr="00B71DB9">
        <w:rPr>
          <w:rFonts w:ascii="Times New Roman" w:hAnsi="Times New Roman" w:cs="Times New Roman"/>
        </w:rPr>
        <w:t xml:space="preserve">= .30),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1.00, </w:t>
      </w:r>
      <w:r w:rsidRPr="00B71DB9">
        <w:rPr>
          <w:rFonts w:ascii="Times New Roman" w:hAnsi="Times New Roman" w:cs="Times New Roman"/>
          <w:i/>
        </w:rPr>
        <w:t>p</w:t>
      </w:r>
      <w:r w:rsidRPr="00B71DB9">
        <w:rPr>
          <w:rFonts w:ascii="Times New Roman" w:hAnsi="Times New Roman" w:cs="Times New Roman"/>
        </w:rPr>
        <w:t xml:space="preserve"> = .84, </w:t>
      </w:r>
      <w:r w:rsidRPr="00B71DB9">
        <w:rPr>
          <w:rFonts w:ascii="Times New Roman" w:hAnsi="Times New Roman" w:cs="Times New Roman"/>
          <w:i/>
        </w:rPr>
        <w:t>d</w:t>
      </w:r>
      <w:r w:rsidRPr="00B71DB9">
        <w:rPr>
          <w:rFonts w:ascii="Times New Roman" w:hAnsi="Times New Roman" w:cs="Times New Roman"/>
        </w:rPr>
        <w:t xml:space="preserve"> = .17</w:t>
      </w:r>
      <w:r w:rsidR="00B722FA">
        <w:rPr>
          <w:rFonts w:ascii="Times New Roman" w:hAnsi="Times New Roman" w:cs="Times New Roman"/>
        </w:rPr>
        <w:t>.</w:t>
      </w:r>
    </w:p>
    <w:p w14:paraId="36429B18" w14:textId="3444B592" w:rsidR="00B71DB9" w:rsidRDefault="00B71DB9" w:rsidP="00B71DB9">
      <w:pPr>
        <w:pStyle w:val="NoSpacing"/>
        <w:spacing w:line="480" w:lineRule="auto"/>
        <w:rPr>
          <w:rFonts w:ascii="Times New Roman" w:hAnsi="Times New Roman" w:cs="Times New Roman"/>
        </w:rPr>
      </w:pPr>
    </w:p>
    <w:p w14:paraId="5D70595C" w14:textId="34C477D3" w:rsidR="00B71DB9" w:rsidRP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rPr>
        <w:t>Hypothesis 4:</w:t>
      </w:r>
      <w:r w:rsidRPr="00B71DB9">
        <w:rPr>
          <w:rFonts w:ascii="Times New Roman" w:hAnsi="Times New Roman" w:cs="Times New Roman"/>
        </w:rPr>
        <w:t xml:space="preserve"> When participants are choosing between soft</w:t>
      </w:r>
      <w:r w:rsidR="00BA1F0E">
        <w:rPr>
          <w:rFonts w:ascii="Times New Roman" w:hAnsi="Times New Roman" w:cs="Times New Roman"/>
        </w:rPr>
        <w:t xml:space="preserve"> </w:t>
      </w:r>
      <w:r w:rsidRPr="00B71DB9">
        <w:rPr>
          <w:rFonts w:ascii="Times New Roman" w:hAnsi="Times New Roman" w:cs="Times New Roman"/>
        </w:rPr>
        <w:t>drink images, they will have increased EA rates and lower response thresholds when primed to devalue alcohol compared to when primed to value alcohol.</w:t>
      </w:r>
    </w:p>
    <w:p w14:paraId="3A21067F" w14:textId="77777777" w:rsidR="00B71DB9" w:rsidRPr="00B71DB9" w:rsidRDefault="00B71DB9" w:rsidP="00B71DB9">
      <w:pPr>
        <w:pStyle w:val="NoSpacing"/>
        <w:spacing w:line="480" w:lineRule="auto"/>
        <w:rPr>
          <w:rFonts w:ascii="Times New Roman" w:hAnsi="Times New Roman" w:cs="Times New Roman"/>
          <w:b/>
        </w:rPr>
      </w:pPr>
    </w:p>
    <w:p w14:paraId="29591A87" w14:textId="1AAFE56C" w:rsidR="00B71DB9" w:rsidRDefault="00B71DB9" w:rsidP="00B722FA">
      <w:pPr>
        <w:pStyle w:val="NoSpacing"/>
        <w:spacing w:line="480" w:lineRule="auto"/>
        <w:rPr>
          <w:rFonts w:ascii="Times New Roman" w:hAnsi="Times New Roman" w:cs="Times New Roman"/>
        </w:rPr>
      </w:pPr>
      <w:r w:rsidRPr="00B71DB9">
        <w:rPr>
          <w:rFonts w:ascii="Times New Roman" w:hAnsi="Times New Roman" w:cs="Times New Roman"/>
        </w:rPr>
        <w:lastRenderedPageBreak/>
        <w:t>When participants are choosing between soft</w:t>
      </w:r>
      <w:r w:rsidR="00BA1F0E">
        <w:rPr>
          <w:rFonts w:ascii="Times New Roman" w:hAnsi="Times New Roman" w:cs="Times New Roman"/>
        </w:rPr>
        <w:t xml:space="preserve"> </w:t>
      </w:r>
      <w:r w:rsidRPr="00B71DB9">
        <w:rPr>
          <w:rFonts w:ascii="Times New Roman" w:hAnsi="Times New Roman" w:cs="Times New Roman"/>
        </w:rPr>
        <w:t>drink images, they had significantly increased soft</w:t>
      </w:r>
      <w:r w:rsidR="00BA1F0E">
        <w:rPr>
          <w:rFonts w:ascii="Times New Roman" w:hAnsi="Times New Roman" w:cs="Times New Roman"/>
        </w:rPr>
        <w:t xml:space="preserve"> </w:t>
      </w:r>
      <w:r w:rsidRPr="00B71DB9">
        <w:rPr>
          <w:rFonts w:ascii="Times New Roman" w:hAnsi="Times New Roman" w:cs="Times New Roman"/>
        </w:rPr>
        <w:t xml:space="preserve">drink </w:t>
      </w:r>
      <w:r w:rsidR="00463E60">
        <w:rPr>
          <w:rFonts w:ascii="Times New Roman" w:hAnsi="Times New Roman" w:cs="Times New Roman"/>
        </w:rPr>
        <w:t>EA rates</w:t>
      </w:r>
      <w:r w:rsidRPr="00B71DB9">
        <w:rPr>
          <w:rFonts w:ascii="Times New Roman" w:hAnsi="Times New Roman" w:cs="Times New Roman"/>
        </w:rPr>
        <w:t xml:space="preserve"> in the alcohol devalue priming condition (</w:t>
      </w:r>
      <w:r w:rsidRPr="00B71DB9">
        <w:rPr>
          <w:rFonts w:ascii="Times New Roman" w:hAnsi="Times New Roman" w:cs="Times New Roman"/>
          <w:iCs/>
        </w:rPr>
        <w:t>M</w:t>
      </w:r>
      <w:r w:rsidRPr="00B71DB9">
        <w:rPr>
          <w:rFonts w:ascii="Times New Roman" w:hAnsi="Times New Roman" w:cs="Times New Roman"/>
        </w:rPr>
        <w:t xml:space="preserve"> = 2.02, </w:t>
      </w:r>
      <w:r w:rsidRPr="00B71DB9">
        <w:rPr>
          <w:rFonts w:ascii="Times New Roman" w:hAnsi="Times New Roman" w:cs="Times New Roman"/>
          <w:iCs/>
        </w:rPr>
        <w:t>SD</w:t>
      </w:r>
      <w:r w:rsidRPr="00B71DB9">
        <w:rPr>
          <w:rFonts w:ascii="Times New Roman" w:hAnsi="Times New Roman" w:cs="Times New Roman"/>
        </w:rPr>
        <w:t xml:space="preserve"> = .49) compared to the alcohol value priming condition (</w:t>
      </w:r>
      <w:r w:rsidRPr="00B71DB9">
        <w:rPr>
          <w:rFonts w:ascii="Times New Roman" w:hAnsi="Times New Roman" w:cs="Times New Roman"/>
          <w:iCs/>
        </w:rPr>
        <w:t>M</w:t>
      </w:r>
      <w:r w:rsidRPr="00B71DB9">
        <w:rPr>
          <w:rFonts w:ascii="Times New Roman" w:hAnsi="Times New Roman" w:cs="Times New Roman"/>
        </w:rPr>
        <w:t xml:space="preserve"> = 1.89, </w:t>
      </w:r>
      <w:r w:rsidRPr="00B71DB9">
        <w:rPr>
          <w:rFonts w:ascii="Times New Roman" w:hAnsi="Times New Roman" w:cs="Times New Roman"/>
          <w:iCs/>
        </w:rPr>
        <w:t>SD</w:t>
      </w:r>
      <w:r w:rsidRPr="00B71DB9">
        <w:rPr>
          <w:rFonts w:ascii="Times New Roman" w:hAnsi="Times New Roman" w:cs="Times New Roman"/>
        </w:rPr>
        <w:t xml:space="preserve"> = .34,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-2.27, </w:t>
      </w:r>
      <w:r w:rsidRPr="00B71DB9">
        <w:rPr>
          <w:rFonts w:ascii="Times New Roman" w:hAnsi="Times New Roman" w:cs="Times New Roman"/>
          <w:i/>
        </w:rPr>
        <w:t>p</w:t>
      </w:r>
      <w:r w:rsidRPr="00B71DB9">
        <w:rPr>
          <w:rFonts w:ascii="Times New Roman" w:hAnsi="Times New Roman" w:cs="Times New Roman"/>
        </w:rPr>
        <w:t xml:space="preserve"> = .01, </w:t>
      </w:r>
      <w:r w:rsidRPr="00B71DB9">
        <w:rPr>
          <w:rFonts w:ascii="Times New Roman" w:hAnsi="Times New Roman" w:cs="Times New Roman"/>
          <w:i/>
        </w:rPr>
        <w:t>d</w:t>
      </w:r>
      <w:r w:rsidRPr="00B71DB9">
        <w:rPr>
          <w:rFonts w:ascii="Times New Roman" w:hAnsi="Times New Roman" w:cs="Times New Roman"/>
        </w:rPr>
        <w:t xml:space="preserve"> = .38. Participants also had a lower response threshold for soft</w:t>
      </w:r>
      <w:r w:rsidR="00BA1F0E">
        <w:rPr>
          <w:rFonts w:ascii="Times New Roman" w:hAnsi="Times New Roman" w:cs="Times New Roman"/>
        </w:rPr>
        <w:t xml:space="preserve"> </w:t>
      </w:r>
      <w:r w:rsidRPr="00B71DB9">
        <w:rPr>
          <w:rFonts w:ascii="Times New Roman" w:hAnsi="Times New Roman" w:cs="Times New Roman"/>
        </w:rPr>
        <w:t>drinks in the alcohol devalue priming condition (</w:t>
      </w:r>
      <w:r w:rsidRPr="00B71DB9">
        <w:rPr>
          <w:rFonts w:ascii="Times New Roman" w:hAnsi="Times New Roman" w:cs="Times New Roman"/>
          <w:iCs/>
        </w:rPr>
        <w:t>M</w:t>
      </w:r>
      <w:r w:rsidRPr="00B71DB9">
        <w:rPr>
          <w:rFonts w:ascii="Times New Roman" w:hAnsi="Times New Roman" w:cs="Times New Roman"/>
        </w:rPr>
        <w:t xml:space="preserve"> = 1.54, </w:t>
      </w:r>
      <w:r w:rsidRPr="00B71DB9">
        <w:rPr>
          <w:rFonts w:ascii="Times New Roman" w:hAnsi="Times New Roman" w:cs="Times New Roman"/>
          <w:iCs/>
        </w:rPr>
        <w:t>SD</w:t>
      </w:r>
      <w:r w:rsidRPr="00B71DB9">
        <w:rPr>
          <w:rFonts w:ascii="Times New Roman" w:hAnsi="Times New Roman" w:cs="Times New Roman"/>
        </w:rPr>
        <w:t xml:space="preserve"> = .36) compared to the alcohol value priming condition (</w:t>
      </w:r>
      <w:r w:rsidRPr="00B71DB9">
        <w:rPr>
          <w:rFonts w:ascii="Times New Roman" w:hAnsi="Times New Roman" w:cs="Times New Roman"/>
          <w:i/>
        </w:rPr>
        <w:t>M</w:t>
      </w:r>
      <w:r w:rsidRPr="00B71DB9">
        <w:rPr>
          <w:rFonts w:ascii="Times New Roman" w:hAnsi="Times New Roman" w:cs="Times New Roman"/>
        </w:rPr>
        <w:t xml:space="preserve"> = 1.63, </w:t>
      </w:r>
      <w:r w:rsidRPr="00B71DB9">
        <w:rPr>
          <w:rFonts w:ascii="Times New Roman" w:hAnsi="Times New Roman" w:cs="Times New Roman"/>
          <w:iCs/>
        </w:rPr>
        <w:t>SD</w:t>
      </w:r>
      <w:r w:rsidRPr="00B71DB9">
        <w:rPr>
          <w:rFonts w:ascii="Times New Roman" w:hAnsi="Times New Roman" w:cs="Times New Roman"/>
        </w:rPr>
        <w:t xml:space="preserve"> = .36), however this was not statistically significant, </w:t>
      </w:r>
      <w:proofErr w:type="gramStart"/>
      <w:r w:rsidRPr="00B71DB9">
        <w:rPr>
          <w:rFonts w:ascii="Times New Roman" w:hAnsi="Times New Roman" w:cs="Times New Roman"/>
          <w:i/>
        </w:rPr>
        <w:t>t</w:t>
      </w:r>
      <w:r w:rsidRPr="00B71DB9">
        <w:rPr>
          <w:rFonts w:ascii="Times New Roman" w:hAnsi="Times New Roman" w:cs="Times New Roman"/>
        </w:rPr>
        <w:t>(</w:t>
      </w:r>
      <w:proofErr w:type="gramEnd"/>
      <w:r w:rsidRPr="00B71DB9">
        <w:rPr>
          <w:rFonts w:ascii="Times New Roman" w:hAnsi="Times New Roman" w:cs="Times New Roman"/>
        </w:rPr>
        <w:t xml:space="preserve">35) = 1.52, </w:t>
      </w:r>
      <w:r w:rsidRPr="00B71DB9">
        <w:rPr>
          <w:rFonts w:ascii="Times New Roman" w:hAnsi="Times New Roman" w:cs="Times New Roman"/>
          <w:i/>
        </w:rPr>
        <w:t>p</w:t>
      </w:r>
      <w:r w:rsidRPr="00B71DB9">
        <w:rPr>
          <w:rFonts w:ascii="Times New Roman" w:hAnsi="Times New Roman" w:cs="Times New Roman"/>
        </w:rPr>
        <w:t xml:space="preserve"> = .07, </w:t>
      </w:r>
      <w:r w:rsidRPr="00B71DB9">
        <w:rPr>
          <w:rFonts w:ascii="Times New Roman" w:hAnsi="Times New Roman" w:cs="Times New Roman"/>
          <w:i/>
        </w:rPr>
        <w:t xml:space="preserve">d </w:t>
      </w:r>
      <w:r w:rsidRPr="00B71DB9">
        <w:rPr>
          <w:rFonts w:ascii="Times New Roman" w:hAnsi="Times New Roman" w:cs="Times New Roman"/>
        </w:rPr>
        <w:t xml:space="preserve">= .25. </w:t>
      </w:r>
    </w:p>
    <w:p w14:paraId="0202386B" w14:textId="77777777" w:rsidR="00B71DB9" w:rsidRDefault="00B71DB9" w:rsidP="00B71DB9">
      <w:pPr>
        <w:pStyle w:val="NoSpacing"/>
        <w:spacing w:line="480" w:lineRule="auto"/>
        <w:rPr>
          <w:rFonts w:ascii="Times New Roman" w:hAnsi="Times New Roman" w:cs="Times New Roman"/>
        </w:rPr>
      </w:pPr>
    </w:p>
    <w:p w14:paraId="0BEA6DCE" w14:textId="77777777" w:rsidR="00B71DB9" w:rsidRDefault="00B71DB9" w:rsidP="00B71DB9">
      <w:pPr>
        <w:pStyle w:val="NoSpacing"/>
        <w:spacing w:line="480" w:lineRule="auto"/>
        <w:rPr>
          <w:rFonts w:ascii="Times New Roman" w:hAnsi="Times New Roman" w:cs="Times New Roman"/>
          <w:b/>
          <w:bCs/>
        </w:rPr>
      </w:pPr>
      <w:bookmarkStart w:id="196" w:name="_Hlk110614032"/>
      <w:r w:rsidRPr="00B71DB9">
        <w:rPr>
          <w:rFonts w:ascii="Times New Roman" w:hAnsi="Times New Roman" w:cs="Times New Roman"/>
          <w:b/>
          <w:bCs/>
        </w:rPr>
        <w:t>Figure 4.5</w:t>
      </w:r>
    </w:p>
    <w:p w14:paraId="144ACC1A" w14:textId="1D0EF7E2" w:rsidR="00B71DB9" w:rsidRDefault="00B71DB9" w:rsidP="00B71DB9">
      <w:pPr>
        <w:pStyle w:val="NoSpacing"/>
        <w:spacing w:line="480" w:lineRule="auto"/>
        <w:rPr>
          <w:rFonts w:ascii="Times New Roman" w:hAnsi="Times New Roman" w:cs="Times New Roman"/>
          <w:i/>
          <w:iCs/>
        </w:rPr>
      </w:pPr>
      <w:r w:rsidRPr="00B71DB9">
        <w:rPr>
          <w:rFonts w:ascii="Times New Roman" w:hAnsi="Times New Roman" w:cs="Times New Roman"/>
          <w:i/>
          <w:iCs/>
        </w:rPr>
        <w:t>Mean overall EA rates for alcohol and soft drink choices split by alcohol devaluation (solid black line</w:t>
      </w:r>
      <w:r w:rsidR="00EA3533">
        <w:rPr>
          <w:rFonts w:ascii="Times New Roman" w:hAnsi="Times New Roman" w:cs="Times New Roman"/>
          <w:i/>
          <w:iCs/>
        </w:rPr>
        <w:t>; circle</w:t>
      </w:r>
      <w:r w:rsidRPr="00B71DB9">
        <w:rPr>
          <w:rFonts w:ascii="Times New Roman" w:hAnsi="Times New Roman" w:cs="Times New Roman"/>
          <w:i/>
          <w:iCs/>
        </w:rPr>
        <w:t>) and alcohol valuation (dashed black line</w:t>
      </w:r>
      <w:r w:rsidR="00EA3533">
        <w:rPr>
          <w:rFonts w:ascii="Times New Roman" w:hAnsi="Times New Roman" w:cs="Times New Roman"/>
          <w:i/>
          <w:iCs/>
        </w:rPr>
        <w:t>; triangle</w:t>
      </w:r>
      <w:r w:rsidRPr="00B71DB9">
        <w:rPr>
          <w:rFonts w:ascii="Times New Roman" w:hAnsi="Times New Roman" w:cs="Times New Roman"/>
          <w:i/>
          <w:iCs/>
        </w:rPr>
        <w:t>) experimental conditions</w:t>
      </w:r>
    </w:p>
    <w:bookmarkEnd w:id="196"/>
    <w:p w14:paraId="32F90409" w14:textId="54C03710" w:rsidR="00B71DB9" w:rsidRPr="00B71DB9" w:rsidRDefault="00B71DB9" w:rsidP="00B71DB9">
      <w:pPr>
        <w:pStyle w:val="NoSpacing"/>
        <w:jc w:val="center"/>
      </w:pPr>
      <w:r w:rsidRPr="00B71DB9">
        <w:rPr>
          <w:noProof/>
        </w:rPr>
        <w:drawing>
          <wp:inline distT="0" distB="0" distL="0" distR="0" wp14:anchorId="583F7727" wp14:editId="0CB0A5BA">
            <wp:extent cx="4541286" cy="3162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4189" cy="3164322"/>
                    </a:xfrm>
                    <a:prstGeom prst="rect">
                      <a:avLst/>
                    </a:prstGeom>
                    <a:noFill/>
                  </pic:spPr>
                </pic:pic>
              </a:graphicData>
            </a:graphic>
          </wp:inline>
        </w:drawing>
      </w:r>
    </w:p>
    <w:p w14:paraId="7D9D3DC2" w14:textId="77777777" w:rsidR="00B71DB9" w:rsidRDefault="00B71DB9" w:rsidP="00B71DB9">
      <w:pPr>
        <w:pStyle w:val="NoSpacing"/>
        <w:rPr>
          <w:rFonts w:ascii="Times New Roman" w:hAnsi="Times New Roman" w:cs="Times New Roman"/>
        </w:rPr>
      </w:pPr>
      <w:r w:rsidRPr="00B71DB9">
        <w:rPr>
          <w:rFonts w:ascii="Times New Roman" w:hAnsi="Times New Roman" w:cs="Times New Roman"/>
          <w:i/>
          <w:iCs/>
        </w:rPr>
        <w:t>Note.</w:t>
      </w:r>
      <w:r w:rsidRPr="00B71DB9">
        <w:rPr>
          <w:rFonts w:ascii="Times New Roman" w:hAnsi="Times New Roman" w:cs="Times New Roman"/>
        </w:rPr>
        <w:t xml:space="preserve"> Error bars represent the standard error of the mean (SE).</w:t>
      </w:r>
    </w:p>
    <w:p w14:paraId="6F630D82" w14:textId="77777777" w:rsidR="00B71DB9" w:rsidRDefault="00B71DB9" w:rsidP="00B71DB9">
      <w:pPr>
        <w:pStyle w:val="NoSpacing"/>
        <w:rPr>
          <w:rFonts w:ascii="Times New Roman" w:hAnsi="Times New Roman" w:cs="Times New Roman"/>
        </w:rPr>
      </w:pPr>
    </w:p>
    <w:p w14:paraId="0DBE71FD" w14:textId="77777777" w:rsidR="00B71DB9" w:rsidRDefault="00B71DB9" w:rsidP="00B71DB9">
      <w:pPr>
        <w:pStyle w:val="NoSpacing"/>
        <w:rPr>
          <w:rFonts w:ascii="Times New Roman" w:hAnsi="Times New Roman" w:cs="Times New Roman"/>
        </w:rPr>
      </w:pPr>
    </w:p>
    <w:p w14:paraId="65DDE1DF" w14:textId="77777777" w:rsidR="00B71DB9" w:rsidRDefault="00B71DB9" w:rsidP="00B71DB9">
      <w:pPr>
        <w:pStyle w:val="NoSpacing"/>
        <w:spacing w:line="480" w:lineRule="auto"/>
        <w:rPr>
          <w:rFonts w:ascii="Times New Roman" w:hAnsi="Times New Roman" w:cs="Times New Roman"/>
          <w:b/>
          <w:bCs/>
        </w:rPr>
      </w:pPr>
      <w:bookmarkStart w:id="197" w:name="_Hlk110614040"/>
      <w:r w:rsidRPr="00B71DB9">
        <w:rPr>
          <w:rFonts w:ascii="Times New Roman" w:hAnsi="Times New Roman" w:cs="Times New Roman"/>
          <w:b/>
          <w:bCs/>
        </w:rPr>
        <w:t>Figure 4.6</w:t>
      </w:r>
    </w:p>
    <w:p w14:paraId="29C30F38" w14:textId="33258C11" w:rsidR="00B71DB9" w:rsidRP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iCs/>
        </w:rPr>
        <w:t>Mean overall response thresholds for alcohol and soft drink choices split by alcohol devaluation (solid black line</w:t>
      </w:r>
      <w:r w:rsidR="00EA3533">
        <w:rPr>
          <w:rFonts w:ascii="Times New Roman" w:hAnsi="Times New Roman" w:cs="Times New Roman"/>
          <w:i/>
          <w:iCs/>
        </w:rPr>
        <w:t>; circle</w:t>
      </w:r>
      <w:r w:rsidRPr="00B71DB9">
        <w:rPr>
          <w:rFonts w:ascii="Times New Roman" w:hAnsi="Times New Roman" w:cs="Times New Roman"/>
          <w:i/>
          <w:iCs/>
        </w:rPr>
        <w:t>) and alcohol valuation (dashed black line</w:t>
      </w:r>
      <w:r w:rsidR="00EA3533">
        <w:rPr>
          <w:rFonts w:ascii="Times New Roman" w:hAnsi="Times New Roman" w:cs="Times New Roman"/>
          <w:i/>
          <w:iCs/>
        </w:rPr>
        <w:t>; triangle</w:t>
      </w:r>
      <w:r w:rsidRPr="00B71DB9">
        <w:rPr>
          <w:rFonts w:ascii="Times New Roman" w:hAnsi="Times New Roman" w:cs="Times New Roman"/>
          <w:i/>
          <w:iCs/>
        </w:rPr>
        <w:t>) experimental conditions</w:t>
      </w:r>
    </w:p>
    <w:bookmarkEnd w:id="197"/>
    <w:p w14:paraId="6D0D50D4" w14:textId="23B53690" w:rsidR="00B71DB9" w:rsidRPr="00B71DB9" w:rsidRDefault="00B71DB9" w:rsidP="00B71DB9">
      <w:pPr>
        <w:pStyle w:val="NoSpacing"/>
        <w:jc w:val="center"/>
      </w:pPr>
      <w:r w:rsidRPr="00B71DB9">
        <w:rPr>
          <w:noProof/>
        </w:rPr>
        <w:lastRenderedPageBreak/>
        <w:drawing>
          <wp:inline distT="0" distB="0" distL="0" distR="0" wp14:anchorId="06A1E8F4" wp14:editId="6DDA005B">
            <wp:extent cx="4314825" cy="3389027"/>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1444" cy="3394226"/>
                    </a:xfrm>
                    <a:prstGeom prst="rect">
                      <a:avLst/>
                    </a:prstGeom>
                    <a:noFill/>
                  </pic:spPr>
                </pic:pic>
              </a:graphicData>
            </a:graphic>
          </wp:inline>
        </w:drawing>
      </w:r>
    </w:p>
    <w:p w14:paraId="2C905183" w14:textId="77777777" w:rsidR="00B71DB9" w:rsidRP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i/>
          <w:iCs/>
        </w:rPr>
        <w:t>Note</w:t>
      </w:r>
      <w:r w:rsidRPr="00B71DB9">
        <w:rPr>
          <w:rFonts w:ascii="Times New Roman" w:hAnsi="Times New Roman" w:cs="Times New Roman"/>
        </w:rPr>
        <w:t>. Error bars represent the standard error of the mean (SE).</w:t>
      </w:r>
    </w:p>
    <w:p w14:paraId="516DD3A6" w14:textId="77777777" w:rsidR="00B71DB9" w:rsidRPr="00B71DB9" w:rsidRDefault="00B71DB9" w:rsidP="00B71DB9">
      <w:pPr>
        <w:pStyle w:val="NoSpacing"/>
        <w:spacing w:line="480" w:lineRule="auto"/>
      </w:pPr>
    </w:p>
    <w:p w14:paraId="08852500" w14:textId="77777777" w:rsidR="00B71DB9" w:rsidRPr="00B71DB9" w:rsidRDefault="00B71DB9" w:rsidP="00B71DB9">
      <w:pPr>
        <w:pStyle w:val="NoSpacing"/>
        <w:spacing w:line="480" w:lineRule="auto"/>
        <w:rPr>
          <w:rFonts w:ascii="Times New Roman" w:hAnsi="Times New Roman" w:cs="Times New Roman"/>
          <w:b/>
          <w:bCs/>
        </w:rPr>
      </w:pPr>
      <w:r w:rsidRPr="00B71DB9">
        <w:rPr>
          <w:rFonts w:ascii="Times New Roman" w:hAnsi="Times New Roman" w:cs="Times New Roman"/>
          <w:b/>
          <w:bCs/>
        </w:rPr>
        <w:t>Exploratory analyses</w:t>
      </w:r>
    </w:p>
    <w:p w14:paraId="76E91F61" w14:textId="71225D33" w:rsidR="00B71DB9" w:rsidRPr="00B71DB9" w:rsidRDefault="00B71DB9" w:rsidP="00B71DB9">
      <w:pPr>
        <w:pStyle w:val="NoSpacing"/>
        <w:spacing w:line="480" w:lineRule="auto"/>
        <w:rPr>
          <w:rFonts w:ascii="Times New Roman" w:hAnsi="Times New Roman" w:cs="Times New Roman"/>
        </w:rPr>
      </w:pPr>
      <w:r w:rsidRPr="00B71DB9">
        <w:rPr>
          <w:rFonts w:ascii="Times New Roman" w:hAnsi="Times New Roman" w:cs="Times New Roman"/>
        </w:rPr>
        <w:t>To further supplement the VBDM analyses presented above</w:t>
      </w:r>
      <w:r>
        <w:rPr>
          <w:rFonts w:ascii="Times New Roman" w:hAnsi="Times New Roman" w:cs="Times New Roman"/>
        </w:rPr>
        <w:t xml:space="preserve"> (Figures 4.5 and 4.6)</w:t>
      </w:r>
      <w:r w:rsidRPr="00B71DB9">
        <w:rPr>
          <w:rFonts w:ascii="Times New Roman" w:hAnsi="Times New Roman" w:cs="Times New Roman"/>
        </w:rPr>
        <w:t>, we conducted exploratory repeated-measure ANOVAs on EA rates and response thresholds using within-subject factors of image type (2: alcohol; soft</w:t>
      </w:r>
      <w:r w:rsidR="00BA1F0E">
        <w:rPr>
          <w:rFonts w:ascii="Times New Roman" w:hAnsi="Times New Roman" w:cs="Times New Roman"/>
        </w:rPr>
        <w:t xml:space="preserve"> </w:t>
      </w:r>
      <w:r w:rsidRPr="00B71DB9">
        <w:rPr>
          <w:rFonts w:ascii="Times New Roman" w:hAnsi="Times New Roman" w:cs="Times New Roman"/>
        </w:rPr>
        <w:t>drink) and experimental condition (2: alcohol value; alcohol devalue). When looking at EA rates, there was a significant interaction between image type and experimental condition (</w:t>
      </w:r>
      <w:proofErr w:type="gramStart"/>
      <w:r w:rsidRPr="00B71DB9">
        <w:rPr>
          <w:rFonts w:ascii="Times New Roman" w:hAnsi="Times New Roman" w:cs="Times New Roman"/>
          <w:i/>
          <w:iCs/>
        </w:rPr>
        <w:t>F</w:t>
      </w:r>
      <w:r w:rsidRPr="00B71DB9">
        <w:rPr>
          <w:rFonts w:ascii="Times New Roman" w:hAnsi="Times New Roman" w:cs="Times New Roman"/>
        </w:rPr>
        <w:t>(</w:t>
      </w:r>
      <w:proofErr w:type="gramEnd"/>
      <w:r w:rsidRPr="00B71DB9">
        <w:rPr>
          <w:rFonts w:ascii="Times New Roman" w:hAnsi="Times New Roman" w:cs="Times New Roman"/>
        </w:rPr>
        <w:t xml:space="preserve">1, 35) = 4.37, </w:t>
      </w:r>
      <w:r w:rsidRPr="00B71DB9">
        <w:rPr>
          <w:rFonts w:ascii="Times New Roman" w:hAnsi="Times New Roman" w:cs="Times New Roman"/>
          <w:i/>
          <w:iCs/>
        </w:rPr>
        <w:t>p</w:t>
      </w:r>
      <w:r w:rsidRPr="00B71DB9">
        <w:rPr>
          <w:rFonts w:ascii="Times New Roman" w:hAnsi="Times New Roman" w:cs="Times New Roman"/>
        </w:rPr>
        <w:t xml:space="preserve"> = .04, 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r w:rsidRPr="00B71DB9">
        <w:rPr>
          <w:rFonts w:ascii="Times New Roman" w:hAnsi="Times New Roman" w:cs="Times New Roman"/>
        </w:rPr>
        <w:t xml:space="preserve"> = .11), but no main effect of image type (</w:t>
      </w:r>
      <w:r w:rsidRPr="00B71DB9">
        <w:rPr>
          <w:rFonts w:ascii="Times New Roman" w:hAnsi="Times New Roman" w:cs="Times New Roman"/>
          <w:i/>
          <w:iCs/>
        </w:rPr>
        <w:t>F</w:t>
      </w:r>
      <w:r w:rsidRPr="00B71DB9">
        <w:rPr>
          <w:rFonts w:ascii="Times New Roman" w:hAnsi="Times New Roman" w:cs="Times New Roman"/>
        </w:rPr>
        <w:t>(1, 35) = 1.19,</w:t>
      </w:r>
      <w:r w:rsidRPr="00B71DB9">
        <w:rPr>
          <w:rFonts w:ascii="Times New Roman" w:hAnsi="Times New Roman" w:cs="Times New Roman"/>
          <w:i/>
          <w:iCs/>
        </w:rPr>
        <w:t xml:space="preserve"> p</w:t>
      </w:r>
      <w:r w:rsidRPr="00B71DB9">
        <w:rPr>
          <w:rFonts w:ascii="Times New Roman" w:hAnsi="Times New Roman" w:cs="Times New Roman"/>
        </w:rPr>
        <w:t xml:space="preserve"> = .28, </w:t>
      </w:r>
      <w:bookmarkStart w:id="198" w:name="_Hlk107938247"/>
      <w:r w:rsidRPr="00B71DB9">
        <w:rPr>
          <w:rFonts w:ascii="Times New Roman" w:hAnsi="Times New Roman" w:cs="Times New Roman"/>
        </w:rPr>
        <w:t>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bookmarkEnd w:id="198"/>
      <w:r w:rsidRPr="00B71DB9">
        <w:rPr>
          <w:rFonts w:ascii="Times New Roman" w:hAnsi="Times New Roman" w:cs="Times New Roman"/>
        </w:rPr>
        <w:t xml:space="preserve"> = .03) or experimental condition (</w:t>
      </w:r>
      <w:r w:rsidRPr="00B71DB9">
        <w:rPr>
          <w:rFonts w:ascii="Times New Roman" w:hAnsi="Times New Roman" w:cs="Times New Roman"/>
          <w:i/>
          <w:iCs/>
        </w:rPr>
        <w:t>F</w:t>
      </w:r>
      <w:r w:rsidRPr="00B71DB9">
        <w:rPr>
          <w:rFonts w:ascii="Times New Roman" w:hAnsi="Times New Roman" w:cs="Times New Roman"/>
        </w:rPr>
        <w:t xml:space="preserve">(1, 35) = 2.20, </w:t>
      </w:r>
      <w:r w:rsidRPr="00B71DB9">
        <w:rPr>
          <w:rFonts w:ascii="Times New Roman" w:hAnsi="Times New Roman" w:cs="Times New Roman"/>
          <w:i/>
          <w:iCs/>
        </w:rPr>
        <w:t>p</w:t>
      </w:r>
      <w:r w:rsidRPr="00B71DB9">
        <w:rPr>
          <w:rFonts w:ascii="Times New Roman" w:hAnsi="Times New Roman" w:cs="Times New Roman"/>
        </w:rPr>
        <w:t xml:space="preserve"> = .15, </w:t>
      </w:r>
      <w:bookmarkStart w:id="199" w:name="_Hlk107942052"/>
      <w:r w:rsidRPr="00B71DB9">
        <w:rPr>
          <w:rFonts w:ascii="Times New Roman" w:hAnsi="Times New Roman" w:cs="Times New Roman"/>
        </w:rPr>
        <w:t>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bookmarkEnd w:id="199"/>
      <w:r w:rsidRPr="00B71DB9">
        <w:rPr>
          <w:rFonts w:ascii="Times New Roman" w:hAnsi="Times New Roman" w:cs="Times New Roman"/>
        </w:rPr>
        <w:t xml:space="preserve"> = .06). Post-hoc tests for the significant interaction effect revealed that soft</w:t>
      </w:r>
      <w:r w:rsidR="00BA1F0E">
        <w:rPr>
          <w:rFonts w:ascii="Times New Roman" w:hAnsi="Times New Roman" w:cs="Times New Roman"/>
        </w:rPr>
        <w:t xml:space="preserve"> </w:t>
      </w:r>
      <w:r w:rsidRPr="00B71DB9">
        <w:rPr>
          <w:rFonts w:ascii="Times New Roman" w:hAnsi="Times New Roman" w:cs="Times New Roman"/>
        </w:rPr>
        <w:t>drink EA rates were higher in the alcohol devalue condition (M = 2.02, SD = .49) compared to in the alcohol value condition (M = 1.89, SD = .34) although this fell short of statistical significance (</w:t>
      </w:r>
      <w:r w:rsidRPr="00B71DB9">
        <w:rPr>
          <w:rFonts w:ascii="Times New Roman" w:hAnsi="Times New Roman" w:cs="Times New Roman"/>
          <w:i/>
          <w:iCs/>
        </w:rPr>
        <w:t>p</w:t>
      </w:r>
      <w:r w:rsidRPr="00B71DB9">
        <w:rPr>
          <w:rFonts w:ascii="Times New Roman" w:hAnsi="Times New Roman" w:cs="Times New Roman"/>
        </w:rPr>
        <w:t xml:space="preserve"> = .10). </w:t>
      </w:r>
      <w:bookmarkStart w:id="200" w:name="_Hlk109232267"/>
      <w:r w:rsidRPr="00B71DB9">
        <w:rPr>
          <w:rFonts w:ascii="Times New Roman" w:hAnsi="Times New Roman" w:cs="Times New Roman"/>
        </w:rPr>
        <w:t>This analysis demonstrates that soft</w:t>
      </w:r>
      <w:r w:rsidR="00BA1F0E">
        <w:rPr>
          <w:rFonts w:ascii="Times New Roman" w:hAnsi="Times New Roman" w:cs="Times New Roman"/>
        </w:rPr>
        <w:t xml:space="preserve"> </w:t>
      </w:r>
      <w:r w:rsidRPr="00B71DB9">
        <w:rPr>
          <w:rFonts w:ascii="Times New Roman" w:hAnsi="Times New Roman" w:cs="Times New Roman"/>
        </w:rPr>
        <w:t xml:space="preserve">drink EA rates were elevated when participants were primed to devalue alcohol compared to when they were primed to value alcohol, but that this is perhaps not robust. </w:t>
      </w:r>
      <w:bookmarkEnd w:id="200"/>
      <w:r w:rsidRPr="00B71DB9">
        <w:rPr>
          <w:rFonts w:ascii="Times New Roman" w:hAnsi="Times New Roman" w:cs="Times New Roman"/>
        </w:rPr>
        <w:t xml:space="preserve">However, it should be noted that in line with our pre-registration, our study was powered to detect differences in </w:t>
      </w:r>
      <w:r w:rsidRPr="00B71DB9">
        <w:rPr>
          <w:rFonts w:ascii="Times New Roman" w:hAnsi="Times New Roman" w:cs="Times New Roman"/>
        </w:rPr>
        <w:lastRenderedPageBreak/>
        <w:t>means between two dependent groups rather than an interaction effect, and our previously reported results are one-tailed to reflect the pre-registered directional hypotheses. When looking at response thresholds, there was no significant main effect of image type (</w:t>
      </w:r>
      <w:proofErr w:type="gramStart"/>
      <w:r w:rsidRPr="00B71DB9">
        <w:rPr>
          <w:rFonts w:ascii="Times New Roman" w:hAnsi="Times New Roman" w:cs="Times New Roman"/>
          <w:i/>
          <w:iCs/>
        </w:rPr>
        <w:t>F</w:t>
      </w:r>
      <w:r w:rsidRPr="00B71DB9">
        <w:rPr>
          <w:rFonts w:ascii="Times New Roman" w:hAnsi="Times New Roman" w:cs="Times New Roman"/>
        </w:rPr>
        <w:t>(</w:t>
      </w:r>
      <w:proofErr w:type="gramEnd"/>
      <w:r w:rsidRPr="00B71DB9">
        <w:rPr>
          <w:rFonts w:ascii="Times New Roman" w:hAnsi="Times New Roman" w:cs="Times New Roman"/>
        </w:rPr>
        <w:t xml:space="preserve">1, 35) = 1.24, </w:t>
      </w:r>
      <w:r w:rsidRPr="00B71DB9">
        <w:rPr>
          <w:rFonts w:ascii="Times New Roman" w:hAnsi="Times New Roman" w:cs="Times New Roman"/>
          <w:i/>
          <w:iCs/>
        </w:rPr>
        <w:t>p</w:t>
      </w:r>
      <w:r w:rsidRPr="00B71DB9">
        <w:rPr>
          <w:rFonts w:ascii="Times New Roman" w:hAnsi="Times New Roman" w:cs="Times New Roman"/>
        </w:rPr>
        <w:t xml:space="preserve"> = .27, 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r w:rsidRPr="00B71DB9">
        <w:rPr>
          <w:rFonts w:ascii="Times New Roman" w:hAnsi="Times New Roman" w:cs="Times New Roman"/>
        </w:rPr>
        <w:t xml:space="preserve"> = .03) or  experimental condition (</w:t>
      </w:r>
      <w:r w:rsidRPr="00B71DB9">
        <w:rPr>
          <w:rFonts w:ascii="Times New Roman" w:hAnsi="Times New Roman" w:cs="Times New Roman"/>
          <w:i/>
          <w:iCs/>
        </w:rPr>
        <w:t>F</w:t>
      </w:r>
      <w:r w:rsidRPr="00B71DB9">
        <w:rPr>
          <w:rFonts w:ascii="Times New Roman" w:hAnsi="Times New Roman" w:cs="Times New Roman"/>
        </w:rPr>
        <w:t xml:space="preserve">(1, 35) = 2.47, </w:t>
      </w:r>
      <w:r w:rsidRPr="00B71DB9">
        <w:rPr>
          <w:rFonts w:ascii="Times New Roman" w:hAnsi="Times New Roman" w:cs="Times New Roman"/>
          <w:i/>
          <w:iCs/>
        </w:rPr>
        <w:t>p</w:t>
      </w:r>
      <w:r w:rsidRPr="00B71DB9">
        <w:rPr>
          <w:rFonts w:ascii="Times New Roman" w:hAnsi="Times New Roman" w:cs="Times New Roman"/>
        </w:rPr>
        <w:t xml:space="preserve"> = 2.13, 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r w:rsidRPr="00B71DB9">
        <w:rPr>
          <w:rFonts w:ascii="Times New Roman" w:hAnsi="Times New Roman" w:cs="Times New Roman"/>
        </w:rPr>
        <w:t xml:space="preserve"> = .06), and no interaction between the two (</w:t>
      </w:r>
      <w:r w:rsidRPr="00B71DB9">
        <w:rPr>
          <w:rFonts w:ascii="Times New Roman" w:hAnsi="Times New Roman" w:cs="Times New Roman"/>
          <w:i/>
          <w:iCs/>
        </w:rPr>
        <w:t>F</w:t>
      </w:r>
      <w:r w:rsidRPr="00B71DB9">
        <w:rPr>
          <w:rFonts w:ascii="Times New Roman" w:hAnsi="Times New Roman" w:cs="Times New Roman"/>
        </w:rPr>
        <w:t xml:space="preserve">(1, 35) = .08, </w:t>
      </w:r>
      <w:r w:rsidRPr="00B71DB9">
        <w:rPr>
          <w:rFonts w:ascii="Times New Roman" w:hAnsi="Times New Roman" w:cs="Times New Roman"/>
          <w:i/>
          <w:iCs/>
        </w:rPr>
        <w:t>p</w:t>
      </w:r>
      <w:r w:rsidRPr="00B71DB9">
        <w:rPr>
          <w:rFonts w:ascii="Times New Roman" w:hAnsi="Times New Roman" w:cs="Times New Roman"/>
        </w:rPr>
        <w:t xml:space="preserve"> = .37, η</w:t>
      </w:r>
      <w:r w:rsidRPr="00B71DB9">
        <w:rPr>
          <w:rFonts w:ascii="Times New Roman" w:hAnsi="Times New Roman" w:cs="Times New Roman"/>
          <w:vertAlign w:val="subscript"/>
        </w:rPr>
        <w:t>p</w:t>
      </w:r>
      <w:r w:rsidRPr="00B71DB9">
        <w:rPr>
          <w:rFonts w:ascii="Times New Roman" w:hAnsi="Times New Roman" w:cs="Times New Roman"/>
          <w:vertAlign w:val="superscript"/>
        </w:rPr>
        <w:t>2</w:t>
      </w:r>
      <w:r w:rsidRPr="00B71DB9">
        <w:rPr>
          <w:rFonts w:ascii="Times New Roman" w:hAnsi="Times New Roman" w:cs="Times New Roman"/>
        </w:rPr>
        <w:t xml:space="preserve"> = .02).</w:t>
      </w:r>
    </w:p>
    <w:p w14:paraId="3FDF5EFB" w14:textId="77777777" w:rsidR="00B71DB9" w:rsidRPr="00B71DB9" w:rsidRDefault="00B71DB9" w:rsidP="00B71DB9">
      <w:pPr>
        <w:pStyle w:val="NoSpacing"/>
        <w:spacing w:line="480" w:lineRule="auto"/>
        <w:rPr>
          <w:rFonts w:ascii="Times New Roman" w:hAnsi="Times New Roman" w:cs="Times New Roman"/>
        </w:rPr>
      </w:pPr>
    </w:p>
    <w:p w14:paraId="22FF2E2F" w14:textId="39ADD7FF" w:rsidR="00B71DB9" w:rsidRPr="00B71DB9" w:rsidRDefault="00B71DB9" w:rsidP="00B71DB9">
      <w:pPr>
        <w:pStyle w:val="NoSpacing"/>
        <w:spacing w:line="480" w:lineRule="auto"/>
        <w:rPr>
          <w:rFonts w:ascii="Times New Roman" w:hAnsi="Times New Roman" w:cs="Times New Roman"/>
          <w:b/>
        </w:rPr>
      </w:pPr>
      <w:r w:rsidRPr="00B71DB9">
        <w:rPr>
          <w:rFonts w:ascii="Times New Roman" w:hAnsi="Times New Roman" w:cs="Times New Roman"/>
          <w:b/>
        </w:rPr>
        <w:t>Establishing a ‘difficulty effect’ on the VBDM task</w:t>
      </w:r>
    </w:p>
    <w:p w14:paraId="34D39781" w14:textId="019EF207" w:rsidR="00400F5F" w:rsidRDefault="00B71DB9" w:rsidP="00400F5F">
      <w:pPr>
        <w:pStyle w:val="NoSpacing"/>
        <w:spacing w:line="480" w:lineRule="auto"/>
        <w:rPr>
          <w:rFonts w:ascii="Times New Roman" w:hAnsi="Times New Roman" w:cs="Times New Roman"/>
        </w:rPr>
      </w:pPr>
      <w:r w:rsidRPr="00B71DB9">
        <w:rPr>
          <w:rFonts w:ascii="Times New Roman" w:hAnsi="Times New Roman" w:cs="Times New Roman"/>
        </w:rPr>
        <w:t>We preregistered that we were interested in establishing whether there is a ‘difficulty effect’, such that on trials where the difference between the value ratings for the images is large (easier trials), EA rates are increased compared to when the difference between the value ratings for the images is minimal (difficult trials). Separate one-way repeated measure ANOVAs were used to compare EA rates for alcohol and for soft</w:t>
      </w:r>
      <w:r w:rsidR="00BA1F0E">
        <w:rPr>
          <w:rFonts w:ascii="Times New Roman" w:hAnsi="Times New Roman" w:cs="Times New Roman"/>
        </w:rPr>
        <w:t xml:space="preserve"> </w:t>
      </w:r>
      <w:r w:rsidRPr="00B71DB9">
        <w:rPr>
          <w:rFonts w:ascii="Times New Roman" w:hAnsi="Times New Roman" w:cs="Times New Roman"/>
        </w:rPr>
        <w:t xml:space="preserve">drinks on each of the difficulty levels (easy, medium, and difficult trials). There was a significant main effect of difficulty on alcohol EA rates, </w:t>
      </w:r>
      <w:proofErr w:type="gramStart"/>
      <w:r w:rsidRPr="00B71DB9">
        <w:rPr>
          <w:rFonts w:ascii="Times New Roman" w:hAnsi="Times New Roman" w:cs="Times New Roman"/>
          <w:i/>
          <w:iCs/>
        </w:rPr>
        <w:t>F</w:t>
      </w:r>
      <w:r w:rsidRPr="00B71DB9">
        <w:rPr>
          <w:rFonts w:ascii="Times New Roman" w:hAnsi="Times New Roman" w:cs="Times New Roman"/>
        </w:rPr>
        <w:t>(</w:t>
      </w:r>
      <w:proofErr w:type="gramEnd"/>
      <w:r w:rsidRPr="00B71DB9">
        <w:rPr>
          <w:rFonts w:ascii="Times New Roman" w:hAnsi="Times New Roman" w:cs="Times New Roman"/>
        </w:rPr>
        <w:t>2, 70),</w:t>
      </w:r>
      <w:r w:rsidRPr="00B71DB9">
        <w:rPr>
          <w:rFonts w:ascii="Times New Roman" w:hAnsi="Times New Roman" w:cs="Times New Roman"/>
          <w:i/>
        </w:rPr>
        <w:t xml:space="preserve"> </w:t>
      </w:r>
      <w:r w:rsidRPr="00B71DB9">
        <w:rPr>
          <w:rFonts w:ascii="Times New Roman" w:hAnsi="Times New Roman" w:cs="Times New Roman"/>
        </w:rPr>
        <w:t>= 156.93</w:t>
      </w:r>
      <w:r w:rsidRPr="00B71DB9">
        <w:rPr>
          <w:rFonts w:ascii="Times New Roman" w:hAnsi="Times New Roman" w:cs="Times New Roman"/>
          <w:i/>
        </w:rPr>
        <w:t>, p</w:t>
      </w:r>
      <w:r w:rsidRPr="00B71DB9">
        <w:rPr>
          <w:rFonts w:ascii="Times New Roman" w:hAnsi="Times New Roman" w:cs="Times New Roman"/>
        </w:rPr>
        <w:t xml:space="preserve"> &lt; .001, η</w:t>
      </w:r>
      <w:r w:rsidRPr="00B71DB9">
        <w:rPr>
          <w:rFonts w:ascii="Times New Roman" w:hAnsi="Times New Roman" w:cs="Times New Roman"/>
          <w:vertAlign w:val="subscript"/>
        </w:rPr>
        <w:t>p</w:t>
      </w:r>
      <w:r w:rsidRPr="00B71DB9">
        <w:rPr>
          <w:rFonts w:ascii="Times New Roman" w:hAnsi="Times New Roman" w:cs="Times New Roman"/>
          <w:vertAlign w:val="superscript"/>
        </w:rPr>
        <w:t xml:space="preserve">2 </w:t>
      </w:r>
      <w:r w:rsidRPr="00B71DB9">
        <w:rPr>
          <w:rFonts w:ascii="Times New Roman" w:hAnsi="Times New Roman" w:cs="Times New Roman"/>
        </w:rPr>
        <w:t xml:space="preserve">= .82. </w:t>
      </w:r>
      <w:r w:rsidR="00BA1F0E">
        <w:rPr>
          <w:rFonts w:ascii="Times New Roman" w:hAnsi="Times New Roman" w:cs="Times New Roman"/>
        </w:rPr>
        <w:t>Post-hoc tests</w:t>
      </w:r>
      <w:r w:rsidRPr="00B71DB9">
        <w:rPr>
          <w:rFonts w:ascii="Times New Roman" w:hAnsi="Times New Roman" w:cs="Times New Roman"/>
        </w:rPr>
        <w:t xml:space="preserve"> demonstrated that alcohol EA rates in the easier trials (</w:t>
      </w:r>
      <w:r w:rsidRPr="00B71DB9">
        <w:rPr>
          <w:rFonts w:ascii="Times New Roman" w:hAnsi="Times New Roman" w:cs="Times New Roman"/>
          <w:iCs/>
        </w:rPr>
        <w:t>M = 2.48, SD = .56)</w:t>
      </w:r>
      <w:r w:rsidRPr="00B71DB9">
        <w:rPr>
          <w:rFonts w:ascii="Times New Roman" w:hAnsi="Times New Roman" w:cs="Times New Roman"/>
        </w:rPr>
        <w:t xml:space="preserve"> were significantly increased compared to medium trials (</w:t>
      </w:r>
      <w:r w:rsidRPr="00B71DB9">
        <w:rPr>
          <w:rFonts w:ascii="Times New Roman" w:hAnsi="Times New Roman" w:cs="Times New Roman"/>
          <w:iCs/>
        </w:rPr>
        <w:t>M = 2.00, SD = .67</w:t>
      </w:r>
      <w:r w:rsidRPr="00B71DB9">
        <w:rPr>
          <w:rFonts w:ascii="Times New Roman" w:hAnsi="Times New Roman" w:cs="Times New Roman"/>
        </w:rPr>
        <w:t xml:space="preserve">; </w:t>
      </w:r>
      <w:r w:rsidRPr="00B71DB9">
        <w:rPr>
          <w:rFonts w:ascii="Times New Roman" w:hAnsi="Times New Roman" w:cs="Times New Roman"/>
          <w:i/>
        </w:rPr>
        <w:t>p</w:t>
      </w:r>
      <w:r w:rsidRPr="00B71DB9">
        <w:rPr>
          <w:rFonts w:ascii="Times New Roman" w:hAnsi="Times New Roman" w:cs="Times New Roman"/>
        </w:rPr>
        <w:t xml:space="preserve"> &lt; .001) and difficult trials (</w:t>
      </w:r>
      <w:r w:rsidRPr="00B71DB9">
        <w:rPr>
          <w:rFonts w:ascii="Times New Roman" w:hAnsi="Times New Roman" w:cs="Times New Roman"/>
          <w:iCs/>
        </w:rPr>
        <w:t>M = 1.18, SD = .45</w:t>
      </w:r>
      <w:r w:rsidRPr="00B71DB9">
        <w:rPr>
          <w:rFonts w:ascii="Times New Roman" w:hAnsi="Times New Roman" w:cs="Times New Roman"/>
        </w:rPr>
        <w:t xml:space="preserve">; </w:t>
      </w:r>
      <w:r w:rsidRPr="00B71DB9">
        <w:rPr>
          <w:rFonts w:ascii="Times New Roman" w:hAnsi="Times New Roman" w:cs="Times New Roman"/>
          <w:i/>
        </w:rPr>
        <w:t xml:space="preserve">p </w:t>
      </w:r>
      <w:r w:rsidRPr="00B71DB9">
        <w:rPr>
          <w:rFonts w:ascii="Times New Roman" w:hAnsi="Times New Roman" w:cs="Times New Roman"/>
        </w:rPr>
        <w:t>&lt; .001). Furthermore, alcohol EA rates on medium trials were significantly increased compared to EA rates on difficult trials (</w:t>
      </w:r>
      <w:r w:rsidRPr="00B71DB9">
        <w:rPr>
          <w:rFonts w:ascii="Times New Roman" w:hAnsi="Times New Roman" w:cs="Times New Roman"/>
          <w:i/>
        </w:rPr>
        <w:t>p</w:t>
      </w:r>
      <w:r w:rsidRPr="00B71DB9">
        <w:rPr>
          <w:rFonts w:ascii="Times New Roman" w:hAnsi="Times New Roman" w:cs="Times New Roman"/>
        </w:rPr>
        <w:t xml:space="preserve"> &lt; .001). There was also significant main effect of difficulty on soft</w:t>
      </w:r>
      <w:r w:rsidR="00BA1F0E">
        <w:rPr>
          <w:rFonts w:ascii="Times New Roman" w:hAnsi="Times New Roman" w:cs="Times New Roman"/>
        </w:rPr>
        <w:t xml:space="preserve"> </w:t>
      </w:r>
      <w:r w:rsidRPr="00B71DB9">
        <w:rPr>
          <w:rFonts w:ascii="Times New Roman" w:hAnsi="Times New Roman" w:cs="Times New Roman"/>
        </w:rPr>
        <w:t xml:space="preserve">drink EA rates, </w:t>
      </w:r>
      <w:proofErr w:type="gramStart"/>
      <w:r w:rsidRPr="00B71DB9">
        <w:rPr>
          <w:rFonts w:ascii="Times New Roman" w:hAnsi="Times New Roman" w:cs="Times New Roman"/>
          <w:i/>
          <w:iCs/>
        </w:rPr>
        <w:t>F</w:t>
      </w:r>
      <w:r w:rsidRPr="00B71DB9">
        <w:rPr>
          <w:rFonts w:ascii="Times New Roman" w:hAnsi="Times New Roman" w:cs="Times New Roman"/>
        </w:rPr>
        <w:t>(</w:t>
      </w:r>
      <w:proofErr w:type="gramEnd"/>
      <w:r w:rsidRPr="00B71DB9">
        <w:rPr>
          <w:rFonts w:ascii="Times New Roman" w:hAnsi="Times New Roman" w:cs="Times New Roman"/>
        </w:rPr>
        <w:t xml:space="preserve">1.67, 58.33) = 192.95, </w:t>
      </w:r>
      <w:r w:rsidRPr="00B71DB9">
        <w:rPr>
          <w:rFonts w:ascii="Times New Roman" w:hAnsi="Times New Roman" w:cs="Times New Roman"/>
          <w:i/>
        </w:rPr>
        <w:t>p</w:t>
      </w:r>
      <w:r w:rsidRPr="00B71DB9">
        <w:rPr>
          <w:rFonts w:ascii="Times New Roman" w:hAnsi="Times New Roman" w:cs="Times New Roman"/>
        </w:rPr>
        <w:t xml:space="preserve"> &lt; .001, η</w:t>
      </w:r>
      <w:r w:rsidRPr="00B71DB9">
        <w:rPr>
          <w:rFonts w:ascii="Times New Roman" w:hAnsi="Times New Roman" w:cs="Times New Roman"/>
          <w:vertAlign w:val="subscript"/>
        </w:rPr>
        <w:t>p</w:t>
      </w:r>
      <w:r w:rsidRPr="00B71DB9">
        <w:rPr>
          <w:rFonts w:ascii="Times New Roman" w:hAnsi="Times New Roman" w:cs="Times New Roman"/>
          <w:vertAlign w:val="superscript"/>
        </w:rPr>
        <w:t xml:space="preserve">2 </w:t>
      </w:r>
      <w:r w:rsidRPr="00B71DB9">
        <w:rPr>
          <w:rFonts w:ascii="Times New Roman" w:hAnsi="Times New Roman" w:cs="Times New Roman"/>
        </w:rPr>
        <w:t xml:space="preserve">= .85. </w:t>
      </w:r>
      <w:r w:rsidR="00BA1F0E">
        <w:rPr>
          <w:rFonts w:ascii="Times New Roman" w:hAnsi="Times New Roman" w:cs="Times New Roman"/>
        </w:rPr>
        <w:t>Post-hoc tests</w:t>
      </w:r>
      <w:r w:rsidRPr="00B71DB9">
        <w:rPr>
          <w:rFonts w:ascii="Times New Roman" w:hAnsi="Times New Roman" w:cs="Times New Roman"/>
        </w:rPr>
        <w:t xml:space="preserve"> demonstrated that soft drink EA rates in the easier trials (</w:t>
      </w:r>
      <w:r w:rsidRPr="00B71DB9">
        <w:rPr>
          <w:rFonts w:ascii="Times New Roman" w:hAnsi="Times New Roman" w:cs="Times New Roman"/>
          <w:iCs/>
        </w:rPr>
        <w:t>M = 2.64, SD = .55</w:t>
      </w:r>
      <w:r w:rsidRPr="00B71DB9">
        <w:rPr>
          <w:rFonts w:ascii="Times New Roman" w:hAnsi="Times New Roman" w:cs="Times New Roman"/>
        </w:rPr>
        <w:t>) were significantly increased compared to medium trials (</w:t>
      </w:r>
      <w:r w:rsidRPr="00B71DB9">
        <w:rPr>
          <w:rFonts w:ascii="Times New Roman" w:hAnsi="Times New Roman" w:cs="Times New Roman"/>
          <w:iCs/>
        </w:rPr>
        <w:t>M = 2.04, SD</w:t>
      </w:r>
      <w:r w:rsidRPr="00B71DB9">
        <w:rPr>
          <w:rFonts w:ascii="Times New Roman" w:hAnsi="Times New Roman" w:cs="Times New Roman"/>
        </w:rPr>
        <w:t xml:space="preserve"> = .45; </w:t>
      </w:r>
      <w:r w:rsidRPr="00B71DB9">
        <w:rPr>
          <w:rFonts w:ascii="Times New Roman" w:hAnsi="Times New Roman" w:cs="Times New Roman"/>
          <w:i/>
        </w:rPr>
        <w:t xml:space="preserve">p </w:t>
      </w:r>
      <w:r w:rsidRPr="00B71DB9">
        <w:rPr>
          <w:rFonts w:ascii="Times New Roman" w:hAnsi="Times New Roman" w:cs="Times New Roman"/>
        </w:rPr>
        <w:t>&lt; .001) and difficult trials (</w:t>
      </w:r>
      <w:r w:rsidRPr="00B71DB9">
        <w:rPr>
          <w:rFonts w:ascii="Times New Roman" w:hAnsi="Times New Roman" w:cs="Times New Roman"/>
          <w:iCs/>
        </w:rPr>
        <w:t>M = 1.18, SD = .36;</w:t>
      </w:r>
      <w:r w:rsidRPr="00B71DB9">
        <w:rPr>
          <w:rFonts w:ascii="Times New Roman" w:hAnsi="Times New Roman" w:cs="Times New Roman"/>
        </w:rPr>
        <w:t xml:space="preserve"> </w:t>
      </w:r>
      <w:r w:rsidRPr="00B71DB9">
        <w:rPr>
          <w:rFonts w:ascii="Times New Roman" w:hAnsi="Times New Roman" w:cs="Times New Roman"/>
          <w:i/>
        </w:rPr>
        <w:t>p</w:t>
      </w:r>
      <w:r w:rsidRPr="00B71DB9">
        <w:rPr>
          <w:rFonts w:ascii="Times New Roman" w:hAnsi="Times New Roman" w:cs="Times New Roman"/>
        </w:rPr>
        <w:t xml:space="preserve"> &lt; .001). Furthermore, soft drink EA rates on medium trials were significantly increased compared to EA rates on difficult trials (</w:t>
      </w:r>
      <w:r w:rsidRPr="00B71DB9">
        <w:rPr>
          <w:rFonts w:ascii="Times New Roman" w:hAnsi="Times New Roman" w:cs="Times New Roman"/>
          <w:i/>
        </w:rPr>
        <w:t>p</w:t>
      </w:r>
      <w:r w:rsidRPr="00B71DB9">
        <w:rPr>
          <w:rFonts w:ascii="Times New Roman" w:hAnsi="Times New Roman" w:cs="Times New Roman"/>
        </w:rPr>
        <w:t xml:space="preserve"> &lt; .001). Therefore, EA rates decreased with increasing difficulty levels in the trials (Figure 4.7).</w:t>
      </w:r>
    </w:p>
    <w:p w14:paraId="17688322" w14:textId="77777777" w:rsidR="00400F5F" w:rsidRDefault="00400F5F" w:rsidP="00400F5F">
      <w:pPr>
        <w:pStyle w:val="NoSpacing"/>
        <w:spacing w:line="480" w:lineRule="auto"/>
        <w:rPr>
          <w:rFonts w:ascii="Times New Roman" w:hAnsi="Times New Roman" w:cs="Times New Roman"/>
        </w:rPr>
      </w:pPr>
    </w:p>
    <w:p w14:paraId="5D17434A" w14:textId="77777777" w:rsidR="00400F5F" w:rsidRDefault="00400F5F" w:rsidP="00400F5F">
      <w:pPr>
        <w:pStyle w:val="NoSpacing"/>
        <w:spacing w:line="480" w:lineRule="auto"/>
        <w:rPr>
          <w:rFonts w:ascii="Times New Roman" w:hAnsi="Times New Roman" w:cs="Times New Roman"/>
          <w:b/>
          <w:bCs/>
        </w:rPr>
      </w:pPr>
      <w:bookmarkStart w:id="201" w:name="_Hlk110614049"/>
      <w:r w:rsidRPr="00400F5F">
        <w:rPr>
          <w:rFonts w:ascii="Times New Roman" w:hAnsi="Times New Roman" w:cs="Times New Roman"/>
          <w:b/>
          <w:bCs/>
        </w:rPr>
        <w:lastRenderedPageBreak/>
        <w:t>Figure 4.7</w:t>
      </w:r>
    </w:p>
    <w:p w14:paraId="1AF3900B" w14:textId="26EB2904" w:rsidR="00400F5F" w:rsidRDefault="00400F5F" w:rsidP="00400F5F">
      <w:pPr>
        <w:pStyle w:val="NoSpacing"/>
        <w:spacing w:line="480" w:lineRule="auto"/>
        <w:rPr>
          <w:rFonts w:ascii="Times New Roman" w:hAnsi="Times New Roman" w:cs="Times New Roman"/>
          <w:i/>
          <w:iCs/>
        </w:rPr>
      </w:pPr>
      <w:r w:rsidRPr="00400F5F">
        <w:rPr>
          <w:rFonts w:ascii="Times New Roman" w:hAnsi="Times New Roman" w:cs="Times New Roman"/>
          <w:i/>
          <w:iCs/>
        </w:rPr>
        <w:t>Mean evidence accumulation (EA) rates for alcohol and soft</w:t>
      </w:r>
      <w:r w:rsidR="00BA1F0E">
        <w:rPr>
          <w:rFonts w:ascii="Times New Roman" w:hAnsi="Times New Roman" w:cs="Times New Roman"/>
          <w:i/>
          <w:iCs/>
        </w:rPr>
        <w:t xml:space="preserve"> </w:t>
      </w:r>
      <w:r w:rsidRPr="00400F5F">
        <w:rPr>
          <w:rFonts w:ascii="Times New Roman" w:hAnsi="Times New Roman" w:cs="Times New Roman"/>
          <w:i/>
          <w:iCs/>
        </w:rPr>
        <w:t>drink decisions (averaged across experimental conditions) split by trial difficulty level</w:t>
      </w:r>
    </w:p>
    <w:bookmarkEnd w:id="201"/>
    <w:p w14:paraId="5B868269" w14:textId="1FA8C611" w:rsidR="00400F5F" w:rsidRPr="00400F5F" w:rsidRDefault="00400F5F" w:rsidP="00400F5F">
      <w:pPr>
        <w:pStyle w:val="NoSpacing"/>
        <w:jc w:val="center"/>
      </w:pPr>
      <w:r w:rsidRPr="00400F5F">
        <w:rPr>
          <w:noProof/>
        </w:rPr>
        <w:drawing>
          <wp:inline distT="0" distB="0" distL="0" distR="0" wp14:anchorId="5A64543B" wp14:editId="6AF99A1D">
            <wp:extent cx="4819650" cy="335722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27157" cy="3362451"/>
                    </a:xfrm>
                    <a:prstGeom prst="rect">
                      <a:avLst/>
                    </a:prstGeom>
                    <a:noFill/>
                  </pic:spPr>
                </pic:pic>
              </a:graphicData>
            </a:graphic>
          </wp:inline>
        </w:drawing>
      </w:r>
    </w:p>
    <w:p w14:paraId="11661642" w14:textId="77777777" w:rsidR="00400F5F" w:rsidRPr="00400F5F" w:rsidRDefault="00400F5F" w:rsidP="00400F5F">
      <w:pPr>
        <w:pStyle w:val="NoSpacing"/>
        <w:rPr>
          <w:rFonts w:ascii="Times New Roman" w:hAnsi="Times New Roman" w:cs="Times New Roman"/>
        </w:rPr>
      </w:pPr>
      <w:r w:rsidRPr="00400F5F">
        <w:rPr>
          <w:rFonts w:ascii="Times New Roman" w:hAnsi="Times New Roman" w:cs="Times New Roman"/>
          <w:i/>
          <w:iCs/>
        </w:rPr>
        <w:t>Note.</w:t>
      </w:r>
      <w:r w:rsidRPr="00400F5F">
        <w:rPr>
          <w:rFonts w:ascii="Times New Roman" w:hAnsi="Times New Roman" w:cs="Times New Roman"/>
        </w:rPr>
        <w:t xml:space="preserve"> Error bars represent the standard error of the mean (SE). </w:t>
      </w:r>
    </w:p>
    <w:p w14:paraId="6838CCC7" w14:textId="77777777" w:rsidR="00400F5F" w:rsidRPr="00B71DB9" w:rsidRDefault="00400F5F" w:rsidP="00400F5F">
      <w:pPr>
        <w:pStyle w:val="NoSpacing"/>
      </w:pPr>
    </w:p>
    <w:p w14:paraId="76CE3A24" w14:textId="68A53BCB" w:rsidR="00014944" w:rsidRDefault="00014944" w:rsidP="00B71DB9">
      <w:pPr>
        <w:pStyle w:val="NoSpacing"/>
        <w:spacing w:line="480" w:lineRule="auto"/>
        <w:rPr>
          <w:rFonts w:ascii="Times New Roman" w:hAnsi="Times New Roman" w:cs="Times New Roman"/>
        </w:rPr>
      </w:pPr>
    </w:p>
    <w:p w14:paraId="25F3CFC9" w14:textId="08114728" w:rsidR="00400F5F" w:rsidRPr="00946E33" w:rsidRDefault="00400F5F" w:rsidP="00400F5F">
      <w:pPr>
        <w:pStyle w:val="Heading4"/>
      </w:pPr>
      <w:bookmarkStart w:id="202" w:name="_Toc110629060"/>
      <w:bookmarkStart w:id="203" w:name="_Toc110870968"/>
      <w:r>
        <w:t>4.4. Discussion</w:t>
      </w:r>
      <w:bookmarkEnd w:id="202"/>
      <w:bookmarkEnd w:id="203"/>
    </w:p>
    <w:p w14:paraId="13A4680D" w14:textId="397C09A8" w:rsidR="00400F5F" w:rsidRPr="00400F5F" w:rsidRDefault="00400F5F" w:rsidP="00AE77D0">
      <w:pPr>
        <w:pStyle w:val="NoSpacing"/>
        <w:spacing w:line="480" w:lineRule="auto"/>
        <w:rPr>
          <w:rFonts w:ascii="Times New Roman" w:hAnsi="Times New Roman" w:cs="Times New Roman"/>
        </w:rPr>
      </w:pPr>
      <w:r w:rsidRPr="00400F5F">
        <w:rPr>
          <w:rFonts w:ascii="Times New Roman" w:hAnsi="Times New Roman" w:cs="Times New Roman"/>
        </w:rPr>
        <w:t xml:space="preserve">The aim of this study was to expand upon existing behavioural economic research by modelling the internal processes that determine discrete choices in regular alcohol consumers. Specifically, we explored whether the experimental manipulation of the value of alcohol alters the internal processes that precede decision-making regarding alcohol cues and soft drink cues </w:t>
      </w:r>
      <w:r w:rsidR="008D6161">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{"citationID":"NoiZ3R8k","properties":{"formattedCitation":"(Field,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8D6161">
        <w:rPr>
          <w:rFonts w:ascii="Times New Roman" w:hAnsi="Times New Roman" w:cs="Times New Roman"/>
        </w:rPr>
        <w:fldChar w:fldCharType="separate"/>
      </w:r>
      <w:r w:rsidR="00AE77D0" w:rsidRPr="00AE77D0">
        <w:rPr>
          <w:rFonts w:ascii="Times New Roman" w:hAnsi="Times New Roman" w:cs="Times New Roman"/>
        </w:rPr>
        <w:t>(Field, Heather, et al., 2020)</w:t>
      </w:r>
      <w:r w:rsidR="008D6161">
        <w:rPr>
          <w:rFonts w:ascii="Times New Roman" w:hAnsi="Times New Roman" w:cs="Times New Roman"/>
        </w:rPr>
        <w:fldChar w:fldCharType="end"/>
      </w:r>
      <w:r w:rsidRPr="00400F5F">
        <w:rPr>
          <w:rFonts w:ascii="Times New Roman" w:hAnsi="Times New Roman" w:cs="Times New Roman"/>
        </w:rPr>
        <w:t xml:space="preserve">. </w:t>
      </w:r>
    </w:p>
    <w:p w14:paraId="2538838E" w14:textId="77777777" w:rsidR="00400F5F" w:rsidRPr="00400F5F" w:rsidRDefault="00400F5F" w:rsidP="00400F5F">
      <w:pPr>
        <w:pStyle w:val="NoSpacing"/>
        <w:spacing w:line="480" w:lineRule="auto"/>
        <w:rPr>
          <w:rFonts w:ascii="Times New Roman" w:hAnsi="Times New Roman" w:cs="Times New Roman"/>
        </w:rPr>
      </w:pPr>
    </w:p>
    <w:p w14:paraId="041BA758" w14:textId="28338DC0" w:rsidR="00400F5F" w:rsidRPr="00400F5F" w:rsidRDefault="00400F5F" w:rsidP="00400F5F">
      <w:pPr>
        <w:pStyle w:val="NoSpacing"/>
        <w:spacing w:line="480" w:lineRule="auto"/>
        <w:rPr>
          <w:rFonts w:ascii="Times New Roman" w:hAnsi="Times New Roman" w:cs="Times New Roman"/>
        </w:rPr>
      </w:pPr>
      <w:r w:rsidRPr="00342E7D">
        <w:rPr>
          <w:rFonts w:ascii="Times New Roman" w:hAnsi="Times New Roman" w:cs="Times New Roman"/>
        </w:rPr>
        <w:t xml:space="preserve">The novel finding of this study is that </w:t>
      </w:r>
      <w:r w:rsidR="00107EBB" w:rsidRPr="00342E7D">
        <w:rPr>
          <w:rFonts w:ascii="Times New Roman" w:hAnsi="Times New Roman" w:cs="Times New Roman"/>
        </w:rPr>
        <w:t>manipulating the value of</w:t>
      </w:r>
      <w:r w:rsidRPr="00342E7D">
        <w:rPr>
          <w:rFonts w:ascii="Times New Roman" w:hAnsi="Times New Roman" w:cs="Times New Roman"/>
        </w:rPr>
        <w:t xml:space="preserve"> alcohol alters the internal processes of decision-making.</w:t>
      </w:r>
      <w:r w:rsidRPr="00400F5F">
        <w:rPr>
          <w:rFonts w:ascii="Times New Roman" w:hAnsi="Times New Roman" w:cs="Times New Roman"/>
        </w:rPr>
        <w:t xml:space="preserve"> Specifically, when participants were primed to devalue alcohol, their EA rates </w:t>
      </w:r>
      <w:r w:rsidR="00987C08" w:rsidRPr="00CF0F19">
        <w:rPr>
          <w:rFonts w:ascii="Times New Roman" w:hAnsi="Times New Roman" w:cs="Times New Roman"/>
        </w:rPr>
        <w:t>when making decisions about</w:t>
      </w:r>
      <w:r w:rsidR="00987C08">
        <w:rPr>
          <w:rFonts w:ascii="Times New Roman" w:hAnsi="Times New Roman" w:cs="Times New Roman"/>
        </w:rPr>
        <w:t xml:space="preserve"> </w:t>
      </w:r>
      <w:r w:rsidRPr="00400F5F">
        <w:rPr>
          <w:rFonts w:ascii="Times New Roman" w:hAnsi="Times New Roman" w:cs="Times New Roman"/>
        </w:rPr>
        <w:t xml:space="preserve">soft drinks increased significantly </w:t>
      </w:r>
      <w:r w:rsidRPr="00400F5F">
        <w:rPr>
          <w:rFonts w:ascii="Times New Roman" w:hAnsi="Times New Roman" w:cs="Times New Roman"/>
        </w:rPr>
        <w:lastRenderedPageBreak/>
        <w:t xml:space="preserve">compared to their EA rates </w:t>
      </w:r>
      <w:r w:rsidR="00CF0F19">
        <w:rPr>
          <w:rFonts w:ascii="Times New Roman" w:hAnsi="Times New Roman" w:cs="Times New Roman"/>
        </w:rPr>
        <w:t>when making decisions about</w:t>
      </w:r>
      <w:r w:rsidRPr="00400F5F">
        <w:rPr>
          <w:rFonts w:ascii="Times New Roman" w:hAnsi="Times New Roman" w:cs="Times New Roman"/>
        </w:rPr>
        <w:t xml:space="preserve"> alcohol. This finding is further complimented by a within-condition difference: when participants were primed to devalue alcohol, EA rates for soft drinks increased significantly compared to EA rates for soft drinks when they were primed to value alcohol. These findings demonstrate that devaluation of alcohol results in increases in the value that is ascribed to soft drinks which is reflected in augmented soft drink EA rates. </w:t>
      </w:r>
      <w:r w:rsidRPr="00342E7D">
        <w:rPr>
          <w:rFonts w:ascii="Times New Roman" w:hAnsi="Times New Roman" w:cs="Times New Roman"/>
        </w:rPr>
        <w:t>Put another way, when participants were primed to devalue alcohol</w:t>
      </w:r>
      <w:r w:rsidR="00107EBB" w:rsidRPr="00342E7D">
        <w:rPr>
          <w:rFonts w:ascii="Times New Roman" w:hAnsi="Times New Roman" w:cs="Times New Roman"/>
        </w:rPr>
        <w:t xml:space="preserve"> (relative to when they were primed to value alcohol)</w:t>
      </w:r>
      <w:r w:rsidRPr="00342E7D">
        <w:rPr>
          <w:rFonts w:ascii="Times New Roman" w:hAnsi="Times New Roman" w:cs="Times New Roman"/>
        </w:rPr>
        <w:t>, they acquired significantly more value evidence for soft drinks,</w:t>
      </w:r>
      <w:r w:rsidRPr="00400F5F">
        <w:rPr>
          <w:rFonts w:ascii="Times New Roman" w:hAnsi="Times New Roman" w:cs="Times New Roman"/>
        </w:rPr>
        <w:t xml:space="preserve"> making it much more likely to cross their response threshold. </w:t>
      </w:r>
    </w:p>
    <w:p w14:paraId="33EF9CC2" w14:textId="77777777" w:rsidR="00400F5F" w:rsidRPr="00400F5F" w:rsidRDefault="00400F5F" w:rsidP="00400F5F">
      <w:pPr>
        <w:pStyle w:val="NoSpacing"/>
        <w:spacing w:line="480" w:lineRule="auto"/>
        <w:rPr>
          <w:rFonts w:ascii="Times New Roman" w:hAnsi="Times New Roman" w:cs="Times New Roman"/>
        </w:rPr>
      </w:pPr>
    </w:p>
    <w:p w14:paraId="0A5D8463" w14:textId="2E93A256" w:rsidR="00400F5F" w:rsidRPr="00400F5F" w:rsidRDefault="00400F5F" w:rsidP="00400F5F">
      <w:pPr>
        <w:pStyle w:val="NoSpacing"/>
        <w:spacing w:line="480" w:lineRule="auto"/>
        <w:rPr>
          <w:rFonts w:ascii="Times New Roman" w:hAnsi="Times New Roman" w:cs="Times New Roman"/>
        </w:rPr>
      </w:pPr>
      <w:bookmarkStart w:id="204" w:name="_heading=h.44sinio" w:colFirst="0" w:colLast="0"/>
      <w:bookmarkEnd w:id="204"/>
      <w:r w:rsidRPr="00400F5F">
        <w:rPr>
          <w:rFonts w:ascii="Times New Roman" w:hAnsi="Times New Roman" w:cs="Times New Roman"/>
        </w:rPr>
        <w:t>These findings can be viewed in line with previous research that has manipulated the value of alcohol. For example, two experimental studies directly manipulated the value of alcohol by altering the taste to be aversive to humans (devaluation) or no manipulation (control). These studies found that when participants were primed to devalue alcohol, this led to a decrease in the percentage of choice, and therefore value of, alcohol compared to soft drinks (Rose et al., 2013, 2018). However, a closer look at these findings reveals some ambiguity: another way to frame decreases in the percentage choice of alcohol is to frame it as increases in the percentage choice of soft drinks. It is therefore unclear whether their findings directly reflect decreased value of alcohol, increased value of soft drinks, or a bit of both. The authors solely attributed their findings to decreased value of alcohol, whereas our findings have demonstrated the opposite, in that it is increased value of soft</w:t>
      </w:r>
      <w:r w:rsidR="00BA1F0E">
        <w:rPr>
          <w:rFonts w:ascii="Times New Roman" w:hAnsi="Times New Roman" w:cs="Times New Roman"/>
        </w:rPr>
        <w:t xml:space="preserve"> </w:t>
      </w:r>
      <w:r w:rsidRPr="00400F5F">
        <w:rPr>
          <w:rFonts w:ascii="Times New Roman" w:hAnsi="Times New Roman" w:cs="Times New Roman"/>
        </w:rPr>
        <w:t xml:space="preserve">drinks that is important. </w:t>
      </w:r>
    </w:p>
    <w:p w14:paraId="40AC8F80" w14:textId="77777777" w:rsidR="00400F5F" w:rsidRPr="00400F5F" w:rsidRDefault="00400F5F" w:rsidP="00400F5F">
      <w:pPr>
        <w:pStyle w:val="NoSpacing"/>
        <w:spacing w:line="480" w:lineRule="auto"/>
        <w:rPr>
          <w:rFonts w:ascii="Times New Roman" w:hAnsi="Times New Roman" w:cs="Times New Roman"/>
        </w:rPr>
      </w:pPr>
    </w:p>
    <w:p w14:paraId="3709EA8E" w14:textId="69012218" w:rsidR="00400F5F" w:rsidRPr="00400F5F" w:rsidRDefault="00400F5F" w:rsidP="00AE77D0">
      <w:pPr>
        <w:pStyle w:val="NoSpacing"/>
        <w:spacing w:line="480" w:lineRule="auto"/>
        <w:rPr>
          <w:rFonts w:ascii="Times New Roman" w:hAnsi="Times New Roman" w:cs="Times New Roman"/>
        </w:rPr>
      </w:pPr>
      <w:bookmarkStart w:id="205" w:name="_heading=h.2jxsxqh" w:colFirst="0" w:colLast="0"/>
      <w:bookmarkEnd w:id="205"/>
      <w:r w:rsidRPr="00400F5F">
        <w:rPr>
          <w:rFonts w:ascii="Times New Roman" w:hAnsi="Times New Roman" w:cs="Times New Roman"/>
        </w:rPr>
        <w:t xml:space="preserve">Our study </w:t>
      </w:r>
      <w:r w:rsidRPr="00342E7D">
        <w:rPr>
          <w:rFonts w:ascii="Times New Roman" w:hAnsi="Times New Roman" w:cs="Times New Roman"/>
        </w:rPr>
        <w:t xml:space="preserve">expands upon existing research by modelling the internal processes that precede decision-making and showing that </w:t>
      </w:r>
      <w:r w:rsidR="00107EBB" w:rsidRPr="00342E7D">
        <w:rPr>
          <w:rFonts w:ascii="Times New Roman" w:hAnsi="Times New Roman" w:cs="Times New Roman"/>
        </w:rPr>
        <w:t xml:space="preserve">manipulating </w:t>
      </w:r>
      <w:r w:rsidRPr="00342E7D">
        <w:rPr>
          <w:rFonts w:ascii="Times New Roman" w:hAnsi="Times New Roman" w:cs="Times New Roman"/>
        </w:rPr>
        <w:t>alcohol</w:t>
      </w:r>
      <w:r w:rsidR="00107EBB" w:rsidRPr="00342E7D">
        <w:rPr>
          <w:rFonts w:ascii="Times New Roman" w:hAnsi="Times New Roman" w:cs="Times New Roman"/>
        </w:rPr>
        <w:t xml:space="preserve"> value</w:t>
      </w:r>
      <w:r w:rsidRPr="00342E7D">
        <w:rPr>
          <w:rFonts w:ascii="Times New Roman" w:hAnsi="Times New Roman" w:cs="Times New Roman"/>
        </w:rPr>
        <w:t xml:space="preserve"> increases soft drink EA rates,</w:t>
      </w:r>
      <w:r w:rsidRPr="00400F5F">
        <w:rPr>
          <w:rFonts w:ascii="Times New Roman" w:hAnsi="Times New Roman" w:cs="Times New Roman"/>
        </w:rPr>
        <w:t xml:space="preserve"> rather than reducing alcohol EA rates. Interestingly, Rose et al. (2018) also demonstrated that </w:t>
      </w:r>
      <w:r w:rsidRPr="00400F5F">
        <w:rPr>
          <w:rFonts w:ascii="Times New Roman" w:hAnsi="Times New Roman" w:cs="Times New Roman"/>
        </w:rPr>
        <w:lastRenderedPageBreak/>
        <w:t>when participants were primed to devalue alcohol, this reduced fixation and dwell time on alcohol cues and increased fixation and dwell time on soft drink cues. Therefore, it may be that adjustment in EA rates after devaluation of alcohol may be a result of changes in attentional preferences. Indeed, an extension of the DDM is the attentional drift diffusion model (</w:t>
      </w:r>
      <w:proofErr w:type="spellStart"/>
      <w:r w:rsidRPr="00400F5F">
        <w:rPr>
          <w:rFonts w:ascii="Times New Roman" w:hAnsi="Times New Roman" w:cs="Times New Roman"/>
        </w:rPr>
        <w:t>aDDM</w:t>
      </w:r>
      <w:proofErr w:type="spellEnd"/>
      <w:r w:rsidRPr="00400F5F">
        <w:rPr>
          <w:rFonts w:ascii="Times New Roman" w:hAnsi="Times New Roman" w:cs="Times New Roman"/>
        </w:rPr>
        <w:t xml:space="preserve">) which incorporates visual fixations in the value integration process </w:t>
      </w:r>
      <w:r w:rsidR="00AE77D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{"citationID":"6uDf38G3","properties":{"formattedCitation":"(Krajbich et al., 2010, 2012, 2015; Krajbich &amp; Rangel, 2011)","plainCitation":"(Krajbich et al., 2010, 2012, 2015; Krajbich &amp; Rangel, 2011)","noteIndex":0},"citationItems":[{"id":1771,"uris":["http://zotero.org/users/7873587/items/3QZ8899I"],"itemData":{"id":1771,"type":"article-journal","abstract":"To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label":"act"},{"id":1890,"uris":["http://zotero.org/users/7873587/items/TBEI9ZUM"],"itemData":{"id":1890,"type":"article-journal","abstract":"How do we make simple purchasing decisions (e.g., whether or not to buy a product at a given price)? Previous work has shown that the attentional drift-diffusion model (aDDM) can provide accurate quantitative descriptions of the psychometric data for binary and trinary value-based choices, and of how the choice process is guided by visual attention. Here we extend the aDDM to the case of purchasing decisions, and test it using an eye-tracking experiment. We find that the model also provides a reasonably accurate quantitative description of the relationship between choice, reaction time, and visual fixations using parameters that are very similar to those that best fit the previous data. The only critical difference is that the choice biases induced by the fixations are about half as big in purchasing decisions as in binary choices. This suggests that a similar computational process is used to make binary choices, trinary choices, and simple purchasing decisions.","container-title":"Frontiers in Psychology","ISSN":"1664-1078","source":"Frontiers","title":"The attentional drift-diffusion model extends to simple purchasing decisions","URL":"https://www.frontiersin.org/articles/10.3389/fpsyg.2012.00193","volume":"3","author":[{"family":"Krajbich","given":"Ian"},{"family":"Lu","given":"Dingchao"},{"family":"Camerer","given":"Colin"},{"family":"Rangel","given":"Antonio"}],"accessed":{"date-parts":[["2022",8,5]]},"issued":{"date-parts":[["2012"]]}},"label":"act"},{"id":1557,"uris":["http://zotero.org/users/7873587/items/QM6IL2G3"],"itemData":{"id":1557,"type":"article-journal","abstract":"People make numerous decisions every day including perceptual decisions such as walking through a crowd, decisions over primary rewards such as what to eat, and social decisions that require balancing own and others' benefits. The unifying principles behind choices in various domains are, however, still not well understood. Mathematical models that describe choice behavior in specific contexts have provided important insights into the computations that may underlie decision making in the brain. However, a critical and largely unanswered question is whether these models generalize from one choice context to another. Here we show that a model adapted from the perceptual decision-making domain and estimated on choices over food rewards accurately predicts choices and reaction times in four independent sets of subjects making social decisions. The robustness of the model across domains provides behavioral evidence for a common decision-making process in perceptual, primary reward, and social decision making.","container-title":"PLoS computational biology","DOI":"10.1371/journal.pcbi.1004371","ISSN":"1553-7358","issue":"10","journalAbbreviation":"PLoS Comput Biol","language":"eng","note":"PMID: 26460812\nPMCID: PMC4604207","page":"e1004371","source":"PubMed","title":"A common mechanism underlying food choice and social decisions","volume":"11","author":[{"family":"Krajbich","given":"Ian"},{"family":"Hare","given":"Todd"},{"family":"Bartling","given":"Björn"},{"family":"Morishima","given":"Yosuke"},{"family":"Fehr","given":"Ernst"}],"issued":{"date-parts":[["2015",10]]}}},{"id":934,"uris":["http://zotero.org/users/7873587/items/KL4NESL2"],"itemData":{"id":934,"type":"article-journal","container-title":"Proceedings of the National Academy of Sciences","DOI":"10.1073/pnas.1101328108","issue":"33","note":"publisher: Proceedings of the National Academy of Sciences","page":"13852-13857","source":"pnas.org (Atypon)","title":"Multialternative drift-diffusion model predicts the relationship between visual fixations and choice in value-based decisions","volume":"108","author":[{"family":"Krajbich","given":"Ian"},{"family":"Rangel","given":"Antonio"}],"issued":{"date-parts":[["2011",8,16]]}},"label":"act"}],"schema":"https://github.com/citation-style-language/schema/raw/master/csl-citation.json"} </w:instrText>
      </w:r>
      <w:r w:rsidR="00AE77D0">
        <w:rPr>
          <w:rFonts w:ascii="Times New Roman" w:hAnsi="Times New Roman" w:cs="Times New Roman"/>
        </w:rPr>
        <w:fldChar w:fldCharType="separate"/>
      </w:r>
      <w:r w:rsidR="00AE77D0" w:rsidRPr="00AE77D0">
        <w:rPr>
          <w:rFonts w:ascii="Times New Roman" w:hAnsi="Times New Roman" w:cs="Times New Roman"/>
        </w:rPr>
        <w:t>(Krajbich et al., 2010, 2012, 2015; Krajbich &amp; Rangel, 2011)</w:t>
      </w:r>
      <w:r w:rsidR="00AE77D0">
        <w:rPr>
          <w:rFonts w:ascii="Times New Roman" w:hAnsi="Times New Roman" w:cs="Times New Roman"/>
        </w:rPr>
        <w:fldChar w:fldCharType="end"/>
      </w:r>
      <w:r w:rsidR="00AE77D0">
        <w:rPr>
          <w:rFonts w:ascii="Times New Roman" w:hAnsi="Times New Roman" w:cs="Times New Roman"/>
        </w:rPr>
        <w:t xml:space="preserve"> </w:t>
      </w:r>
      <w:r w:rsidRPr="00400F5F">
        <w:rPr>
          <w:rFonts w:ascii="Times New Roman" w:hAnsi="Times New Roman" w:cs="Times New Roman"/>
        </w:rPr>
        <w:t>and posits that on average a person accumulates more value evidence for an item when it is being looked at than when it is not. Therefore, devaluation of alcohol may augment EA rates for soft drinks through an increase in fixation and dwelling to soft drink cues. In relation to the aforementioned ambiguity, these attentional findings from Rose et al. (2018) can be interpreted in line with our findings</w:t>
      </w:r>
      <w:r w:rsidR="00CF0F19">
        <w:rPr>
          <w:rFonts w:ascii="Times New Roman" w:hAnsi="Times New Roman" w:cs="Times New Roman"/>
        </w:rPr>
        <w:t xml:space="preserve">: </w:t>
      </w:r>
      <w:r w:rsidRPr="00400F5F">
        <w:rPr>
          <w:rFonts w:ascii="Times New Roman" w:hAnsi="Times New Roman" w:cs="Times New Roman"/>
        </w:rPr>
        <w:t xml:space="preserve">devaluation of alcohol </w:t>
      </w:r>
      <w:r w:rsidR="00CF0F19">
        <w:rPr>
          <w:rFonts w:ascii="Times New Roman" w:hAnsi="Times New Roman" w:cs="Times New Roman"/>
        </w:rPr>
        <w:t xml:space="preserve">may result in </w:t>
      </w:r>
      <w:r w:rsidRPr="00400F5F">
        <w:rPr>
          <w:rFonts w:ascii="Times New Roman" w:hAnsi="Times New Roman" w:cs="Times New Roman"/>
        </w:rPr>
        <w:t>decreased alcohol preference through adjustment of alcohol-free (i.e., soft</w:t>
      </w:r>
      <w:r w:rsidR="00AE2119">
        <w:rPr>
          <w:rFonts w:ascii="Times New Roman" w:hAnsi="Times New Roman" w:cs="Times New Roman"/>
        </w:rPr>
        <w:t xml:space="preserve"> </w:t>
      </w:r>
      <w:r w:rsidRPr="00400F5F">
        <w:rPr>
          <w:rFonts w:ascii="Times New Roman" w:hAnsi="Times New Roman" w:cs="Times New Roman"/>
        </w:rPr>
        <w:t>drink) value.</w:t>
      </w:r>
    </w:p>
    <w:p w14:paraId="053E0F13" w14:textId="77777777" w:rsidR="00400F5F" w:rsidRPr="00400F5F" w:rsidRDefault="00400F5F" w:rsidP="00400F5F">
      <w:pPr>
        <w:pStyle w:val="NoSpacing"/>
        <w:spacing w:line="480" w:lineRule="auto"/>
        <w:rPr>
          <w:rFonts w:ascii="Times New Roman" w:hAnsi="Times New Roman" w:cs="Times New Roman"/>
        </w:rPr>
      </w:pPr>
      <w:bookmarkStart w:id="206" w:name="_heading=h.z337ya" w:colFirst="0" w:colLast="0"/>
      <w:bookmarkEnd w:id="206"/>
    </w:p>
    <w:p w14:paraId="38D4FD81" w14:textId="2E95A838" w:rsidR="00400F5F" w:rsidRPr="00400F5F" w:rsidRDefault="00400F5F" w:rsidP="00927E18">
      <w:pPr>
        <w:pStyle w:val="NoSpacing"/>
        <w:spacing w:line="480" w:lineRule="auto"/>
        <w:rPr>
          <w:rFonts w:ascii="Times New Roman" w:hAnsi="Times New Roman" w:cs="Times New Roman"/>
        </w:rPr>
      </w:pPr>
      <w:bookmarkStart w:id="207" w:name="_heading=h.3j2qqm3" w:colFirst="0" w:colLast="0"/>
      <w:bookmarkEnd w:id="207"/>
      <w:r w:rsidRPr="00400F5F">
        <w:rPr>
          <w:rFonts w:ascii="Times New Roman" w:hAnsi="Times New Roman" w:cs="Times New Roman"/>
        </w:rPr>
        <w:t>We found that participants did not accumulate more value evidence for alcohol when they were primed to value alcohol compared to when they were primed to devalue alcohol. Therefore, to our surprise, our data did not identify the changes in alcohol EA rates that we would expect to see on the basis of overt preferences in previous research. For example, induction of negative mood has been found to increase the value of alcohol (indexed by an increase in percentage choice of alcohol rewards</w:t>
      </w:r>
      <w:r w:rsidR="00987C08">
        <w:rPr>
          <w:rFonts w:ascii="Times New Roman" w:hAnsi="Times New Roman" w:cs="Times New Roman"/>
        </w:rPr>
        <w:t xml:space="preserve">; </w:t>
      </w:r>
      <w:r w:rsidR="00987C08">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{"citationID":"k40mVm3r","properties":{"formattedCitation":"(Hardy &amp; Hogarth, 2017; Hogarth et al., 2018; Hogarth &amp; Hardy, 2018a)","plainCitation":"(Hardy &amp; Hogarth, 2017; Hogarth et al., 2018; Hogarth &amp; Hardy, 2018a)","dontUpdate":true,"noteIndex":0},"citationItems":[{"id":875,"uris":["http://zotero.org/users/7873587/items/E23ESQBL"],"itemData":{"id":875,"type":"article-journal","abstract":"This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act"},{"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R."},{"family":"Hitsman","given":"Brian"}],"issued":{"date-parts":[["2018",4]]}},"label":"act"},{"id":1357,"uris":["http://zotero.org/users/7873587/items/QCWLZRQS"],"itemData":{"id":1357,"type":"article-journal","abstract":"BACKGROUND: Most variants of negative reinforcement theory predict that acute depressed mood can promote alcohol-seeking behaviour, but the precise mechanisms underpinning this effect remain contested. One possibility is that mood-induced alcohol-seeking is due to the formation of a stimulus-response (S-R) association, enabling depressed mood to elicit alcohol-seeking automatically. A second possibility is that depressed mood undergoes incentive learning, enabling it to enhance the expected value of alcohol and thus promote goal-directed alcohol-seeking.\nOBJECTIVES: These two explanations were distinguished using a human outcome-revaluation procedure.\nMETHODS: One hundred and twenty-eight alcohol drinkers completed questionnaires of alcohol use disorder, drinking to cope with negative affect and depression symptoms. Participants then learned that two responses earned alcohol and food points respectively (baseline) in two alternative forced choice trials. At test, participants rated the valence of randomly sampled negative and positive mood statements and, after each statement, chose between the alcohol- and food-seeking responses in extinction.\nRESULTS: The percentage of alcohol- versus food-seeking responses was increased significantly in trials containing negative statements compared to baseline and positive statement trials, in individuals who reported drinking to cope with negative affect (p = .004), but there was no such interaction with indices of alcohol use disorder (p = .87) or depression symptoms (p = .58).\nCONCLUSIONS: Individuals who drink to cope with negative affect are more sensitive to the motivational impact of acute depressed mood statements priming goal-directed alcohol-seeking. Negative copers' vulnerability to alcohol dependence may be better explained by excessive affective incentive learning than by S-R habit formation.","container-title":"Psychopharmacology","DOI":"10.1007/s00213-017-4765-8","ISSN":"1432-2072","issue":"1","journalAbbreviation":"Psychopharmacology (Berl)","language":"eng","note":"PMID: 29082424\nPMCID: PMC5748391","page":"269-279","source":"PubMed","title":"Depressive statements prime goal-directed alcohol-seeking in individuals who report drinking to cope with negative affect","volume":"235","author":[{"family":"Hogarth","given":"Lee"},{"family":"Hardy","given":"Lorna"}],"issued":{"date-parts":[["2018",1]]}},"label":"act"}],"schema":"https://github.com/citation-style-language/schema/raw/master/csl-citation.json"} </w:instrText>
      </w:r>
      <w:r w:rsidR="00987C08">
        <w:rPr>
          <w:rFonts w:ascii="Times New Roman" w:hAnsi="Times New Roman" w:cs="Times New Roman"/>
        </w:rPr>
        <w:fldChar w:fldCharType="separate"/>
      </w:r>
      <w:r w:rsidR="00927E18" w:rsidRPr="00927E18">
        <w:rPr>
          <w:rFonts w:ascii="Times New Roman" w:hAnsi="Times New Roman" w:cs="Times New Roman"/>
        </w:rPr>
        <w:t>Hardy &amp; Hogarth, 2017; Hogarth et al., 2018; Hogarth &amp; Hardy, 2018a)</w:t>
      </w:r>
      <w:r w:rsidR="00987C08">
        <w:rPr>
          <w:rFonts w:ascii="Times New Roman" w:hAnsi="Times New Roman" w:cs="Times New Roman"/>
        </w:rPr>
        <w:fldChar w:fldCharType="end"/>
      </w:r>
      <w:r w:rsidRPr="00400F5F">
        <w:rPr>
          <w:rFonts w:ascii="Times New Roman" w:hAnsi="Times New Roman" w:cs="Times New Roman"/>
        </w:rPr>
        <w:t xml:space="preserve"> whilst manipulation of the taste of alcohol so that it is aversive reduces the value of alcohol (indexed by a reduction in percentage choice of alcohol rewards; Rose et al., 2013, 2018). These findings </w:t>
      </w:r>
      <w:r w:rsidR="00927E18">
        <w:rPr>
          <w:rFonts w:ascii="Times New Roman" w:hAnsi="Times New Roman" w:cs="Times New Roman"/>
        </w:rPr>
        <w:t xml:space="preserve">support the notion </w:t>
      </w:r>
      <w:r w:rsidRPr="00400F5F">
        <w:rPr>
          <w:rFonts w:ascii="Times New Roman" w:hAnsi="Times New Roman" w:cs="Times New Roman"/>
        </w:rPr>
        <w:t xml:space="preserve">that alcohol choices are goal-directed, in that they are governed by the current motivational value of alcohol (Hogarth, 2020), and we anticipated that manipulation of the value of alcohol would be reflected in alterations in alcohol EA rates, but this was not the case. However, there are two </w:t>
      </w:r>
      <w:r w:rsidRPr="00400F5F">
        <w:rPr>
          <w:rFonts w:ascii="Times New Roman" w:hAnsi="Times New Roman" w:cs="Times New Roman"/>
        </w:rPr>
        <w:lastRenderedPageBreak/>
        <w:t xml:space="preserve">important considerations. First, many of the aforementioned studies have the potential to be re-interpreted in a way that at least partially includes changes in the value of the alcohol-free alternative as a mechanism by which the manipulation influences alcohol choice. For example, negative mood (Hardy &amp; Hogarth, 2017) may decrease the value of the alcohol-free alternative because they do not have the same mood repairing qualities of alcoholic drinks, whilst manipulation of alcohol taste (Rose et al., 2018) may increase the value of the alcohol-free alternative because it does not taste aversive, but alcohol does. Second, there are methodological differences that mean it is difficult to interpret our findings in line with previous research. Rather than focusing on overt choices (e.g., whether participants choose between an alcohol or a soft drink image), we asked participants to choose between two alcohol or two soft drink images because this generates the behavioural data that is essential to model the internal </w:t>
      </w:r>
      <w:r w:rsidR="00927E18">
        <w:rPr>
          <w:rFonts w:ascii="Times New Roman" w:hAnsi="Times New Roman" w:cs="Times New Roman"/>
        </w:rPr>
        <w:t>processes that precede decisions made</w:t>
      </w:r>
      <w:r w:rsidRPr="00400F5F">
        <w:rPr>
          <w:rFonts w:ascii="Times New Roman" w:hAnsi="Times New Roman" w:cs="Times New Roman"/>
        </w:rPr>
        <w:t>. Furthermore, our manipulation of alcohol value differs from previous research. In one study, the value of alcohol was increased by inducing a negative mood among participants by asking them to carefully read negative statements such as “</w:t>
      </w:r>
      <w:r w:rsidRPr="00400F5F">
        <w:rPr>
          <w:rFonts w:ascii="Times New Roman" w:hAnsi="Times New Roman" w:cs="Times New Roman"/>
          <w:i/>
        </w:rPr>
        <w:t>things are never going to get better</w:t>
      </w:r>
      <w:r w:rsidRPr="00400F5F">
        <w:rPr>
          <w:rFonts w:ascii="Times New Roman" w:hAnsi="Times New Roman" w:cs="Times New Roman"/>
        </w:rPr>
        <w:t xml:space="preserve">” whilst listening to sad music (Hogarth et al., 2018). Our study manipulated the value of alcohol in a different way by asking participants to view videos that depicted positive (e.g., drinking with friends) and negative (e.g., alcohol-related violence) outcomes or consequences of alcohol consumption, accompanied by upbeat or downbeat track (Di Lemma et al., 2015). </w:t>
      </w:r>
      <w:r w:rsidR="00927E18">
        <w:rPr>
          <w:rFonts w:ascii="Times New Roman" w:hAnsi="Times New Roman" w:cs="Times New Roman"/>
        </w:rPr>
        <w:t>Moreover, i</w:t>
      </w:r>
      <w:r w:rsidRPr="00400F5F">
        <w:rPr>
          <w:rFonts w:ascii="Times New Roman" w:hAnsi="Times New Roman" w:cs="Times New Roman"/>
        </w:rPr>
        <w:t>t may be that our manipulation to increase alcohol value was not as effective as our manipulation to decrease the value of alcohol. This is because each of the three AA</w:t>
      </w:r>
      <w:r w:rsidR="00927E18">
        <w:rPr>
          <w:rFonts w:ascii="Times New Roman" w:hAnsi="Times New Roman" w:cs="Times New Roman"/>
        </w:rPr>
        <w:t>A</w:t>
      </w:r>
      <w:r w:rsidRPr="00400F5F">
        <w:rPr>
          <w:rFonts w:ascii="Times New Roman" w:hAnsi="Times New Roman" w:cs="Times New Roman"/>
        </w:rPr>
        <w:t xml:space="preserve">Q subscales (alcohol approach and avoid inclinations) </w:t>
      </w:r>
      <w:r w:rsidR="00927E18">
        <w:rPr>
          <w:rFonts w:ascii="Times New Roman" w:hAnsi="Times New Roman" w:cs="Times New Roman"/>
        </w:rPr>
        <w:t xml:space="preserve">altered </w:t>
      </w:r>
      <w:r w:rsidRPr="00400F5F">
        <w:rPr>
          <w:rFonts w:ascii="Times New Roman" w:hAnsi="Times New Roman" w:cs="Times New Roman"/>
        </w:rPr>
        <w:t>significantly after watching the negative video that was intended to devalue alcohol. However, after watching the positive video that was intended to increase the value of alcohol, only approach inclinations changed significantly and not avoid inclinations (</w:t>
      </w:r>
      <w:r w:rsidR="00927E18">
        <w:rPr>
          <w:rFonts w:ascii="Times New Roman" w:hAnsi="Times New Roman" w:cs="Times New Roman"/>
        </w:rPr>
        <w:t xml:space="preserve">i.e., </w:t>
      </w:r>
      <w:r w:rsidRPr="00400F5F">
        <w:rPr>
          <w:rFonts w:ascii="Times New Roman" w:hAnsi="Times New Roman" w:cs="Times New Roman"/>
        </w:rPr>
        <w:t xml:space="preserve">participants did not want to avoid alcohol less). </w:t>
      </w:r>
    </w:p>
    <w:p w14:paraId="5E0E2124" w14:textId="77777777" w:rsidR="00400F5F" w:rsidRPr="00400F5F" w:rsidRDefault="00400F5F" w:rsidP="00400F5F">
      <w:pPr>
        <w:pStyle w:val="NoSpacing"/>
        <w:spacing w:line="480" w:lineRule="auto"/>
        <w:rPr>
          <w:rFonts w:ascii="Times New Roman" w:hAnsi="Times New Roman" w:cs="Times New Roman"/>
        </w:rPr>
      </w:pPr>
    </w:p>
    <w:p w14:paraId="5F1A55C4" w14:textId="6BBAEE03" w:rsidR="00400F5F" w:rsidRPr="00400F5F" w:rsidRDefault="00400F5F" w:rsidP="00AE2119">
      <w:pPr>
        <w:pStyle w:val="NoSpacing"/>
        <w:spacing w:line="480" w:lineRule="auto"/>
        <w:rPr>
          <w:rFonts w:ascii="Times New Roman" w:hAnsi="Times New Roman" w:cs="Times New Roman"/>
        </w:rPr>
      </w:pPr>
      <w:bookmarkStart w:id="208" w:name="_heading=h.1y810tw" w:colFirst="0" w:colLast="0"/>
      <w:bookmarkEnd w:id="208"/>
      <w:r w:rsidRPr="00400F5F">
        <w:rPr>
          <w:rFonts w:ascii="Times New Roman" w:hAnsi="Times New Roman" w:cs="Times New Roman"/>
        </w:rPr>
        <w:t xml:space="preserve">We did not find any significant differences in response thresholds as a result of our experimental manipulation. Therefore, in this study </w:t>
      </w:r>
      <w:r w:rsidR="00673749">
        <w:rPr>
          <w:rFonts w:ascii="Times New Roman" w:hAnsi="Times New Roman" w:cs="Times New Roman"/>
        </w:rPr>
        <w:t xml:space="preserve">not all of the </w:t>
      </w:r>
      <w:r w:rsidRPr="00400F5F">
        <w:rPr>
          <w:rFonts w:ascii="Times New Roman" w:hAnsi="Times New Roman" w:cs="Times New Roman"/>
        </w:rPr>
        <w:t xml:space="preserve">predictions derived from the theoretical model proposed by </w:t>
      </w:r>
      <w:r w:rsidR="00AE2119">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{"citationID":"mud3bALj","properties":{"formattedCitation":"(Field,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AE2119">
        <w:rPr>
          <w:rFonts w:ascii="Times New Roman" w:hAnsi="Times New Roman" w:cs="Times New Roman"/>
        </w:rPr>
        <w:fldChar w:fldCharType="separate"/>
      </w:r>
      <w:r w:rsidR="00AE2119" w:rsidRPr="00AE2119">
        <w:rPr>
          <w:rFonts w:ascii="Times New Roman" w:hAnsi="Times New Roman" w:cs="Times New Roman"/>
        </w:rPr>
        <w:t>(Field, Heather, et al., 2020)</w:t>
      </w:r>
      <w:r w:rsidR="00AE2119">
        <w:rPr>
          <w:rFonts w:ascii="Times New Roman" w:hAnsi="Times New Roman" w:cs="Times New Roman"/>
        </w:rPr>
        <w:fldChar w:fldCharType="end"/>
      </w:r>
      <w:r w:rsidRPr="00400F5F">
        <w:rPr>
          <w:rFonts w:ascii="Times New Roman" w:hAnsi="Times New Roman" w:cs="Times New Roman"/>
        </w:rPr>
        <w:t xml:space="preserve"> were supported. However, it may be that recovery is characterised by cautious decision-making because people are actively making the choice to not consume a substance in their everyday lives, whereas in </w:t>
      </w:r>
      <w:r w:rsidR="00DC4564">
        <w:rPr>
          <w:rFonts w:ascii="Times New Roman" w:hAnsi="Times New Roman" w:cs="Times New Roman"/>
        </w:rPr>
        <w:t xml:space="preserve">the present </w:t>
      </w:r>
      <w:r w:rsidRPr="00400F5F">
        <w:rPr>
          <w:rFonts w:ascii="Times New Roman" w:hAnsi="Times New Roman" w:cs="Times New Roman"/>
        </w:rPr>
        <w:t xml:space="preserve">study the participants were regular alcohol consumers who were making decisions in a laboratory with no consequences. </w:t>
      </w:r>
      <w:r w:rsidR="00183C73">
        <w:rPr>
          <w:rFonts w:ascii="Times New Roman" w:hAnsi="Times New Roman" w:cs="Times New Roman"/>
        </w:rPr>
        <w:t>Future research could explore this speculation.</w:t>
      </w:r>
    </w:p>
    <w:p w14:paraId="10592B6E" w14:textId="77777777" w:rsidR="00400F5F" w:rsidRPr="00400F5F" w:rsidRDefault="00400F5F" w:rsidP="00400F5F">
      <w:pPr>
        <w:pStyle w:val="NoSpacing"/>
        <w:spacing w:line="480" w:lineRule="auto"/>
        <w:rPr>
          <w:rFonts w:ascii="Times New Roman" w:hAnsi="Times New Roman" w:cs="Times New Roman"/>
        </w:rPr>
      </w:pPr>
    </w:p>
    <w:p w14:paraId="47E3CBAA" w14:textId="3729C58B" w:rsidR="00400F5F" w:rsidRPr="00400F5F" w:rsidRDefault="00183C73" w:rsidP="007439C0">
      <w:pPr>
        <w:pStyle w:val="NoSpacing"/>
        <w:spacing w:line="480" w:lineRule="auto"/>
        <w:rPr>
          <w:rFonts w:ascii="Times New Roman" w:hAnsi="Times New Roman" w:cs="Times New Roman"/>
        </w:rPr>
      </w:pPr>
      <w:bookmarkStart w:id="209" w:name="_heading=h.4i7ojhp" w:colFirst="0" w:colLast="0"/>
      <w:bookmarkEnd w:id="209"/>
      <w:r>
        <w:rPr>
          <w:rFonts w:ascii="Times New Roman" w:hAnsi="Times New Roman" w:cs="Times New Roman"/>
        </w:rPr>
        <w:t>O</w:t>
      </w:r>
      <w:r w:rsidR="00400F5F" w:rsidRPr="00400F5F">
        <w:rPr>
          <w:rFonts w:ascii="Times New Roman" w:hAnsi="Times New Roman" w:cs="Times New Roman"/>
        </w:rPr>
        <w:t xml:space="preserve">ur pre-registered analyses included the exploration of whether there is a ‘difficulty effect’. Indeed, EA rates on the VBDM task decreased with increasing difficulty level on the trials. This is in line with previous research </w:t>
      </w:r>
      <w:r w:rsidR="007439C0">
        <w:rPr>
          <w:rFonts w:ascii="Times New Roman" w:hAnsi="Times New Roman" w:cs="Times New Roman"/>
        </w:rPr>
        <w:fldChar w:fldCharType="begin"/>
      </w:r>
      <w:r w:rsidR="007439C0">
        <w:rPr>
          <w:rFonts w:ascii="Times New Roman" w:hAnsi="Times New Roman" w:cs="Times New Roman"/>
        </w:rPr>
        <w:instrText xml:space="preserve"> ADDIN ZOTERO_ITEM CSL_CITATION {"citationID":"LYr7S0M0","properties":{"formattedCitation":"(Dutilh &amp; Rieskamp, 2016; Fontanesi et al., 2019; Polan\\uc0\\u237{}a et al., 2014)","plainCitation":"(Dutilh &amp; Rieskamp, 2016; Fontanesi et al., 2019; Polanía et al., 2014)","noteIndex":0},"citationItems":[{"id":1871,"uris":["http://zotero.org/users/7873587/items/WI22Z4JA"],"itemData":{"id":1871,"type":"article-journal","abstract":"Perceptual and preferential decision making have been studied largely in isolation. Perceptual decisions are considered to be at a non–deliberative cognitive level and have an outside criterion that defines the quality of decisions. Preferential decisions are considered to be at a higher cognitive level and the quality of decisions depend on the decision maker’s subjective goals. Besides these crucial differences, both types of decisions also have in common that uncertain information about the choice situation has to be processed before a decision can be made. The present work aims to acknowledge the commonalities of both types of decision making to lay bare the crucial differences. For this aim we examine perceptual and preferential decisions with a novel choice paradigm that uses the identical stimulus material for both types of decisions. This paradigm allows us to model the decisions and response times of both types of decisions with the same sequential sampling model, the drift diffusion model. The results illustrate that the different incentive structure in both types of tasks changes people’s behavior so that they process information more efficiently and respond more cautiously in the perceptual as compared to the preferential task. These findings set out a perspective for further integration of perceptual and preferential decision making in a single ramework.","container-title":"Psychonomic Bulletin &amp; Review","DOI":"10.3758/s13423-015-0941-1","ISSN":"1531-5320","issue":"3","journalAbbreviation":"Psychon Bull Rev","language":"en","page":"723-737","source":"Springer Link","title":"Comparing perceptual and preferential decision making","volume":"23","author":[{"family":"Dutilh","given":"Gilles"},{"family":"Rieskamp","given":"Jörg"}],"issued":{"date-parts":[["2016",6,1]]}},"label":"act"},{"id":1875,"uris":["http://zotero.org/users/7873587/items/STGE3ACF"],"itemData":{"id":1875,"type":"article-journal","abstract":"Psychological models of value-based decision-making describe how subjective values are formed and mapped to single choices. Recently, additional efforts have been made to describe the temporal dynamics of these processes by adopting sequential sampling models from the perceptual decision-making tradition, such as the diffusion decision model (DDM). These models, when applied to value-based decision-making, allow mapping of subjective values not only to choices but also to response times. However, very few attempts have been made to adapt these models to situations in which decisions are followed by rewards, thereby producing learning effects. In this study, we propose a new combined reinforcement learning diffusion decision model (RLDDM) and test it on a learning task in which pairs of options differ with respect to both value difference and overall value. We found that participants became more accurate and faster with learning, responded faster and more accurately when options had more dissimilar values, and decided faster when confronted with more attractive (i.e., overall more valuable) pairs of options. We demonstrate that the suggested RLDDM can accommodate these effects and does so better than previously proposed models. To gain a better understanding of the model dynamics, we also compare it to standard DDMs and reinforcement learning models. Our work is a step forward towards bridging the gap between two traditions of decision-making research.","container-title":"Psychonomic Bulletin &amp; Review","DOI":"10.3758/s13423-018-1554-2","ISSN":"1531-5320","issue":"4","journalAbbreviation":"Psychon Bull Rev","language":"en","page":"1099-1121","source":"Springer Link","title":"A reinforcement learning diffusion decision model for value-based decisions","volume":"26","author":[{"family":"Fontanesi","given":"Laura"},{"family":"Gluth","given":"Sebastian"},{"family":"Spektor","given":"Mikhail S."},{"family":"Rieskamp","given":"Jörg"}],"issued":{"date-parts":[["2019",8,1]]}},"label":"act"},{"id":1544,"uris":["http://zotero.org/users/7873587/items/S2B2VYDB"],"itemData":{"id":1544,"type":"article-journal","abstract":"Organisms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C."}],"issued":{"date-parts":[["2014",5,7]]}},"label":"act"}],"schema":"https://github.com/citation-style-language/schema/raw/master/csl-citation.json"} </w:instrText>
      </w:r>
      <w:r w:rsidR="007439C0">
        <w:rPr>
          <w:rFonts w:ascii="Times New Roman" w:hAnsi="Times New Roman" w:cs="Times New Roman"/>
        </w:rPr>
        <w:fldChar w:fldCharType="separate"/>
      </w:r>
      <w:r w:rsidR="007439C0" w:rsidRPr="007439C0">
        <w:rPr>
          <w:rFonts w:ascii="Times New Roman" w:hAnsi="Times New Roman" w:cs="Times New Roman"/>
        </w:rPr>
        <w:t>(Dutilh &amp; Rieskamp, 2016; Fontanesi et al., 2019; Polanía et al., 2014)</w:t>
      </w:r>
      <w:r w:rsidR="007439C0">
        <w:rPr>
          <w:rFonts w:ascii="Times New Roman" w:hAnsi="Times New Roman" w:cs="Times New Roman"/>
        </w:rPr>
        <w:fldChar w:fldCharType="end"/>
      </w:r>
      <w:r w:rsidR="007439C0">
        <w:rPr>
          <w:rFonts w:ascii="Times New Roman" w:hAnsi="Times New Roman" w:cs="Times New Roman"/>
        </w:rPr>
        <w:t xml:space="preserve"> </w:t>
      </w:r>
      <w:r w:rsidR="00400F5F" w:rsidRPr="00400F5F">
        <w:rPr>
          <w:rFonts w:ascii="Times New Roman" w:hAnsi="Times New Roman" w:cs="Times New Roman"/>
        </w:rPr>
        <w:t>and demonstrates that the way that participants were responding to the stimuli during the VBDM task was compatible with the value judgments that they had made about those stimuli during the rating task.</w:t>
      </w:r>
    </w:p>
    <w:p w14:paraId="09091526" w14:textId="77777777" w:rsidR="00400F5F" w:rsidRPr="00400F5F" w:rsidRDefault="00400F5F" w:rsidP="00400F5F">
      <w:pPr>
        <w:pStyle w:val="NoSpacing"/>
        <w:spacing w:line="480" w:lineRule="auto"/>
        <w:rPr>
          <w:rFonts w:ascii="Times New Roman" w:hAnsi="Times New Roman" w:cs="Times New Roman"/>
        </w:rPr>
      </w:pPr>
    </w:p>
    <w:p w14:paraId="3C7D04DB" w14:textId="3AB4C403" w:rsidR="00400F5F" w:rsidRPr="00400F5F" w:rsidRDefault="00C01FC8" w:rsidP="00673749">
      <w:pPr>
        <w:pStyle w:val="NoSpacing"/>
        <w:spacing w:line="480" w:lineRule="auto"/>
        <w:rPr>
          <w:rFonts w:ascii="Times New Roman" w:hAnsi="Times New Roman" w:cs="Times New Roman"/>
        </w:rPr>
      </w:pPr>
      <w:r>
        <w:rPr>
          <w:rFonts w:ascii="Times New Roman" w:hAnsi="Times New Roman" w:cs="Times New Roman"/>
        </w:rPr>
        <w:t xml:space="preserve">This </w:t>
      </w:r>
      <w:r w:rsidR="00400F5F" w:rsidRPr="00400F5F">
        <w:rPr>
          <w:rFonts w:ascii="Times New Roman" w:hAnsi="Times New Roman" w:cs="Times New Roman"/>
        </w:rPr>
        <w:t>study has some strengths</w:t>
      </w:r>
      <w:r>
        <w:rPr>
          <w:rFonts w:ascii="Times New Roman" w:hAnsi="Times New Roman" w:cs="Times New Roman"/>
        </w:rPr>
        <w:t>;</w:t>
      </w:r>
      <w:r w:rsidR="00400F5F" w:rsidRPr="00400F5F">
        <w:rPr>
          <w:rFonts w:ascii="Times New Roman" w:hAnsi="Times New Roman" w:cs="Times New Roman"/>
        </w:rPr>
        <w:t xml:space="preserve"> the experimental design </w:t>
      </w:r>
      <w:r>
        <w:rPr>
          <w:rFonts w:ascii="Times New Roman" w:hAnsi="Times New Roman" w:cs="Times New Roman"/>
        </w:rPr>
        <w:t>meant</w:t>
      </w:r>
      <w:r w:rsidR="00400F5F" w:rsidRPr="00400F5F">
        <w:rPr>
          <w:rFonts w:ascii="Times New Roman" w:hAnsi="Times New Roman" w:cs="Times New Roman"/>
        </w:rPr>
        <w:t xml:space="preserve"> it is possible to infer causal relationships between </w:t>
      </w:r>
      <w:r>
        <w:rPr>
          <w:rFonts w:ascii="Times New Roman" w:hAnsi="Times New Roman" w:cs="Times New Roman"/>
        </w:rPr>
        <w:t>experimental</w:t>
      </w:r>
      <w:r w:rsidR="00400F5F" w:rsidRPr="00400F5F">
        <w:rPr>
          <w:rFonts w:ascii="Times New Roman" w:hAnsi="Times New Roman" w:cs="Times New Roman"/>
        </w:rPr>
        <w:t xml:space="preserve"> conditions and </w:t>
      </w:r>
      <w:r>
        <w:rPr>
          <w:rFonts w:ascii="Times New Roman" w:hAnsi="Times New Roman" w:cs="Times New Roman"/>
        </w:rPr>
        <w:t xml:space="preserve">VBDM </w:t>
      </w:r>
      <w:r w:rsidR="00400F5F" w:rsidRPr="00400F5F">
        <w:rPr>
          <w:rFonts w:ascii="Times New Roman" w:hAnsi="Times New Roman" w:cs="Times New Roman"/>
        </w:rPr>
        <w:t xml:space="preserve">parameters, and there is an increasing awareness of the benefits of applying </w:t>
      </w:r>
      <w:r>
        <w:rPr>
          <w:rFonts w:ascii="Times New Roman" w:hAnsi="Times New Roman" w:cs="Times New Roman"/>
        </w:rPr>
        <w:t xml:space="preserve">the </w:t>
      </w:r>
      <w:r w:rsidR="00400F5F" w:rsidRPr="00400F5F">
        <w:rPr>
          <w:rFonts w:ascii="Times New Roman" w:hAnsi="Times New Roman" w:cs="Times New Roman"/>
        </w:rPr>
        <w:t xml:space="preserve">DDM to </w:t>
      </w:r>
      <w:r>
        <w:rPr>
          <w:rFonts w:ascii="Times New Roman" w:hAnsi="Times New Roman" w:cs="Times New Roman"/>
        </w:rPr>
        <w:t>behavioural data</w:t>
      </w:r>
      <w:r w:rsidR="00400F5F" w:rsidRPr="00400F5F">
        <w:rPr>
          <w:rFonts w:ascii="Times New Roman" w:hAnsi="Times New Roman" w:cs="Times New Roman"/>
        </w:rPr>
        <w:t xml:space="preserve"> (Stafford et al., 2020). However, there are also some important limitations, and our findings identify important avenues for future research. Firstly, females were overrepresented in our sample which limits the generalizability of the findings to the wider population. In addition, due to the manipulation in this study, we cannot establish whether the augmented EA for soft drinks after alcohol devaluation would also be seen in comparison to a more neutral manipulation (rather than a manipulation that increases the value of alcohol). Future research could clarify </w:t>
      </w:r>
      <w:r w:rsidR="00400F5F" w:rsidRPr="00400F5F">
        <w:rPr>
          <w:rFonts w:ascii="Times New Roman" w:hAnsi="Times New Roman" w:cs="Times New Roman"/>
        </w:rPr>
        <w:lastRenderedPageBreak/>
        <w:t xml:space="preserve">this. It might be interesting for future research to </w:t>
      </w:r>
      <w:r w:rsidR="00183C73">
        <w:rPr>
          <w:rFonts w:ascii="Times New Roman" w:hAnsi="Times New Roman" w:cs="Times New Roman"/>
        </w:rPr>
        <w:t xml:space="preserve">also </w:t>
      </w:r>
      <w:r w:rsidR="00400F5F" w:rsidRPr="00400F5F">
        <w:rPr>
          <w:rFonts w:ascii="Times New Roman" w:hAnsi="Times New Roman" w:cs="Times New Roman"/>
        </w:rPr>
        <w:t xml:space="preserve">explore whether other forms of manipulation replicate our findings, such as directly manipulating alcohol taste (Rose et al., 2013; 2018) or </w:t>
      </w:r>
      <w:r w:rsidR="00673749">
        <w:rPr>
          <w:rFonts w:ascii="Times New Roman" w:hAnsi="Times New Roman" w:cs="Times New Roman"/>
        </w:rPr>
        <w:t>a</w:t>
      </w:r>
      <w:r w:rsidR="00673749" w:rsidRPr="00673749">
        <w:rPr>
          <w:rFonts w:ascii="Times New Roman" w:hAnsi="Times New Roman" w:cs="Times New Roman"/>
        </w:rPr>
        <w:t>cute alcohol administration</w:t>
      </w:r>
      <w:r w:rsidR="00673749">
        <w:rPr>
          <w:rFonts w:ascii="Times New Roman" w:hAnsi="Times New Roman" w:cs="Times New Roman"/>
        </w:rPr>
        <w:t xml:space="preserve"> (also known as the alcohol priming effect; </w:t>
      </w:r>
      <w:r w:rsidR="007439C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{"citationID":"kE5IjNEi","properties":{"formattedCitation":"(Halsall et al., 2022)","plainCitation":"(Halsall et al., 2022)","dontUpdate":true,"noteIndex":0},"citationItems":[{"id":1892,"uris":["http://zotero.org/users/7873587/items/VVNRLMZV"],"itemData":{"id":1892,"type":"article-journal","abstract":"Background and Aims An initial dose of alcohol can motivate—or prime—further drinking and may precipitate (re)lapse and bingeing. Lab-based studies have investigated the alcohol priming effect; however, heterogeneity in designs has resulted in some inconsistent findings. The aims of this meta-analysis were to (i) determine the pooled effect size for motivation to drink following priming, measured by alcohol consumption and craving, and (ii) examine whether design characteristics influenced any priming effect. Methods Literature searches of PsycINFO, PubMed and Scopus in October 2020 (updated October 2021) identified lab-based alcohol priming studies that assessed effect of priming on motivation to drink. A tailored risk-of-bias tool assessed quality of lab-based studies. Random effects meta-analyses were computed on outcome data from 38 studies comparing the effect of a priming dose of alcohol against control on subsequent alcohol consumption/self-reported craving. Study characteristics that might have affected outcomes were design type (within/between-participant), dose of prime, time of motivation assessment, type of control drink (placebo alcohol/soft drink). Results Relative to control, alcohol had a small-to-moderate priming effect on subsequent alcohol consumption (standardised mean difference [SMD] = 0.336 [95% CI, 0.171, 0.500]) and craving (SMD = 0.431 [95% CI, 0.306, 0.555]). Aspects of study design differentially affected consumption and craving. The size of the priming dose had no effect on consumption, but larger doses were sometimes associated with greater craving (with craving generally following the blood alcohol curve). Alcohol priming effects for consumption, but not craving, were smaller when compared with placebo, relative to soft drink, control. Conclusions Lab-based alcohol priming studies are a valid paradigm from which to investigate the impact of acute intoxication on alcohol motivation. Designs are needed that assess the impact of acute consumption on motivation to drink in more varied and realistic ways.","container-title":"Addiction","DOI":"10.1111/add.15962","ISSN":"1360-0443","language":"en","note":"_eprint: https://onlinelibrary.wiley.com/doi/pdf/10.1111/add.15962","source":"Wiley Online Library","title":"The impact of alcohol priming on craving and motivation to drink: a meta-analysis","title-short":"The impact of alcohol priming on craving and motivation to drink","URL":"https://onlinelibrary.wiley.com/doi/abs/10.1111/add.15962","author":[{"family":"Halsall","given":"Lauren"},{"family":"Jones","given":"Andrew"},{"family":"Roberts","given":"Carl"},{"family":"Knibb","given":"Graeme"},{"family":"Rose","given":"Abigail K."}],"accessed":{"date-parts":[["2022",8,5]]},"issued":{"date-parts":[["2022"]]}}}],"schema":"https://github.com/citation-style-language/schema/raw/master/csl-citation.json"} </w:instrText>
      </w:r>
      <w:r w:rsidR="007439C0">
        <w:rPr>
          <w:rFonts w:ascii="Times New Roman" w:hAnsi="Times New Roman" w:cs="Times New Roman"/>
        </w:rPr>
        <w:fldChar w:fldCharType="separate"/>
      </w:r>
      <w:r w:rsidR="007439C0" w:rsidRPr="007439C0">
        <w:rPr>
          <w:rFonts w:ascii="Times New Roman" w:hAnsi="Times New Roman" w:cs="Times New Roman"/>
        </w:rPr>
        <w:t>Halsall et al., 2022)</w:t>
      </w:r>
      <w:r w:rsidR="007439C0">
        <w:rPr>
          <w:rFonts w:ascii="Times New Roman" w:hAnsi="Times New Roman" w:cs="Times New Roman"/>
        </w:rPr>
        <w:fldChar w:fldCharType="end"/>
      </w:r>
      <w:r w:rsidR="00400F5F" w:rsidRPr="00400F5F">
        <w:rPr>
          <w:rFonts w:ascii="Times New Roman" w:hAnsi="Times New Roman" w:cs="Times New Roman"/>
        </w:rPr>
        <w:t xml:space="preserve">, or whether similar findings are found when the value of other substances, such as nicotine, are manipulated.  Furthermore, cross-sectional comparison or longitudinal follow-up studies of people who are </w:t>
      </w:r>
      <w:r>
        <w:rPr>
          <w:rFonts w:ascii="Times New Roman" w:hAnsi="Times New Roman" w:cs="Times New Roman"/>
        </w:rPr>
        <w:t xml:space="preserve">heavy drinkers or </w:t>
      </w:r>
      <w:r w:rsidR="00400F5F" w:rsidRPr="00400F5F">
        <w:rPr>
          <w:rFonts w:ascii="Times New Roman" w:hAnsi="Times New Roman" w:cs="Times New Roman"/>
        </w:rPr>
        <w:t xml:space="preserve">dependent on alcohol </w:t>
      </w:r>
      <w:r>
        <w:rPr>
          <w:rFonts w:ascii="Times New Roman" w:hAnsi="Times New Roman" w:cs="Times New Roman"/>
        </w:rPr>
        <w:t xml:space="preserve">and those in </w:t>
      </w:r>
      <w:r w:rsidR="00400F5F" w:rsidRPr="00400F5F">
        <w:rPr>
          <w:rFonts w:ascii="Times New Roman" w:hAnsi="Times New Roman" w:cs="Times New Roman"/>
        </w:rPr>
        <w:t xml:space="preserve">recovery may prove further insights into whether alterations in internal processes </w:t>
      </w:r>
      <w:r>
        <w:rPr>
          <w:rFonts w:ascii="Times New Roman" w:hAnsi="Times New Roman" w:cs="Times New Roman"/>
        </w:rPr>
        <w:t xml:space="preserve">that precede value-based choices </w:t>
      </w:r>
      <w:r w:rsidR="00400F5F" w:rsidRPr="00400F5F">
        <w:rPr>
          <w:rFonts w:ascii="Times New Roman" w:hAnsi="Times New Roman" w:cs="Times New Roman"/>
        </w:rPr>
        <w:t>are important in alcohol-related behaviour change.</w:t>
      </w:r>
    </w:p>
    <w:p w14:paraId="23302C4A" w14:textId="77777777" w:rsidR="00400F5F" w:rsidRPr="00400F5F" w:rsidRDefault="00400F5F" w:rsidP="00400F5F">
      <w:pPr>
        <w:pStyle w:val="NoSpacing"/>
        <w:spacing w:line="480" w:lineRule="auto"/>
        <w:rPr>
          <w:rFonts w:ascii="Times New Roman" w:hAnsi="Times New Roman" w:cs="Times New Roman"/>
        </w:rPr>
      </w:pPr>
    </w:p>
    <w:p w14:paraId="0A1FC77C" w14:textId="630CE365" w:rsidR="00400F5F" w:rsidRPr="00400F5F" w:rsidRDefault="00400F5F" w:rsidP="00673749">
      <w:pPr>
        <w:pStyle w:val="NoSpacing"/>
        <w:spacing w:line="480" w:lineRule="auto"/>
        <w:rPr>
          <w:rFonts w:ascii="Times New Roman" w:hAnsi="Times New Roman" w:cs="Times New Roman"/>
        </w:rPr>
      </w:pPr>
      <w:bookmarkStart w:id="210" w:name="_heading=h.2xcytpi" w:colFirst="0" w:colLast="0"/>
      <w:bookmarkEnd w:id="210"/>
      <w:r w:rsidRPr="00400F5F">
        <w:rPr>
          <w:rFonts w:ascii="Times New Roman" w:hAnsi="Times New Roman" w:cs="Times New Roman"/>
        </w:rPr>
        <w:t xml:space="preserve">To conclude, </w:t>
      </w:r>
      <w:r w:rsidR="00183C73">
        <w:rPr>
          <w:rFonts w:ascii="Times New Roman" w:hAnsi="Times New Roman" w:cs="Times New Roman"/>
        </w:rPr>
        <w:t xml:space="preserve">this study applied a </w:t>
      </w:r>
      <w:r w:rsidRPr="00400F5F">
        <w:rPr>
          <w:rFonts w:ascii="Times New Roman" w:hAnsi="Times New Roman" w:cs="Times New Roman"/>
        </w:rPr>
        <w:t xml:space="preserve">computational model of VBDM </w:t>
      </w:r>
      <w:r w:rsidR="007439C0">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{"citationID":"rH2y4gPN","properties":{"formattedCitation":"(Field,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7439C0">
        <w:rPr>
          <w:rFonts w:ascii="Times New Roman" w:hAnsi="Times New Roman" w:cs="Times New Roman"/>
        </w:rPr>
        <w:fldChar w:fldCharType="separate"/>
      </w:r>
      <w:r w:rsidR="007439C0" w:rsidRPr="007439C0">
        <w:rPr>
          <w:rFonts w:ascii="Times New Roman" w:hAnsi="Times New Roman" w:cs="Times New Roman"/>
        </w:rPr>
        <w:t>(Field, Heather, et al., 2020)</w:t>
      </w:r>
      <w:r w:rsidR="007439C0">
        <w:rPr>
          <w:rFonts w:ascii="Times New Roman" w:hAnsi="Times New Roman" w:cs="Times New Roman"/>
        </w:rPr>
        <w:fldChar w:fldCharType="end"/>
      </w:r>
      <w:r w:rsidRPr="00400F5F">
        <w:rPr>
          <w:rFonts w:ascii="Times New Roman" w:hAnsi="Times New Roman" w:cs="Times New Roman"/>
        </w:rPr>
        <w:t xml:space="preserve"> to explore the underlying mechanisms that determine </w:t>
      </w:r>
      <w:r w:rsidR="00183C73">
        <w:rPr>
          <w:rFonts w:ascii="Times New Roman" w:hAnsi="Times New Roman" w:cs="Times New Roman"/>
        </w:rPr>
        <w:t xml:space="preserve">value-based </w:t>
      </w:r>
      <w:r w:rsidRPr="00400F5F">
        <w:rPr>
          <w:rFonts w:ascii="Times New Roman" w:hAnsi="Times New Roman" w:cs="Times New Roman"/>
        </w:rPr>
        <w:t>choices for alcohol and soft drink cues after the experimental manipulation of alcohol</w:t>
      </w:r>
      <w:r w:rsidR="00183C73">
        <w:rPr>
          <w:rFonts w:ascii="Times New Roman" w:hAnsi="Times New Roman" w:cs="Times New Roman"/>
        </w:rPr>
        <w:t xml:space="preserve"> value</w:t>
      </w:r>
      <w:r w:rsidRPr="00400F5F">
        <w:rPr>
          <w:rFonts w:ascii="Times New Roman" w:hAnsi="Times New Roman" w:cs="Times New Roman"/>
        </w:rPr>
        <w:t xml:space="preserve">. Our results provide clarity on some ambiguities of existing research, but only demonstrate only partial support for the theoretical predictions in </w:t>
      </w:r>
      <w:r w:rsidR="007439C0">
        <w:rPr>
          <w:rFonts w:ascii="Times New Roman" w:hAnsi="Times New Roman" w:cs="Times New Roman"/>
        </w:rPr>
        <w:fldChar w:fldCharType="begin"/>
      </w:r>
      <w:r w:rsidR="007439C0">
        <w:rPr>
          <w:rFonts w:ascii="Times New Roman" w:hAnsi="Times New Roman" w:cs="Times New Roman"/>
        </w:rPr>
        <w:instrText xml:space="preserve"> ADDIN ZOTERO_ITEM CSL_CITATION {"citationID":"3htv4i63","properties":{"formattedCitation":"(Field,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7439C0">
        <w:rPr>
          <w:rFonts w:ascii="Times New Roman" w:hAnsi="Times New Roman" w:cs="Times New Roman"/>
        </w:rPr>
        <w:fldChar w:fldCharType="separate"/>
      </w:r>
      <w:r w:rsidR="007439C0" w:rsidRPr="007439C0">
        <w:rPr>
          <w:rFonts w:ascii="Times New Roman" w:hAnsi="Times New Roman" w:cs="Times New Roman"/>
        </w:rPr>
        <w:t>Field, Heather, et al.</w:t>
      </w:r>
      <w:r w:rsidR="007439C0">
        <w:rPr>
          <w:rFonts w:ascii="Times New Roman" w:hAnsi="Times New Roman" w:cs="Times New Roman"/>
        </w:rPr>
        <w:t xml:space="preserve"> (</w:t>
      </w:r>
      <w:r w:rsidR="007439C0" w:rsidRPr="007439C0">
        <w:rPr>
          <w:rFonts w:ascii="Times New Roman" w:hAnsi="Times New Roman" w:cs="Times New Roman"/>
        </w:rPr>
        <w:t>2020)</w:t>
      </w:r>
      <w:r w:rsidR="007439C0">
        <w:rPr>
          <w:rFonts w:ascii="Times New Roman" w:hAnsi="Times New Roman" w:cs="Times New Roman"/>
        </w:rPr>
        <w:fldChar w:fldCharType="end"/>
      </w:r>
      <w:r w:rsidRPr="00400F5F">
        <w:rPr>
          <w:rFonts w:ascii="Times New Roman" w:hAnsi="Times New Roman" w:cs="Times New Roman"/>
        </w:rPr>
        <w:t xml:space="preserve">: </w:t>
      </w:r>
      <w:r w:rsidR="00107EBB" w:rsidRPr="00342E7D">
        <w:rPr>
          <w:rFonts w:ascii="Times New Roman" w:hAnsi="Times New Roman" w:cs="Times New Roman"/>
        </w:rPr>
        <w:t>manipulation of</w:t>
      </w:r>
      <w:r w:rsidRPr="00342E7D">
        <w:rPr>
          <w:rFonts w:ascii="Times New Roman" w:hAnsi="Times New Roman" w:cs="Times New Roman"/>
        </w:rPr>
        <w:t xml:space="preserve"> alcohol </w:t>
      </w:r>
      <w:r w:rsidR="00107EBB" w:rsidRPr="00342E7D">
        <w:rPr>
          <w:rFonts w:ascii="Times New Roman" w:hAnsi="Times New Roman" w:cs="Times New Roman"/>
        </w:rPr>
        <w:t>value altered</w:t>
      </w:r>
      <w:r w:rsidRPr="00342E7D">
        <w:rPr>
          <w:rFonts w:ascii="Times New Roman" w:hAnsi="Times New Roman" w:cs="Times New Roman"/>
        </w:rPr>
        <w:t xml:space="preserve"> EA rates for soft drinks, although </w:t>
      </w:r>
      <w:r w:rsidR="00107EBB" w:rsidRPr="00342E7D">
        <w:rPr>
          <w:rFonts w:ascii="Times New Roman" w:hAnsi="Times New Roman" w:cs="Times New Roman"/>
        </w:rPr>
        <w:t xml:space="preserve">EA rates for </w:t>
      </w:r>
      <w:r w:rsidRPr="00342E7D">
        <w:rPr>
          <w:rFonts w:ascii="Times New Roman" w:hAnsi="Times New Roman" w:cs="Times New Roman"/>
        </w:rPr>
        <w:t>alcoholic drinks were unaffected by the experimental manipulation.</w:t>
      </w:r>
      <w:r w:rsidRPr="00400F5F">
        <w:rPr>
          <w:rFonts w:ascii="Times New Roman" w:hAnsi="Times New Roman" w:cs="Times New Roman"/>
        </w:rPr>
        <w:t xml:space="preserve"> Furthermore, the experimental manipulation had no effect on response thresholds in either priming condition. Therefore, findings </w:t>
      </w:r>
      <w:r w:rsidR="00673749">
        <w:rPr>
          <w:rFonts w:ascii="Times New Roman" w:hAnsi="Times New Roman" w:cs="Times New Roman"/>
        </w:rPr>
        <w:t xml:space="preserve">do </w:t>
      </w:r>
      <w:r w:rsidRPr="00400F5F">
        <w:rPr>
          <w:rFonts w:ascii="Times New Roman" w:hAnsi="Times New Roman" w:cs="Times New Roman"/>
        </w:rPr>
        <w:t xml:space="preserve">not support all of the theoretical predictions from </w:t>
      </w:r>
      <w:r w:rsidR="007439C0">
        <w:rPr>
          <w:rFonts w:ascii="Times New Roman" w:hAnsi="Times New Roman" w:cs="Times New Roman"/>
        </w:rPr>
        <w:fldChar w:fldCharType="begin"/>
      </w:r>
      <w:r w:rsidR="007439C0">
        <w:rPr>
          <w:rFonts w:ascii="Times New Roman" w:hAnsi="Times New Roman" w:cs="Times New Roman"/>
        </w:rPr>
        <w:instrText xml:space="preserve"> ADDIN ZOTERO_ITEM CSL_CITATION {"citationID":"NGGQ4sq0","properties":{"formattedCitation":"(Field,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7439C0">
        <w:rPr>
          <w:rFonts w:ascii="Times New Roman" w:hAnsi="Times New Roman" w:cs="Times New Roman"/>
        </w:rPr>
        <w:fldChar w:fldCharType="separate"/>
      </w:r>
      <w:r w:rsidR="007439C0" w:rsidRPr="007439C0">
        <w:rPr>
          <w:rFonts w:ascii="Times New Roman" w:hAnsi="Times New Roman" w:cs="Times New Roman"/>
        </w:rPr>
        <w:t>Field, Heather, et al.</w:t>
      </w:r>
      <w:r w:rsidR="007439C0">
        <w:rPr>
          <w:rFonts w:ascii="Times New Roman" w:hAnsi="Times New Roman" w:cs="Times New Roman"/>
        </w:rPr>
        <w:t xml:space="preserve"> (</w:t>
      </w:r>
      <w:r w:rsidR="007439C0" w:rsidRPr="007439C0">
        <w:rPr>
          <w:rFonts w:ascii="Times New Roman" w:hAnsi="Times New Roman" w:cs="Times New Roman"/>
        </w:rPr>
        <w:t>2020)</w:t>
      </w:r>
      <w:r w:rsidR="007439C0">
        <w:rPr>
          <w:rFonts w:ascii="Times New Roman" w:hAnsi="Times New Roman" w:cs="Times New Roman"/>
        </w:rPr>
        <w:fldChar w:fldCharType="end"/>
      </w:r>
      <w:r w:rsidRPr="00400F5F">
        <w:rPr>
          <w:rFonts w:ascii="Times New Roman" w:hAnsi="Times New Roman" w:cs="Times New Roman"/>
        </w:rPr>
        <w:t xml:space="preserve">. </w:t>
      </w:r>
      <w:bookmarkStart w:id="211" w:name="_heading=h.1ci93xb" w:colFirst="0" w:colLast="0"/>
      <w:bookmarkEnd w:id="211"/>
    </w:p>
    <w:p w14:paraId="7AF8CAA5" w14:textId="77777777" w:rsidR="00946E33" w:rsidRPr="00946E33" w:rsidRDefault="00946E33" w:rsidP="00014944">
      <w:pPr>
        <w:pStyle w:val="NoSpacing"/>
        <w:spacing w:line="480" w:lineRule="auto"/>
        <w:rPr>
          <w:rFonts w:ascii="Times New Roman" w:hAnsi="Times New Roman" w:cs="Times New Roman"/>
        </w:rPr>
      </w:pPr>
    </w:p>
    <w:p w14:paraId="79D891B9" w14:textId="77777777" w:rsidR="007B2473" w:rsidRPr="005A20BE" w:rsidRDefault="007B2473" w:rsidP="00946E33">
      <w:pPr>
        <w:pStyle w:val="NoSpacing"/>
        <w:spacing w:line="480" w:lineRule="auto"/>
        <w:rPr>
          <w:rFonts w:ascii="Times New Roman" w:hAnsi="Times New Roman" w:cs="Times New Roman"/>
        </w:rPr>
      </w:pPr>
    </w:p>
    <w:p w14:paraId="6C465483" w14:textId="61250592" w:rsidR="003124B0" w:rsidRPr="005A20BE" w:rsidRDefault="003124B0" w:rsidP="00093B56">
      <w:pPr>
        <w:pStyle w:val="NoSpacing"/>
        <w:rPr>
          <w:rFonts w:ascii="Times New Roman" w:hAnsi="Times New Roman" w:cs="Times New Roman"/>
        </w:rPr>
      </w:pPr>
    </w:p>
    <w:p w14:paraId="6453A61A" w14:textId="78181B25" w:rsidR="003124B0" w:rsidRPr="005A20BE" w:rsidRDefault="003124B0" w:rsidP="00093B56">
      <w:pPr>
        <w:pStyle w:val="NoSpacing"/>
        <w:rPr>
          <w:rFonts w:ascii="Times New Roman" w:hAnsi="Times New Roman" w:cs="Times New Roman"/>
        </w:rPr>
      </w:pPr>
    </w:p>
    <w:p w14:paraId="4FD64344" w14:textId="77777777" w:rsidR="003124B0" w:rsidRDefault="003124B0" w:rsidP="00093B56">
      <w:pPr>
        <w:pStyle w:val="NoSpacing"/>
      </w:pPr>
    </w:p>
    <w:p w14:paraId="3D953018" w14:textId="1F62EA34" w:rsidR="00093B56" w:rsidRDefault="00093B56" w:rsidP="00093B56">
      <w:pPr>
        <w:pStyle w:val="NoSpacing"/>
      </w:pPr>
    </w:p>
    <w:p w14:paraId="30BF8C6E" w14:textId="3F7B3300" w:rsidR="00093B56" w:rsidRDefault="00093B56" w:rsidP="00093B56">
      <w:pPr>
        <w:pStyle w:val="NoSpacing"/>
      </w:pPr>
    </w:p>
    <w:p w14:paraId="74605513" w14:textId="0231DF82" w:rsidR="00093B56" w:rsidRDefault="00093B56" w:rsidP="00093B56">
      <w:pPr>
        <w:pStyle w:val="NoSpacing"/>
      </w:pPr>
    </w:p>
    <w:p w14:paraId="4E5823D7" w14:textId="2663CFFE" w:rsidR="00386F12" w:rsidRDefault="00386F12" w:rsidP="00093B56">
      <w:pPr>
        <w:pStyle w:val="NoSpacing"/>
      </w:pPr>
    </w:p>
    <w:p w14:paraId="5E2F086E" w14:textId="4D6356E7" w:rsidR="00386F12" w:rsidRDefault="00386F12" w:rsidP="00093B56">
      <w:pPr>
        <w:pStyle w:val="NoSpacing"/>
      </w:pPr>
    </w:p>
    <w:p w14:paraId="63DBF14B" w14:textId="77777777" w:rsidR="00386F12" w:rsidRDefault="00386F12" w:rsidP="00093B56">
      <w:pPr>
        <w:pStyle w:val="NoSpacing"/>
      </w:pPr>
    </w:p>
    <w:p w14:paraId="06960EEA" w14:textId="77777777" w:rsidR="00093B56" w:rsidRDefault="00093B56" w:rsidP="00093B56">
      <w:pPr>
        <w:pStyle w:val="NoSpacing"/>
      </w:pPr>
    </w:p>
    <w:p w14:paraId="6F80FD68" w14:textId="45C6DCF5" w:rsidR="00093B56" w:rsidRDefault="00093B56" w:rsidP="00107EBB">
      <w:pPr>
        <w:pStyle w:val="Heading1"/>
      </w:pPr>
      <w:bookmarkStart w:id="212" w:name="_Toc109911333"/>
      <w:bookmarkStart w:id="213" w:name="_Toc110612736"/>
      <w:bookmarkStart w:id="214" w:name="_Toc110629061"/>
      <w:bookmarkStart w:id="215" w:name="_Toc110870969"/>
      <w:r>
        <w:lastRenderedPageBreak/>
        <w:t>Chapter 5: Modelling value-based decision-making (VBDM) in daily tobacco smokers after experimental manipulation of mood</w:t>
      </w:r>
      <w:bookmarkEnd w:id="212"/>
      <w:bookmarkEnd w:id="213"/>
      <w:bookmarkEnd w:id="214"/>
      <w:bookmarkEnd w:id="215"/>
    </w:p>
    <w:p w14:paraId="65496256" w14:textId="4B4E6BFC" w:rsidR="00093B56" w:rsidRDefault="00093B56" w:rsidP="00482FC8">
      <w:pPr>
        <w:pStyle w:val="NoSpacing"/>
        <w:spacing w:line="480" w:lineRule="auto"/>
      </w:pPr>
    </w:p>
    <w:p w14:paraId="3938B42B" w14:textId="5D1504C5" w:rsidR="00913C01" w:rsidRPr="00482FC8" w:rsidRDefault="00913C01" w:rsidP="00482FC8">
      <w:pPr>
        <w:pStyle w:val="NoSpacing"/>
        <w:spacing w:line="480" w:lineRule="auto"/>
        <w:rPr>
          <w:rFonts w:ascii="Times New Roman" w:hAnsi="Times New Roman" w:cs="Times New Roman"/>
        </w:rPr>
      </w:pPr>
      <w:r w:rsidRPr="00482FC8">
        <w:rPr>
          <w:rFonts w:ascii="Times New Roman" w:hAnsi="Times New Roman" w:cs="Times New Roman"/>
        </w:rPr>
        <w:t>Previously (Chapter 4), I found that when participants were primed to devalue alcohol, this led to augmented EA rates for soft</w:t>
      </w:r>
      <w:r w:rsidR="002E18A8">
        <w:rPr>
          <w:rFonts w:ascii="Times New Roman" w:hAnsi="Times New Roman" w:cs="Times New Roman"/>
        </w:rPr>
        <w:t xml:space="preserve"> </w:t>
      </w:r>
      <w:r w:rsidRPr="00482FC8">
        <w:rPr>
          <w:rFonts w:ascii="Times New Roman" w:hAnsi="Times New Roman" w:cs="Times New Roman"/>
        </w:rPr>
        <w:t>drinks compared to for alcoholic drinks and compared to EA rates for soft</w:t>
      </w:r>
      <w:r w:rsidR="002E18A8">
        <w:rPr>
          <w:rFonts w:ascii="Times New Roman" w:hAnsi="Times New Roman" w:cs="Times New Roman"/>
        </w:rPr>
        <w:t xml:space="preserve"> </w:t>
      </w:r>
      <w:r w:rsidRPr="00482FC8">
        <w:rPr>
          <w:rFonts w:ascii="Times New Roman" w:hAnsi="Times New Roman" w:cs="Times New Roman"/>
        </w:rPr>
        <w:t xml:space="preserve">drinks when participants were primed to value alcohol. However, there were no significant differences in EA rates for alcoholic drinks or in response thresholds for either drink type. I subsequently conducted a mirror study that investigated whether experimentally manipulating nicotine value (via videos that temporarily induce positive and negative mood) in daily tobacco smokers prior to the completion of the VBDM task alters the decision parameters of value-based choice for tobacco and tobacco-unrelated cues. </w:t>
      </w:r>
    </w:p>
    <w:p w14:paraId="4F64A20C" w14:textId="77777777" w:rsidR="00913C01" w:rsidRPr="00482FC8" w:rsidRDefault="00913C01" w:rsidP="00482FC8">
      <w:pPr>
        <w:pStyle w:val="NoSpacing"/>
        <w:spacing w:line="480" w:lineRule="auto"/>
        <w:rPr>
          <w:rFonts w:ascii="Times New Roman" w:hAnsi="Times New Roman" w:cs="Times New Roman"/>
        </w:rPr>
      </w:pPr>
    </w:p>
    <w:p w14:paraId="1A918E39" w14:textId="62A98AB0" w:rsidR="00093B56" w:rsidRPr="00482FC8" w:rsidRDefault="00913C01" w:rsidP="00482FC8">
      <w:pPr>
        <w:pStyle w:val="NoSpacing"/>
        <w:spacing w:line="480" w:lineRule="auto"/>
        <w:rPr>
          <w:rFonts w:ascii="Times New Roman" w:hAnsi="Times New Roman" w:cs="Times New Roman"/>
        </w:rPr>
      </w:pPr>
      <w:r w:rsidRPr="00482FC8">
        <w:rPr>
          <w:rFonts w:ascii="Times New Roman" w:hAnsi="Times New Roman" w:cs="Times New Roman"/>
          <w:b/>
          <w:bCs/>
        </w:rPr>
        <w:t>Contributions:</w:t>
      </w:r>
      <w:r w:rsidRPr="00482FC8">
        <w:rPr>
          <w:rFonts w:ascii="Times New Roman" w:hAnsi="Times New Roman" w:cs="Times New Roman"/>
        </w:rPr>
        <w:t xml:space="preserve"> I designed the study, which was approved by Matt Field and Tom Stafford (primary supervisors). I collected and analysed the data. I wrote the chapter. Matt Field and Tom Stafford provided feedback on the draft.</w:t>
      </w:r>
    </w:p>
    <w:p w14:paraId="5D37BF95" w14:textId="3EBD91CB" w:rsidR="00093B56" w:rsidRDefault="00093B56" w:rsidP="00093B56">
      <w:pPr>
        <w:pStyle w:val="NoSpacing"/>
      </w:pPr>
    </w:p>
    <w:p w14:paraId="098EEA59" w14:textId="0263DBE4" w:rsidR="00093B56" w:rsidRDefault="00093B56" w:rsidP="00093B56">
      <w:pPr>
        <w:pStyle w:val="NoSpacing"/>
      </w:pPr>
    </w:p>
    <w:p w14:paraId="149B856F" w14:textId="7BEA7389" w:rsidR="00107EBB" w:rsidRDefault="00107EBB" w:rsidP="00107EBB">
      <w:pPr>
        <w:pStyle w:val="NoSpacing"/>
        <w:spacing w:line="480" w:lineRule="auto"/>
        <w:rPr>
          <w:rFonts w:ascii="Times New Roman" w:hAnsi="Times New Roman" w:cs="Times New Roman"/>
        </w:rPr>
      </w:pPr>
      <w:r>
        <w:rPr>
          <w:rFonts w:ascii="Times New Roman" w:hAnsi="Times New Roman" w:cs="Times New Roman"/>
        </w:rPr>
        <w:t xml:space="preserve">As mentioned previously (p.6), </w:t>
      </w:r>
      <w:r w:rsidRPr="00192660">
        <w:rPr>
          <w:rFonts w:ascii="Times New Roman" w:hAnsi="Times New Roman" w:cs="Times New Roman"/>
        </w:rPr>
        <w:t>findings from this Chapter have been presented</w:t>
      </w:r>
      <w:r>
        <w:rPr>
          <w:rFonts w:ascii="Times New Roman" w:hAnsi="Times New Roman" w:cs="Times New Roman"/>
        </w:rPr>
        <w:t xml:space="preserve"> as a poster</w:t>
      </w:r>
      <w:r w:rsidRPr="00192660">
        <w:rPr>
          <w:rFonts w:ascii="Times New Roman" w:hAnsi="Times New Roman" w:cs="Times New Roman"/>
        </w:rPr>
        <w:t xml:space="preserve"> at the Society for the Study of Addiction</w:t>
      </w:r>
      <w:r>
        <w:rPr>
          <w:rFonts w:ascii="Times New Roman" w:hAnsi="Times New Roman" w:cs="Times New Roman"/>
        </w:rPr>
        <w:t>’s Annual Conference</w:t>
      </w:r>
      <w:r w:rsidR="0017110F">
        <w:rPr>
          <w:rFonts w:ascii="Times New Roman" w:hAnsi="Times New Roman" w:cs="Times New Roman"/>
        </w:rPr>
        <w:t xml:space="preserve"> (</w:t>
      </w:r>
      <w:hyperlink r:id="rId40" w:history="1">
        <w:r w:rsidR="0017110F" w:rsidRPr="00345A43">
          <w:rPr>
            <w:rStyle w:val="Hyperlink"/>
            <w:rFonts w:ascii="Times New Roman" w:hAnsi="Times New Roman" w:cs="Times New Roman"/>
          </w:rPr>
          <w:t>https://www.addiction-ssa.org/author-publications/modelling-value-based-decision-making-vbdm-in-daily-tobacco-smokers-after-experimental-manipulation-of-mood/</w:t>
        </w:r>
      </w:hyperlink>
      <w:r w:rsidR="0017110F">
        <w:rPr>
          <w:rFonts w:ascii="Times New Roman" w:hAnsi="Times New Roman" w:cs="Times New Roman"/>
        </w:rPr>
        <w:t>).</w:t>
      </w:r>
    </w:p>
    <w:p w14:paraId="0F857ACF" w14:textId="77777777" w:rsidR="0017110F" w:rsidRDefault="0017110F" w:rsidP="00107EBB">
      <w:pPr>
        <w:pStyle w:val="NoSpacing"/>
        <w:spacing w:line="480" w:lineRule="auto"/>
        <w:rPr>
          <w:rFonts w:ascii="Times New Roman" w:hAnsi="Times New Roman" w:cs="Times New Roman"/>
        </w:rPr>
      </w:pPr>
    </w:p>
    <w:p w14:paraId="4BF76F8D" w14:textId="6E7F5721" w:rsidR="00071BA0" w:rsidRDefault="00071BA0" w:rsidP="00093B56">
      <w:pPr>
        <w:pStyle w:val="NoSpacing"/>
      </w:pPr>
    </w:p>
    <w:p w14:paraId="263E74D7" w14:textId="45152CA7" w:rsidR="00071BA0" w:rsidRDefault="00071BA0" w:rsidP="00093B56">
      <w:pPr>
        <w:pStyle w:val="NoSpacing"/>
      </w:pPr>
    </w:p>
    <w:p w14:paraId="585EE69F" w14:textId="4BC24770" w:rsidR="00071BA0" w:rsidRDefault="00071BA0" w:rsidP="00093B56">
      <w:pPr>
        <w:pStyle w:val="NoSpacing"/>
      </w:pPr>
    </w:p>
    <w:p w14:paraId="773B802E" w14:textId="40B16583" w:rsidR="00071BA0" w:rsidRDefault="00071BA0" w:rsidP="00093B56">
      <w:pPr>
        <w:pStyle w:val="NoSpacing"/>
      </w:pPr>
    </w:p>
    <w:p w14:paraId="6951A0CB" w14:textId="6C5F4DA9" w:rsidR="00071BA0" w:rsidRDefault="00071BA0" w:rsidP="00093B56">
      <w:pPr>
        <w:pStyle w:val="NoSpacing"/>
      </w:pPr>
    </w:p>
    <w:p w14:paraId="6A65E7BB" w14:textId="77777777" w:rsidR="0017110F" w:rsidRDefault="0017110F" w:rsidP="00093B56">
      <w:pPr>
        <w:pStyle w:val="NoSpacing"/>
      </w:pPr>
    </w:p>
    <w:p w14:paraId="39B8CD9B" w14:textId="77777777" w:rsidR="002E18A8" w:rsidRDefault="002E18A8" w:rsidP="00093B56">
      <w:pPr>
        <w:pStyle w:val="NoSpacing"/>
      </w:pPr>
    </w:p>
    <w:p w14:paraId="058BED2B" w14:textId="30C31E24" w:rsidR="00071BA0" w:rsidRDefault="00071BA0" w:rsidP="00573078">
      <w:pPr>
        <w:pStyle w:val="Heading4"/>
      </w:pPr>
      <w:bookmarkStart w:id="216" w:name="_Toc110629062"/>
      <w:bookmarkStart w:id="217" w:name="_Toc110870970"/>
      <w:r w:rsidRPr="00573078">
        <w:lastRenderedPageBreak/>
        <w:t>Abstract</w:t>
      </w:r>
      <w:bookmarkEnd w:id="216"/>
      <w:bookmarkEnd w:id="217"/>
    </w:p>
    <w:p w14:paraId="65C73F40" w14:textId="77777777" w:rsidR="00071BA0" w:rsidRPr="006D2E38" w:rsidRDefault="00071BA0" w:rsidP="006D2E38">
      <w:pPr>
        <w:pStyle w:val="NoSpacing"/>
        <w:spacing w:line="480" w:lineRule="auto"/>
        <w:rPr>
          <w:rFonts w:ascii="Times New Roman" w:hAnsi="Times New Roman" w:cs="Times New Roman"/>
        </w:rPr>
      </w:pPr>
      <w:r w:rsidRPr="006D2E38">
        <w:rPr>
          <w:rFonts w:ascii="Times New Roman" w:hAnsi="Times New Roman" w:cs="Times New Roman"/>
          <w:b/>
          <w:bCs/>
        </w:rPr>
        <w:t>Background:</w:t>
      </w:r>
      <w:r w:rsidRPr="006D2E38">
        <w:rPr>
          <w:rFonts w:ascii="Times New Roman" w:hAnsi="Times New Roman" w:cs="Times New Roman"/>
        </w:rPr>
        <w:t xml:space="preserve"> The induction of negative mood increases tobacco choice in dependent smokers; however, less is known about the mechanisms behind this. This study aimed to address this research gap by applying a computational model of value-based decision-making (VBDM) to decisions about tobacco and tobacco-unrelated cues after experimental manipulation of mood. </w:t>
      </w:r>
      <w:r w:rsidRPr="006D2E38">
        <w:rPr>
          <w:rFonts w:ascii="Times New Roman" w:hAnsi="Times New Roman" w:cs="Times New Roman"/>
          <w:b/>
          <w:bCs/>
        </w:rPr>
        <w:t>Method:</w:t>
      </w:r>
      <w:r w:rsidRPr="006D2E38">
        <w:rPr>
          <w:rFonts w:ascii="Times New Roman" w:hAnsi="Times New Roman" w:cs="Times New Roman"/>
        </w:rPr>
        <w:t xml:space="preserve"> This study was pre-registered. Using a within-subject design, 49 daily tobacco smokers (&gt;10 cigarettes smoked per day) were recruited and primed to </w:t>
      </w:r>
      <w:r w:rsidRPr="001C7D48">
        <w:rPr>
          <w:rFonts w:ascii="Times New Roman" w:hAnsi="Times New Roman" w:cs="Times New Roman"/>
          <w:i/>
          <w:iCs/>
        </w:rPr>
        <w:t>value</w:t>
      </w:r>
      <w:r w:rsidRPr="006D2E38">
        <w:rPr>
          <w:rFonts w:ascii="Times New Roman" w:hAnsi="Times New Roman" w:cs="Times New Roman"/>
        </w:rPr>
        <w:t xml:space="preserve"> and </w:t>
      </w:r>
      <w:r w:rsidRPr="001C7D48">
        <w:rPr>
          <w:rFonts w:ascii="Times New Roman" w:hAnsi="Times New Roman" w:cs="Times New Roman"/>
          <w:i/>
          <w:iCs/>
        </w:rPr>
        <w:t>devalue</w:t>
      </w:r>
      <w:r w:rsidRPr="006D2E38">
        <w:rPr>
          <w:rFonts w:ascii="Times New Roman" w:hAnsi="Times New Roman" w:cs="Times New Roman"/>
        </w:rPr>
        <w:t xml:space="preserve"> tobacco by watching videos that induce negative versus positive mood, respectively. Before and after being primed, participants completed self-report measures of mood and craving to smoke. Subsequently, they completed a two-alternative forced choice task in which they chose between either two tobacco-related images (in one block) or two tobacco-unrelated (animal) images (in a different block). On each block, participants pressed a key to select the image that they rated most positively during a previous task block. A drift-diffusion model (DDM) was fitted to the reaction time and error data to estimate evidence accumulation (EA) processes and response thresholds during the different blocks. </w:t>
      </w:r>
      <w:r w:rsidRPr="006D2E38">
        <w:rPr>
          <w:rFonts w:ascii="Times New Roman" w:hAnsi="Times New Roman" w:cs="Times New Roman"/>
          <w:b/>
          <w:bCs/>
        </w:rPr>
        <w:t>Results:</w:t>
      </w:r>
      <w:r w:rsidRPr="006D2E38">
        <w:rPr>
          <w:rFonts w:ascii="Times New Roman" w:hAnsi="Times New Roman" w:cs="Times New Roman"/>
        </w:rPr>
        <w:t xml:space="preserve"> After watching videos intended to induce negative mood, happiness scores were lower (</w:t>
      </w:r>
      <w:r w:rsidRPr="00482FC8">
        <w:rPr>
          <w:rFonts w:ascii="Times New Roman" w:hAnsi="Times New Roman" w:cs="Times New Roman"/>
          <w:i/>
          <w:iCs/>
        </w:rPr>
        <w:t>p</w:t>
      </w:r>
      <w:r w:rsidRPr="006D2E38">
        <w:rPr>
          <w:rFonts w:ascii="Times New Roman" w:hAnsi="Times New Roman" w:cs="Times New Roman"/>
        </w:rPr>
        <w:t xml:space="preserve"> &lt; .001), while sadness and craving to smoke scores were higher (both </w:t>
      </w:r>
      <w:proofErr w:type="spellStart"/>
      <w:r w:rsidRPr="00482FC8">
        <w:rPr>
          <w:rFonts w:ascii="Times New Roman" w:hAnsi="Times New Roman" w:cs="Times New Roman"/>
          <w:i/>
          <w:iCs/>
        </w:rPr>
        <w:t>p</w:t>
      </w:r>
      <w:r w:rsidRPr="006D2E38">
        <w:rPr>
          <w:rFonts w:ascii="Times New Roman" w:hAnsi="Times New Roman" w:cs="Times New Roman"/>
        </w:rPr>
        <w:t>s</w:t>
      </w:r>
      <w:proofErr w:type="spellEnd"/>
      <w:r w:rsidRPr="006D2E38">
        <w:rPr>
          <w:rFonts w:ascii="Times New Roman" w:hAnsi="Times New Roman" w:cs="Times New Roman"/>
        </w:rPr>
        <w:t xml:space="preserve"> &lt; .001), compared to after watching videos intended to induce positive mood. However, contrary to hypotheses there were no robust differences in EA rates or response thresholds for either tobacco or tobacco-unrelated (animal) decisions. </w:t>
      </w:r>
      <w:r w:rsidRPr="006D2E38">
        <w:rPr>
          <w:rFonts w:ascii="Times New Roman" w:hAnsi="Times New Roman" w:cs="Times New Roman"/>
          <w:b/>
          <w:bCs/>
        </w:rPr>
        <w:t>Conclusions:</w:t>
      </w:r>
      <w:r w:rsidRPr="006D2E38">
        <w:rPr>
          <w:rFonts w:ascii="Times New Roman" w:hAnsi="Times New Roman" w:cs="Times New Roman"/>
        </w:rPr>
        <w:t xml:space="preserve"> Manipulation of mood in daily smokers does not lead to alterations in the internal processes that precede value-based decisions made about tobacco and tobacco-unrelated cues.</w:t>
      </w:r>
    </w:p>
    <w:p w14:paraId="27D256DD" w14:textId="77777777" w:rsidR="00071BA0" w:rsidRDefault="00071BA0" w:rsidP="00071BA0">
      <w:pPr>
        <w:pStyle w:val="NoSpacing"/>
      </w:pPr>
    </w:p>
    <w:p w14:paraId="4B5B233E" w14:textId="77777777" w:rsidR="00071BA0" w:rsidRDefault="00071BA0" w:rsidP="00071BA0">
      <w:pPr>
        <w:pStyle w:val="NoSpacing"/>
      </w:pPr>
    </w:p>
    <w:p w14:paraId="69D242AC" w14:textId="715A8351" w:rsidR="00093B56" w:rsidRDefault="00093B56" w:rsidP="00093B56">
      <w:pPr>
        <w:pStyle w:val="NoSpacing"/>
      </w:pPr>
    </w:p>
    <w:p w14:paraId="386CA4C0" w14:textId="3AF92A00" w:rsidR="006D2E38" w:rsidRDefault="006D2E38" w:rsidP="00093B56">
      <w:pPr>
        <w:pStyle w:val="NoSpacing"/>
      </w:pPr>
    </w:p>
    <w:p w14:paraId="03CD0A16" w14:textId="6C08976D" w:rsidR="006D2E38" w:rsidRDefault="006D2E38" w:rsidP="00093B56">
      <w:pPr>
        <w:pStyle w:val="NoSpacing"/>
      </w:pPr>
    </w:p>
    <w:p w14:paraId="20A61B99" w14:textId="1F7D7EBF" w:rsidR="006D2E38" w:rsidRDefault="006D2E38" w:rsidP="00093B56">
      <w:pPr>
        <w:pStyle w:val="NoSpacing"/>
      </w:pPr>
    </w:p>
    <w:p w14:paraId="0A44F08F" w14:textId="2446C2E9" w:rsidR="006D2E38" w:rsidRDefault="003E117A" w:rsidP="00573078">
      <w:pPr>
        <w:pStyle w:val="Heading4"/>
      </w:pPr>
      <w:bookmarkStart w:id="218" w:name="_Toc110629063"/>
      <w:bookmarkStart w:id="219" w:name="_Toc110870971"/>
      <w:r>
        <w:lastRenderedPageBreak/>
        <w:t xml:space="preserve">5.1. </w:t>
      </w:r>
      <w:r w:rsidR="00482FC8">
        <w:t>Introduction</w:t>
      </w:r>
      <w:bookmarkEnd w:id="218"/>
      <w:bookmarkEnd w:id="219"/>
    </w:p>
    <w:p w14:paraId="04199931" w14:textId="19FD41DE" w:rsidR="002E18A8" w:rsidRPr="002E18A8" w:rsidRDefault="002E18A8" w:rsidP="003E117A">
      <w:pPr>
        <w:pStyle w:val="NoSpacing"/>
        <w:spacing w:line="480" w:lineRule="auto"/>
        <w:rPr>
          <w:rFonts w:ascii="Times New Roman" w:hAnsi="Times New Roman" w:cs="Times New Roman"/>
        </w:rPr>
      </w:pPr>
      <w:r w:rsidRPr="002E18A8">
        <w:rPr>
          <w:rFonts w:ascii="Times New Roman" w:hAnsi="Times New Roman" w:cs="Times New Roman"/>
        </w:rPr>
        <w:t xml:space="preserve">Tobacco smoking is a leading global cause of preventable disease and death </w:t>
      </w:r>
      <w:r w:rsidR="00675E7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{"citationID":"3fvHGeFW","properties":{"formattedCitation":"(Forouzanfar et al., 2016)","plainCitation":"(Forouzanfar et al., 2016)","noteIndex":0},"citationItems":[{"id":990,"uris":["http://zotero.org/users/7873587/items/YABV4QL4"],"itemData":{"id":990,"type":"article-journal","abstract":"Background\nThe Global Burden of Diseases, Injuries, and Risk Factors Study 2015 provides an up-to-date synthesis of the evidence for risk factor exposure and the attributable burden of disease. By providing national and subnational assessments spanning the past 25 years, this study can inform debates on the importance of addressing risks in context.\nMethods\nWe used the comparative risk assessment framework developed for previous iterations of the Global Burden of Disease Study to estimate attributable deaths, disability-adjusted life-years (DALYs), and trends in exposure by age group, sex, year, and geography for 79 behavioural, environmental and occupational, and metabolic risks or clusters of risks from 1990 to 2015. This study included 388 risk-outcome pairs that met World Cancer Research Fund-defined criteria for convincing or probable evidence. We extracted relative risk and exposure estimates from randomised controlled trials, cohorts, pooled cohorts, household surveys, census data, satellite data, and other sources. We used statistical models to pool data, adjust for bias, and incorporate covariates. We developed a metric that allows comparisons of exposure across risk factors—the summary exposure value. Using the counterfactual scenario of theoretical minimum risk level, we estimated the portion of deaths and DALYs that could be attributed to a given risk. We decomposed trends in attributable burden into contributions from population growth, population age structure, risk exposure, and risk-deleted cause-specific DALY rates. We characterised risk exposure in relation to a Socio-demographic Index (SDI).\nFindings\nBetween 1990 and 2015, global exposure to unsafe sanitation, household air pollution, childhood underweight, childhood stunting, and smoking each decreased by more than 25%. Global exposure for several occupational risks, high body-mass index (BMI), and drug use increased by more than 25% over the same period. All risks jointly evaluated in 2015 accounted for 57·8% (95% CI 56·6–58·8) of global deaths and 41·2% (39·8–42·8) of DALYs. In 2015, the ten largest contributors to global DALYs among Level 3 risks were high systolic blood pressure (211·8 million [192·7 million to 231·1 million] global DALYs), smoking (148·6 million [134·2 million to 163·1 million]), high fasting plasma glucose (143·1 million [125·1 million to 163·5 million]), high BMI (120·1 million [83·8 million to 158·4 million]), childhood undernutrition (113·3 million [103·9 million to 123·4 million]), ambient particulate matter (103·1 million [90·8 million to 115·1 million]), high total cholesterol (88·7 million [74·6 million to 105·7 million]), household air pollution (85·6 million [66·7 million to 106·1 million]), alcohol use (85·0 million [77·2 million to 93·0 million]), and diets high in sodium (83·0 million [49·3 million to 127·5 million]). From 1990 to 2015, attributable DALYs declined for micronutrient deficiencies, childhood undernutrition, unsafe sanitation and water, and household air pollution; reductions in risk-deleted DALY rates rather than reductions in exposure drove these declines. Rising exposure contributed to notable increases in attributable DALYs from high BMI, high fasting plasma glucose, occupational carcinogens, and drug use. Environmental risks and childhood undernutrition declined steadily with SDI; low physical activity, high BMI, and high fasting plasma glucose increased with SDI. In 119 countries, metabolic risks, such as high BMI and fasting plasma glucose, contributed the most attributable DALYs in 2015. Regionally, smoking still ranked among the leading five risk factors for attributable DALYs in 109 countries; childhood underweight and unsafe sex remained primary drivers of early death and disability in much of sub-Saharan Africa.\nInterpretation\nDeclines in some key environmental risks have contributed to declines in critical infectious diseases. Some risks appear to be invariant to SDI. Increasing risks, including high BMI, high fasting plasma glucose, drug use, and some occupational exposures, contribute to rising burden from some conditions, but also provide opportunities for intervention. Some highly preventable risks, such as smoking, remain major causes of attributable DALYs, even as exposure is declining. Public policy makers need to pay attention to the risks that are increasingly major contributors to global burden.\nFunding\nBill &amp; Melinda Gates Foundation.","container-title":"The Lancet","DOI":"10.1016/S0140-6736(16)31679-8","ISSN":"0140-6736","issue":"10053","journalAbbreviation":"The Lancet","language":"en","page":"1659-1724","source":"ScienceDirect","title":"Global, regional, and national comparative risk assessment of 79 behavioural, environmental and occupational, and metabolic risks or clusters of risks, 1990–2015: a systematic analysis for the Global Burden of Disease Study 2015","title-short":"Global, regional, and national comparative risk assessment of 79 behavioural, environmental and occupational, and metabolic risks or clusters of risks, 1990–2015","volume":"388","author":[{"family":"Forouzanfar","given":"Mohammad H"},{"family":"Afshin","given":"Ashkan"},{"family":"Alexander","given":"Lily T"},{"family":"Anderson","given":"H Ross"},{"family":"Bhutta","given":"Zulfiqar A"},{"family":"Biryukov","given":"Stan"},{"family":"Brauer","given":"Michael"},{"family":"Burnett","given":"Richard"},{"family":"Cercy","given":"Kelly"},{"family":"Charlson","given":"Fiona J"},{"family":"Cohen","given":"Aaron J"},{"family":"Dandona","given":"Lalit"},{"family":"Estep","given":"Kara"},{"family":"Ferrari","given":"Alize J"},{"family":"Frostad","given":"Joseph J"},{"family":"Fullman","given":"Nancy"},{"family":"Gething","given":"Peter W"},{"family":"Godwin","given":"William W"},{"family":"Griswold","given":"Max"},{"family":"Hay","given":"Simon I"},{"family":"Kinfu","given":"Yohannes"},{"family":"Kyu","given":"Hmwe H"},{"family":"Larson","given":"Heidi J"},{"family":"Liang","given":"Xiaofeng"},{"family":"Lim","given":"Stephen S"},{"family":"Liu","given":"Patrick Y"},{"family":"Lopez","given":"Alan D"},{"family":"Lozano","given":"Rafael"},{"family":"Marczak","given":"Laurie"},{"family":"Mensah","given":"George A"},{"family":"Mokdad","given":"Ali H"},{"family":"Moradi-Lakeh","given":"Maziar"},{"family":"Naghavi","given":"Mohsen"},{"family":"Neal","given":"Bruce"},{"family":"Reitsma","given":"Marissa B"},{"family":"Roth","given":"Gregory A"},{"family":"Salomon","given":"Joshua A"},{"family":"Sur","given":"Patrick J"},{"family":"Vos","given":"Theo"},{"family":"Wagner","given":"Joseph A"},{"family":"Wang","given":"Haidong"},{"family":"Zhao","given":"Yi"},{"family":"Zhou","given":"Maigeng"},{"family":"Aasvang","given":"Gunn Marit"},{"family":"Abajobir","given":"Amanuel Alemu"},{"family":"Abate","given":"Kalkidan Hassen"},{"family":"Abbafati","given":"Cristiana"},{"family":"Abbas","given":"Kaja M"},{"family":"Abd-Allah","given":"Foad"},{"family":"Abdulle","given":"Abdishakur M"},{"family":"Abera","given":"Semaw Ferede"},{"family":"Abraham","given":"Biju"},{"family":"Abu-Raddad","given":"Laith J"},{"family":"Abyu","given":"Gebre Yitayih"},{"family":"Adebiyi","given":"Akindele Olupelumi"},{"family":"Adedeji","given":"Isaac Akinkunmi"},{"family":"Ademi","given":"Zanfina"},{"family":"Adou","given":"Arsène Kouablan"},{"family":"Adsuar","given":"José C"},{"family":"Agardh","given":"Emilie Elisabet"},{"family":"Agarwal","given":"Arnav"},{"family":"Agrawal","given":"Anurag"},{"family":"Kiadaliri","given":"Aliasghar Ahmad"},{"family":"Ajala","given":"Oluremi N"},{"family":"Akinyemiju","given":"Tomi F"},{"family":"Al-Aly","given":"Ziyad"},{"family":"Alam","given":"Khurshid"},{"family":"Alam","given":"Noore K M"},{"family":"Aldhahri","given":"Saleh Fahed"},{"family":"Aldridge","given":"Robert William"},{"family":"Alemu","given":"Zewdie Aderaw"},{"family":"Ali","given":"Raghib"},{"family":"Alkerwi","given":"Ala'a"},{"family":"Alla","given":"François"},{"family":"Allebeck","given":"Peter"},{"family":"Alsharif","given":"Ubai"},{"family":"Altirkawi","given":"Khalid A"},{"family":"Martin","given":"Elena Alvarez"},{"family":"Alvis-Guzman","given":"Nelson"},{"family":"Amare","given":"Azmeraw T"},{"family":"Amberbir","given":"Alemayehu"},{"family":"Amegah","given":"Adeladza Kofi"},{"family":"Amini","given":"Heresh"},{"family":"Ammar","given":"Walid"},{"family":"Amrock","given":"Stephen Marc"},{"family":"Andersen","given":"Hjalte H"},{"family":"Anderson","given":"Benjamin O"},{"family":"Antonio","given":"Carl Abelardo T"},{"family":"Anwari","given":"Palwasha"},{"family":"Ärnlöv","given":"Johan"},{"family":"Artaman","given":"Al"},{"family":"Asayesh","given":"Hamid"},{"family":"Asghar","given":"Rana Jawad"},{"family":"Assadi","given":"Reza"},{"family":"Atique","given":"Suleman"},{"family":"Avokpaho","given":"Euripide Frinel G Arthur"},{"family":"Awasthi","given":"Ashish"},{"family":"Quintanilla","given":"Beatriz Paulina Ayala"},{"family":"Azzopardi","given":"Peter"},{"family":"Bacha","given":"Umar"},{"family":"Badawi","given":"Alaa"},{"family":"Bahit","given":"Maria C"},{"family":"Balakrishnan","given":"Kalpana"},{"family":"Barac","given":"Aleksandra"},{"family":"Barber","given":"Ryan M"},{"family":"Barker-Collo","given":"Suzanne L"},{"family":"Bärnighausen","given":"Till"},{"family":"Barquera","given":"Simon"},{"family":"Barregard","given":"Lars"},{"family":"Barrero","given":"Lope H"},{"family":"Basu","given":"Sanjay"},{"family":"Batis","given":"Carolina"},{"family":"Bazargan-Hejazi","given":"Shahrzad"},{"family":"Beardsley","given":"Justin"},{"family":"Bedi","given":"Neeraj"},{"family":"Beghi","given":"Ettore"},{"family":"Bell","given":"Brent"},{"family":"Bell","given":"Michelle L"},{"family":"Bello","given":"Aminu K"},{"family":"Bennett","given":"Derrick A"},{"family":"Bensenor","given":"Isabela M"},{"family":"Berhane","given":"Adugnaw"},{"family":"Bernabé","given":"Eduardo"},{"family":"Betsu","given":"Balem Demtsu"},{"family":"Beyene","given":"Addisu Shunu"},{"family":"Bhala","given":"Neeraj"},{"family":"Bhansali","given":"Anil"},{"family":"Bhatt","given":"Samir"},{"family":"Biadgilign","given":"Sibhatu"},{"family":"Bikbov","given":"Boris"},{"family":"Bisanzio","given":"Donal"},{"family":"Bjertness","given":"Espen"},{"family":"Blore","given":"Jed D"},{"family":"Borschmann","given":"Rohan"},{"family":"Boufous","given":"Soufiane"},{"family":"Bourne","given":"Rupert R A"},{"family":"Brainin","given":"Michael"},{"family":"Brazinova","given":"Alexandra"},{"family":"Breitborde","given":"Nicholas J K"},{"family":"Brenner","given":"Hermann"},{"family":"Broday","given":"David M"},{"family":"Brugha","given":"Traolach S"},{"family":"Brunekreef","given":"Bert"},{"family":"Butt","given":"Zahid A"},{"family":"Cahill","given":"Leah E"},{"family":"Calabria","given":"Bianca"},{"family":"Campos-Nonato","given":"Ismael Ricardo"},{"family":"Cárdenas","given":"Rosario"},{"family":"Carpenter","given":"David O"},{"family":"Carrero","given":"Juan Jesus"},{"family":"Casey","given":"Daniel C"},{"family":"Castañeda-Orjuela","given":"Carlos A"},{"family":"Rivas","given":"Jacqueline Castillo"},{"family":"Castro","given":"Ruben Estanislao"},{"family":"Catalá-López","given":"Ferrán"},{"family":"Chang","given":"Jung-Chen"},{"family":"Chiang","given":"Peggy Pei-Chia"},{"family":"Chibalabala","given":"Mirriam"},{"family":"Chimed-Ochir","given":"Odgerel"},{"family":"Chisumpa","given":"Vesper Hichilombwe"},{"family":"Chitheer","given":"Abdulaal A"},{"family":"Choi","given":"Jee-Young Jasmine"},{"family":"Christensen","given":"Hanne"},{"family":"Christopher","given":"Devasahayam Jesudas"},{"family":"Ciobanu","given":"Liliana G"},{"family":"Coates","given":"Matthew M"},{"family":"Colquhoun","given":"Samantha M"},{"family":"Manzano","given":"Alejandra G Contreras"},{"family":"Cooper","given":"Leslie Trumbull"},{"family":"Cooperrider","given":"Kimberly"},{"family":"Cornaby","given":"Leslie"},{"family":"Cortinovis","given":"Monica"},{"family":"Crump","given":"John A"},{"family":"Cuevas-Nasu","given":"Lucia"},{"family":"Damasceno","given":"Albertino"},{"family":"Dandona","given":"Rakhi"},{"family":"Darby","given":"Sarah C"},{"family":"Dargan","given":"Paul I"},{"family":"Neves","given":"José","non-dropping-particle":"das"},{"family":"Davis","given":"Adrian C"},{"family":"Davletov","given":"Kairat"},{"family":"Castro","given":"E Filipa","non-dropping-particle":"de"},{"family":"De la Cruz-Góngora","given":"Vanessa"},{"family":"De Leo","given":"Diego"},{"family":"Degenhardt","given":"Louisa"},{"family":"Del Gobbo","given":"Liana C"},{"family":"Pozo-Cruz","given":"Borja","non-dropping-particle":"del"},{"family":"Dellavalle","given":"Robert P"},{"family":"Deribew","given":"Amare"},{"family":"Jarlais","given":"Don C Des"},{"family":"Dharmaratne","given":"Samath D"},{"family":"Dhillon","given":"Preet K"},{"family":"Diaz-Torné","given":"Cesar"},{"family":"Dicker","given":"Daniel"},{"family":"Ding","given":"Eric L"},{"family":"Dorsey","given":"E Ray"},{"family":"Doyle","given":"Kerrie E"},{"family":"Driscoll","given":"Tim R"},{"family":"Duan","given":"Leilei"},{"family":"Dubey","given":"Manisha"},{"family":"Duncan","given":"Bruce Bartholow"},{"family":"Elyazar","given":"Iqbal"},{"family":"Endries","given":"Aman Yesuf"},{"family":"Ermakov","given":"Sergey Petrovich"},{"family":"Erskine","given":"Holly E"},{"family":"Eshrati","given":"Babak"},{"family":"Esteghamati","given":"Alireza"},{"family":"Fahimi","given":"Saman"},{"family":"Faraon","given":"Emerito Jose Aquino"},{"family":"Farid","given":"Talha A"},{"family":"Farinha","given":"Carla Sofia e Sa"},{"family":"Faro","given":"André"},{"family":"Farvid","given":"Maryam S"},{"family":"Farzadfar","given":"Farshad"},{"family":"Feigin","given":"Valery L"},{"family":"Fereshtehnejad","given":"Seyed-Mohammad"},{"family":"Fernandes","given":"Jefferson G"},{"family":"Fischer","given":"Florian"},{"family":"Fitchett","given":"Joseph R A"},{"family":"Fleming","given":"Tom"},{"family":"Foigt","given":"Nataliya"},{"family":"Foreman","given":"Kyle"},{"family":"Fowkes","given":"F Gerry R"},{"family":"Franklin","given":"Richard C"},{"family":"Fürst","given":"Thomas"},{"family":"Futran","given":"Neal D"},{"family":"Gakidou","given":"Emmanuela"},{"family":"Garcia-Basteiro","given":"Alberto L"},{"family":"Gebrehiwot","given":"Tsegaye Tewelde"},{"family":"Gebremedhin","given":"Amanuel Tesfay"},{"family":"Geleijnse","given":"Johanna M"},{"family":"Gessner","given":"Bradford D"},{"family":"Giref","given":"Ababi Zergaw"},{"family":"Giroud","given":"Maurice"},{"family":"Gishu","given":"Melkamu Dedefo"},{"family":"Giussani","given":"Giorgia"},{"family":"Goenka","given":"Shifalika"},{"family":"Gomez-Cabrera","given":"Mari Carmen"},{"family":"Gomez-Dantes","given":"Hector"},{"family":"Gona","given":"Philimon"},{"family":"Goodridge","given":"Amador"},{"family":"Gopalani","given":"Sameer Vali"},{"family":"Gotay","given":"Carolyn C"},{"family":"Goto","given":"Atsushi"},{"family":"Gouda","given":"Hebe N"},{"family":"Gugnani","given":"Harish Chander"},{"family":"Guillemin","given":"Francis"},{"family":"Guo","given":"Yuming"},{"family":"Gupta","given":"Rahul"},{"family":"Gupta","given":"Rajeev"},{"family":"Gutiérrez","given":"Reyna A"},{"family":"Haagsma","given":"Juanita A"},{"family":"Hafezi-Nejad","given":"Nima"},{"family":"Haile","given":"Demewoz"},{"family":"Hailu","given":"Gessessew Bugssa"},{"family":"Halasa","given":"Yara A"},{"family":"Hamadeh","given":"Randah Ribhi"},{"family":"Hamidi","given":"Samer"},{"family":"Handal","given":"Alexis J"},{"family":"Hankey","given":"Graeme J"},{"family":"Hao","given":"Yuantao"},{"family":"Harb","given":"Hilda L"},{"family":"Harikrishnan","given":"Sivadasanpillai"},{"family":"Haro","given":"Josep Maria"},{"family":"Hassanvand","given":"Mohammad Sadegh"},{"family":"Hassen","given":"Tahir Ahmed"},{"family":"Havmoeller","given":"Rasmus"},{"family":"Heredia-Pi","given":"Ileana Beatriz"},{"family":"Hernández-Llanes","given":"Norberto Francisco"},{"family":"Heydarpour","given":"Pouria"},{"family":"Hoek","given":"Hans W"},{"family":"Hoffman","given":"Howard J"},{"family":"Horino","given":"Masako"},{"family":"Horita","given":"Nobuyuki"},{"family":"Hosgood","given":"H Dean"},{"family":"Hoy","given":"Damian G"},{"family":"Hsairi","given":"Mohamed"},{"family":"Htet","given":"Aung Soe"},{"family":"Hu","given":"Guoqing"},{"family":"Huang","given":"John J"},{"family":"Husseini","given":"Abdullatif"},{"family":"Hutchings","given":"Sally J"},{"family":"Huybrechts","given":"Inge"},{"family":"Iburg","given":"Kim Moesgaard"},{"family":"Idrisov","given":"Bulat T"},{"family":"Ileanu","given":"Bogdan Vasile"},{"family":"Inoue","given":"Manami"},{"family":"Jacobs","given":"Troy A"},{"family":"Jacobsen","given":"Kathryn H"},{"family":"Jahanmehr","given":"Nader"},{"family":"Jakovljevic","given":"Mihajlo B"},{"family":"Jansen","given":"Henrica A F M"},{"family":"Jassal","given":"Simerjot K"},{"family":"Javanbakht","given":"Mehdi"},{"family":"Jayaraman","given":"Sudha P"},{"family":"Jayatilleke","given":"Achala Upendra"},{"family":"Jee","given":"Sun Ha"},{"family":"Jeemon","given":"Panniyammakal"},{"family":"Jha","given":"Vivekanand"},{"family":"Jiang","given":"Ying"},{"family":"Jibat","given":"Tariku"},{"family":"Jin","given":"Ye"},{"family":"Johnson","given":"Catherine O"},{"family":"Jonas","given":"Jost B"},{"family":"Kabir","given":"Zubair"},{"family":"Kalkonde","given":"Yogeshwar"},{"family":"Kamal","given":"Ritul"},{"family":"Kan","given":"Haidong"},{"family":"Karch","given":"André"},{"family":"Karema","given":"Corine Kakizi"},{"family":"Karimkhani","given":"Chante"},{"family":"Kasaeian","given":"Amir"},{"family":"Kaul","given":"Anil"},{"family":"Kawakami","given":"Norito"},{"family":"Kazi","given":"Dhruv S"},{"family":"Keiyoro","given":"Peter Njenga"},{"family":"Kemmer","given":"Laura"},{"family":"Kemp","given":"Andrew Haddon"},{"family":"Kengne","given":"Andre Pascal"},{"family":"Keren","given":"Andre"},{"family":"Kesavachandran","given":"Chandrasekharan Nair"},{"family":"Khader","given":"Yousef Saleh"},{"family":"Khan","given":"Abdur Rahman"},{"family":"Khan","given":"Ejaz Ahmad"},{"family":"Khan","given":"Gulfaraz"},{"family":"Khang","given":"Young-Ho"},{"family":"Khatibzadeh","given":"Shahab"},{"family":"Khera","given":"Sahil"},{"family":"Khoja","given":"Tawfik Ahmed Muthafer"},{"family":"Khubchandani","given":"Jagdish"},{"family":"Kieling","given":"Christian"},{"family":"Kim","given":"Cho-il"},{"family":"Kim","given":"Daniel"},{"family":"Kimokoti","given":"Ruth W"},{"family":"Kissoon","given":"Niranjan"},{"family":"Kivipelto","given":"Miia"},{"family":"Knibbs","given":"Luke D"},{"family":"Kokubo","given":"Yoshihiro"},{"family":"Kopec","given":"Jacek A"},{"family":"Koul","given":"Parvaiz A"},{"family":"Koyanagi","given":"Ai"},{"family":"Kravchenko","given":"Michael"},{"family":"Kromhout","given":"Hans"},{"family":"Krueger","given":"Hans"},{"family":"Ku","given":"Tiffany"},{"family":"Defo","given":"Barthelemy Kuate"},{"family":"Kuchenbecker","given":"Ricardo S"},{"family":"Bicer","given":"Burcu Kucuk"},{"family":"Kuipers","given":"Ernst J"},{"family":"Kumar","given":"G Anil"},{"family":"Kwan","given":"Gene F"},{"family":"Lal","given":"Dharmesh Kumar"},{"family":"Lalloo","given":"Ratilal"},{"family":"Lallukka","given":"Tea"},{"family":"Lan","given":"Qing"},{"family":"Larsson","given":"Anders"},{"family":"Latif","given":"Asma Abdul"},{"family":"Lawrynowicz","given":"Alicia Elena Beatriz"},{"family":"Leasher","given":"Janet L"},{"family":"Leigh","given":"James"},{"family":"Leung","given":"Janni"},{"family":"Levi","given":"Miriam"},{"family":"Li","given":"Xiaohong"},{"family":"Li","given":"Yichong"},{"family":"Liang","given":"Juan"},{"family":"Liu","given":"Shiwei"},{"family":"Lloyd","given":"Belinda K"},{"family":"Logroscino","given":"Giancarlo"},{"family":"Lotufo","given":"Paulo A"},{"family":"Lunevicius","given":"Raimundas"},{"family":"MacIntyre","given":"Michael"},{"family":"Mahdavi","given":"Mahdi"},{"family":"Majdan","given":"Marek"},{"family":"Majeed","given":"Azeem"},{"family":"Malekzadeh","given":"Reza"},{"family":"Malta","given":"Deborah Carvalho"},{"family":"Manamo","given":"Wondimu Ayele Ayele"},{"family":"Mapoma","given":"Chabila C"},{"family":"Marcenes","given":"Wagner"},{"family":"Martin","given":"Randall V"},{"family":"Martinez-Raga","given":"Jose"},{"family":"Masiye","given":"Felix"},{"family":"Matsushita","given":"Kunihiro"},{"family":"Matzopoulos","given":"Richard"},{"family":"Mayosi","given":"Bongani M"},{"family":"McGrath","given":"John J"},{"family":"McKee","given":"Martin"},{"family":"Meaney","given":"Peter A"},{"family":"Medina","given":"Catalina"},{"family":"Mehari","given":"Alem"},{"family":"Mejia-Rodriguez","given":"Fabiola"},{"family":"Mekonnen","given":"Alemayehu B"},{"family":"Melaku","given":"Yohannes Adama"},{"family":"Memish","given":"Ziad A"},{"family":"Mendoza","given":"Walter"},{"family":"Mensink","given":"Gert B M"},{"family":"Meretoja","given":"Atte"},{"family":"Meretoja","given":"Tuomo J"},{"family":"Mesfin","given":"Yonatan Moges"},{"family":"Mhimbira","given":"Francis Apolinary"},{"family":"Millear","given":"Anoushka"},{"family":"Miller","given":"Ted R"},{"family":"Mills","given":"Edward J"},{"family":"Mirarefin","given":"Mojde"},{"family":"Misganaw","given":"Awoke"},{"family":"Mock","given":"Charles N"},{"family":"Mohammadi","given":"Alireza"},{"family":"Mohammed","given":"Shafiu"},{"family":"Mola","given":"Glen Liddell D"},{"family":"Monasta","given":"Lorenzo"},{"family":"Hernandez","given":"Julio Cesar Montañez"},{"family":"Montico","given":"Marcella"},{"family":"Morawska","given":"Lidia"},{"family":"Mori","given":"Rintaro"},{"family":"Mozaffarian","given":"Dariush"},{"family":"Mueller","given":"Ulrich O"},{"family":"Mullany","given":"Erin"},{"family":"Mumford","given":"John Everett"},{"family":"Murthy","given":"Gudlavalleti Venkata Satyanarayana"},{"family":"Nachega","given":"Jean B"},{"family":"Naheed","given":"Aliya"},{"family":"Nangia","given":"Vinay"},{"family":"Nassiri","given":"Nariman"},{"family":"Newton","given":"John N"},{"family":"Ng","given":"Marie"},{"family":"Nguyen","given":"Quyen Le"},{"family":"Nisar","given":"Muhammad Imran"},{"family":"Pete","given":"Patrick Martial Nkamedjie"},{"family":"Norheim","given":"Ole F"},{"family":"Norman","given":"Rosana E"},{"family":"Norrving","given":"Bo"},{"family":"Nyakarahuka","given":"Luke"},{"family":"Obermeyer","given":"Carla Makhlouf"},{"family":"Ogbo","given":"Felix Akpojene"},{"family":"Oh","given":"In-Hwan"},{"family":"Oladimeji","given":"Olanrewaju"},{"family":"Olivares","given":"Pedro R"},{"family":"Olsen","given":"Helen"},{"family":"Olusanya","given":"Bolajoko Olubukunola"},{"family":"Olusanya","given":"Jacob Olusegun"},{"family":"Opio","given":"John Nelson"},{"family":"Oren","given":"Eyal"},{"family":"Orozco","given":"Ricardo"},{"family":"Ortiz","given":"Alberto"},{"family":"Ota","given":"Erika"},{"family":"Pa","given":"Mahesh"},{"family":"Pana","given":"Adrian"},{"family":"Park","given":"Eun-Kee"},{"family":"Parry","given":"Charles D"},{"family":"Parsaeian","given":"Mahboubeh"},{"family":"Patel","given":"Tejas"},{"family":"Caicedo","given":"Angel J Paternina"},{"family":"Patil","given":"Snehal T"},{"family":"Patten","given":"Scott B"},{"family":"Patton","given":"George C"},{"family":"Pearce","given":"Neil"},{"family":"Pereira","given":"David M"},{"family":"Perico","given":"Norberto"},{"family":"Pesudovs","given":"Konrad"},{"family":"Petzold","given":"Max"},{"family":"Phillips","given":"Michael Robert"},{"family":"Piel","given":"Frédéric B"},{"family":"Pillay","given":"Julian David"},{"family":"Plass","given":"Dietrich"},{"family":"Polinder","given":"Suzanne"},{"family":"Pond","given":"Constance D"},{"family":"Pope","given":"C Arden"},{"family":"Pope","given":"Daniel"},{"family":"Popova","given":"Svetlana"},{"family":"Poulton","given":"Richie G"},{"family":"Pourmalek","given":"Farshad"},{"family":"Prasad","given":"Noela M"},{"family":"Qorbani","given":"Mostafa"},{"family":"Rabiee","given":"Rynaz H S"},{"family":"Radfar","given":"Amir"},{"family":"Rafay","given":"Anwar"},{"family":"Rahimi-Movaghar","given":"Vafa"},{"family":"Rahman","given":"Mahfuzar"},{"family":"Rahman","given":"Mohammad Hifz Ur"},{"family":"Rahman","given":"Sajjad Ur"},{"family":"Rai","given":"Rajesh Kumar"},{"family":"Rajsic","given":"Sasa"},{"family":"Raju","given":"Murugesan"},{"family":"Ram","given":"Usha"},{"family":"Rana","given":"Saleem M"},{"family":"Ranganathan","given":"Kavitha"},{"family":"Rao","given":"Puja"},{"family":"García","given":"Christian Aspacia Razo"},{"family":"Refaat","given":"Amany H"},{"family":"Rehm","given":"Colin D"},{"family":"Rehm","given":"Jürgen"},{"family":"Reinig","given":"Nikolas"},{"family":"Remuzzi","given":"Giuseppe"},{"family":"Resnikoff","given":"Serge"},{"family":"Ribeiro","given":"Antonio L"},{"family":"Rivera","given":"Juan A"},{"family":"Roba","given":"Hirbo Shore"},{"family":"Rodriguez","given":"Alina"},{"family":"Rodriguez-Ramirez","given":"Sonia"},{"family":"Rojas-Rueda","given":"David"},{"family":"Roman","given":"Yesenia"},{"family":"Ronfani","given":"Luca"},{"family":"Roshandel","given":"Gholamreza"},{"family":"Rothenbacher","given":"Dietrich"},{"family":"Roy","given":"Ambuj"},{"family":"Saleh","given":"Muhammad Muhammad"},{"family":"Sanabria","given":"Juan R"},{"family":"Sanchez-Riera","given":"Lidia"},{"family":"Sanchez-Niño","given":"Maria Dolores"},{"family":"Sánchez-Pimienta","given":"Tania G"},{"family":"Sandar","given":"Logan"},{"family":"Santomauro","given":"Damian F"},{"family":"Santos","given":"Itamar S"},{"family":"Sarmiento-Suarez","given":"Rodrigo"},{"family":"Sartorius","given":"Benn"},{"family":"Satpathy","given":"Maheswar"},{"family":"Savic","given":"Miloje"},{"family":"Sawhney","given":"Monika"},{"family":"Schmidhuber","given":"Josef"},{"family":"Schmidt","given":"Maria Inês"},{"family":"Schneider","given":"Ione J C"},{"family":"Schöttker","given":"Ben"},{"family":"Schutte","given":"Aletta E"},{"family":"Schwebel","given":"David C"},{"family":"Scott","given":"James G"},{"family":"Seedat","given":"Soraya"},{"family":"Sepanlou","given":"Sadaf G"},{"family":"Servan-Mori","given":"Edson E"},{"family":"Shaddick","given":"Gavin"},{"family":"Shaheen","given":"Amira"},{"family":"Shahraz","given":"Saeid"},{"family":"Shaikh","given":"Masood Ali"},{"family":"Levy","given":"Teresa Shamah"},{"family":"Sharma","given":"Rajesh"},{"family":"She","given":"Jun"},{"family":"Sheikhbahaei","given":"Sara"},{"family":"Shen","given":"Jiabin"},{"family":"Sheth","given":"Kevin N"},{"family":"Shi","given":"Peilin"},{"family":"Shibuya","given":"Kenji"},{"family":"Shigematsu","given":"Mika"},{"family":"Shin","given":"Min-Jeong"},{"family":"Shiri","given":"Rahman"},{"family":"Shishani","given":"Kawkab"},{"family":"Shiue","given":"Ivy"},{"family":"Shrime","given":"Mark G"},{"family":"Sigfusdottir","given":"Inga Dora"},{"family":"Silva","given":"Diego Augusto Santos"},{"family":"Silveira","given":"Dayane Gabriele Alves"},{"family":"Silverberg","given":"Jonathan I"},{"family":"Simard","given":"Edgar P"},{"family":"Sindi","given":"Shireen"},{"family":"Singh","given":"Abhishek"},{"family":"Singh","given":"Jasvinder A"},{"family":"Singh","given":"Prashant Kumar"},{"family":"Slepak","given":"Erica Leigh"},{"family":"Soljak","given":"Michael"},{"family":"Soneji","given":"Samir"},{"family":"Sorensen","given":"Reed J D"},{"family":"Sposato","given":"Luciano A"},{"family":"Sreeramareddy","given":"Chandrashekhar T"},{"family":"Stathopoulou","given":"Vasiliki"},{"family":"Steckling","given":"Nadine"},{"family":"Steel","given":"Nicholas"},{"family":"Stein","given":"Dan J"},{"family":"Stein","given":"Murray B"},{"family":"Stöckl","given":"Heidi"},{"family":"Stranges","given":"Saverio"},{"family":"Stroumpoulis","given":"Konstantinos"},{"family":"Sunguya","given":"Bruno F"},{"family":"Swaminathan","given":"Soumya"},{"family":"Sykes","given":"Bryan L"},{"family":"Szoeke","given":"Cassandra E I"},{"family":"Tabarés-Seisdedos","given":"Rafael"},{"family":"Takahashi","given":"Ken"},{"family":"Talongwa","given":"Roberto Tchio"},{"family":"Tandon","given":"Nikhil"},{"family":"Tanne","given":"David"},{"family":"Tavakkoli","given":"Mohammad"},{"family":"Taye","given":"Belaynew Wasie"},{"family":"Taylor","given":"Hugh R"},{"family":"Tedla","given":"Bemnet Amare"},{"family":"Tefera","given":"Worku Mekonnen"},{"family":"Tegegne","given":"Teketo Kassaw"},{"family":"Tekle","given":"Dejen Yemane"},{"family":"Terkawi","given":"Abdullah Sulieman"},{"family":"Thakur","given":"J S"},{"family":"Thomas","given":"Bernadette A"},{"family":"Thomas","given":"Matthew Lloyd"},{"family":"Thomson","given":"Alan J"},{"family":"Thorne-Lyman","given":"Andrew L"},{"family":"Thrift","given":"Amanda G"},{"family":"Thurston","given":"George D"},{"family":"Tillmann","given":"Taavi"},{"family":"Tobe-Gai","given":"Ruoyan"},{"family":"Tobollik","given":"Myriam"},{"family":"Topor-Madry","given":"Roman"},{"family":"Topouzis","given":"Fotis"},{"family":"Towbin","given":"Jeffrey Allen"},{"family":"Tran","given":"Bach Xuan"},{"family":"Dimbuene","given":"Zacharie Tsala"},{"family":"Tsilimparis","given":"Nikolaos"},{"family":"Tura","given":"Abera Kenay"},{"family":"Tuzcu","given":"Emin Murat"},{"family":"Tyrovolas","given":"Stefanos"},{"family":"Ukwaja","given":"Kingsley N"},{"family":"Undurraga","given":"Eduardo A"},{"family":"Uneke","given":"Chigozie Jesse"},{"family":"Uthman","given":"Olalekan A"},{"family":"Donkelaar","given":"Aaron","non-dropping-particle":"van"},{"family":"Os","given":"Jim","non-dropping-particle":"van"},{"family":"Varakin","given":"Yuri Y"},{"family":"Vasankari","given":"Tommi"},{"family":"Veerman","given":"J Lennert"},{"family":"Venketasubramanian","given":"Narayanaswamy"},{"family":"Violante","given":"Francesco S"},{"family":"Vollset","given":"Stein Emil"},{"family":"Wagner","given":"Gregory R"},{"family":"Waller","given":"Stephen G"},{"family":"Wang","given":"Jian Li"},{"family":"Wang","given":"Linhong"},{"family":"Wang","given":"Yanping"},{"family":"Weichenthal","given":"Scott"},{"family":"Weiderpass","given":"Elisabete"},{"family":"Weintraub","given":"Robert G"},{"family":"Werdecker","given":"Andrea"},{"family":"Westerman","given":"Ronny"},{"family":"Whiteford","given":"Harvey A"},{"family":"Wijeratne","given":"Tissa"},{"family":"Wiysonge","given":"Charles Shey"},{"family":"Wolfe","given":"Charles D A"},{"family":"Won","given":"Sungho"},{"family":"Woolf","given":"Anthony D"},{"family":"Wubshet","given":"Mamo"},{"family":"Xavier","given":"Denis"},{"family":"Xu","given":"Gelin"},{"family":"Yadav","given":"Ajit Kumar"},{"family":"Yakob","given":"Bereket"},{"family":"Yalew","given":"Ayalnesh Zemene"},{"family":"Yano","given":"Yuichiro"},{"family":"Yaseri","given":"Mehdi"},{"family":"Ye","given":"Pengpeng"},{"family":"Yip","given":"Paul"},{"family":"Yonemoto","given":"Naohiro"},{"family":"Yoon","given":"Seok-Jun"},{"family":"Younis","given":"Mustafa Z"},{"family":"Yu","given":"Chuanhua"},{"family":"Zaidi","given":"Zoubida"},{"family":"Zaki","given":"Maysaa El Sayed"},{"family":"Zhu","given":"Jun"},{"family":"Zipkin","given":"Ben"},{"family":"Zodpey","given":"Sanjay"},{"family":"Zuhlke","given":"Liesl Joanna"},{"family":"Murray","given":"Christopher J L"}],"issued":{"date-parts":[["2016",10,8]]}}}],"schema":"https://github.com/citation-style-language/schema/raw/master/csl-citation.json"} </w:instrText>
      </w:r>
      <w:r w:rsidR="00675E72">
        <w:rPr>
          <w:rFonts w:ascii="Times New Roman" w:hAnsi="Times New Roman" w:cs="Times New Roman"/>
        </w:rPr>
        <w:fldChar w:fldCharType="separate"/>
      </w:r>
      <w:r w:rsidR="00675E72">
        <w:rPr>
          <w:rFonts w:ascii="Times New Roman" w:hAnsi="Times New Roman" w:cs="Times New Roman"/>
          <w:noProof/>
        </w:rPr>
        <w:t>(Forouzanfar et al., 2016)</w:t>
      </w:r>
      <w:r w:rsidR="00675E72">
        <w:rPr>
          <w:rFonts w:ascii="Times New Roman" w:hAnsi="Times New Roman" w:cs="Times New Roman"/>
        </w:rPr>
        <w:fldChar w:fldCharType="end"/>
      </w:r>
      <w:r w:rsidR="00675E72">
        <w:rPr>
          <w:rFonts w:ascii="Times New Roman" w:hAnsi="Times New Roman" w:cs="Times New Roman"/>
        </w:rPr>
        <w:t xml:space="preserve">. </w:t>
      </w:r>
      <w:r w:rsidRPr="002E18A8">
        <w:rPr>
          <w:rFonts w:ascii="Times New Roman" w:hAnsi="Times New Roman" w:cs="Times New Roman"/>
        </w:rPr>
        <w:t>In England, approximately 5.7 million people are current tobacco smokers</w:t>
      </w:r>
      <w:r w:rsidR="000523CB" w:rsidRPr="004B73B2">
        <w:rPr>
          <w:rStyle w:val="FootnoteReference"/>
        </w:rPr>
        <w:footnoteReference w:id="10"/>
      </w:r>
      <w:r w:rsidRPr="002E18A8">
        <w:rPr>
          <w:rFonts w:ascii="Times New Roman" w:hAnsi="Times New Roman" w:cs="Times New Roman"/>
        </w:rPr>
        <w:t xml:space="preserve"> which leads to substantial health and socioeconomic consequences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{"citationID":"qhi2L5l2","properties":{"formattedCitation":"(Office for National Statistics, 2020)","plainCitation":"(Office for National Statistics, 2020)","noteIndex":0},"citationItems":[{"id":714,"uris":["http://zotero.org/users/7873587/items/E8HZBY3N"],"itemData":{"id":714,"type":"webpage","title":"Adult smoking habits in the UK: 2019","URL":"https://www.ons.gov.uk/peoplepopulationandcommunity/healthandsocialcare/healthandlifeexpectancies/bulletins/adultsmokinghabitsingreatbritain/2019","author":[{"literal":"Office for National Statistics"}],"issued":{"date-parts":[["2020"]]}}}],"schema":"https://github.com/citation-style-language/schema/raw/master/csl-citation.json"}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(Office for National Statistics, 2020)</w:t>
      </w:r>
      <w:r w:rsidRPr="002E18A8">
        <w:rPr>
          <w:rFonts w:ascii="Times New Roman" w:hAnsi="Times New Roman" w:cs="Times New Roman"/>
        </w:rPr>
        <w:fldChar w:fldCharType="end"/>
      </w:r>
      <w:r w:rsidRPr="002E18A8">
        <w:rPr>
          <w:rFonts w:ascii="Times New Roman" w:hAnsi="Times New Roman" w:cs="Times New Roman"/>
        </w:rPr>
        <w:t xml:space="preserve">. To elaborate, tobacco smoking has a causal role in various forms of cancer and respiratory disease and is estimated to cost the National Health Service £2.6 billion per year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{"citationID":"Ww1gaCM9","properties":{"formattedCitation":"(Public Health England, 2017)","plainCitation":"(Public Health England, 2017)","noteIndex":0},"citationItems":[{"id":715,"uris":["http://zotero.org/users/7873587/items/SZP3W6X5"],"itemData":{"id":715,"type":"webpage","container-title":"GOV.UK","language":"en","title":"Cost of smoking to the NHS in England: 2015","title-short":"Cost of smoking to the NHS in England","URL":"https://www.gov.uk/government/publications/cost-of-smoking-to-the-nhs-in-england-2015/cost-of-smoking-to-the-nhs-in-england-2015","author":[{"literal":"Public Health England"}],"accessed":{"date-parts":[["2021",12,6]]},"issued":{"date-parts":[["2017"]]}}}],"schema":"https://github.com/citation-style-language/schema/raw/master/csl-citation.json"}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(Public Health England, 2017)</w:t>
      </w:r>
      <w:r w:rsidRPr="002E18A8">
        <w:rPr>
          <w:rFonts w:ascii="Times New Roman" w:hAnsi="Times New Roman" w:cs="Times New Roman"/>
        </w:rPr>
        <w:fldChar w:fldCharType="end"/>
      </w:r>
      <w:r w:rsidRPr="002E18A8">
        <w:rPr>
          <w:rFonts w:ascii="Times New Roman" w:hAnsi="Times New Roman" w:cs="Times New Roman"/>
        </w:rPr>
        <w:t xml:space="preserve">. Behavioural economic accounts posit that distortions in valuation processes related to tobacco and tobacco-unrelated rewards underlie the development and maintenance of nicotine dependence </w:t>
      </w:r>
      <w:r w:rsidRPr="002E18A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{"citationID":"G1GiqkMj","properties":{"formattedCitation":"(Bickel et al., 2014; Gonz\\uc0\\u225{}lez-Roz et al., 2019; Hogarth &amp; Field, 2020; Murphy, MacKillop, et al., 2012)","plainCitation":"(Bickel et al., 2014; González-Roz et al., 2019; Hogarth &amp; Field, 2020; Murphy, MacKillop, et al., 2012)","noteIndex":0},"citationItems":[{"id":816,"uris":["http://zotero.org/users/7873587/items/R9KVGRWU"],"itemData":{"id":816,"type":"article-journal","abstract":"The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G."}],"issued":{"date-parts":[["2014"]]}},"label":"act"},{"id":813,"uris":["http://zotero.org/users/7873587/items/LZYTS2PP"],"itemData":{"id":813,"type":"article-journal","abstract":"Background and Aims A cigarette purchase task (CPT) aims to characterize individual variation in the reinforcing value of tobacco. This meta-analysis estimated the associations between cigarette demand, tobacco consumption and nicotine dependence using this task. Design A meta-analysis of cross-sectional studies identified by PubMed and PsycINFO databases was conducted. Fixed- and random-effects models were used. The study also examined the model used to derive elasticity of demand (exponential or exponentiated) as a potential moderator. Publication bias was assessed using ‘fail-safe N', Begg–Mazumdar test, Egger's test, Tweedie's trim-and-fill approach and meta-regression of publication year with effect size. Setting Studies from any setting that reported coefficient correlations on the tested associations. Participants Daily cigarette users (i.e. 5 to 38 cigarettes per day; n = 7649). Measurements Cigarette consumption, nicotine dependence and five tobacco demand indicators: intensity (i.e. consumption at no cost), elasticity (i.e. sensitivity to rises in costs), Omax (maximum expenditure), Pmax (i.e. price at which consumption becomes elastic) and breakpoint (i.e. price at which consumption ceases). Findings Twenty-three studies met inclusion criteria. All the CPT indices were significantly correlated with smoking behavior (rs = 0.044–0.572, Ps = 0.012–10−8). Medium-to-large effect size associations were present for intensity, Omax, and elasticity, whereas small effects were obtained for breakpoint and Pmax. Evidence of a moderating effect of the different elasticity modeling approaches was not present. There was limited evidence of publication bias. Conclusions All five demand indices derived from the cigarette purchase task by (CPT) were robustly associated with cigarette consumption and tobacco dependence. Of the demand indices, maximum expenditure, intensity and elasticity exhibited the largest magnitude associations.","container-title":"Addiction","DOI":"10.1111/add.14736","ISSN":"1360-0443","issue":"11","language":"en","note":"_eprint: https://onlinelibrary.wiley.com/doi/pdf/10.1111/add.14736","page":"1926-1940","source":"Wiley Online Library","title":"Behavioral economic tobacco demand in relation to cigarette consumption and nicotine dependence: a meta-analysis of cross-sectional relationships","title-short":"Behavioral economic tobacco demand in relation to cigarette consumption and nicotine dependence","volume":"114","author":[{"family":"González-Roz","given":"Alba"},{"family":"Jackson","given":"Jacob"},{"family":"Murphy","given":"Cara"},{"family":"Rohsenow","given":"Damaris J."},{"family":"MacKillop","given":"James"}],"issued":{"date-parts":[["2019"]]}},"label":"page"},{"id":819,"uris":["http://zotero.org/users/7873587/items/QS5L4T2D"],"itemData":{"id":819,"type":"article-journal","abstract":"Behavioural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T."},{"family":"Rotgers.","given":"Frederick"}],"issued":{"date-parts":[["2012"]]}},"label":"act"}],"schema":"https://github.com/citation-style-language/schema/raw/master/csl-citation.json"} </w:instrText>
      </w:r>
      <w:r w:rsidRPr="002E18A8">
        <w:rPr>
          <w:rFonts w:ascii="Times New Roman" w:hAnsi="Times New Roman" w:cs="Times New Roman"/>
        </w:rPr>
        <w:fldChar w:fldCharType="separate"/>
      </w:r>
      <w:r w:rsidR="003D0079" w:rsidRPr="003D0079">
        <w:rPr>
          <w:rFonts w:ascii="Times New Roman" w:hAnsi="Times New Roman" w:cs="Times New Roman"/>
        </w:rPr>
        <w:t>(Bickel et al., 2014; González-Roz et al., 2019; Hogarth &amp; Field, 2020; Murphy, MacKillop, et al., 2012)</w:t>
      </w:r>
      <w:r w:rsidRPr="002E18A8">
        <w:rPr>
          <w:rFonts w:ascii="Times New Roman" w:hAnsi="Times New Roman" w:cs="Times New Roman"/>
        </w:rPr>
        <w:fldChar w:fldCharType="end"/>
      </w:r>
      <w:r w:rsidRPr="002E18A8">
        <w:rPr>
          <w:rFonts w:ascii="Times New Roman" w:hAnsi="Times New Roman" w:cs="Times New Roman"/>
        </w:rPr>
        <w:t xml:space="preserve">. Indeed, experimental research has shown that the induction of negative mood augments the expected value of tobacco indexed by increased tobacco choice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{"citationID":"6f8QzBaz","properties":{"formattedCitation":"(Hogarth et al., 2015)","plainCitation":"(Hogarth et al., 2015)","noteIndex":0},"citationItems":[{"id":708,"uris":["http://zotero.org/users/7873587/items/XHY9EL6E"],"itemData":{"id":708,"type":"article-journal","abstract":"Background\nTwo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(Hogarth et al., 2015)</w:t>
      </w:r>
      <w:r w:rsidRPr="002E18A8">
        <w:rPr>
          <w:rFonts w:ascii="Times New Roman" w:hAnsi="Times New Roman" w:cs="Times New Roman"/>
        </w:rPr>
        <w:fldChar w:fldCharType="end"/>
      </w:r>
      <w:r w:rsidRPr="002E18A8">
        <w:rPr>
          <w:rFonts w:ascii="Times New Roman" w:hAnsi="Times New Roman" w:cs="Times New Roman"/>
        </w:rPr>
        <w:t>, however little is known about the underlying mechanisms by which valuation processes exert these effects. This study aimed to explore the underlying mechanisms that determine discrete tobacco-related choices by applying a computational model of value-based decision-making (VBDM) to daily smokers’ choices after manipulating tobacco value indirectly via mood manipulation.</w:t>
      </w:r>
    </w:p>
    <w:p w14:paraId="651699FC" w14:textId="77777777" w:rsidR="002E18A8" w:rsidRPr="002E18A8" w:rsidRDefault="002E18A8" w:rsidP="003E117A">
      <w:pPr>
        <w:pStyle w:val="NoSpacing"/>
        <w:spacing w:line="480" w:lineRule="auto"/>
        <w:rPr>
          <w:rFonts w:ascii="Times New Roman" w:hAnsi="Times New Roman" w:cs="Times New Roman"/>
        </w:rPr>
      </w:pPr>
    </w:p>
    <w:p w14:paraId="2F1E3753" w14:textId="623C607D" w:rsidR="002E18A8" w:rsidRPr="002E18A8" w:rsidRDefault="002E18A8" w:rsidP="003E117A">
      <w:pPr>
        <w:pStyle w:val="NoSpacing"/>
        <w:spacing w:line="480" w:lineRule="auto"/>
        <w:rPr>
          <w:rFonts w:ascii="Times New Roman" w:hAnsi="Times New Roman" w:cs="Times New Roman"/>
        </w:rPr>
      </w:pPr>
      <w:r w:rsidRPr="002E18A8">
        <w:rPr>
          <w:rFonts w:ascii="Times New Roman" w:hAnsi="Times New Roman" w:cs="Times New Roman"/>
        </w:rPr>
        <w:t xml:space="preserve">In behavioural economic models the dominant approach to measuring tobacco reinforcing value (also termed ‘demand’) is with hypothetical cigarette purchase tasks (CPT; e.g.,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{"citationID":"GEQjdc45","properties":{"formattedCitation":"(MacKillop et al., 2008)","plainCitation":"(MacKillop et al., 2008)","dontUpdate":true,"noteIndex":0},"citationItems":[{"id":825,"uris":["http://zotero.org/users/7873587/items/HPVPY5R2"],"itemData":{"id":825,"type":"article-journal","abstract":"The authors sought to further validate a cigarette purchase task (CPT), a self-report analogue of a progressive-ratio operant schedule, for the assessment of the relative reinforcing efficacy (RRE) of nicotine in smokers. The measure was assessed in terms of its correspondence to typically observed operant behavior, convergent validity, and divergent validity. Participants were 33 individuals (58% male, age M = 19.30 years) who smoked at least weekly (M = 5.31 cigarettes/day) and underwent a single assessment session. Data from the CPT exhibited the predicted inverse relationship between consumption and price, the predicted relationship between consumption and expenditure, and a heterogeneous pattern of interrelationships among the indices of reinforcement. In addition, 2 indices from the measure, intensity of demand and maximum expenditure for cigarettes, exhibited robust convergent and divergent validity. Although this is an incipient research area and the current study used a relatively small sample, these findings support the validity of a CPT as a time- and cost-efficient method for assessing nicotine reinforcement. Theoretical implications of the findings, limitations, and future directions are also discussed. (PsycINFO Database Record (c) 2016 APA, all rights reserved)","container-title":"Experimental and Clinical Psychopharmacology","DOI":"10.1037/1064-1297.16.1.57","ISSN":"1936-2293","issue":"1","note":"publisher-place: US\npublisher: American Psychological Association","page":"57-65","source":"APA PsycNet","title":"Further validation of a cigarette purchase task for assessing the relative reinforcing efficacy of nicotine in college smokers","volume":"16","author":[{"family":"MacKillop","given":"James"},{"family":"Murphy","given":"James G."},{"family":"Ray","given":"Lara A."},{"family":"Eisenberg","given":"Daniel T. A."},{"family":"Lisman","given":"Stephen A."},{"family":"Lum","given":"J. Koji"},{"family":"Wilson","given":"David S."}],"issued":{"date-parts":[["2008"]]}}}],"schema":"https://github.com/citation-style-language/schema/raw/master/csl-citation.json"}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MacKillop et al., 2008)</w:t>
      </w:r>
      <w:r w:rsidRPr="002E18A8">
        <w:rPr>
          <w:rFonts w:ascii="Times New Roman" w:hAnsi="Times New Roman" w:cs="Times New Roman"/>
        </w:rPr>
        <w:fldChar w:fldCharType="end"/>
      </w:r>
      <w:r w:rsidRPr="002E18A8">
        <w:rPr>
          <w:rFonts w:ascii="Times New Roman" w:hAnsi="Times New Roman" w:cs="Times New Roman"/>
        </w:rPr>
        <w:t xml:space="preserve">. During the CPT, participants are instructed to estimate how many cigarettes they would hypothetically purchase across a set of prices that gradually increase. From this, a tobacco demand curve (i.e., a plot of the level of consumption and tobacco-related expenditure as function of cigarette price) can be generated that enables interrelated, yet dissociable indices of tobacco value to be extracted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{"citationID":"IJ9ANKBF","properties":{"formattedCitation":"(Aston &amp; Cassidy, 2019)","plainCitation":"(Aston &amp; Cassidy, 2019)","noteIndex":0},"citationItems":[{"id":827,"uris":["http://zotero.org/users/7873587/items/TCCH3EDJ"],"itemData":{"id":827,"type":"article-journal","abstract":"Behavioral economics in the addictions is the application of both economics and psychology to study multifaceted components of substance use decision-making behavior. One such component is demand: the relative value of a substance for a user (i.e., the association between drug use and cost). The degree to which a user values a substance can be measured via performance on hypothetical purchase tasks which replicate drug purchase and consumption. Demand has been evaluated across substances, including alcohol, marijuana, tobacco, and alternative tobacco products. Recent advances in the study of demand have greatly improved the assessment of drug value, including application to novel products, selection of optimal task unit, assessment of demand in naïve or potential future users, and the importance of instructional set specificity. (PsycINFO Database Record (c) 2020 APA, all rights reserved)","container-title":"Current Opinion in Psychology","DOI":"10.1016/j.copsyc.2019.01.016","ISSN":"2352-250X","note":"publisher-place: Netherlands\npublisher: Elsevier Science","page":"42-47","source":"APA PsycNet","title":"Behavioral economic demand assessments in the addictions","volume":"30","author":[{"family":"Aston","given":"Elizabeth R."},{"family":"Cassidy","given":"Rachel N."}],"issued":{"date-parts":[["2019"]]}}}],"schema":"https://github.com/citation-style-language/schema/raw/master/csl-citation.json"}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(Aston &amp; Cassidy, 2019)</w:t>
      </w:r>
      <w:r w:rsidRPr="002E18A8">
        <w:rPr>
          <w:rFonts w:ascii="Times New Roman" w:hAnsi="Times New Roman" w:cs="Times New Roman"/>
        </w:rPr>
        <w:fldChar w:fldCharType="end"/>
      </w:r>
      <w:r w:rsidRPr="002E18A8">
        <w:rPr>
          <w:rFonts w:ascii="Times New Roman" w:hAnsi="Times New Roman" w:cs="Times New Roman"/>
        </w:rPr>
        <w:t xml:space="preserve">. These </w:t>
      </w:r>
      <w:r w:rsidRPr="002E18A8">
        <w:rPr>
          <w:rFonts w:ascii="Times New Roman" w:hAnsi="Times New Roman" w:cs="Times New Roman"/>
        </w:rPr>
        <w:lastRenderedPageBreak/>
        <w:t xml:space="preserve">indices are intensity (consumption when price is zero), </w:t>
      </w:r>
      <w:proofErr w:type="spellStart"/>
      <w:r w:rsidRPr="002E18A8">
        <w:rPr>
          <w:rFonts w:ascii="Times New Roman" w:hAnsi="Times New Roman" w:cs="Times New Roman"/>
        </w:rPr>
        <w:t>O</w:t>
      </w:r>
      <w:r w:rsidRPr="003E117A">
        <w:rPr>
          <w:rFonts w:ascii="Times New Roman" w:hAnsi="Times New Roman" w:cs="Times New Roman"/>
          <w:vertAlign w:val="subscript"/>
        </w:rPr>
        <w:t>max</w:t>
      </w:r>
      <w:proofErr w:type="spellEnd"/>
      <w:r w:rsidRPr="003E117A">
        <w:rPr>
          <w:rFonts w:ascii="Times New Roman" w:hAnsi="Times New Roman" w:cs="Times New Roman"/>
          <w:vertAlign w:val="subscript"/>
        </w:rPr>
        <w:t xml:space="preserve"> </w:t>
      </w:r>
      <w:r w:rsidRPr="002E18A8">
        <w:rPr>
          <w:rFonts w:ascii="Times New Roman" w:hAnsi="Times New Roman" w:cs="Times New Roman"/>
        </w:rPr>
        <w:t>(maximum expenditure), breakpoint (price which suppresses consumption to zero), P</w:t>
      </w:r>
      <w:r w:rsidRPr="00B05119">
        <w:rPr>
          <w:rFonts w:ascii="Times New Roman" w:hAnsi="Times New Roman" w:cs="Times New Roman"/>
          <w:vertAlign w:val="subscript"/>
        </w:rPr>
        <w:t>max</w:t>
      </w:r>
      <w:r w:rsidRPr="002E18A8">
        <w:rPr>
          <w:rFonts w:ascii="Times New Roman" w:hAnsi="Times New Roman" w:cs="Times New Roman"/>
        </w:rPr>
        <w:t xml:space="preserve"> (point at which price becomes elastic), and elasticity (sensitivity to changes in price). An alternative, but also frequently used approach to measure tobacco value is with concurrent choice tasks (e.g.,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{"citationID":"IVkxLZtU","properties":{"formattedCitation":"(Hardy et al., 2018)","plainCitation":"(Hardy et al., 2018)","dontUpdate":true,"noteIndex":0},"citationItems":[{"id":830,"uris":["http://zotero.org/users/7873587/items/NPLX5NWL"],"itemData":{"id":830,"type":"article-journal","abstract":"Concurrent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Hardy et al., 2018)</w:t>
      </w:r>
      <w:r w:rsidRPr="002E18A8">
        <w:rPr>
          <w:rFonts w:ascii="Times New Roman" w:hAnsi="Times New Roman" w:cs="Times New Roman"/>
        </w:rPr>
        <w:fldChar w:fldCharType="end"/>
      </w:r>
      <w:r w:rsidRPr="002E18A8">
        <w:rPr>
          <w:rFonts w:ascii="Times New Roman" w:hAnsi="Times New Roman" w:cs="Times New Roman"/>
        </w:rPr>
        <w:t xml:space="preserve"> whereby participants choose between a tobacco-related and a tobacco-unrelated image for a reward (e.g., image enlargement</w:t>
      </w:r>
      <w:r w:rsidR="000523CB" w:rsidRPr="004B73B2">
        <w:rPr>
          <w:rStyle w:val="FootnoteReference"/>
        </w:rPr>
        <w:footnoteReference w:id="11"/>
      </w:r>
      <w:r w:rsidRPr="002E18A8">
        <w:rPr>
          <w:rFonts w:ascii="Times New Roman" w:hAnsi="Times New Roman" w:cs="Times New Roman"/>
        </w:rPr>
        <w:t xml:space="preserve">) over repeated trials. The percentage choice of tobacco relative to tobacco-unrelated reward is used to infer the value ascribed to tobacco. Interestingly, although methodologically different, outputs from the CPT and concurrent choice tasks have been found to be moderately correlated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{"citationID":"FhwaHtgD","properties":{"formattedCitation":"(Chase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(Chase et al., 2013)</w:t>
      </w:r>
      <w:r w:rsidRPr="002E18A8">
        <w:rPr>
          <w:rFonts w:ascii="Times New Roman" w:hAnsi="Times New Roman" w:cs="Times New Roman"/>
        </w:rPr>
        <w:fldChar w:fldCharType="end"/>
      </w:r>
      <w:r w:rsidRPr="002E18A8">
        <w:rPr>
          <w:rFonts w:ascii="Times New Roman" w:hAnsi="Times New Roman" w:cs="Times New Roman"/>
        </w:rPr>
        <w:t xml:space="preserve"> which indicates that they may tap into a common construct of value. </w:t>
      </w:r>
    </w:p>
    <w:p w14:paraId="353D2D17" w14:textId="77777777" w:rsidR="002E18A8" w:rsidRPr="002E18A8" w:rsidRDefault="002E18A8" w:rsidP="003E117A">
      <w:pPr>
        <w:pStyle w:val="NoSpacing"/>
        <w:spacing w:line="480" w:lineRule="auto"/>
        <w:rPr>
          <w:rFonts w:ascii="Times New Roman" w:hAnsi="Times New Roman" w:cs="Times New Roman"/>
        </w:rPr>
      </w:pPr>
    </w:p>
    <w:p w14:paraId="06F79F34" w14:textId="655C42E0" w:rsidR="002E18A8" w:rsidRPr="002E18A8" w:rsidRDefault="002E18A8" w:rsidP="003D0079">
      <w:pPr>
        <w:pStyle w:val="NoSpacing"/>
        <w:spacing w:line="480" w:lineRule="auto"/>
        <w:rPr>
          <w:rFonts w:ascii="Times New Roman" w:hAnsi="Times New Roman" w:cs="Times New Roman"/>
        </w:rPr>
      </w:pPr>
      <w:r w:rsidRPr="002E18A8">
        <w:rPr>
          <w:rFonts w:ascii="Times New Roman" w:hAnsi="Times New Roman" w:cs="Times New Roman"/>
        </w:rPr>
        <w:t xml:space="preserve">A robust body of evidence has demonstrated positive associations between nicotine dependence and tobacco value </w:t>
      </w:r>
      <w:r w:rsidRPr="002E18A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{"citationID":"4mbtBdxK","properties":{"formattedCitation":"(Gonz\\uc0\\u225{}lez-Roz et al., 2019; Hardy et al., 2018; Lawn et al., 2018; Miele et al., 2018; Zvorsky et al., 2019a)","plainCitation":"(González-Roz et al., 2019; Hardy et al., 2018; Lawn et al., 2018; Miele et al., 2018; Zvorsky et al., 2019a)","noteIndex":0},"citationItems":[{"id":813,"uris":["http://zotero.org/users/7873587/items/LZYTS2PP"],"itemData":{"id":813,"type":"article-journal","abstract":"Background and Aims A cigarette purchase task (CPT) aims to characterize individual variation in the reinforcing value of tobacco. This meta-analysis estimated the associations between cigarette demand, tobacco consumption and nicotine dependence using this task. Design A meta-analysis of cross-sectional studies identified by PubMed and PsycINFO databases was conducted. Fixed- and random-effects models were used. The study also examined the model used to derive elasticity of demand (exponential or exponentiated) as a potential moderator. Publication bias was assessed using ‘fail-safe N', Begg–Mazumdar test, Egger's test, Tweedie's trim-and-fill approach and meta-regression of publication year with effect size. Setting Studies from any setting that reported coefficient correlations on the tested associations. Participants Daily cigarette users (i.e. 5 to 38 cigarettes per day; n = 7649). Measurements Cigarette consumption, nicotine dependence and five tobacco demand indicators: intensity (i.e. consumption at no cost), elasticity (i.e. sensitivity to rises in costs), Omax (maximum expenditure), Pmax (i.e. price at which consumption becomes elastic) and breakpoint (i.e. price at which consumption ceases). Findings Twenty-three studies met inclusion criteria. All the CPT indices were significantly correlated with smoking behavior (rs = 0.044–0.572, Ps = 0.012–10−8). Medium-to-large effect size associations were present for intensity, Omax, and elasticity, whereas small effects were obtained for breakpoint and Pmax. Evidence of a moderating effect of the different elasticity modeling approaches was not present. There was limited evidence of publication bias. Conclusions All five demand indices derived from the cigarette purchase task by (CPT) were robustly associated with cigarette consumption and tobacco dependence. Of the demand indices, maximum expenditure, intensity and elasticity exhibited the largest magnitude associations.","container-title":"Addiction","DOI":"10.1111/add.14736","ISSN":"1360-0443","issue":"11","language":"en","note":"_eprint: https://onlinelibrary.wiley.com/doi/pdf/10.1111/add.14736","page":"1926-1940","source":"Wiley Online Library","title":"Behavioral economic tobacco demand in relation to cigarette consumption and nicotine dependence: a meta-analysis of cross-sectional relationships","title-short":"Behavioral economic tobacco demand in relation to cigarette consumption and nicotine dependence","volume":"114","author":[{"family":"González-Roz","given":"Alba"},{"family":"Jackson","given":"Jacob"},{"family":"Murphy","given":"Cara"},{"family":"Rohsenow","given":"Damaris J."},{"family":"MacKillop","given":"James"}],"issued":{"date-parts":[["2019"]]}}},{"id":830,"uris":["http://zotero.org/users/7873587/items/NPLX5NWL"],"itemData":{"id":830,"type":"article-journal","abstract":"Concurrent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id":834,"uris":["http://zotero.org/users/7873587/items/EBXENG4P"],"itemData":{"id":834,"type":"article-journal","abstract":"Background\nDopaminergic functioning is thought to play critical roles in both motivation and addiction. There is preliminary evidence that dopamine agonists reduce the motivation for cigarettes in smokers. However, the effects of pramipexole, a dopamine D3 receptor preferring agonist, have not been investigated., The aim of this study was to examine the effects of an acute dose of pramipexole on the motivation to earn cigarettes and nondrug rewards.\n\nMethods\nTwenty dependent and 20 occasional smokers received 0.5 mg pramipexole using a double-blind, placebo-controlled crossover design. Motivation for cigarettes and consummatory nondrug rewards was measured using the DReaM-Choice task, in which participants earned, and later “consumed,” cigarettes, music, and chocolate. Demand for cigarettes was measured using the Cigarette Purchase Task (CPT). Self-reported craving, withdrawal, and drug effects were also recorded.\n\nResults\nDependent smokers chose (p &lt; .001) and button-pressed for (p &lt; .001) cigarettes more, and chose chocolate less (p &lt; .001), than occasional smokers. Pramipexole did not affect the number of choices for or amount of button-pressing for any reward including cigarettes, which was supported by a Bayesian analysis. The dependent smokers had greater demand for cigarettes than occasional smokers across all CPT outcomes (ps &lt; .021), apart from elasticity. Pramipexole did not affect demand for cigarettes, and this was supported by Bayesian analyses. Pramipexole produced greater subjective “feel drug” and “dislike drug” effects than placebo.\n\nConclusions\nDependent and occasional cigarette smokers differed in their motivation for cigarettes but not for the nondrug rewards. Pramipexole did not acutely alter motivation for cigarettes. These findings question the role of dopamine D3 receptors in cigarette-seeking behavior in dependent and occasional smokers.\n\nImplications\nThis study adds to the growing literature about cigarette versus nondrug reward processing in nicotine dependence and the role of dopamine in cigarette-seeking behavior. Our results suggest nicotine dependence is associated with a hypersensitivity to cigarette rewards but not a hyposensitivity to nondrug rewards. Furthermore, our results question the importance of dopamine D3 receptors in motivational processing of cigarettes in occasional and dependent smokers.","container-title":"Nicotine &amp; Tobacco Research","DOI":"10.1093/ntr/ntx159","ISSN":"1462-2203","issue":"7","journalAbbreviation":"Nicotine Tob Res","note":"PMID: 29065193\nPMCID: PMC5991206","page":"800-809","source":"PubMed Central","title":"The acute effects of a dopamine D3 receptor preferring agonist on motivation for cigarettes in dependent and occasional cigarette smokers","volume":"20","author":[{"family":"Lawn","given":"Will"},{"family":"Freeman","given":"Tom P"},{"family":"East","given":"Katie"},{"family":"Gaule","given":"Annie"},{"family":"Aston","given":"Elizabeth R"},{"family":"Bloomfield","given":"Michael A P"},{"family":"Das","given":"Ravi K"},{"family":"Morgan","given":"Celia J A"},{"family":"Curran","given":"H Valerie"}],"issued":{"date-parts":[["2018",7]]}}},{"id":837,"uris":["http://zotero.org/users/7873587/items/LPTMVLQ6"],"itemData":{"id":837,"type":"article-journal","abstract":"Introduction: A substantial proportion of cancer patients continue to smoke after their diagnosis but few studies have evaluated correlates of nicotine dependence and smoking rate in this population, which could help guide smoking cessation interventions.\nAim: This study evaluated correlates of smoking rate and nicotine dependence among 207 cancer patients.\nMethods: A cross-sectional analysis using multiple linear regression evaluated disease, demographic, affective, and tobacco-seeking correlates of smoking rate and nicotine dependence. Smoking rate was assessed using a timeline follow-back method. The Fagerström Test for Nicotine Dependence measured levels of nicotine dependence.\nResults: A multiple linear regression predicting nicotine dependence showed an association with smoking to alleviate a sense of addiction from the Reasons for Smoking scale and tobacco-seeking behavior from the concurrent choice task (p &lt; .05), but not with affect measured by the HADS and PANAS (p &gt; .05). Multiple linear regression predicting prequit showed an association with smoking to alleviate addiction (p &lt; .05). ANOVA showed that Caucasian participants reported greater rates of smoking compared to other races.\nConclusions: The results suggest that behavioral smoking cessation interventions that focus on helping patients to manage tobacco-seeking behavior, rather than mood management interventions, could help cancer patients quit smoking.","container-title":"Journal of Addiction","DOI":"10.1155/2018/2438161","ISSN":"2090-7834","journalAbbreviation":"J Addict","language":"eng","note":"PMID: 29682394\nPMCID: PMC5846375","page":"2438161","source":"PubMed","title":"Cancer patients enrolled in a smoking cessation clinical trial: Characteristics and correlates of smoking rate and nicotine dependence","title-short":"Cancer Patients Enrolled in a Smoking Cessation Clinical Trial","volume":"2018","author":[{"family":"Miele","given":"Andrew"},{"family":"Thompson","given":"Morgan"},{"family":"Jao","given":"Nancy C."},{"family":"Kalhan","given":"Ravi"},{"family":"Leone","given":"Frank"},{"family":"Hogarth","given":"Lee"},{"family":"Hitsman","given":"Brian"},{"family":"Schnoll","given":"Robert"}],"issued":{"date-parts":[["2018"]]}}},{"id":75,"uris":["http://zotero.org/users/7873587/items/TLIR4WGU"],"itemData":{"id":75,"type":"article-journal","abstract":"Hypothetical Purchase Tasks (HPTs) simulate demand for a substance as a function of escalating price. HPTs are increasingly used to examine relationships between substance-related correlates and outcomes and demand typically characterized using a common battery of indices (Intensity, Omax, Pmax, Breakpoint, Elasticity). This review examines the relative sensitivity of the HPT indices. Reports were identified using the search term \"purchase task\" in PubMed and Web of Science. For inclusion, reports had to be original studies in English, examine relationships between HPT indices and substance-related correlates or outcomes, and appear in a peer-reviewed journal through December 2017. Indices were compared using effect sizes (Cohen's d) and the proportion of studies in which statistically significant relationships were observed. The search identified 1274 reports with 114 (9%) receiving full-text review and 82 (6%) meeting inclusion criteria. 41 reports examined alcohol, 34 examined cigarettes/nicotine products, and 10 examined other substances. Overall, statistically significant relationships between HPT indices and substance-related correlates and outcomes were most often reported for Intensity (88.61%, 70/79), followed by Omax (81.16%, 56/69), Elasticity (72.15%, 57/59), Breakpoint (62.12%, 41/66), and Pmax (48.08%; 25/52). The largest effect sizes were observed for Intensity (0.75 ± 0.04, CI 0.67-0.84) and Omax (0.64 ± 0.04, CI 0.56-0.71), followed by Elasticity (0.44 ± 0.04, CI 0.37-0.51), Breakpoint (0.30 ± 0.03, CI 0.25-0.36), and Pmax (0.25 ± 0.04, CI 0.18-0.33). Patterns were largely consistent across substances. In conclusion, HPTs can be highly effective in revealing relationships between demand and substance-related correlates and outcomes, with Intensity and Omax exhibiting the greatest sensitivity.","container-title":"Preventive Medicine","DOI":"10.1016/j.ypmed.2019.105789","ISSN":"1096-0260","journalAbbreviation":"Prev Med","language":"eng","note":"PMID: 31400376\nPMCID: PMC6879840","page":"105789","source":"PubMed","title":"Sensitivity of hypothetical purchase task indices when studying substance use: A systematic literature review","title-short":"Sensitivity of hypothetical purchase task indices when studying substance use","volume":"128","author":[{"family":"Zvorsky","given":"Ivori"},{"family":"Nighbor","given":"Tyler D."},{"family":"Kurti","given":"Allison N."},{"family":"DeSarno","given":"Michael"},{"family":"Naudé","given":"Gideon"},{"family":"Reed","given":"Derek D."},{"family":"Higgins","given":"Stephen T."}],"issued":{"date-parts":[["2019"]]}}}],"schema":"https://github.com/citation-style-language/schema/raw/master/csl-citation.json"} </w:instrText>
      </w:r>
      <w:r w:rsidRPr="002E18A8">
        <w:rPr>
          <w:rFonts w:ascii="Times New Roman" w:hAnsi="Times New Roman" w:cs="Times New Roman"/>
        </w:rPr>
        <w:fldChar w:fldCharType="separate"/>
      </w:r>
      <w:r w:rsidR="00267934" w:rsidRPr="00267934">
        <w:rPr>
          <w:rFonts w:ascii="Times New Roman" w:hAnsi="Times New Roman" w:cs="Times New Roman"/>
        </w:rPr>
        <w:t>(González-Roz et al., 2019; Hardy et al., 2018; Lawn et al., 2018; Miele et al., 2018; Zvorsky et al., 2019)</w:t>
      </w:r>
      <w:r w:rsidRPr="002E18A8">
        <w:rPr>
          <w:rFonts w:ascii="Times New Roman" w:hAnsi="Times New Roman" w:cs="Times New Roman"/>
        </w:rPr>
        <w:fldChar w:fldCharType="end"/>
      </w:r>
      <w:r w:rsidRPr="002E18A8">
        <w:rPr>
          <w:rFonts w:ascii="Times New Roman" w:hAnsi="Times New Roman" w:cs="Times New Roman"/>
        </w:rPr>
        <w:t>, however the value ascribed to tobacco-</w:t>
      </w:r>
      <w:r w:rsidR="00B02736">
        <w:rPr>
          <w:rFonts w:ascii="Times New Roman" w:hAnsi="Times New Roman" w:cs="Times New Roman"/>
        </w:rPr>
        <w:t>unrelated</w:t>
      </w:r>
      <w:r w:rsidRPr="002E18A8">
        <w:rPr>
          <w:rFonts w:ascii="Times New Roman" w:hAnsi="Times New Roman" w:cs="Times New Roman"/>
        </w:rPr>
        <w:t xml:space="preserve"> alternative rewards is also important. This is because the central tenet of behavioural economic accounts is that the development of addiction arises from—and is maintained by—excessive valuation of substances relative to competing alternative reinforcers in the environment </w:t>
      </w:r>
      <w:r w:rsidRPr="002E18A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{"citationID":"8DevxP0x","properties":{"formattedCitation":"(Bickel et al., 2014; Hogarth &amp; Field, 2020; Murphy, MacKillop, et al., 2012; Tucker et al., 2016)","plainCitation":"(Bickel et al., 2014; Hogarth &amp; Field, 2020; Murphy, MacKillop, et al., 2012; Tucker et al.,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T."},{"family":"Rotgers.","given":"Frederick"}],"issued":{"date-parts":[["2012"]]}},"label":"act"},{"id":456,"uris":["http://zotero.org/users/7873587/items/GHL5YU3Q"],"itemData":{"id":456,"type":"article-journal","abstract":"Background As interventions have expanded beyond clinical treatment to include brief interventions for persons with less severe alcohol problems, predicting who can achieve stable moderation drinking has gained importance. Recent behavioral economic (BE) research on natural recovery has shown that active problem drinkers who allocate their monetary expenditures on alcohol and saving for the future over longer time horizons tend to have better subsequent recovery outcomes, including maintenance of stable moderation drinking. This study compared the predictive utility of this money-based “Alcohol-Savings Discretionary Expenditure” (ASDE) index with multiple BE analogue measures of behavioral impulsivity and self-control, which have seldom been investigated together, to predict outcomes of natural recovery attempts. Methods Community-dwelling problem drinkers, enrolled shortly after stopping abusive drinking without treatment, were followed prospectively for up to a year (N = 175 [75.4% male], M age = 50.65 years). They completed baseline assessments of preresolution drinking practices and problems, analogue behavioral choice tasks (Delay Discounting, Melioration-Maximization, and Alcohol Purchase Tasks), and a Timeline Followback interview including expenditures on alcohol compared to voluntary savings (ASDE index) during the preresolution year. Results Multinomial logistic regression models showed that, among the BE measures, only the ASDE index predicted stable moderation drinking compared to stable abstinence or unstable resolutions involving relapse. As hypothesized, stable moderation was associated with more balanced preresolution allocations to drinking and savings (odds ratio = 1.77, 95% confidence interval = 1.02 to 3.08, p &lt; 0.05), suggesting it is associated with longer-term behavior regulation processes than abstinence. Conclusions The ASDE's unique predictive utility may rest on its comprehensive representation of contextual elements to support this patterning of behavioral allocation. Stable low-risk drinking, but not abstinence, requires such regulatory processes.","container-title":"Alcoholism: Clinical and Experimental Research","DOI":"10.1111/acer.13245","ISSN":"1530-0277","issue":"12","language":"en","page":"2676-2684","source":"Wiley Online Library","title":"Prospective analysis of behavioral economic predictors of stable moderation drinking among problem drinkers attempting natural recovery","volume":"40","author":[{"family":"Tucker","given":"Jalie A."},{"family":"Cheong","given":"JeeWon"},{"family":"Chandler","given":"Susan D."},{"family":"Lambert","given":"Brice H."},{"family":"Pietrzak","given":"Brittney"},{"family":"Kwok","given":"Heather"},{"family":"Davies","given":"Susan L."}],"issued":{"date-parts":[["2016"]]}},"label":"page"}],"schema":"https://github.com/citation-style-language/schema/raw/master/csl-citation.json"} </w:instrText>
      </w:r>
      <w:r w:rsidRPr="002E18A8">
        <w:rPr>
          <w:rFonts w:ascii="Times New Roman" w:hAnsi="Times New Roman" w:cs="Times New Roman"/>
        </w:rPr>
        <w:fldChar w:fldCharType="separate"/>
      </w:r>
      <w:r w:rsidR="003D0079" w:rsidRPr="003D0079">
        <w:rPr>
          <w:rFonts w:ascii="Times New Roman" w:hAnsi="Times New Roman" w:cs="Times New Roman"/>
        </w:rPr>
        <w:t>(Bickel et al., 2014; Hogarth &amp; Field, 2020; Murphy, MacKillop, et al., 2012; Tucker et al., 2016)</w:t>
      </w:r>
      <w:r w:rsidRPr="002E18A8">
        <w:rPr>
          <w:rFonts w:ascii="Times New Roman" w:hAnsi="Times New Roman" w:cs="Times New Roman"/>
        </w:rPr>
        <w:fldChar w:fldCharType="end"/>
      </w:r>
      <w:r w:rsidRPr="002E18A8">
        <w:rPr>
          <w:rFonts w:ascii="Times New Roman" w:hAnsi="Times New Roman" w:cs="Times New Roman"/>
        </w:rPr>
        <w:t xml:space="preserve">. Put simply, as addiction progresses, not only do substances increase in value, but substance-free alternative reinforcers decrease in value. Indeed, </w:t>
      </w:r>
      <w:bookmarkStart w:id="220" w:name="_Hlk92895973"/>
      <w:r w:rsidRPr="002E18A8">
        <w:rPr>
          <w:rFonts w:ascii="Times New Roman" w:hAnsi="Times New Roman" w:cs="Times New Roman"/>
        </w:rPr>
        <w:t xml:space="preserve">a neuroimaging study by </w:t>
      </w:r>
      <w:r w:rsidRPr="002E18A8">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{"citationID":"25ThJ1Zx","properties":{"formattedCitation":"(Lawn et al., 2020)","plainCitation":"(Lawn et al., 2020)","dontUpdate":true,"noteIndex":0},"citationItems":[{"id":840,"uris":["http://zotero.org/users/7873587/items/SY7VSVH8"],"itemData":{"id":840,"type":"article-journal","abstract":"Little is known about the neural functioning that underpins drug valuation and choice in addiction, including nicotine dependence. Following ad libitum smoking, 19 dependent smokers (smoked≥10/day) and 19 occasional smokers (smoked 0.5-5/week) completed a decision-making task. First, participants stated how much they were willing-to-pay for various amounts of cigarettes and shop vouchers. Second, during functional magnetic resonance imaging, participants decided if they wanted to buy these cigarettes and vouchers for a set amount of money. We examined decision-making behaviour and brain activity when faced with cigarette and voucher decisions, purchasing (vs not purchasing) cigarettes and vouchers, and \"value signals\" where brain activity correlated with cigarette and voucher value. Dependent smokers had a higher willingness-to-pay for cigarettes and greater activity in the bilateral middle temporal gyrus when faced with cigarette decisions than occasional smokers. Across both groups, the decision to buy cigarettes was associated with activity in the left paracingulate gyrus, right nucleus accumbens, and left amygdala. The decision to buy vouchers was associated with activity in the left superior frontal gyrus, but dependent smokers showed weaker activity in the left posterior cingulate gyrus than occasional smokers. Across both groups, cigarette value signals were observed in the left striatum and ventromedial prefrontal cortex. To summarise, nicotine dependence was associated with greater behavioural valuation of cigarettes and brain activity during cigarette decisions. When purchasing cigarettes and vouchers, reward and decision-related brain regions were activated in both groups. For the first time, we identified value signals for cigarettes in the brain.","container-title":"Addiction Biology","DOI":"10.1111/adb.12802","ISSN":"1369-1600","issue":"4","journalAbbreviation":"Addict Biol","language":"eng","note":"PMID: 31328850","page":"e12802","source":"PubMed","title":"Value-based decision-making of cigarette and nondrug rewards in dependent and occasional cigarette smokers: An FMRI study","title-short":"Value-based decision-making of cigarette and nondrug rewards in dependent and occasional cigarette smokers","volume":"25","author":[{"family":"Lawn","given":"Will"},{"family":"Mithchener","given":"Ludo"},{"family":"Freeman","given":"Tom P."},{"family":"Benattayallah","given":"Abdelmalek"},{"family":"Bisby","given":"James A."},{"family":"Wall","given":"Matt B."},{"family":"Dodds","given":"Chris M."},{"family":"Curran","given":"Helen V."},{"family":"Morgan","given":"Celia J. A."}],"issued":{"date-parts":[["2019"]]}}}],"schema":"https://github.com/citation-style-language/schema/raw/master/csl-citation.json"}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Lawn and colleagues (2020)</w:t>
      </w:r>
      <w:r w:rsidRPr="002E18A8">
        <w:rPr>
          <w:rFonts w:ascii="Times New Roman" w:hAnsi="Times New Roman" w:cs="Times New Roman"/>
        </w:rPr>
        <w:fldChar w:fldCharType="end"/>
      </w:r>
      <w:r w:rsidRPr="002E18A8">
        <w:rPr>
          <w:rFonts w:ascii="Times New Roman" w:hAnsi="Times New Roman" w:cs="Times New Roman"/>
        </w:rPr>
        <w:t xml:space="preserve"> found that compared to non-dependent occasional smokers, dependent smokers have blunted value signals in the posterior cingulate cortex when making decisions about tobacco-</w:t>
      </w:r>
      <w:r w:rsidR="00B02736">
        <w:rPr>
          <w:rFonts w:ascii="Times New Roman" w:hAnsi="Times New Roman" w:cs="Times New Roman"/>
        </w:rPr>
        <w:t>unrelated</w:t>
      </w:r>
      <w:r w:rsidRPr="002E18A8">
        <w:rPr>
          <w:rFonts w:ascii="Times New Roman" w:hAnsi="Times New Roman" w:cs="Times New Roman"/>
        </w:rPr>
        <w:t xml:space="preserve"> rewards (shopping </w:t>
      </w:r>
      <w:r w:rsidRPr="002E18A8">
        <w:rPr>
          <w:rFonts w:ascii="Times New Roman" w:hAnsi="Times New Roman" w:cs="Times New Roman"/>
        </w:rPr>
        <w:lastRenderedPageBreak/>
        <w:t xml:space="preserve">vouchers). Furthermore, anhedonia (i.e., the reduced ability to derive enjoyment or pleasure from events or activities that would typically be enjoyed;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{"citationID":"Y2oAxbXL","properties":{"formattedCitation":"(Snaith, 1993)","plainCitation":"(Snaith, 1993)","dontUpdate":true,"noteIndex":0},"citationItems":[{"id":490,"uris":["http://zotero.org/users/7873587/items/ZHMRCEUC"],"itemData":{"id":490,"type":"article-journal","abstract":"In the last century psychopathologists attached importance to the concept of anhedonia, the loss of ability to experience pleasure. Its role in the diagnosis of melancholia was considered to be crucial. In the present century attention to anhedonia has faded, possibly because of the focus upon depressed mood as the pathognomonic feature of depressive disorders. Research on the symptomatology of endogenous depression did not include the concept; anhedonia was also lacking from the major instruments of psychiatric research, the depression rating scales, Attention was drawn to anhedonia by two authors: by Meehl in the 1960s and by Klein in the 1970s. Meehl considered anhedonia from the point of view of a personality defect predisposing to mental illness; and Klein regarded anhedonia to be a symptom of depressive illness and probably the best clinical marker predicting response to antidepressant drugs. In 1980 the revised DSM presented the concept of 'loss of interest or pleasure' as one of the two cardinal symptoms of major depression. Since then there has been a gradual recovery of emphasis although many systems confuse the two concepts of 'loss of interest' and anhedonia. It is possible that anhedonia may provide the key to a more exact delineation of depressive disorders in biological research and in clinical practice. Further research will depend upon a more precise, cross-nationally agreed definition of the concept and the means of its assessment.","container-title":"Psychological Medicine","DOI":"10.1017/s0033291700026428","ISSN":"0033-2917","issue":"4","journalAbbreviation":"Psychol Med","language":"eng","note":"PMID: 8134519","page":"957-966","source":"PubMed","title":"Anhedonia: a neglected symptom of psychopathology","title-short":"Anhedonia","volume":"23","author":[{"family":"Snaith","given":"P."}],"issued":{"date-parts":[["1993",11]]}}}],"schema":"https://github.com/citation-style-language/schema/raw/master/csl-citation.json"}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Snaith, 1993)</w:t>
      </w:r>
      <w:r w:rsidRPr="002E18A8">
        <w:rPr>
          <w:rFonts w:ascii="Times New Roman" w:hAnsi="Times New Roman" w:cs="Times New Roman"/>
        </w:rPr>
        <w:fldChar w:fldCharType="end"/>
      </w:r>
      <w:r w:rsidRPr="002E18A8">
        <w:rPr>
          <w:rFonts w:ascii="Times New Roman" w:hAnsi="Times New Roman" w:cs="Times New Roman"/>
        </w:rPr>
        <w:t xml:space="preserve"> predicts greater value ascribed to tobacco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{"citationID":"rJ0aptRJ","properties":{"formattedCitation":"(Leventhal, Trujillo, et al., 2014)","plainCitation":"(Leventhal, Trujillo, et al., 2014)","noteIndex":0},"citationItems":[{"id":846,"uris":["http://zotero.org/users/7873587/items/IU9A4IU4"],"itemData":{"id":846,"type":"article-journal","abstract":"Anhedonia—a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(Leventhal, Trujillo, et al., 2014)</w:t>
      </w:r>
      <w:r w:rsidRPr="002E18A8">
        <w:rPr>
          <w:rFonts w:ascii="Times New Roman" w:hAnsi="Times New Roman" w:cs="Times New Roman"/>
        </w:rPr>
        <w:fldChar w:fldCharType="end"/>
      </w:r>
      <w:r w:rsidRPr="002E18A8">
        <w:rPr>
          <w:rFonts w:ascii="Times New Roman" w:hAnsi="Times New Roman" w:cs="Times New Roman"/>
        </w:rPr>
        <w:t xml:space="preserve"> and impedes quit attempts in dependent smokers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{"citationID":"LXQ0hUct","properties":{"formattedCitation":"(Leventhal, Piper, et al., 2014)","plainCitation":"(Leventhal, Piper, et al., 2014)","noteIndex":0},"citationItems":[{"id":843,"uris":["http://zotero.org/users/7873587/items/NEVSI259"],"itemData":{"id":843,"type":"article-journal","abstract":"Objective: Although the relation between lifetime depression and smoking cessation outcome has been well studied, the proposition that different symptomatic expressions of depression exert disparate predictive effects on risk of smoking cessation failure has largely gone uninvestigated. This study analyzed the individual contributions of depression’s 2 hallmark affective symptoms, anhedonia (i.e., diminished interest in normally enjoyable activities) and depressed mood (i.e., elevated sadness), to the prediction of smoking cessation outcome. Method: Participants were adult daily smokers (N = 1,469; mean age = 45 years, 58% female, 84% White) enrolled in a smoking cessation treatment study. Lifetime history of anhedonia and depressed mood were classified via structured interview prior to quit day. Seven-day point prevalence smoking abstinence was assessed at 8 weeks and 6 months postquit. Results: When examined separately, both lifetime anhedonia, OR (95% CI) = 1.42 (1.16, 1.73), p = .004, and depressed mood, OR (95% CI) = 1.35 (1.11, 1.63), p = .002, predicted increased odds of relapse. These relations remained after adjusting for covariates, including lifetime depressive disorder, which did not predict outcome. After controlling for the covariation between lifetime anhedonia and depressed mood, anhedonia predicted cessation outcome, OR (95% CI) = 1.31 (1.05, 1.62), p = .02, while depressed mood did not (p = .19). Symptom duration (&gt;2 weeks), treatment, and substance use disorder did not modify relations of lifetime anhedonia and depressed mood with cessation outcome. Conclusions: Results suggest that (1) symptoms of affective disturbance capture depression-relevant risk of cessation failure, which is not adequately demarcated by the lifetime depressive disorder diagnosis, and (2) anhedonia is a more sensitive index of this affective disturbance than depressed mood per se. Clinical attention to anhedonia may facilitate smoking cessation. (PsycINFO Database Record (c) 2016 APA, all rights reserved)","container-title":"Journal of Consulting and Clinical Psychology","DOI":"10.1037/a0035046","ISSN":"1939-2117","issue":"1","note":"publisher-place: US\npublisher: American Psychological Association","page":"122-129","source":"APA PsycNet","title":"Anhedonia, depressed mood, and smoking cessation outcome","volume":"82","author":[{"family":"Leventhal","given":"Adam M."},{"family":"Piper","given":"Megan E."},{"family":"Japuntich","given":"Sandra J."},{"family":"Baker","given":"Timothy B."},{"family":"Cook","given":"Jessica W."}],"issued":{"date-parts":[["2014"]]}}}],"schema":"https://github.com/citation-style-language/schema/raw/master/csl-citation.json"}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(Leventhal, Piper, et al., 2014)</w:t>
      </w:r>
      <w:r w:rsidRPr="002E18A8">
        <w:rPr>
          <w:rFonts w:ascii="Times New Roman" w:hAnsi="Times New Roman" w:cs="Times New Roman"/>
        </w:rPr>
        <w:fldChar w:fldCharType="end"/>
      </w:r>
      <w:r w:rsidRPr="002E18A8">
        <w:rPr>
          <w:rFonts w:ascii="Times New Roman" w:hAnsi="Times New Roman" w:cs="Times New Roman"/>
        </w:rPr>
        <w:t>. These findings therefore support the notion that nicotine addiction is maintained by distortions in valuation processes, in line with behavioural economic accounts.</w:t>
      </w:r>
    </w:p>
    <w:bookmarkEnd w:id="220"/>
    <w:p w14:paraId="64A34B2E" w14:textId="77777777" w:rsidR="002E18A8" w:rsidRPr="002E18A8" w:rsidRDefault="002E18A8" w:rsidP="003E117A">
      <w:pPr>
        <w:pStyle w:val="NoSpacing"/>
        <w:spacing w:line="480" w:lineRule="auto"/>
        <w:rPr>
          <w:rFonts w:ascii="Times New Roman" w:hAnsi="Times New Roman" w:cs="Times New Roman"/>
        </w:rPr>
      </w:pPr>
    </w:p>
    <w:p w14:paraId="678813E0" w14:textId="13F4A094" w:rsidR="002E18A8" w:rsidRPr="002E18A8" w:rsidRDefault="002E18A8" w:rsidP="00A26007">
      <w:pPr>
        <w:pStyle w:val="NoSpacing"/>
        <w:spacing w:line="480" w:lineRule="auto"/>
        <w:rPr>
          <w:rFonts w:ascii="Times New Roman" w:hAnsi="Times New Roman" w:cs="Times New Roman"/>
        </w:rPr>
      </w:pPr>
      <w:r w:rsidRPr="002E18A8">
        <w:rPr>
          <w:rFonts w:ascii="Times New Roman" w:hAnsi="Times New Roman" w:cs="Times New Roman"/>
        </w:rPr>
        <w:t xml:space="preserve">Interestingly, valuation processes are not fixed. Rather, they are malleable because they are sensitive to changes in policy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{"citationID":"b8W52sXZ","properties":{"formattedCitation":"(Grace et al., 2015)","plainCitation":"(Grace et al., 2015)","noteIndex":0},"citationItems":[{"id":851,"uris":["http://zotero.org/users/7873587/items/58Z75QN7"],"itemData":{"id":851,"type":"article-journal","abstract":"Background Tobacco excise taxes are known to be effective in reducing smoking at the population level, but less research has examined how individual smokers respond to changes in tax policy. We ask whether price elasticities for individual smokers, derived from simulated demand curves obtained with a cigarette purchase task (CPT), can predict changes in smoking after a tax increase.\nMethod Smokers (N=357) were recruited from four New Zealand cities and interviewed before and after a 10% tobacco excise tax increase.\nResults Simulated demand curves from the CPT were curvilinear and well described by an exponential model. Smokers reported significant reductions in cigarettes/day and addiction scores at Wave 2 (n=226). Local elasticities derived from the demand curves significantly predicted decreases in cigarettes/day after controlling for covariates.\nConclusions Elasticities from simulated demand curves can predict decreases in consumption for individual smokers after an excise tax increase. Understanding individual differences in tobacco demand curves may help to predict how different groups of smokers will respond to price increases.","container-title":"Tobacco Control","DOI":"10.1136/tobaccocontrol-2014-051594","ISSN":"0964-4563, 1468-3318","issue":"6","language":"en","license":"Published by the BMJ Publishing Group Limited. For permission to use (where not already granted under a licence) please go to http://www.bmj.com/company/products-services/rights-and-licensing/","note":"publisher: BMJ Publishing Group Ltd\nsection: Research paper\nPMID: 25052862","page":"582-587","source":"tobaccocontrol.bmj.com","title":"Predicting decreases in smoking with a cigarette purchase task: evidence from an excise tax rise in New Zealand","title-short":"Predicting decreases in smoking with a cigarette purchase task","volume":"24","author":[{"family":"Grace","given":"Randolph C."},{"family":"Kivell","given":"Bronwyn M."},{"family":"Laugesen","given":"Murray"}],"issued":{"date-parts":[["2015",11,1]]}}}],"schema":"https://github.com/citation-style-language/schema/raw/master/csl-citation.json"}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(Grace et al., 2015)</w:t>
      </w:r>
      <w:r w:rsidRPr="002E18A8">
        <w:rPr>
          <w:rFonts w:ascii="Times New Roman" w:hAnsi="Times New Roman" w:cs="Times New Roman"/>
        </w:rPr>
        <w:fldChar w:fldCharType="end"/>
      </w:r>
      <w:r w:rsidRPr="002E18A8">
        <w:rPr>
          <w:rFonts w:ascii="Times New Roman" w:hAnsi="Times New Roman" w:cs="Times New Roman"/>
        </w:rPr>
        <w:t xml:space="preserve"> and experimental manipulation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{"citationID":"HCSomhC1","properties":{"formattedCitation":"(Acuff,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Pr="002E18A8">
        <w:rPr>
          <w:rFonts w:ascii="Times New Roman" w:hAnsi="Times New Roman" w:cs="Times New Roman"/>
        </w:rPr>
        <w:fldChar w:fldCharType="separate"/>
      </w:r>
      <w:r w:rsidR="00AE0B75">
        <w:rPr>
          <w:rFonts w:ascii="Times New Roman" w:hAnsi="Times New Roman" w:cs="Times New Roman"/>
        </w:rPr>
        <w:t>(Acuff, Amlung, et al., 2020)</w:t>
      </w:r>
      <w:r w:rsidRPr="002E18A8">
        <w:rPr>
          <w:rFonts w:ascii="Times New Roman" w:hAnsi="Times New Roman" w:cs="Times New Roman"/>
        </w:rPr>
        <w:fldChar w:fldCharType="end"/>
      </w:r>
      <w:r w:rsidRPr="002E18A8">
        <w:rPr>
          <w:rFonts w:ascii="Times New Roman" w:hAnsi="Times New Roman" w:cs="Times New Roman"/>
        </w:rPr>
        <w:t xml:space="preserve">. For example, induction of stress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{"citationID":"DMXbg9sl","properties":{"formattedCitation":"(Aston et al., 2021)","plainCitation":"(Aston et al., 2021)","noteIndex":0},"citationItems":[{"id":853,"uris":["http://zotero.org/users/7873587/items/6NHAL78N"],"itemData":{"id":853,"type":"article-journal","abstract":"Introduction\nCigarette demand, or relative value, can be assessed via analysis of performance on a hypothetical behavioral economic cigarette purchase task (CPT). Substance purchase tasks are highly amenable to manipulation, namely, external stimuli, instructional changes, or acute stressors. In this regard, the current secondary analysis evaluates the role a novel, computerized stress induction paradigm, the Contextual-Frustration Intolerance Typing Task (C-FiTT), plays in eliciting varying levels of stress and resulting demand.\nMethod\nDaily smokers (n = 484) completed the C-FiTT wherein they were randomly assigned to one of five distress conditions: combination of task difficulty (low or high difficulty) with neutral or withdrawal cues, and a neutral control group. Tobacco demand was assessed immediately following the distress task using the hypothetical CPT.\nResults\nThe C-FiTT distress-induction task significantly increased key cigarette demand indices, including price at maximum expenditure (Pmax) and first price where consumption was suppressed to zero (breakpoint). Moreover, demand increased with severity of C-FiTT condition, with the high-difficulty condition resulting in significantly higher breakpoint and Pmax, compared to other conditions. C-FiTT condition was not related to a significant increase in Omax, intensity, or elasticity.\nDiscussion\nThe novel C-FiTT paradigm produced comparable effects on tobacco demand relative to in vivo withdrawal induction, indicating that the C-FiTT is a viable procedure by which to influence demand. Reduction of internal and external stressors may be effective in lowering motivation for tobacco. These results highlight the importance of state distress in tobacco demand, and offer a potential avenue for intervention.","container-title":"Drug and Alcohol Dependence","DOI":"10.1016/j.drugalcdep.2021.108522","ISSN":"0376-8716","journalAbbreviation":"Drug and Alcohol Dependence","language":"en","page":"108522","source":"ScienceDirect","title":"Effects of acute distress and tobacco cues on tobacco demand","volume":"221","author":[{"family":"Aston","given":"Elizabeth R."},{"family":"Smith","given":"Jacqueline E."},{"family":"DiBello","given":"Angelo M."},{"family":"Farris","given":"Samantha G."}],"issued":{"date-parts":[["2021",4,1]]}}}],"schema":"https://github.com/citation-style-language/schema/raw/master/csl-citation.json"}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(Aston et al., 2021)</w:t>
      </w:r>
      <w:r w:rsidRPr="002E18A8">
        <w:rPr>
          <w:rFonts w:ascii="Times New Roman" w:hAnsi="Times New Roman" w:cs="Times New Roman"/>
        </w:rPr>
        <w:fldChar w:fldCharType="end"/>
      </w:r>
      <w:r w:rsidRPr="002E18A8">
        <w:rPr>
          <w:rFonts w:ascii="Times New Roman" w:hAnsi="Times New Roman" w:cs="Times New Roman"/>
        </w:rPr>
        <w:t xml:space="preserve">, exposure to tobacco cues (e.g., opening a pack of cigarettes and lighting a cigarette but refraining from smoking; </w:t>
      </w:r>
      <w:r w:rsidRPr="002E18A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{"citationID":"jLVUxp7G","properties":{"formattedCitation":"(MacKillop et al., 2012)","plainCitation":"(MacKillop et al., 2012)","dontUpdate":true,"noteIndex":0},"citationItems":[{"id":720,"uris":["http://zotero.org/users/7873587/items/45GIHJ8Q"],"itemData":{"id":720,"type":"article-journal","abstract":"INTRODUCTION: The role of craving in nicotine dependence remains controversial and may be a function of measurement challenges. The current study used behavioral economic approach to test the hypotheses that subjective craving from acute withdrawal and exposure to tobacco cues dynamically increases the relative value of cigarettes.\nMETHODS: Using a 2 (1-hr/12-hr deprivation) × 2 (neutral/tobacco cues) within-subjects design, 33 nicotine dependent adults completed 2 laboratory sessions. Assessment included subjective craving and behavioral economic indices of cigarette demand, namely Intensity (i.e., cigarette consumption at zero cost), O(max) (i.e., maximum total expenditure), Breakpoint (i.e., highest acceptable price for cigarettes), P(max) (i.e., price at which consumption becomes sensitive to price), and elasticity (i.e., price sensitivity). Behavioral economic indices were generated using a Cigarette Purchase Task in which participants selected between cigarettes for a subsequent 2-hr self-administration period and money.\nRESULTS: Main effects of deprivation and tobacco cues were present for subjective craving and multiple behavioral economic indices of cigarette demand. Interestingly, deprivation significantly increased Breakpoint (p ≤ .01) and P(max) (p ≤ .05) and had trend-level effects on Intensity and O(max) (p ≤ .10); whereas cues significantly reduced elasticity (p ≤ .01), reflecting lower sensitivity to increasing prices. Heterogeneous associations were evident among the motivational variables but with aggregations suggesting variably overlapping motivational channels.\nCONCLUSIONS: These findings further support a behavioral economic approach to craving and a multidimensional conception of acute motivation for addictive drugs. Methodological considerations, including potential order effects, and the need for further refinement of these findings are discussed.","container-title":"Nicotine &amp; Tobacco Research","DOI":"10.1093/ntr/nts006","ISSN":"1469-994X","issue":"12","journalAbbreviation":"Nicotine Tob Res","language":"eng","note":"PMID: 22416117\nPMCID: PMC3509008","page":"1426-1434","source":"PubMed","title":"Behavioral economic analysis of withdrawal- and cue-elicited craving for tobacco: an initial investigation","title-short":"Behavioral economic analysis of withdrawal- and cue-elicited craving for tobacco","volume":"14","author":[{"family":"MacKillop","given":"James"},{"family":"Brown","given":"Courtney L."},{"family":"Stojek","given":"Monika K."},{"family":"Murphy","given":"Cara M."},{"family":"Sweet","given":"Lawrence"},{"family":"Niaura","given":"Ray S."}],"issued":{"date-parts":[["2012",12]]}}}],"schema":"https://github.com/citation-style-language/schema/raw/master/csl-citation.json"}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MacKillop et al., 2012)</w:t>
      </w:r>
      <w:r w:rsidRPr="002E18A8">
        <w:rPr>
          <w:rFonts w:ascii="Times New Roman" w:hAnsi="Times New Roman" w:cs="Times New Roman"/>
        </w:rPr>
        <w:fldChar w:fldCharType="end"/>
      </w:r>
      <w:r w:rsidRPr="002E18A8">
        <w:rPr>
          <w:rFonts w:ascii="Times New Roman" w:hAnsi="Times New Roman" w:cs="Times New Roman"/>
        </w:rPr>
        <w:t xml:space="preserve">, and deprivation of nicotine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{"citationID":"n5birRFd","properties":{"formattedCitation":"(Lawn et al., 2015)","plainCitation":"(Lawn et al., 2015)","noteIndex":0},"citationItems":[{"id":858,"uris":["http://zotero.org/users/7873587/items/AZB9K6WG"],"itemData":{"id":858,"type":"article-journal","abstract":"RATIONALE: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(Lawn et al., 2015)</w:t>
      </w:r>
      <w:r w:rsidRPr="002E18A8">
        <w:rPr>
          <w:rFonts w:ascii="Times New Roman" w:hAnsi="Times New Roman" w:cs="Times New Roman"/>
        </w:rPr>
        <w:fldChar w:fldCharType="end"/>
      </w:r>
      <w:r w:rsidRPr="002E18A8">
        <w:rPr>
          <w:rFonts w:ascii="Times New Roman" w:hAnsi="Times New Roman" w:cs="Times New Roman"/>
        </w:rPr>
        <w:t xml:space="preserve"> increase tobacco value. On the other hand, satiation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{"citationID":"jXkoL632","properties":{"formattedCitation":"(Hogarth, 2012; Hogarth &amp; Chase, 2011)","plainCitation":"(Hogarth, 2012; Hogarth &amp; Chase, 2011)","noteIndex":0},"citationItems":[{"id":1344,"uris":["http://zotero.org/users/7873587/items/VDKRUUGQ"],"itemData":{"id":1344,"type":"article-journal","abstract":"According to contemporary learning theory, drug-seeking behavior reflects the summation of 2 dissociable controllers. Whereas goal-directed drug-seeking is determined by the expected current incentive value of the drug, stimulus-elicited drug-seeking is determined by the expected probability of the drug independently of its current incentive value, and these 2 controllers contribute additively to observed drug-seeking. One applied prediction of this model is that smoking cessation pharmacotherapies selectively attenuate tonic but not cue-elicited craving because they downgrade the expected incentive value of the drug but leave expected probability intact. To test this, the current study examined whether nicotine replacement therapy (NRT) nasal spray would modify goal-directed tobacco choice in a human outcome devaluation procedure, but leave cue-elicited tobacco choice in a Pavlovian to instrumental transfer (PIT) procedure intact. Smokers (N= 96) first underwent concurrent choice training in which 2 responses earned tobacco or chocolate points, respectively. Participants then ingested either NRT nasal spray (1 mg) or chocolate (147 g) to devalue 1 outcome. Concurrent choice was then tested again in extinction to measure goal-directed control of choice, and in a PIT test to measure the extent to which tobacco and chocolate stimuli enhanced choice of the same outcome. It was found that NRT modified tobacco choice in the extinction test but not the extent to which the tobacco stimulus enhanced choice of the tobacco outcome in the PIT test. This dissociation suggests that the propensity to engage in drug-seeking is determined independently by the expected value and probability of the drug, and that pharmacotherapy has partial efficacy because it selectively effects expected drug value.","container-title":"Journal of Experimental Psychology. Animal Behavior Processes","DOI":"10.1037/a0028914","ISSN":"1939-2184","issue":"3","journalAbbreviation":"J Exp Psychol Anim Behav Process","language":"eng","note":"PMID: 22823420","page":"266-278","source":"PubMed","title":"Goal-directed and transfer-cue-elicited drug-seeking are dissociated by pharmacotherapy: evidence for independent additive controllers","title-short":"Goal-directed and transfer-cue-elicited drug-seeking are dissociated by pharmacotherapy","volume":"38","author":[{"family":"Hogarth","given":"Lee"}],"issued":{"date-parts":[["2012",7]]}},"label":"act"},{"id":860,"uris":["http://zotero.org/users/7873587/items/AEE43PBX"],"itemData":{"id":860,"type":"article-journal","abstract":"Dual-process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W."}],"issued":{"date-parts":[["2011",7]]}},"label":"page"}],"schema":"https://github.com/citation-style-language/schema/raw/master/csl-citation.json"} </w:instrText>
      </w:r>
      <w:r w:rsidRPr="002E18A8">
        <w:rPr>
          <w:rFonts w:ascii="Times New Roman" w:hAnsi="Times New Roman" w:cs="Times New Roman"/>
        </w:rPr>
        <w:fldChar w:fldCharType="separate"/>
      </w:r>
      <w:r w:rsidR="00F25F50" w:rsidRPr="00F25F50">
        <w:rPr>
          <w:rFonts w:ascii="Times New Roman" w:hAnsi="Times New Roman" w:cs="Times New Roman"/>
        </w:rPr>
        <w:t>(Hogarth, 2012; Hogarth &amp; Chase, 2011)</w:t>
      </w:r>
      <w:r w:rsidRPr="002E18A8">
        <w:rPr>
          <w:rFonts w:ascii="Times New Roman" w:hAnsi="Times New Roman" w:cs="Times New Roman"/>
        </w:rPr>
        <w:fldChar w:fldCharType="end"/>
      </w:r>
      <w:r w:rsidRPr="002E18A8">
        <w:rPr>
          <w:rFonts w:ascii="Times New Roman" w:hAnsi="Times New Roman" w:cs="Times New Roman"/>
        </w:rPr>
        <w:t xml:space="preserve">, and ingestion of varenicline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{"citationID":"Scr1eJxy","properties":{"formattedCitation":"(Green &amp; Ray, 2018)","plainCitation":"(Green &amp; Ray, 2018)","noteIndex":0},"citationItems":[{"id":866,"uris":["http://zotero.org/users/7873587/items/3QZ45LMQ"],"itemData":{"id":866,"type":"article-journal","abstract":"BACKGROUND: Varenicline is an FDA approved medication for the treatment of nicotine dependence. While the efficacy and safety of this medication have been demonstrated, success rates remain low, and efforts to understand mechanisms of efficacy are in progress. A behavioral economics framework is one unique way to examine how demand for a drug changes under different circumstances. Therefore, the current randomized placebo-controlled, cross-over study aimed to examine effects of varenicline on subjective cigarette craving and objective demand for cigarettes measured by a hypothetical behavioral economic task as well as associations between subjective craving and objective demand.\nMETHOD: Non-treatment seeking (n = 37) daily smokers (&gt;10 cigarettes per day) completed a measure of subjective craving for cigarettes and the Cigarette Purchase Task following overnight nicotine abstinence. Participants completed these measures after 10 days on varenicline (1 mg twice per day) and matched placebo.\nRESULTS: Analyses revealed a significant reduction in subjective craving for cigarettes while on varenicline (p = 0.01), as compared to placebo, and a sex effect such that females exhibited greater craving than males (p = 0.03). However, there were no medication × sex effects (p = 0.84). Analyses of objective demand for cigarettes found varenicline reduced maximum expenditure (Omax) (p = 0.03). Subjective craving was also associated with various indices of demand.\nCONCLUSION: Results demonstrated varenicline's efficacy in attenuating subjective craving and objective demand for cigarettes and highlight the partial overlap between dimensions of acute drug motivation, namely subjective craving and behavioral economic indices of cigarette demand.","container-title":"Drug and Alcohol Dependence","DOI":"10.1016/j.drugalcdep.2018.03.037","ISSN":"1879-0046","journalAbbreviation":"Drug Alcohol Depend","language":"eng","note":"PMID: 29751347","page":"53-59","source":"PubMed","title":"Effects of varenicline on subjective craving and relative reinforcing value of cigarettes","volume":"188","author":[{"family":"Green","given":"ReJoyce"},{"family":"Ray","given":"Lara A."}],"issued":{"date-parts":[["2018",7,1]]}}}],"schema":"https://github.com/citation-style-language/schema/raw/master/csl-citation.json"}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(Green &amp; Ray, 2018)</w:t>
      </w:r>
      <w:r w:rsidRPr="002E18A8">
        <w:rPr>
          <w:rFonts w:ascii="Times New Roman" w:hAnsi="Times New Roman" w:cs="Times New Roman"/>
        </w:rPr>
        <w:fldChar w:fldCharType="end"/>
      </w:r>
      <w:r w:rsidRPr="002E18A8">
        <w:rPr>
          <w:rFonts w:ascii="Times New Roman" w:hAnsi="Times New Roman" w:cs="Times New Roman"/>
        </w:rPr>
        <w:t xml:space="preserve"> reduce tobacco value. An interesting experimental study by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{"citationID":"1COfQdb6","properties":{"formattedCitation":"(Hogarth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Hogarth et al. (2015)</w:t>
      </w:r>
      <w:r w:rsidRPr="002E18A8">
        <w:rPr>
          <w:rFonts w:ascii="Times New Roman" w:hAnsi="Times New Roman" w:cs="Times New Roman"/>
        </w:rPr>
        <w:fldChar w:fldCharType="end"/>
      </w:r>
      <w:r w:rsidRPr="002E18A8">
        <w:rPr>
          <w:rFonts w:ascii="Times New Roman" w:hAnsi="Times New Roman" w:cs="Times New Roman"/>
        </w:rPr>
        <w:t xml:space="preserve"> recruited nicotine deprived smokers and administered a concurrent choice task comprising tobacco and tobacco-</w:t>
      </w:r>
      <w:r w:rsidR="00B02736">
        <w:rPr>
          <w:rFonts w:ascii="Times New Roman" w:hAnsi="Times New Roman" w:cs="Times New Roman"/>
        </w:rPr>
        <w:t>unrelated</w:t>
      </w:r>
      <w:r w:rsidRPr="002E18A8">
        <w:rPr>
          <w:rFonts w:ascii="Times New Roman" w:hAnsi="Times New Roman" w:cs="Times New Roman"/>
        </w:rPr>
        <w:t xml:space="preserve"> rewards. Participants were then instructed to smoke to satiety (i.e., tobacco devaluation), before being allocated to either a negative or a positive mood induction condition. When choice was measured again in extinction, the findings showed that tobacco choice decreased in the positive mood condition but increased in the negative mood condition. These findings demonstrate that despite smoking to satiety, the induction of negative mood augmented tobacco value to the extent that it outweighed the previous devaluation effect. Similar mood induction procedures have been successfully implemented in alcohol-related research, thereby demonstrating that negative mood is a powerful technique to elevate substance value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{"citationID":"FdEt9JWH","properties":{"formattedCitation":"(Hardy &amp; Hogarth, 2017; Hogarth et al., 2018)","plainCitation":"(Hardy &amp; Hogarth, 2017; Hogarth et al., 2018)","noteIndex":0},"citationItems":[{"id":875,"uris":["http://zotero.org/users/7873587/items/E23ESQBL"],"itemData":{"id":875,"type":"article-journal","abstract":"This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page"},{"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R."},{"family":"Hitsman","given":"Brian"}],"issued":{"date-parts":[["2018",4]]}},"label":"page"}],"schema":"https://github.com/citation-style-language/schema/raw/master/csl-citation.json"}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(Hardy &amp; Hogarth, 2017; Hogarth et al., 2018)</w:t>
      </w:r>
      <w:r w:rsidRPr="002E18A8">
        <w:rPr>
          <w:rFonts w:ascii="Times New Roman" w:hAnsi="Times New Roman" w:cs="Times New Roman"/>
        </w:rPr>
        <w:fldChar w:fldCharType="end"/>
      </w:r>
      <w:r w:rsidRPr="002E18A8">
        <w:rPr>
          <w:rFonts w:ascii="Times New Roman" w:hAnsi="Times New Roman" w:cs="Times New Roman"/>
        </w:rPr>
        <w:t xml:space="preserve">. The effectiveness of mood induction </w:t>
      </w:r>
      <w:r w:rsidRPr="002E18A8">
        <w:rPr>
          <w:rFonts w:ascii="Times New Roman" w:hAnsi="Times New Roman" w:cs="Times New Roman"/>
        </w:rPr>
        <w:lastRenderedPageBreak/>
        <w:t xml:space="preserve">procedures can be interpreted in line with negative reinforcement models </w:t>
      </w:r>
      <w:r w:rsidRPr="002E18A8">
        <w:rPr>
          <w:rFonts w:ascii="Times New Roman" w:hAnsi="Times New Roman" w:cs="Times New Roman"/>
        </w:rPr>
        <w:fldChar w:fldCharType="begin"/>
      </w:r>
      <w:r w:rsidR="00A26007">
        <w:rPr>
          <w:rFonts w:ascii="Times New Roman" w:hAnsi="Times New Roman" w:cs="Times New Roman"/>
        </w:rPr>
        <w:instrText xml:space="preserve"> ADDIN ZOTERO_ITEM CSL_CITATION {"citationID":"Fdnc8qFU","properties":{"formattedCitation":"(T. B. Baker et al., 2004; Blevins et al., 2016; Cooper et al., 1995)","plainCitation":"(T. B. Baker et al., 2004; Blevins et al., 2016; Cooper et al., 1995)","noteIndex":0},"citationItems":[{"id":706,"uris":["http://zotero.org/users/7873587/items/BNCYFAUB"],"itemData":{"id":706,"type":"article-journal","abstract":"This article offers a reformulation of the negative reinforcement model of drug addiction and proposes that the escape and avoidance of negative affect is the prepotent motive for addictive drug use. The authors posit that negative affect is the motivational core of the withdrawal syndrome and argue that, through repeated cycles of drug use and withdrawal, addicted organisms learn to detect interoceptive cues of negative affect preconsciously. Thus, the motivational basis of much drug use is opaque and tends not to reflect cognitive control. When either stressors or abstinence causes negative affect to grow and enter consciousness, increasing negative affect biases information processing in ways that promote renewed drug administration. After explicating their model, the authors address previous critiques of negative reinforcement models in light of their reformulation and review predictions generated by their model.","container-title":"Psychological Review","DOI":"10.1037/0033-295X.111.1.33","ISSN":"0033-295X","issue":"1","journalAbbreviation":"Psychol Rev","language":"eng","note":"PMID: 14756584","page":"33-51","source":"PubMed","title":"Addiction motivation reformulated: an affective processing model of negative reinforcement","title-short":"Addiction motivation reformulated","volume":"111","author":[{"family":"Baker","given":"Timothy B."},{"family":"Piper","given":"Megan E."},{"family":"McCarthy","given":"Danielle E."},{"family":"Majeskie","given":"Matthew R."},{"family":"Fiore","given":"Michael C."}],"issued":{"date-parts":[["2004",1]]}}},{"id":268,"uris":["http://zotero.org/users/7873587/items/HBF7N8KI"],"itemData":{"id":268,"type":"article-journal","abstract":"Background: Drinking among college-aged individuals can be problematic. The motivational model of use, which examines various cognitive factors, personal characteristics, and environmental factors, can provide a greater understanding of what contributes toward the decision to drink in these young adults. Objectives: The current study evaluates proposed paths from risk factors for alcohol use, motives for drinking, and subsequent outcomes of alcohol use, drawing from seminal research on the motivational model and drinking motives. Methods: This model was tested in a sample of 303 undergraduate drinkers (77.9% female, mean age = 19.8 years), and evaluated the potential impact of gender and pattern of use. Results: Results indicate that expectancies, maladaptive coping, and negative affect personality styles are associated with coping motives for drinking, and that coping motives are significantly related to problems associated with use. These results are similar for males and females, and among heavy and lighter drinkers. Conclusion: Findings support the role of the coping motive in problematic outcomes associated with drinking and suggest that expectancies, negative affect personality styles, maladaptive coping, and drinking motives are potential targets of prevention and intervention. (PsycINFO Database Record (c) 2016 APA, all rights reserved)","container-title":"The American Journal of Drug and Alcohol Abuse","DOI":"10.3109/00952990.2016.1141915","ISSN":"1097-9891","issue":"4","note":"publisher-place: United Kingdom\npublisher: Taylor &amp; Francis","page":"395-403","source":"APA PsycNet","title":"Motivational pathways from antecedents of alcohol use to consequences: A structural model of using alcohol to cope with negative affect","title-short":"Motivational pathways from antecedents of alcohol use to consequences","volume":"42","author":[{"family":"Blevins","given":"Claire E."},{"family":"Abrantes","given":"Ana M."},{"family":"Stephens","given":"Robert S."}],"issued":{"date-parts":[["2016"]]}}},{"id":270,"uris":["http://zotero.org/users/7873587/items/5AXKHVL2"],"itemData":{"id":270,"type":"article-journal","abstract":"The present study proposed and tested a motivational model of alcohol use in which people are hypothesized to use alcohol to regulate both positive and negative emotions. Two central premises underpin this model: (a) that enhancement and coping motives for alcohol use are proximal determinants of alcohol use and abuse through which the influence of expectancies, emotions, and other individual differences are mediated and (b) that enhancement and coping motives represent phenomenologically distinct behaviors having both unique antecedents and consequences. This model was tested in 2 random samples (1 of adults, 1 of adolescents) using a combination of moderated regression and path analysis corrected for measurement error. Results revealed strong support for the hypothesized model in both samples and indicate the importance of distinguishing psychological motives for alcohol use.","container-title":"Journal of Personality and Social Psychology","DOI":"10.1037//0022-3514.69.5.990","ISSN":"0022-3514","issue":"5","journalAbbreviation":"J Pers Soc Psychol","language":"eng","note":"PMID: 7473043","page":"990-1005","source":"PubMed","title":"Drinking to regulate positive and negative emotions: a motivational model of alcohol use","title-short":"Drinking to regulate positive and negative emotions","volume":"69","author":[{"family":"Cooper","given":"M. L."},{"family":"Frone","given":"M. R."},{"family":"Russell","given":"M."},{"family":"Mudar","given":"P."}],"issued":{"date-parts":[["1995",11]]}}}],"schema":"https://github.com/citation-style-language/schema/raw/master/csl-citation.json"} </w:instrText>
      </w:r>
      <w:r w:rsidRPr="002E18A8">
        <w:rPr>
          <w:rFonts w:ascii="Times New Roman" w:hAnsi="Times New Roman" w:cs="Times New Roman"/>
        </w:rPr>
        <w:fldChar w:fldCharType="separate"/>
      </w:r>
      <w:r w:rsidR="00A26007" w:rsidRPr="00A26007">
        <w:rPr>
          <w:rFonts w:ascii="Times New Roman" w:hAnsi="Times New Roman" w:cs="Times New Roman"/>
        </w:rPr>
        <w:t>(T. B. Baker et al., 2004; Blevins et al., 2016; Cooper et al., 1995)</w:t>
      </w:r>
      <w:r w:rsidRPr="002E18A8">
        <w:rPr>
          <w:rFonts w:ascii="Times New Roman" w:hAnsi="Times New Roman" w:cs="Times New Roman"/>
        </w:rPr>
        <w:fldChar w:fldCharType="end"/>
      </w:r>
      <w:r w:rsidRPr="002E18A8">
        <w:rPr>
          <w:rFonts w:ascii="Times New Roman" w:hAnsi="Times New Roman" w:cs="Times New Roman"/>
        </w:rPr>
        <w:t xml:space="preserve">: substances may increase in value because they assist with the avoidance or regulation of negative internal states </w:t>
      </w:r>
      <w:r w:rsidRPr="002E18A8">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{"citationID":"l2Uqn7gt","properties":{"formattedCitation":"(Hogarth, 2022)","plainCitation":"(Hogarth, 2022)","noteIndex":0},"citationItems":[{"id":879,"uris":["http://zotero.org/users/7873587/items/HAB8IICP"],"itemData":{"id":879,"type":"chapter","abstract":"Since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(Hogarth, 2022)</w:t>
      </w:r>
      <w:r w:rsidRPr="002E18A8">
        <w:rPr>
          <w:rFonts w:ascii="Times New Roman" w:hAnsi="Times New Roman" w:cs="Times New Roman"/>
        </w:rPr>
        <w:fldChar w:fldCharType="end"/>
      </w:r>
      <w:r w:rsidRPr="002E18A8">
        <w:rPr>
          <w:rFonts w:ascii="Times New Roman" w:hAnsi="Times New Roman" w:cs="Times New Roman"/>
        </w:rPr>
        <w:t>. Tobacco choice is therefore goal-directed because even in people with nicotine dependence, preferential tobacco choice is controlled by greater expected drug value</w:t>
      </w:r>
      <w:r w:rsidR="008409EA">
        <w:rPr>
          <w:rFonts w:ascii="Times New Roman" w:hAnsi="Times New Roman" w:cs="Times New Roman"/>
        </w:rPr>
        <w:t xml:space="preserve"> </w:t>
      </w:r>
      <w:r w:rsidR="008409EA">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{"citationID":"vEfunFPo","properties":{"formattedCitation":"(Hogarth, 2020)","plainCitation":"(Hogarth, 2020)","noteIndex":0},"citationItems":[{"id":1258,"uris":["http://zotero.org/users/7873587/items/9DVNYNDZ"],"itemData":{"id":1258,"type":"article-journal","abstract":"Drug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affect","volume":"45","author":[{"family":"Hogarth","given":"Lee"}],"issued":{"date-parts":[["2020",4]]}}}],"schema":"https://github.com/citation-style-language/schema/raw/master/csl-citation.json"} </w:instrText>
      </w:r>
      <w:r w:rsidR="008409EA">
        <w:rPr>
          <w:rFonts w:ascii="Times New Roman" w:hAnsi="Times New Roman" w:cs="Times New Roman"/>
        </w:rPr>
        <w:fldChar w:fldCharType="separate"/>
      </w:r>
      <w:r w:rsidR="008409EA">
        <w:rPr>
          <w:rFonts w:ascii="Times New Roman" w:hAnsi="Times New Roman" w:cs="Times New Roman"/>
          <w:noProof/>
        </w:rPr>
        <w:t>(Hogarth, 2020)</w:t>
      </w:r>
      <w:r w:rsidR="008409EA">
        <w:rPr>
          <w:rFonts w:ascii="Times New Roman" w:hAnsi="Times New Roman" w:cs="Times New Roman"/>
        </w:rPr>
        <w:fldChar w:fldCharType="end"/>
      </w:r>
      <w:r w:rsidR="004A0CBE">
        <w:rPr>
          <w:rFonts w:ascii="Times New Roman" w:hAnsi="Times New Roman" w:cs="Times New Roman"/>
        </w:rPr>
        <w:t>.</w:t>
      </w:r>
      <w:r w:rsidRPr="002E18A8">
        <w:rPr>
          <w:rFonts w:ascii="Times New Roman" w:hAnsi="Times New Roman" w:cs="Times New Roman"/>
        </w:rPr>
        <w:t xml:space="preserve"> However, what is less understood are the underlying mechanisms through which valuation processes alter decision-making </w:t>
      </w:r>
      <w:r w:rsidRPr="002E18A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{"citationID":"z7h5kR2h","properties":{"formattedCitation":"(Rose et al., 2013)","plainCitation":"(Rose et al., 2013)","noteIndex":0},"citationItems":[{"id":880,"uris":["http://zotero.org/users/7873587/items/XAJJ69YQ"],"itemData":{"id":880,"type":"article-journal","abstract":"Aims\nTo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(Rose et al., 2013)</w:t>
      </w:r>
      <w:r w:rsidRPr="002E18A8">
        <w:rPr>
          <w:rFonts w:ascii="Times New Roman" w:hAnsi="Times New Roman" w:cs="Times New Roman"/>
        </w:rPr>
        <w:fldChar w:fldCharType="end"/>
      </w:r>
      <w:r w:rsidRPr="002E18A8">
        <w:rPr>
          <w:rFonts w:ascii="Times New Roman" w:hAnsi="Times New Roman" w:cs="Times New Roman"/>
        </w:rPr>
        <w:t xml:space="preserve">. </w:t>
      </w:r>
    </w:p>
    <w:p w14:paraId="6A6F755A" w14:textId="77777777" w:rsidR="002E18A8" w:rsidRPr="002E18A8" w:rsidRDefault="002E18A8" w:rsidP="003E117A">
      <w:pPr>
        <w:pStyle w:val="NoSpacing"/>
        <w:spacing w:line="480" w:lineRule="auto"/>
        <w:rPr>
          <w:rFonts w:ascii="Times New Roman" w:hAnsi="Times New Roman" w:cs="Times New Roman"/>
        </w:rPr>
      </w:pPr>
    </w:p>
    <w:p w14:paraId="50F5FCFF" w14:textId="6B47BF34" w:rsidR="002E18A8" w:rsidRPr="002E18A8" w:rsidRDefault="002E18A8" w:rsidP="0093500F">
      <w:pPr>
        <w:pStyle w:val="NoSpacing"/>
        <w:spacing w:line="480" w:lineRule="auto"/>
        <w:rPr>
          <w:rFonts w:ascii="Times New Roman" w:hAnsi="Times New Roman" w:cs="Times New Roman"/>
        </w:rPr>
      </w:pPr>
      <w:r w:rsidRPr="002E18A8">
        <w:rPr>
          <w:rFonts w:ascii="Times New Roman" w:hAnsi="Times New Roman" w:cs="Times New Roman"/>
        </w:rPr>
        <w:t>The current study aimed to address this research gap guided by contemporary accounts of VBDM that provide a framework to model the internal processes that determine decisions (e.g.,</w:t>
      </w:r>
      <w:r w:rsidR="005D0EB3">
        <w:rPr>
          <w:rFonts w:ascii="Times New Roman" w:hAnsi="Times New Roman" w:cs="Times New Roman"/>
        </w:rPr>
        <w:t xml:space="preserve"> </w:t>
      </w:r>
      <w:r w:rsidR="005D0EB3">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{"citationID":"LHxtm8DM","properties":{"formattedCitation":"(Berkman, 2018; Berkman et al., 2017)","plainCitation":"(Berkman, 2018; Berkman et al., 2017)","dontUpdate":true,"noteIndex":0},"citationItems":[{"id":1538,"uris":["http://zotero.org/users/7873587/items/WURW4J4N"],"itemData":{"id":1538,"type":"article-journal","abstract":"OBJECTIVE: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T."}],"issued":{"date-parts":[["2018",1]]}},"label":"act"},{"id":1528,"uris":["http://zotero.org/users/7873587/items/BGCGUKYV"],"itemData":{"id":1528,"type":"article-journal","abstract":"Self-control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E."},{"family":"Inzlicht","given":"Michael"}],"issued":{"date-parts":[["2017"]]}},"label":"act"}],"schema":"https://github.com/citation-style-language/schema/raw/master/csl-citation.json"} </w:instrText>
      </w:r>
      <w:r w:rsidR="005D0EB3">
        <w:rPr>
          <w:rFonts w:ascii="Times New Roman" w:hAnsi="Times New Roman" w:cs="Times New Roman"/>
        </w:rPr>
        <w:fldChar w:fldCharType="separate"/>
      </w:r>
      <w:r w:rsidR="005D0EB3" w:rsidRPr="005D0EB3">
        <w:rPr>
          <w:rFonts w:ascii="Times New Roman" w:hAnsi="Times New Roman" w:cs="Times New Roman"/>
        </w:rPr>
        <w:t>Berkman, 2018; Berkman et al., 2017)</w:t>
      </w:r>
      <w:r w:rsidR="005D0EB3">
        <w:rPr>
          <w:rFonts w:ascii="Times New Roman" w:hAnsi="Times New Roman" w:cs="Times New Roman"/>
        </w:rPr>
        <w:fldChar w:fldCharType="end"/>
      </w:r>
      <w:r w:rsidRPr="002E18A8">
        <w:rPr>
          <w:rFonts w:ascii="Times New Roman" w:hAnsi="Times New Roman" w:cs="Times New Roman"/>
        </w:rPr>
        <w:t xml:space="preserve">. According to this VBDM account, when a person is deciding between alternative response options (e.g., whether to smoke a cigarette, or whether to do something else), the possible response options are identified and assigned an overall value. The overall value is dependent upon a set of value attributes (also termed ‘input processes’) which comprise anticipated gains (e.g., satisfying craving) and costs (e.g., price) that are associated with the response option. Once each response option has an overall value, the response option with the highest value is acted upon </w:t>
      </w:r>
      <w:r w:rsidRPr="002E18A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{"citationID":"ym95qOHB","properties":{"formattedCitation":"(Berkman et al., 2017)","plainCitation":"(Berkman et al., 2017)","noteIndex":0},"citationItems":[{"id":1528,"uris":["http://zotero.org/users/7873587/items/BGCGUKYV"],"itemData":{"id":1528,"type":"article-journal","abstract":"Self-control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Pr="002E18A8">
        <w:rPr>
          <w:rFonts w:ascii="Times New Roman" w:hAnsi="Times New Roman" w:cs="Times New Roman"/>
        </w:rPr>
        <w:fldChar w:fldCharType="separate"/>
      </w:r>
      <w:r w:rsidR="005D0EB3" w:rsidRPr="005D0EB3">
        <w:rPr>
          <w:rFonts w:ascii="Times New Roman" w:hAnsi="Times New Roman" w:cs="Times New Roman"/>
        </w:rPr>
        <w:t>(Berkman et al., 2017)</w:t>
      </w:r>
      <w:r w:rsidRPr="002E18A8">
        <w:rPr>
          <w:rFonts w:ascii="Times New Roman" w:hAnsi="Times New Roman" w:cs="Times New Roman"/>
        </w:rPr>
        <w:fldChar w:fldCharType="end"/>
      </w:r>
      <w:r w:rsidRPr="002E18A8">
        <w:rPr>
          <w:rFonts w:ascii="Times New Roman" w:hAnsi="Times New Roman" w:cs="Times New Roman"/>
        </w:rPr>
        <w:t xml:space="preserve">. This can be parameterised via the application of a drift-diffusion model (DDM;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{"citationID":"UYK80IFL","properties":{"formattedCitation":"(Ratcliff &amp; McKoon, 2008)","plainCitation":"(Ratcliff &amp; McKoon, 2008)","dontUpdate":true,"noteIndex":0},"citationItems":[{"id":49,"uris":["http://zotero.org/users/7873587/items/WN4X7WV6"],"itemData":{"id":49,"type":"article-journal","abstract":"The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computation","DOI":"10.1162/neco.2008.12-06-420","ISSN":"0899-7667","issue":"4","journalAbbreviation":"Neural Comput","note":"PMID: 18085991\nPMCID: PMC2474742","page":"873-922","source":"PubMed Central","title":"The diffusion decision model: theory and data for two-choice decision tasks","title-short":"The Diffusion Decision Model","volume":"20","author":[{"family":"Ratcliff","given":"Roger"},{"family":"McKoon","given":"Gail"}],"issued":{"date-parts":[["2008"]]}}}],"schema":"https://github.com/citation-style-language/schema/raw/master/csl-citation.json"}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Ratcliff &amp; McKoon, 2008)</w:t>
      </w:r>
      <w:r w:rsidRPr="002E18A8">
        <w:rPr>
          <w:rFonts w:ascii="Times New Roman" w:hAnsi="Times New Roman" w:cs="Times New Roman"/>
        </w:rPr>
        <w:fldChar w:fldCharType="end"/>
      </w:r>
      <w:r w:rsidRPr="002E18A8">
        <w:rPr>
          <w:rFonts w:ascii="Times New Roman" w:hAnsi="Times New Roman" w:cs="Times New Roman"/>
        </w:rPr>
        <w:t xml:space="preserve"> which assumes that people accumulate evidence in favour of a response option until a response threshold is reached, at which point the decision is made (for a review, see</w:t>
      </w:r>
      <w:r w:rsidR="0093500F">
        <w:rPr>
          <w:rFonts w:ascii="Times New Roman" w:hAnsi="Times New Roman" w:cs="Times New Roman"/>
        </w:rPr>
        <w:t xml:space="preserve"> </w:t>
      </w:r>
      <w:r w:rsidR="0093500F">
        <w:rPr>
          <w:rFonts w:ascii="Times New Roman" w:hAnsi="Times New Roman" w:cs="Times New Roman"/>
        </w:rPr>
        <w:fldChar w:fldCharType="begin"/>
      </w:r>
      <w:r w:rsidR="00C52FE9">
        <w:rPr>
          <w:rFonts w:ascii="Times New Roman" w:hAnsi="Times New Roman" w:cs="Times New Roman"/>
        </w:rPr>
        <w:instrText xml:space="preserve"> ADDIN ZOTERO_ITEM CSL_CITATION {"citationID":"aSQZXUeg","properties":{"formattedCitation":"(Ratcliff &amp; McKoon, 2008b)","plainCitation":"(Ratcliff &amp; McKoon, 2008b)","dontUpdate":true,"noteIndex":0},"citationItems":[{"id":1541,"uris":["http://zotero.org/users/7873587/items/DJFYEPQB"],"itemData":{"id":1541,"type":"article-journal","abstract":"The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computation","DOI":"10.1162/neco.2008.12-06-420","ISSN":"0899-7667","issue":"4","journalAbbreviation":"Neural Comput","note":"PMID: 18085991\nPMCID: PMC2474742","page":"873-922","source":"PubMed Central","title":"The Diffusion Decision Model: Theory and Data for Two-Choice Decision Tasks","title-short":"The Diffusion Decision Model","volume":"20","author":[{"family":"Ratcliff","given":"Roger"},{"family":"McKoon","given":"Gail"}],"issued":{"date-parts":[["2008",4]]}}}],"schema":"https://github.com/citation-style-language/schema/raw/master/csl-citation.json"} </w:instrText>
      </w:r>
      <w:r w:rsidR="0093500F">
        <w:rPr>
          <w:rFonts w:ascii="Times New Roman" w:hAnsi="Times New Roman" w:cs="Times New Roman"/>
        </w:rPr>
        <w:fldChar w:fldCharType="separate"/>
      </w:r>
      <w:r w:rsidR="0093500F" w:rsidRPr="0093500F">
        <w:rPr>
          <w:rFonts w:ascii="Times New Roman" w:hAnsi="Times New Roman" w:cs="Times New Roman"/>
        </w:rPr>
        <w:t>Ratcliff &amp; McKoon, 2008)</w:t>
      </w:r>
      <w:r w:rsidR="0093500F">
        <w:rPr>
          <w:rFonts w:ascii="Times New Roman" w:hAnsi="Times New Roman" w:cs="Times New Roman"/>
        </w:rPr>
        <w:fldChar w:fldCharType="end"/>
      </w:r>
      <w:r w:rsidRPr="002E18A8">
        <w:rPr>
          <w:rFonts w:ascii="Times New Roman" w:hAnsi="Times New Roman" w:cs="Times New Roman"/>
        </w:rPr>
        <w:t xml:space="preserve">. By fitting the DDM to behavioural data (reaction time (RT) and error) from two-alternative forced choice (2AFC) tasks, decision parameters with well-established psychological interpretations can be recovered. These include the rate of evidence accumulation (EA rate; also termed ‘drift rate’) and response threshold (decision caution reflected in speed-accuracy trade-offs). Recent work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{"citationID":"4eLi3AXk","properties":{"formattedCitation":"(Copeland et al., 2021; Field, Heather, et al., 2020a)","plainCitation":"(Copeland et al., 2021; Field, Heather, et al., 2020a)","noteIndex":0},"citationItems":[{"id":466,"uris":["http://zotero.org/users/7873587/items/5AW5LCBI"],"itemData":{"id":466,"type":"chapter","abstract":"Most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Pr="002E18A8">
        <w:rPr>
          <w:rFonts w:ascii="Times New Roman" w:hAnsi="Times New Roman" w:cs="Times New Roman"/>
        </w:rPr>
        <w:fldChar w:fldCharType="separate"/>
      </w:r>
      <w:r w:rsidR="008C2026" w:rsidRPr="008C2026">
        <w:rPr>
          <w:rFonts w:ascii="Times New Roman" w:hAnsi="Times New Roman" w:cs="Times New Roman"/>
        </w:rPr>
        <w:t xml:space="preserve">(Copeland et al., 2021; Field, </w:t>
      </w:r>
      <w:r w:rsidR="008C2026" w:rsidRPr="008C2026">
        <w:rPr>
          <w:rFonts w:ascii="Times New Roman" w:hAnsi="Times New Roman" w:cs="Times New Roman"/>
        </w:rPr>
        <w:lastRenderedPageBreak/>
        <w:t>Heather, et al., 2020a)</w:t>
      </w:r>
      <w:r w:rsidRPr="002E18A8">
        <w:rPr>
          <w:rFonts w:ascii="Times New Roman" w:hAnsi="Times New Roman" w:cs="Times New Roman"/>
        </w:rPr>
        <w:fldChar w:fldCharType="end"/>
      </w:r>
      <w:r w:rsidRPr="002E18A8">
        <w:rPr>
          <w:rFonts w:ascii="Times New Roman" w:hAnsi="Times New Roman" w:cs="Times New Roman"/>
        </w:rPr>
        <w:t xml:space="preserve"> tentatively extended VBDM to addiction and recovery from it, hypothesising that alterations in the value ascribed to substances and substance-free alternative rewards can be mapped onto changes in the internal mechanics of decision-making, specifically, alterations in EA rates and response thresholds. However, it remains unexplored whether manipulations of tobacco value do indeed map onto changes in value-based decision parameters recovered from the DDM. </w:t>
      </w:r>
    </w:p>
    <w:p w14:paraId="07F7B3C8" w14:textId="77777777" w:rsidR="002E18A8" w:rsidRPr="002E18A8" w:rsidRDefault="002E18A8" w:rsidP="003E117A">
      <w:pPr>
        <w:pStyle w:val="NoSpacing"/>
        <w:spacing w:line="480" w:lineRule="auto"/>
        <w:rPr>
          <w:rFonts w:ascii="Times New Roman" w:hAnsi="Times New Roman" w:cs="Times New Roman"/>
        </w:rPr>
      </w:pPr>
    </w:p>
    <w:p w14:paraId="44B8BDC6" w14:textId="48E53C56" w:rsidR="002E18A8" w:rsidRPr="002E18A8" w:rsidRDefault="002E18A8" w:rsidP="003E117A">
      <w:pPr>
        <w:pStyle w:val="NoSpacing"/>
        <w:spacing w:line="480" w:lineRule="auto"/>
        <w:rPr>
          <w:rFonts w:ascii="Times New Roman" w:hAnsi="Times New Roman" w:cs="Times New Roman"/>
        </w:rPr>
      </w:pPr>
      <w:r w:rsidRPr="002E18A8">
        <w:rPr>
          <w:rFonts w:ascii="Times New Roman" w:hAnsi="Times New Roman" w:cs="Times New Roman"/>
        </w:rPr>
        <w:t xml:space="preserve">This study expanded on research by </w:t>
      </w:r>
      <w:r w:rsidRPr="002E18A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{"citationID":"CInDCSay","properties":{"formattedCitation":"(Hogarth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E18A8">
        <w:rPr>
          <w:rFonts w:ascii="Times New Roman" w:hAnsi="Times New Roman" w:cs="Times New Roman"/>
        </w:rPr>
        <w:fldChar w:fldCharType="separate"/>
      </w:r>
      <w:r w:rsidRPr="002E18A8">
        <w:rPr>
          <w:rFonts w:ascii="Times New Roman" w:hAnsi="Times New Roman" w:cs="Times New Roman"/>
        </w:rPr>
        <w:t>Hogarth et al. (2015)</w:t>
      </w:r>
      <w:r w:rsidRPr="002E18A8">
        <w:rPr>
          <w:rFonts w:ascii="Times New Roman" w:hAnsi="Times New Roman" w:cs="Times New Roman"/>
        </w:rPr>
        <w:fldChar w:fldCharType="end"/>
      </w:r>
      <w:r w:rsidRPr="002E18A8">
        <w:rPr>
          <w:rFonts w:ascii="Times New Roman" w:hAnsi="Times New Roman" w:cs="Times New Roman"/>
        </w:rPr>
        <w:t xml:space="preserve"> by investigating whether the indirect manipulation of tobacco value via mood altered parameters of VBDM for tobacco and tobacco-unrelated cues in current tobacco smokers. To achieve this, the DDM was fitted to RT and error data from a VBDM task that asks participants to recall their value ratings in two different experimental conditions: negative mood induction (i.e., tobacco value condition) and positive mood induction (i.e., tobacco devalue condition). The VBDM task was informed by our prior work (Chapter 3) which showed recall wording to be sensitive alternative methodology in contexts where it not appropriate to ask for consummatory judgements. Design, hypothesis, and analysis strategy were pre-registered before data collection commenced (</w:t>
      </w:r>
      <w:hyperlink r:id="rId41" w:history="1">
        <w:r w:rsidRPr="0057190E">
          <w:rPr>
            <w:rStyle w:val="Hyperlink"/>
            <w:rFonts w:ascii="Times New Roman" w:hAnsi="Times New Roman" w:cs="Times New Roman"/>
          </w:rPr>
          <w:t>https://aspredicted.org/see_one.php</w:t>
        </w:r>
      </w:hyperlink>
      <w:r>
        <w:rPr>
          <w:rFonts w:ascii="Times New Roman" w:hAnsi="Times New Roman" w:cs="Times New Roman"/>
        </w:rPr>
        <w:t xml:space="preserve">). </w:t>
      </w:r>
      <w:r w:rsidRPr="002E18A8">
        <w:rPr>
          <w:rFonts w:ascii="Times New Roman" w:hAnsi="Times New Roman" w:cs="Times New Roman"/>
        </w:rPr>
        <w:t>Our hypotheses were:</w:t>
      </w:r>
    </w:p>
    <w:p w14:paraId="7E551EA8" w14:textId="77777777" w:rsidR="002E18A8" w:rsidRPr="002E18A8" w:rsidRDefault="002E18A8" w:rsidP="003E117A">
      <w:pPr>
        <w:pStyle w:val="NoSpacing"/>
        <w:numPr>
          <w:ilvl w:val="0"/>
          <w:numId w:val="7"/>
        </w:numPr>
        <w:spacing w:line="480" w:lineRule="auto"/>
        <w:rPr>
          <w:rFonts w:ascii="Times New Roman" w:hAnsi="Times New Roman" w:cs="Times New Roman"/>
        </w:rPr>
      </w:pPr>
      <w:bookmarkStart w:id="221" w:name="_Hlk93503231"/>
      <w:r w:rsidRPr="002E18A8">
        <w:rPr>
          <w:rFonts w:ascii="Times New Roman" w:hAnsi="Times New Roman" w:cs="Times New Roman"/>
        </w:rPr>
        <w:t>When participants are primed to experience negative mood, they will have increased EA rates and lower response thresholds when choosing between tobacco-related images compared to when choosing between tobacco-unrelated (animal) images.</w:t>
      </w:r>
    </w:p>
    <w:p w14:paraId="2286090C" w14:textId="77777777" w:rsidR="002E18A8" w:rsidRPr="002E18A8" w:rsidRDefault="002E18A8" w:rsidP="003E117A">
      <w:pPr>
        <w:pStyle w:val="NoSpacing"/>
        <w:numPr>
          <w:ilvl w:val="0"/>
          <w:numId w:val="7"/>
        </w:numPr>
        <w:spacing w:line="480" w:lineRule="auto"/>
        <w:rPr>
          <w:rFonts w:ascii="Times New Roman" w:hAnsi="Times New Roman" w:cs="Times New Roman"/>
        </w:rPr>
      </w:pPr>
      <w:r w:rsidRPr="002E18A8">
        <w:rPr>
          <w:rFonts w:ascii="Times New Roman" w:hAnsi="Times New Roman" w:cs="Times New Roman"/>
        </w:rPr>
        <w:t>When participants are primed to experience positive mood, they will have increased EA rates and lower response thresholds when choosing between tobacco-unrelated (animal) images compared to when choosing between tobacco images.</w:t>
      </w:r>
    </w:p>
    <w:p w14:paraId="0B15C823" w14:textId="77777777" w:rsidR="002E18A8" w:rsidRPr="002E18A8" w:rsidRDefault="002E18A8" w:rsidP="003E117A">
      <w:pPr>
        <w:pStyle w:val="NoSpacing"/>
        <w:numPr>
          <w:ilvl w:val="0"/>
          <w:numId w:val="7"/>
        </w:numPr>
        <w:spacing w:line="480" w:lineRule="auto"/>
        <w:rPr>
          <w:rFonts w:ascii="Times New Roman" w:hAnsi="Times New Roman" w:cs="Times New Roman"/>
        </w:rPr>
      </w:pPr>
      <w:r w:rsidRPr="002E18A8">
        <w:rPr>
          <w:rFonts w:ascii="Times New Roman" w:hAnsi="Times New Roman" w:cs="Times New Roman"/>
        </w:rPr>
        <w:lastRenderedPageBreak/>
        <w:t>When participants are choosing between tobacco images, they will have increased EA rates and lower response thresholds when primed to experience negative mood compared to when primed to experience positive mood.</w:t>
      </w:r>
    </w:p>
    <w:p w14:paraId="5DAB91B9" w14:textId="7A238106" w:rsidR="002E18A8" w:rsidRDefault="002E18A8" w:rsidP="003E117A">
      <w:pPr>
        <w:pStyle w:val="NoSpacing"/>
        <w:numPr>
          <w:ilvl w:val="0"/>
          <w:numId w:val="7"/>
        </w:numPr>
        <w:spacing w:line="480" w:lineRule="auto"/>
        <w:rPr>
          <w:rFonts w:ascii="Times New Roman" w:hAnsi="Times New Roman" w:cs="Times New Roman"/>
        </w:rPr>
      </w:pPr>
      <w:r w:rsidRPr="002E18A8">
        <w:rPr>
          <w:rFonts w:ascii="Times New Roman" w:hAnsi="Times New Roman" w:cs="Times New Roman"/>
        </w:rPr>
        <w:t>When participants are choosing between tobacco-unrelated (animal) images, they will have increased EA rates and lower response thresholds when primed to experience positive mood compared to when primed to experience negative mood.</w:t>
      </w:r>
    </w:p>
    <w:p w14:paraId="3F19AC14" w14:textId="41D39BF3" w:rsidR="00B05119" w:rsidRDefault="00B05119" w:rsidP="00B05119">
      <w:pPr>
        <w:pStyle w:val="NoSpacing"/>
        <w:spacing w:line="480" w:lineRule="auto"/>
        <w:rPr>
          <w:rFonts w:ascii="Times New Roman" w:hAnsi="Times New Roman" w:cs="Times New Roman"/>
        </w:rPr>
      </w:pPr>
    </w:p>
    <w:p w14:paraId="6F959C79" w14:textId="0DC4A218" w:rsidR="0054600F" w:rsidRDefault="00B05119" w:rsidP="0054600F">
      <w:pPr>
        <w:pStyle w:val="Heading4"/>
      </w:pPr>
      <w:bookmarkStart w:id="222" w:name="_Toc110629064"/>
      <w:bookmarkStart w:id="223" w:name="_Toc110870972"/>
      <w:r>
        <w:t>5.2. Method</w:t>
      </w:r>
      <w:bookmarkEnd w:id="221"/>
      <w:bookmarkEnd w:id="222"/>
      <w:bookmarkEnd w:id="223"/>
    </w:p>
    <w:p w14:paraId="0040CB51" w14:textId="77777777" w:rsidR="0054600F" w:rsidRPr="0054600F" w:rsidRDefault="0054600F" w:rsidP="0054600F">
      <w:pPr>
        <w:pStyle w:val="NoSpacing"/>
        <w:spacing w:line="480" w:lineRule="auto"/>
        <w:rPr>
          <w:rFonts w:ascii="Times New Roman" w:hAnsi="Times New Roman" w:cs="Times New Roman"/>
          <w:b/>
          <w:bCs/>
        </w:rPr>
      </w:pPr>
      <w:r w:rsidRPr="0054600F">
        <w:rPr>
          <w:rFonts w:ascii="Times New Roman" w:hAnsi="Times New Roman" w:cs="Times New Roman"/>
          <w:b/>
          <w:bCs/>
        </w:rPr>
        <w:t>Design</w:t>
      </w:r>
    </w:p>
    <w:p w14:paraId="50C48724" w14:textId="4B505C74"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Experimental within-subject design. Dependent variables were EA rates and response thresholds (estimated by applying a DDM to reaction time and error data during the VBDM task). Independent variables were experimental condition (positive mood and negative mood induction), and image type (tobacco-related images and tobacco-unrelated (animal) images). An </w:t>
      </w:r>
      <w:r w:rsidRPr="0054600F">
        <w:rPr>
          <w:rFonts w:ascii="Times New Roman" w:hAnsi="Times New Roman" w:cs="Times New Roman"/>
          <w:i/>
          <w:iCs/>
        </w:rPr>
        <w:t>a priori</w:t>
      </w:r>
      <w:r w:rsidRPr="0054600F">
        <w:rPr>
          <w:rFonts w:ascii="Times New Roman" w:hAnsi="Times New Roman" w:cs="Times New Roman"/>
        </w:rPr>
        <w:t xml:space="preserve"> power analysis conducted on G*power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{"citationID":"EIsttvwb","properties":{"formattedCitation":"(Faul et al., 2007)","plainCitation":"(Faul et al., 2007)","noteIndex":0},"citationItems":[{"id":448,"uris":["http://zotero.org/users/7873587/items/6HDYJMV8"],"itemData":{"id":448,"type":"article-journal","container-title":"Behavior Research Methods","DOI":"10.3758/BF03193146","ISSN":"1554-351X, 1554-3528","issue":"2","journalAbbreviation":"Behavior Research Methods","language":"en","page":"175-191","source":"DOI.org (Crossref)","title":"G*Power 3: A flexible statistical power analysis program for the social, behavioral, and biomedical sciences","title-short":"G*Power 3","volume":"39","author":[{"family":"Faul","given":"Franz"},{"family":"Erdfelder","given":"Edgar"},{"family":"Lang","given":"Albert-Georg"},{"family":"Buchner","given":"Axel"}],"issued":{"date-parts":[["2007",5]]}}}],"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(Faul et al., 2007)</w:t>
      </w:r>
      <w:r w:rsidRPr="0054600F">
        <w:rPr>
          <w:rFonts w:ascii="Times New Roman" w:hAnsi="Times New Roman" w:cs="Times New Roman"/>
        </w:rPr>
        <w:fldChar w:fldCharType="end"/>
      </w:r>
      <w:r w:rsidRPr="0054600F">
        <w:rPr>
          <w:rFonts w:ascii="Times New Roman" w:hAnsi="Times New Roman" w:cs="Times New Roman"/>
        </w:rPr>
        <w:t xml:space="preserve"> revealed that to detect a difference between two dependent groups with a medium effect (</w:t>
      </w:r>
      <w:r w:rsidRPr="0054600F">
        <w:rPr>
          <w:rFonts w:ascii="Times New Roman" w:hAnsi="Times New Roman" w:cs="Times New Roman"/>
          <w:i/>
          <w:iCs/>
        </w:rPr>
        <w:t xml:space="preserve">d </w:t>
      </w:r>
      <w:r w:rsidRPr="0054600F">
        <w:rPr>
          <w:rFonts w:ascii="Times New Roman" w:hAnsi="Times New Roman" w:cs="Times New Roman"/>
        </w:rPr>
        <w:t xml:space="preserve">= 0.5;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{"citationID":"HV74f9NZ","properties":{"formattedCitation":"(Cohen, 1988)","plainCitation":"(Cohen, 1988)","dontUpdate":true,"noteIndex":0},"citationItems":[{"id":753,"uris":["http://zotero.org/users/7873587/items/VU6WD4FM"],"itemData":{"id":753,"type":"book","abstract":"Statistical Power Analysis is a nontechnical guide to power analysis in research planning that provides users of applied statistics with the tools they need for more effective analysis. The Second Edition includes:  * a chapter covering power analysis in set correlation and multivariate methods; * a chapter considering effect size, psychometric reliability, and the efficacy of \"qualifying\" dependent variables and; * expanded power and sample size tables for multiple regression/correlation.","edition":"2","event-place":"New York","ISBN":"978-0-203-77158-7","note":"DOI: 10.4324/9780203771587","number-of-pages":"567","publisher":"Routledge","publisher-place":"New York","title":"Statistical Power Analysis for the Behavioral Sciences","author":[{"family":"Cohen","given":"Jacob"}],"issued":{"date-parts":[["1988",7,1]]}}}],"schema":"https://github.com/citation-style-language/schema/raw/master/csl-citation.json"}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Cohen, 1988)</w:t>
      </w:r>
      <w:r w:rsidRPr="0054600F">
        <w:rPr>
          <w:rFonts w:ascii="Times New Roman" w:hAnsi="Times New Roman" w:cs="Times New Roman"/>
        </w:rPr>
        <w:fldChar w:fldCharType="end"/>
      </w:r>
      <w:r w:rsidRPr="0054600F">
        <w:rPr>
          <w:rFonts w:ascii="Times New Roman" w:hAnsi="Times New Roman" w:cs="Times New Roman"/>
        </w:rPr>
        <w:t>, at 90% power with an alpha of 0.05, a sample size of at least 36 volunteers was required. We oversampled to account for any technical issues or drop-outs that may occur with online testing and ensure the study is still sufficiently powered.</w:t>
      </w:r>
    </w:p>
    <w:p w14:paraId="1E814A12" w14:textId="77777777" w:rsidR="0054600F" w:rsidRPr="0054600F" w:rsidRDefault="0054600F" w:rsidP="0054600F">
      <w:pPr>
        <w:pStyle w:val="NoSpacing"/>
        <w:spacing w:line="480" w:lineRule="auto"/>
        <w:rPr>
          <w:rFonts w:ascii="Times New Roman" w:hAnsi="Times New Roman" w:cs="Times New Roman"/>
        </w:rPr>
      </w:pPr>
    </w:p>
    <w:p w14:paraId="61035C2B" w14:textId="77777777" w:rsidR="0054600F" w:rsidRPr="0054600F" w:rsidRDefault="0054600F" w:rsidP="0054600F">
      <w:pPr>
        <w:pStyle w:val="NoSpacing"/>
        <w:spacing w:line="480" w:lineRule="auto"/>
        <w:rPr>
          <w:rFonts w:ascii="Times New Roman" w:hAnsi="Times New Roman" w:cs="Times New Roman"/>
        </w:rPr>
      </w:pPr>
    </w:p>
    <w:p w14:paraId="58F3D056" w14:textId="77777777" w:rsidR="0054600F" w:rsidRPr="00F01D7B" w:rsidRDefault="0054600F" w:rsidP="0054600F">
      <w:pPr>
        <w:pStyle w:val="NoSpacing"/>
        <w:spacing w:line="480" w:lineRule="auto"/>
        <w:rPr>
          <w:rFonts w:ascii="Times New Roman" w:hAnsi="Times New Roman" w:cs="Times New Roman"/>
          <w:b/>
          <w:bCs/>
        </w:rPr>
      </w:pPr>
      <w:r w:rsidRPr="00F01D7B">
        <w:rPr>
          <w:rFonts w:ascii="Times New Roman" w:hAnsi="Times New Roman" w:cs="Times New Roman"/>
          <w:b/>
          <w:bCs/>
        </w:rPr>
        <w:t>Participants</w:t>
      </w:r>
    </w:p>
    <w:p w14:paraId="1C8C509B" w14:textId="34A0924C"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We recruited 50 daily tobacco smokers through Prolific (</w:t>
      </w:r>
      <w:hyperlink r:id="rId42" w:history="1">
        <w:r w:rsidRPr="0054600F">
          <w:rPr>
            <w:rStyle w:val="Hyperlink"/>
            <w:rFonts w:ascii="Times New Roman" w:hAnsi="Times New Roman" w:cs="Times New Roman"/>
          </w:rPr>
          <w:t>https://www.prolific.co/</w:t>
        </w:r>
      </w:hyperlink>
      <w:r w:rsidRPr="0054600F">
        <w:rPr>
          <w:rFonts w:ascii="Times New Roman" w:hAnsi="Times New Roman" w:cs="Times New Roman"/>
        </w:rPr>
        <w:t>), however data from one participant was removed</w:t>
      </w:r>
      <w:r w:rsidRPr="004B73B2">
        <w:rPr>
          <w:rStyle w:val="FootnoteReference"/>
        </w:rPr>
        <w:footnoteReference w:id="12"/>
      </w:r>
      <w:r w:rsidRPr="0054600F">
        <w:rPr>
          <w:rFonts w:ascii="Times New Roman" w:hAnsi="Times New Roman" w:cs="Times New Roman"/>
        </w:rPr>
        <w:t xml:space="preserve">. Forty-nine participants remained in the analytical </w:t>
      </w:r>
      <w:r w:rsidRPr="0054600F">
        <w:rPr>
          <w:rFonts w:ascii="Times New Roman" w:hAnsi="Times New Roman" w:cs="Times New Roman"/>
        </w:rPr>
        <w:lastRenderedPageBreak/>
        <w:t>sample (30 female, 19 male) who were aged between 26 and 69 years old (mean age = 46.96, SD = 12.33). Inclusion criteria were age ≥18 years old, current residence in the United Kingdom, and identification as a current smoker who has smoked for at least 1 year, smoking &gt;10 cigarettes per day, and only smoking tobacco. We also required that participants had taken part in at least 10 previous studies and that they had a high level of previous approval (&gt;95% approval) on Prolific to maximise retention in the study and ensure that the data collected was of good quality. The study was approved by the University of Sheffield research ethics committee, and all participants gave informed consent. Recruitment took place between July and August 2021. Participants were reimbursed with £12.50 Prolific credit for their time.</w:t>
      </w:r>
    </w:p>
    <w:p w14:paraId="4DFD0A39" w14:textId="77777777" w:rsidR="0054600F" w:rsidRPr="00F01D7B" w:rsidRDefault="0054600F" w:rsidP="0054600F">
      <w:pPr>
        <w:pStyle w:val="NoSpacing"/>
        <w:spacing w:line="480" w:lineRule="auto"/>
        <w:rPr>
          <w:rFonts w:ascii="Times New Roman" w:hAnsi="Times New Roman" w:cs="Times New Roman"/>
          <w:b/>
          <w:bCs/>
        </w:rPr>
      </w:pPr>
    </w:p>
    <w:p w14:paraId="7F7E0438" w14:textId="77777777" w:rsidR="0054600F" w:rsidRPr="00F01D7B" w:rsidRDefault="0054600F" w:rsidP="0054600F">
      <w:pPr>
        <w:pStyle w:val="NoSpacing"/>
        <w:spacing w:line="480" w:lineRule="auto"/>
        <w:rPr>
          <w:rFonts w:ascii="Times New Roman" w:hAnsi="Times New Roman" w:cs="Times New Roman"/>
          <w:b/>
          <w:bCs/>
        </w:rPr>
      </w:pPr>
      <w:r w:rsidRPr="00F01D7B">
        <w:rPr>
          <w:rFonts w:ascii="Times New Roman" w:hAnsi="Times New Roman" w:cs="Times New Roman"/>
          <w:b/>
          <w:bCs/>
        </w:rPr>
        <w:t>Materials</w:t>
      </w:r>
    </w:p>
    <w:p w14:paraId="16569C59" w14:textId="77777777" w:rsidR="003D0247" w:rsidRDefault="003D0247" w:rsidP="0054600F">
      <w:pPr>
        <w:pStyle w:val="NoSpacing"/>
        <w:spacing w:line="480" w:lineRule="auto"/>
        <w:rPr>
          <w:rFonts w:ascii="Times New Roman" w:hAnsi="Times New Roman" w:cs="Times New Roman"/>
          <w:i/>
          <w:iCs/>
        </w:rPr>
      </w:pPr>
      <w:r w:rsidRPr="003D0247">
        <w:rPr>
          <w:rFonts w:ascii="Times New Roman" w:hAnsi="Times New Roman" w:cs="Times New Roman"/>
          <w:i/>
          <w:iCs/>
        </w:rPr>
        <w:t>Pictorial stimuli for the VBDM task</w:t>
      </w:r>
    </w:p>
    <w:p w14:paraId="3E8A3A43" w14:textId="2FF99F07"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The 30 smoking images were selected from the </w:t>
      </w:r>
      <w:bookmarkStart w:id="224" w:name="_Hlk110698927"/>
      <w:r w:rsidRPr="0054600F">
        <w:rPr>
          <w:rFonts w:ascii="Times New Roman" w:hAnsi="Times New Roman" w:cs="Times New Roman"/>
        </w:rPr>
        <w:t xml:space="preserve">Geneva smoking pictures data set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{"citationID":"XfoA7frB","properties":{"formattedCitation":"(Khazaal et al., 2012)","plainCitation":"(Khazaal et al., 2012)","noteIndex":0},"citationItems":[{"id":883,"uris":["http://zotero.org/users/7873587/items/EIAC8EKF"],"itemData":{"id":883,"type":"article-journal","abstract":"Cue reactivity is essential to the maintenance of addictive disorders. A useful way to study cue reactivity is by means of normative pictures, but few validated tobacco-related pictures are available. This study describes a database of smoking-related pictures: The Geneva Smoking Pictures (GSP). Sixty smoking-related pictures were presented to 91 participants who assessed them according to the classic emotional pictures validation provided by the International Affective Picture System (NIMH Center for the Study of Emotion and Attention, 2002). The pictures were rated according to three dimensions: (1) valence (from positive to negative), (2) emotional arousal (from high arousing to low arousing), and (3) dominance (from submissive to dominant). Participants were also screened with the Fagerström Test for Nicotine Dependence. Normative ratings for valence, arousal and dominance of the pictures are provided for the whole sample, as well as separately for dependent (n = 46) and nondependent smokers (n = 45). Arousal and dominance were associated with greater nicotine dependence, but valence ratings were not. The GSP is a normative database providing a large number of stimuli for investigators who are conducting nicotine and tobacco research.","container-title":"European Addiction Research","DOI":"10.1159/000335083","ISSN":"1421-9891","issue":"3","journalAbbreviation":"Eur Addict Res","language":"eng","note":"PMID: 22285929","page":"103-109","source":"PubMed","title":"The Geneva Smoking Pictures: development and preliminary validation","title-short":"The Geneva Smoking Pictures","volume":"18","author":[{"family":"Khazaal","given":"Yasser"},{"family":"Zullino","given":"Daniele"},{"family":"Billieux","given":"Joël"}],"issued":{"date-parts":[["2012"]]}}}],"schema":"https://github.com/citation-style-language/schema/raw/master/csl-citation.json"}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(Khazaal et al., 2012)</w:t>
      </w:r>
      <w:r w:rsidRPr="0054600F">
        <w:rPr>
          <w:rFonts w:ascii="Times New Roman" w:hAnsi="Times New Roman" w:cs="Times New Roman"/>
        </w:rPr>
        <w:fldChar w:fldCharType="end"/>
      </w:r>
      <w:r w:rsidRPr="0054600F">
        <w:rPr>
          <w:rFonts w:ascii="Times New Roman" w:hAnsi="Times New Roman" w:cs="Times New Roman"/>
        </w:rPr>
        <w:t xml:space="preserve">, whilst the 30 smoking-unrelated (animal) images were selected from the international affective picture system (IAPS) data set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{"citationID":"QY9sVGGY","properties":{"formattedCitation":"(Lang et al., 2008)","plainCitation":"(Lang et al., 2008)","noteIndex":0},"citationItems":[{"id":887,"uris":["http://zotero.org/users/7873587/items/JE4HN9LE"],"itemData":{"id":887,"type":"report","publisher":"University of Florida","source":"CiNii","title":"International affective picture system (IAPS): affective ratings of pictures and instruction manual","title-short":"International affective picture system (IAPS)","URL":"https://ci.nii.ac.jp/naid/20001061266/","author":[{"family":"Lang","given":"Peter J."},{"family":"Bradley","given":"M"},{"family":"Cuthbert","given":"B"}],"accessed":{"date-parts":[["2022",3,17]]},"issued":{"date-parts":[["2008"]]}}}],"schema":"https://github.com/citation-style-language/schema/raw/master/csl-citation.json"}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(Lang et al., 2008)</w:t>
      </w:r>
      <w:r w:rsidRPr="0054600F">
        <w:rPr>
          <w:rFonts w:ascii="Times New Roman" w:hAnsi="Times New Roman" w:cs="Times New Roman"/>
        </w:rPr>
        <w:fldChar w:fldCharType="end"/>
      </w:r>
      <w:r w:rsidRPr="0054600F">
        <w:rPr>
          <w:rFonts w:ascii="Times New Roman" w:hAnsi="Times New Roman" w:cs="Times New Roman"/>
        </w:rPr>
        <w:t>.</w:t>
      </w:r>
      <w:bookmarkEnd w:id="224"/>
      <w:r w:rsidRPr="0054600F">
        <w:rPr>
          <w:rFonts w:ascii="Times New Roman" w:hAnsi="Times New Roman" w:cs="Times New Roman"/>
        </w:rPr>
        <w:t xml:space="preserve"> We utilised standardised valence ratings that accompany the picture sets to identify images that were likely to be evaluated as highly positive, others that were likely to be evaluated as highly negative, and others that are intermediate (for more detail, see Appendix D).</w:t>
      </w:r>
    </w:p>
    <w:p w14:paraId="43265072" w14:textId="77777777" w:rsidR="0054600F" w:rsidRPr="0054600F" w:rsidRDefault="0054600F" w:rsidP="0054600F">
      <w:pPr>
        <w:pStyle w:val="NoSpacing"/>
        <w:spacing w:line="480" w:lineRule="auto"/>
        <w:rPr>
          <w:rFonts w:ascii="Times New Roman" w:hAnsi="Times New Roman" w:cs="Times New Roman"/>
        </w:rPr>
      </w:pPr>
    </w:p>
    <w:p w14:paraId="2FE90AB8"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Video stimuli (experimental manipulation)</w:t>
      </w:r>
    </w:p>
    <w:p w14:paraId="1A4CFE80" w14:textId="047B78C8"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Previously validated videos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{"citationID":"bKf9eP71","properties":{"formattedCitation":"(Marcusson-Clavertz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(Marcusson-Clavertz et al., 2019)</w:t>
      </w:r>
      <w:r w:rsidRPr="0054600F">
        <w:rPr>
          <w:rFonts w:ascii="Times New Roman" w:hAnsi="Times New Roman" w:cs="Times New Roman"/>
        </w:rPr>
        <w:fldChar w:fldCharType="end"/>
      </w:r>
      <w:r w:rsidRPr="0054600F">
        <w:rPr>
          <w:rFonts w:ascii="Times New Roman" w:hAnsi="Times New Roman" w:cs="Times New Roman"/>
        </w:rPr>
        <w:t xml:space="preserve"> which comprised film clips and self-referential statements accompanied by music were used to manipulate participant </w:t>
      </w:r>
      <w:r w:rsidRPr="0054600F">
        <w:rPr>
          <w:rFonts w:ascii="Times New Roman" w:hAnsi="Times New Roman" w:cs="Times New Roman"/>
        </w:rPr>
        <w:lastRenderedPageBreak/>
        <w:t>mood in this study</w:t>
      </w:r>
      <w:r w:rsidRPr="004B73B2">
        <w:rPr>
          <w:rStyle w:val="FootnoteReference"/>
        </w:rPr>
        <w:footnoteReference w:id="13"/>
      </w:r>
      <w:r w:rsidRPr="0054600F">
        <w:rPr>
          <w:rFonts w:ascii="Times New Roman" w:hAnsi="Times New Roman" w:cs="Times New Roman"/>
        </w:rPr>
        <w:t xml:space="preserve">. These videos were selected because they have been found to successfully alter participant mood in an online sample recruited from Prolific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{"citationID":"rqVNbsSd","properties":{"formattedCitation":"(Marcusson-Clavertz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(Marcusson-Clavertz et al., 2019)</w:t>
      </w:r>
      <w:r w:rsidRPr="0054600F">
        <w:rPr>
          <w:rFonts w:ascii="Times New Roman" w:hAnsi="Times New Roman" w:cs="Times New Roman"/>
        </w:rPr>
        <w:fldChar w:fldCharType="end"/>
      </w:r>
      <w:r w:rsidRPr="0054600F">
        <w:rPr>
          <w:rFonts w:ascii="Times New Roman" w:hAnsi="Times New Roman" w:cs="Times New Roman"/>
        </w:rPr>
        <w:t>. In the current study, the videos were used with the aim to induce positive mood</w:t>
      </w:r>
      <w:r w:rsidR="005A20BE">
        <w:rPr>
          <w:rFonts w:ascii="Times New Roman" w:hAnsi="Times New Roman" w:cs="Times New Roman"/>
        </w:rPr>
        <w:t xml:space="preserve"> (tobacco devaluation)</w:t>
      </w:r>
      <w:r w:rsidRPr="0054600F">
        <w:rPr>
          <w:rFonts w:ascii="Times New Roman" w:hAnsi="Times New Roman" w:cs="Times New Roman"/>
        </w:rPr>
        <w:t xml:space="preserve"> in one condition and to induce negative mood</w:t>
      </w:r>
      <w:r w:rsidR="005A20BE">
        <w:rPr>
          <w:rFonts w:ascii="Times New Roman" w:hAnsi="Times New Roman" w:cs="Times New Roman"/>
        </w:rPr>
        <w:t xml:space="preserve"> (tobacco valuation)</w:t>
      </w:r>
      <w:r w:rsidRPr="0054600F">
        <w:rPr>
          <w:rFonts w:ascii="Times New Roman" w:hAnsi="Times New Roman" w:cs="Times New Roman"/>
        </w:rPr>
        <w:t xml:space="preserve"> in another separate condition. As this was an online study, to maximise the likelihood that participants actually watched the videos that were presented (detailed below), they were firstly told that they would be asked two questions about the video content in each of the experimental conditions. All participants answered these questions correctly immediately after watching the videos, which is indicative of attentive behaviour.</w:t>
      </w:r>
    </w:p>
    <w:p w14:paraId="16CC3D2F" w14:textId="77777777" w:rsidR="0054600F" w:rsidRPr="0054600F" w:rsidRDefault="0054600F" w:rsidP="0054600F">
      <w:pPr>
        <w:pStyle w:val="NoSpacing"/>
        <w:spacing w:line="480" w:lineRule="auto"/>
        <w:rPr>
          <w:rFonts w:ascii="Times New Roman" w:hAnsi="Times New Roman" w:cs="Times New Roman"/>
        </w:rPr>
      </w:pPr>
    </w:p>
    <w:p w14:paraId="3453EEE5"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Positive mood induction</w:t>
      </w:r>
    </w:p>
    <w:p w14:paraId="13009139" w14:textId="1D3E1649"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We aimed to induce positive mood by instructing participants to watch a 4-minute video of Timon &amp; Pumbaa’s “Hakuna Matata” scene from the Lion King, followed by another 4-minute video which presented 15 positive </w:t>
      </w:r>
      <w:proofErr w:type="spellStart"/>
      <w:r w:rsidRPr="0054600F">
        <w:rPr>
          <w:rFonts w:ascii="Times New Roman" w:hAnsi="Times New Roman" w:cs="Times New Roman"/>
        </w:rPr>
        <w:t>Velten</w:t>
      </w:r>
      <w:proofErr w:type="spellEnd"/>
      <w:r w:rsidRPr="0054600F">
        <w:rPr>
          <w:rFonts w:ascii="Times New Roman" w:hAnsi="Times New Roman" w:cs="Times New Roman"/>
        </w:rPr>
        <w:t xml:space="preserve"> statements (e.g., “Most people like me” and “If I set my mind to it, I can make things turn out fine”) accompanied by upbeat music (</w:t>
      </w:r>
      <w:proofErr w:type="spellStart"/>
      <w:r w:rsidRPr="0054600F">
        <w:rPr>
          <w:rFonts w:ascii="Times New Roman" w:hAnsi="Times New Roman" w:cs="Times New Roman"/>
        </w:rPr>
        <w:t>Coppelia</w:t>
      </w:r>
      <w:proofErr w:type="spellEnd"/>
      <w:r w:rsidRPr="0054600F">
        <w:rPr>
          <w:rFonts w:ascii="Times New Roman" w:hAnsi="Times New Roman" w:cs="Times New Roman"/>
        </w:rPr>
        <w:t xml:space="preserve">, Act I: 1. Prelude et Mazurka by Léo Delibes). Existing positivity ratings gathered about the </w:t>
      </w:r>
      <w:proofErr w:type="spellStart"/>
      <w:r w:rsidRPr="0054600F">
        <w:rPr>
          <w:rFonts w:ascii="Times New Roman" w:hAnsi="Times New Roman" w:cs="Times New Roman"/>
        </w:rPr>
        <w:t>Velten</w:t>
      </w:r>
      <w:proofErr w:type="spellEnd"/>
      <w:r w:rsidRPr="0054600F">
        <w:rPr>
          <w:rFonts w:ascii="Times New Roman" w:hAnsi="Times New Roman" w:cs="Times New Roman"/>
        </w:rPr>
        <w:t xml:space="preserve"> statements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{"citationID":"CVWcJkhX","properties":{"formattedCitation":"(Marcusson-Clavertz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w:t>
      </w:r>
      <w:proofErr w:type="spellStart"/>
      <w:r w:rsidRPr="0054600F">
        <w:rPr>
          <w:rFonts w:ascii="Times New Roman" w:hAnsi="Times New Roman" w:cs="Times New Roman"/>
        </w:rPr>
        <w:t>Marcusson-Clavertz</w:t>
      </w:r>
      <w:proofErr w:type="spellEnd"/>
      <w:r w:rsidRPr="0054600F">
        <w:rPr>
          <w:rFonts w:ascii="Times New Roman" w:hAnsi="Times New Roman" w:cs="Times New Roman"/>
        </w:rPr>
        <w:t xml:space="preserve"> et al., 2019)</w:t>
      </w:r>
      <w:r w:rsidRPr="0054600F">
        <w:rPr>
          <w:rFonts w:ascii="Times New Roman" w:hAnsi="Times New Roman" w:cs="Times New Roman"/>
        </w:rPr>
        <w:fldChar w:fldCharType="end"/>
      </w:r>
      <w:r w:rsidRPr="0054600F">
        <w:rPr>
          <w:rFonts w:ascii="Times New Roman" w:hAnsi="Times New Roman" w:cs="Times New Roman"/>
        </w:rPr>
        <w:t xml:space="preserve"> guided the order of presentation, such that the video ended with the most highly rated positive statement. </w:t>
      </w:r>
    </w:p>
    <w:p w14:paraId="17CFFCDE" w14:textId="77777777" w:rsidR="0054600F" w:rsidRPr="0054600F" w:rsidRDefault="0054600F" w:rsidP="0054600F">
      <w:pPr>
        <w:pStyle w:val="NoSpacing"/>
        <w:spacing w:line="480" w:lineRule="auto"/>
        <w:rPr>
          <w:rFonts w:ascii="Times New Roman" w:hAnsi="Times New Roman" w:cs="Times New Roman"/>
        </w:rPr>
      </w:pPr>
    </w:p>
    <w:p w14:paraId="21249D3A"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Negative mood induction</w:t>
      </w:r>
    </w:p>
    <w:p w14:paraId="14B085FA" w14:textId="76715963"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We aimed to induce negative mood by instructing participants to watch a 4-minute video of Mufasa’s death scene from the Lion King, followed by another 4-minute video which presented 15 negative </w:t>
      </w:r>
      <w:proofErr w:type="spellStart"/>
      <w:r w:rsidRPr="0054600F">
        <w:rPr>
          <w:rFonts w:ascii="Times New Roman" w:hAnsi="Times New Roman" w:cs="Times New Roman"/>
        </w:rPr>
        <w:t>Velten</w:t>
      </w:r>
      <w:proofErr w:type="spellEnd"/>
      <w:r w:rsidRPr="0054600F">
        <w:rPr>
          <w:rFonts w:ascii="Times New Roman" w:hAnsi="Times New Roman" w:cs="Times New Roman"/>
        </w:rPr>
        <w:t xml:space="preserve"> statements (e.g., “Nobody understands me or even tries to” and </w:t>
      </w:r>
      <w:r w:rsidRPr="0054600F">
        <w:rPr>
          <w:rFonts w:ascii="Times New Roman" w:hAnsi="Times New Roman" w:cs="Times New Roman"/>
        </w:rPr>
        <w:lastRenderedPageBreak/>
        <w:t xml:space="preserve">“When I talk no one really listens”) accompanied by downbeat music (Adagio for Strings, Op. 11 by Samuel Barber). Existing negativity ratings gathered about the </w:t>
      </w:r>
      <w:proofErr w:type="spellStart"/>
      <w:r w:rsidRPr="0054600F">
        <w:rPr>
          <w:rFonts w:ascii="Times New Roman" w:hAnsi="Times New Roman" w:cs="Times New Roman"/>
        </w:rPr>
        <w:t>Velten</w:t>
      </w:r>
      <w:proofErr w:type="spellEnd"/>
      <w:r w:rsidRPr="0054600F">
        <w:rPr>
          <w:rFonts w:ascii="Times New Roman" w:hAnsi="Times New Roman" w:cs="Times New Roman"/>
        </w:rPr>
        <w:t xml:space="preserve"> statements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{"citationID":"nzFGkfHu","properties":{"formattedCitation":"(Marcusson-Clavertz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w:t>
      </w:r>
      <w:proofErr w:type="spellStart"/>
      <w:r w:rsidRPr="0054600F">
        <w:rPr>
          <w:rFonts w:ascii="Times New Roman" w:hAnsi="Times New Roman" w:cs="Times New Roman"/>
        </w:rPr>
        <w:t>Marcusson-Clavertz</w:t>
      </w:r>
      <w:proofErr w:type="spellEnd"/>
      <w:r w:rsidRPr="0054600F">
        <w:rPr>
          <w:rFonts w:ascii="Times New Roman" w:hAnsi="Times New Roman" w:cs="Times New Roman"/>
        </w:rPr>
        <w:t xml:space="preserve"> et al., 2019)</w:t>
      </w:r>
      <w:r w:rsidRPr="0054600F">
        <w:rPr>
          <w:rFonts w:ascii="Times New Roman" w:hAnsi="Times New Roman" w:cs="Times New Roman"/>
        </w:rPr>
        <w:fldChar w:fldCharType="end"/>
      </w:r>
      <w:r w:rsidRPr="0054600F">
        <w:rPr>
          <w:rFonts w:ascii="Times New Roman" w:hAnsi="Times New Roman" w:cs="Times New Roman"/>
        </w:rPr>
        <w:t xml:space="preserve"> guided the order of presentation, such that the video ended with the most highly rated negative statement. This experimental condition also contained a ‘mood repair’ so that participants would not end their participation in a heightened negative mood. The mood repair included eight of the most highly rated amusement video clips from an established film library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{"citationID":"WwvLEMry","properties":{"formattedCitation":"(Samson et al., 2016)","plainCitation":"(Samson et al., 2016)","noteIndex":0},"citationItems":[{"id":895,"uris":["http://zotero.org/users/7873587/items/F24FP9JJ"],"itemData":{"id":895,"type":"article-journal","abstract":"We describe the creation of a film library designed for researchers interested in positive (amusing), negative (repulsive), mixed (amusing and repulsive) and neutral emotional states. Three hundred 20- to 33-second film clips videotaped by amateurs were selected from video-hosting websites and screened in laboratory studies by 75 female participants on self-reported amusement and repulsion (Experiments 1 and 2). On the basis of pre-defined cut-off values, 51 positive, 39 negative, 59 mixed and 50 neutral film clips were selected. These film clips were then presented to 411 male and female participants in a large online study to identify film clips that reliably induced the target emotions (Experiment 3). Depending on the goal of the study, researchers may choose positive, negative, mixed or neutral emotional film clips on the basis of Experiments 1 and 2 or Experiment 3 ratings.","container-title":"Cognition and Emotion","DOI":"10.1080/02699931.2015.1031089","ISSN":"0269-9931","issue":"5","note":"publisher: Routledge\n_eprint: https://doi.org/10.1080/02699931.2015.1031089\nPMID: 25929696","page":"827-856","source":"Taylor and Francis+NEJM","title":"Eliciting positive, negative and mixed emotional states: A film library for affective scientists","title-short":"Eliciting positive, negative and mixed emotional states","volume":"30","author":[{"family":"Samson","given":"Andrea C."},{"family":"Kreibig","given":"Sylvia D."},{"family":"Soderstrom","given":"Blake"},{"family":"Wade","given":"A. Ayanna"},{"family":"Gross","given":"James J."}],"issued":{"date-parts":[["2016",7,3]]}}}],"schema":"https://github.com/citation-style-language/schema/raw/master/csl-citation.json"}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(Samson et al., 2016)</w:t>
      </w:r>
      <w:r w:rsidRPr="0054600F">
        <w:rPr>
          <w:rFonts w:ascii="Times New Roman" w:hAnsi="Times New Roman" w:cs="Times New Roman"/>
        </w:rPr>
        <w:fldChar w:fldCharType="end"/>
      </w:r>
      <w:r w:rsidRPr="0054600F">
        <w:rPr>
          <w:rFonts w:ascii="Times New Roman" w:hAnsi="Times New Roman" w:cs="Times New Roman"/>
        </w:rPr>
        <w:t>, each of which lasted ~30 seconds</w:t>
      </w:r>
      <w:r w:rsidRPr="004B73B2">
        <w:rPr>
          <w:rStyle w:val="FootnoteReference"/>
        </w:rPr>
        <w:footnoteReference w:id="14"/>
      </w:r>
      <w:r w:rsidRPr="0054600F">
        <w:rPr>
          <w:rFonts w:ascii="Times New Roman" w:hAnsi="Times New Roman" w:cs="Times New Roman"/>
        </w:rPr>
        <w:t xml:space="preserve">. These clips were selected because they differ from the materials used in the core manipulation of mood which is important when considering the counterbalanced order of experimental condition across participants. As in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{"citationID":"ILfHoTlT","properties":{"formattedCitation":"(Hogarth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Hogarth et al. (2015)</w:t>
      </w:r>
      <w:r w:rsidRPr="0054600F">
        <w:rPr>
          <w:rFonts w:ascii="Times New Roman" w:hAnsi="Times New Roman" w:cs="Times New Roman"/>
        </w:rPr>
        <w:fldChar w:fldCharType="end"/>
      </w:r>
      <w:r w:rsidRPr="0054600F">
        <w:rPr>
          <w:rFonts w:ascii="Times New Roman" w:hAnsi="Times New Roman" w:cs="Times New Roman"/>
        </w:rPr>
        <w:t>, we did not include a neutral group because the contrast between two more extreme groups (i.e., positive versus negative mood) offered the best strategy to detect an effect.</w:t>
      </w:r>
    </w:p>
    <w:p w14:paraId="53107B5F" w14:textId="77777777" w:rsidR="0054600F" w:rsidRPr="0054600F" w:rsidRDefault="0054600F" w:rsidP="0054600F">
      <w:pPr>
        <w:pStyle w:val="NoSpacing"/>
        <w:spacing w:line="480" w:lineRule="auto"/>
        <w:rPr>
          <w:rFonts w:ascii="Times New Roman" w:hAnsi="Times New Roman" w:cs="Times New Roman"/>
        </w:rPr>
      </w:pPr>
    </w:p>
    <w:p w14:paraId="3A59C427"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Questionnaires</w:t>
      </w:r>
    </w:p>
    <w:p w14:paraId="20C6E170" w14:textId="6A1090D1" w:rsidR="0054600F" w:rsidRPr="0054600F" w:rsidRDefault="0054600F" w:rsidP="0054600F">
      <w:pPr>
        <w:pStyle w:val="NoSpacing"/>
        <w:spacing w:line="480" w:lineRule="auto"/>
        <w:rPr>
          <w:rFonts w:ascii="Times New Roman" w:hAnsi="Times New Roman" w:cs="Times New Roman"/>
        </w:rPr>
      </w:pPr>
      <w:r w:rsidRPr="00F01D7B">
        <w:rPr>
          <w:rFonts w:ascii="Times New Roman" w:hAnsi="Times New Roman" w:cs="Times New Roman"/>
          <w:i/>
          <w:iCs/>
        </w:rPr>
        <w:t>The Patient Health Questionnaire-2</w:t>
      </w:r>
      <w:r w:rsidRPr="0054600F">
        <w:rPr>
          <w:rFonts w:ascii="Times New Roman" w:hAnsi="Times New Roman" w:cs="Times New Roman"/>
        </w:rPr>
        <w:t xml:space="preserve"> (PHQ-2;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{"citationID":"bpLZRW9H","properties":{"formattedCitation":"(Kroenke et al., 2003)","plainCitation":"(Kroenke et al., 2003)","dontUpdate":true,"noteIndex":0},"citationItems":[{"id":898,"uris":["http://zotero.org/users/7873587/items/FJT8TN3I"],"itemData":{"id":898,"type":"article-journal","abstract":"BACKGROUND: A number of self-administered questionnaires are available for assessing depression severity, including the 9-item Patient Health Questionnaire depression module (PHQ-9). Because even briefer measures might be desirable for use in busy clinical settings or as part of comprehensive health questionnaires, we evaluated a 2-item version of the PHQ depression module, the PHQ-2.\nMETHODS: The PHQ-2 inquires about the frequency of depressed mood and anhedonia over the past 2 weeks, scoring each as 0 (\"not at all\") to 3 (\"nearly every day\"). The PHQ-2 was completed by 6000 patients in 8 primary care clinics and 7 obstetrics-gynecology clinics. Construct validity was assessed using the 20-item Short-Form General Health Survey, self-reported sick days and clinic visits, and symptom-related difficulty. Criterion validity was assessed against an independent structured mental health professional (MHP) interview in a sample of 580 patients.\nRESULTS: As PHQ-2 depression severity increased from 0 to 6, there was a substantial decrease in functional status on all 6 SF-20 subscales. Also, symptom-related difficulty, sick days, and healthcare utilization increased. Using the MHP reinterview as the criterion standard, a PHQ-2 score &gt; or =3 had a sensitivity of 83% and a specificity of 92% for major depression. Likelihood ratio and receiver operator characteristic analysis identified a PHQ-2 score of 3 as the optimal cutpoint for screening purposes. Results were similar in the primary care and obstetrics-gynecology samples.\nCONCLUSION: The construct and criterion validity of the PHQ-2 make it an attractive measure for depression screening.","container-title":"Medical Care","DOI":"10.1097/01.MLR.0000093487.78664.3C","ISSN":"0025-7079","issue":"11","journalAbbreviation":"Med Care","language":"eng","note":"PMID: 14583691","page":"1284-1292","source":"PubMed","title":"The Patient Health Questionnaire-2: validity of a two-item depression screener","title-short":"The Patient Health Questionnaire-2","volume":"41","author":[{"family":"Kroenke","given":"Kurt"},{"family":"Spitzer","given":"Robert L."},{"family":"Williams","given":"Janet B. W."}],"issued":{"date-parts":[["2003",11]]}}}],"schema":"https://github.com/citation-style-language/schema/raw/master/csl-citation.json"}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Kroenke et al., 2003)</w:t>
      </w:r>
      <w:r w:rsidRPr="0054600F">
        <w:rPr>
          <w:rFonts w:ascii="Times New Roman" w:hAnsi="Times New Roman" w:cs="Times New Roman"/>
        </w:rPr>
        <w:fldChar w:fldCharType="end"/>
      </w:r>
      <w:r w:rsidRPr="0054600F">
        <w:rPr>
          <w:rFonts w:ascii="Times New Roman" w:hAnsi="Times New Roman" w:cs="Times New Roman"/>
        </w:rPr>
        <w:t xml:space="preserve">: This two-item scale was used to measure depressed mood. Question items were “Little interest or pleasure in doing things” and “Feeling down, depressed or hopeless”. Participants were asked how often they experienced each item over the past two weeks on a scale ranging from 0 (not at all) to 3 (nearly every day). </w:t>
      </w:r>
    </w:p>
    <w:p w14:paraId="08C3544A" w14:textId="77777777" w:rsidR="0054600F" w:rsidRPr="0054600F" w:rsidRDefault="0054600F" w:rsidP="0054600F">
      <w:pPr>
        <w:pStyle w:val="NoSpacing"/>
        <w:spacing w:line="480" w:lineRule="auto"/>
        <w:rPr>
          <w:rFonts w:ascii="Times New Roman" w:hAnsi="Times New Roman" w:cs="Times New Roman"/>
        </w:rPr>
      </w:pPr>
    </w:p>
    <w:p w14:paraId="4885631D" w14:textId="55BD867F" w:rsidR="0054600F" w:rsidRPr="0054600F" w:rsidRDefault="0054600F" w:rsidP="0054600F">
      <w:pPr>
        <w:pStyle w:val="NoSpacing"/>
        <w:spacing w:line="480" w:lineRule="auto"/>
        <w:rPr>
          <w:rFonts w:ascii="Times New Roman" w:hAnsi="Times New Roman" w:cs="Times New Roman"/>
          <w:noProof/>
        </w:rPr>
      </w:pPr>
      <w:proofErr w:type="spellStart"/>
      <w:r w:rsidRPr="00F01D7B">
        <w:rPr>
          <w:rFonts w:ascii="Times New Roman" w:hAnsi="Times New Roman" w:cs="Times New Roman"/>
          <w:i/>
          <w:iCs/>
        </w:rPr>
        <w:t>Fagerström</w:t>
      </w:r>
      <w:proofErr w:type="spellEnd"/>
      <w:r w:rsidRPr="00F01D7B">
        <w:rPr>
          <w:rFonts w:ascii="Times New Roman" w:hAnsi="Times New Roman" w:cs="Times New Roman"/>
          <w:i/>
          <w:iCs/>
        </w:rPr>
        <w:t xml:space="preserve"> Test for Cigarette Dependence</w:t>
      </w:r>
      <w:r w:rsidRPr="0054600F">
        <w:rPr>
          <w:rFonts w:ascii="Times New Roman" w:hAnsi="Times New Roman" w:cs="Times New Roman"/>
        </w:rPr>
        <w:t xml:space="preserve">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{"citationID":"Jv43H23f","properties":{"formattedCitation":"(Fagerstr\\uc0\\u246{}m, 2012)","plainCitation":"(Fagerström, 2012)","noteIndex":0},"citationItems":[{"id":900,"uris":["http://zotero.org/users/7873587/items/TFZ46FQG"],"itemData":{"id":900,"type":"article-journal","container-title":"Nicotine &amp; Tobacco Research: Official Journal of the Society for Research on Nicotine and Tobacco","DOI":"10.1093/ntr/ntr137","ISSN":"1469-994X","issue":"1","journalAbbreviation":"Nicotine Tob Res","language":"eng","note":"PMID: 22025545","page":"75-78","source":"PubMed","title":"Determinants of tobacco use and renaming the FTND to the Fagerstrom Test for Cigarette Dependence","volume":"14","author":[{"family":"Fagerström","given":"Karl"}],"issued":{"date-parts":[["2012",1]]}}}],"schema":"https://github.com/citation-style-language/schema/raw/master/csl-citation.json"}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(Fagerström, 2012)</w:t>
      </w:r>
      <w:r w:rsidRPr="0054600F">
        <w:rPr>
          <w:rFonts w:ascii="Times New Roman" w:hAnsi="Times New Roman" w:cs="Times New Roman"/>
        </w:rPr>
        <w:fldChar w:fldCharType="end"/>
      </w:r>
      <w:r w:rsidRPr="0054600F">
        <w:rPr>
          <w:rFonts w:ascii="Times New Roman" w:hAnsi="Times New Roman" w:cs="Times New Roman"/>
        </w:rPr>
        <w:t xml:space="preserve">: This six-item scale was used to measure cigarette dependence. An example question is “How soon after you wake do you have your first cigarette?”. Total scores ranged from 0 to 10, with the category labels of low </w:t>
      </w:r>
      <w:r w:rsidRPr="0054600F">
        <w:rPr>
          <w:rFonts w:ascii="Times New Roman" w:hAnsi="Times New Roman" w:cs="Times New Roman"/>
        </w:rPr>
        <w:lastRenderedPageBreak/>
        <w:t>dependence (1-2), low to moderate dependence (3-4), moderate dependence (5-7), and high dependence (8+). In the current sample, the scale had unacceptable internal reliability, McDonald’s ω = .60</w:t>
      </w:r>
      <w:r w:rsidR="0089284C">
        <w:rPr>
          <w:rFonts w:ascii="Times New Roman" w:hAnsi="Times New Roman" w:cs="Times New Roman"/>
        </w:rPr>
        <w:t xml:space="preserve"> </w:t>
      </w:r>
      <w:r w:rsidR="0089284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{"citationID":"MG8H2fyq","properties":{"formattedCitation":"(McDonald, 1970, 1999)","plainCitation":"(McDonald, 1970, 1999)","noteIndex":0},"citationItems":[{"id":347,"uris":["http://zotero.org/users/7873587/items/6CKH7JLG"],"itemData":{"id":347,"type":"article-journal","abstract":"Showed that principle (PFA), canonical (CFA), and alpha (AFA) factor analyses are particular cases of a scale-invariant factoring procedure based on variance ratios of certain weighted combinations of variables. Standard derivations in the literature are shown, in contrast, to have unsatisfactory features. It is suggested that the choice between PFA, CFA, and AFA involves relatively independent choices of features of each, and that in most cases CFA is to be preferred. (26 ref.) (PsycINFO Database Record (c) 2016 APA, all rights reserved)","container-title":"British Journal of Mathematical and Statistical Psychology","DOI":"10.1111/j.2044-8317.1970.tb00432.x","ISSN":"2044-8317","issue":"1","note":"publisher-place: United Kingdom\npublisher: British Psychological Society","page":"1-21","source":"APA PsycNet","title":"The theoretical foundations of principal factor analysis, canonical factor analysis, and alpha factor analysis","volume":"23","author":[{"family":"McDonald","given":"Roderick P."}],"issued":{"date-parts":[["1970"]]}},"label":"page"},{"id":349,"uris":["http://zotero.org/users/7873587/items/TGIPRRCH"],"itemData":{"id":349,"type":"book","abstract":"This book is an outcome of McDonald's experience in teaching a laboratory course on test theory in a university department of psychology. The object of such a course on test theory is to introduce students to the main quantitative concepts, methods, and computational techniques needed for the development, evaluation, and application of tests in the behavioral/social sciences, including educational tests. The implicit unifying principle throughout this book is a general nonlinear common factor model, which includes item response models as special cases, and includes also the (linear) common factor model as an approximation. The account of the field in this text is developed from that unifying perspective, while giving appropriate coverage of the conventional topics. This book is intended primarily for students of psychology, including educational psychology, and any other fields of social science where tests are constructed and used. (PsycINFO Database Record (c) 2016 APA, all rights reserved)","collection-title":"Test theory:  A unified treatment","event-place":"Mahwah, NJ, US","ISBN":"978-0-8058-3075-0","publisher":"Lawrence Erlbaum Associates Publishers","publisher-place":"Mahwah, NJ, US","source":"APA PsycNet","title":"Test theory:  A unified treatment","title-short":"Test theory","author":[{"family":"McDonald","given":"Roderick P."}],"issued":{"date-parts":[["1999"]]}},"label":"page"}],"schema":"https://github.com/citation-style-language/schema/raw/master/csl-citation.json"} </w:instrText>
      </w:r>
      <w:r w:rsidR="0089284C">
        <w:rPr>
          <w:rFonts w:ascii="Times New Roman" w:hAnsi="Times New Roman" w:cs="Times New Roman"/>
        </w:rPr>
        <w:fldChar w:fldCharType="separate"/>
      </w:r>
      <w:r w:rsidR="0089284C">
        <w:rPr>
          <w:rFonts w:ascii="Times New Roman" w:hAnsi="Times New Roman" w:cs="Times New Roman"/>
          <w:noProof/>
        </w:rPr>
        <w:t>(McDonald, 1970, 1999)</w:t>
      </w:r>
      <w:r w:rsidR="0089284C">
        <w:rPr>
          <w:rFonts w:ascii="Times New Roman" w:hAnsi="Times New Roman" w:cs="Times New Roman"/>
        </w:rPr>
        <w:fldChar w:fldCharType="end"/>
      </w:r>
      <w:r w:rsidR="0089284C">
        <w:rPr>
          <w:rFonts w:ascii="Times New Roman" w:hAnsi="Times New Roman" w:cs="Times New Roman"/>
        </w:rPr>
        <w:t>.</w:t>
      </w:r>
    </w:p>
    <w:p w14:paraId="40382D45" w14:textId="77777777" w:rsidR="0054600F" w:rsidRPr="0054600F" w:rsidRDefault="0054600F" w:rsidP="0054600F">
      <w:pPr>
        <w:pStyle w:val="NoSpacing"/>
        <w:spacing w:line="480" w:lineRule="auto"/>
        <w:rPr>
          <w:rFonts w:ascii="Times New Roman" w:hAnsi="Times New Roman" w:cs="Times New Roman"/>
        </w:rPr>
      </w:pPr>
    </w:p>
    <w:p w14:paraId="462D92D2" w14:textId="68957382" w:rsidR="0054600F" w:rsidRPr="0054600F" w:rsidRDefault="0054600F" w:rsidP="0054600F">
      <w:pPr>
        <w:pStyle w:val="NoSpacing"/>
        <w:spacing w:line="480" w:lineRule="auto"/>
        <w:rPr>
          <w:rFonts w:ascii="Times New Roman" w:hAnsi="Times New Roman" w:cs="Times New Roman"/>
        </w:rPr>
      </w:pPr>
      <w:r w:rsidRPr="00F01D7B">
        <w:rPr>
          <w:rFonts w:ascii="Times New Roman" w:hAnsi="Times New Roman" w:cs="Times New Roman"/>
          <w:i/>
          <w:iCs/>
        </w:rPr>
        <w:t>Brief self-control scale</w:t>
      </w:r>
      <w:r w:rsidRPr="0054600F">
        <w:rPr>
          <w:rFonts w:ascii="Times New Roman" w:hAnsi="Times New Roman" w:cs="Times New Roman"/>
        </w:rPr>
        <w:t xml:space="preserve"> (BSCS;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{"citationID":"rMEKWQIH","properties":{"formattedCitation":"(Tangney et al., 2004)","plainCitation":"(Tangney et al., 2004)","dontUpdate":true,"noteIndex":0},"citationItems":[{"id":8,"uris":["http://zotero.org/users/7873587/items/UATG6Y9M"],"itemData":{"id":8,"type":"article-journal","abstract":"What good is self-control? We incorporated a new measure of individual differences in self-control into two large investigations of a broad spectrum of behaviors. The new scale showed good internal consistency and retest reliability. Higher scores on self-control correlated with a higher grade point average, better adjustment (fewer reports of psychopathology, higher self-esteem), less binge eating and alcohol abuse, better relationships and interpersonal skills, secure attachment, and more optimal emotional responses. Tests for curvilinearity failed to indicate any drawbacks of so-called overcontrol, and the positive effects remained after controlling for social desirability. Low self-control is thus a significant risk factor for a broad range of personal and interpersonal problems.","container-title":"Journal of Personality","DOI":"https://doi.org/10.1111/j.0022-3506.2004.00263.x","ISSN":"1467-6494","issue":"2","language":"en","note":"_eprint: https://onlinelibrary.wiley.com/doi/pdf/10.1111/j.0022-3506.2004.00263.x","page":"271-324","source":"Wiley Online Library","title":"High self-control predicts good adjustment, less pathology, better grades, and interpersonal success","volume":"72","author":[{"family":"Tangney","given":"June P."},{"family":"Baumeister","given":"Roy F."},{"family":"Boone","given":"Angie Luzio"}],"issued":{"date-parts":[["2004"]]}}}],"schema":"https://github.com/citation-style-language/schema/raw/master/csl-citation.json"}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Tangney et al., 2004)</w:t>
      </w:r>
      <w:r w:rsidRPr="0054600F">
        <w:rPr>
          <w:rFonts w:ascii="Times New Roman" w:hAnsi="Times New Roman" w:cs="Times New Roman"/>
        </w:rPr>
        <w:fldChar w:fldCharType="end"/>
      </w:r>
      <w:r w:rsidRPr="0054600F">
        <w:rPr>
          <w:rFonts w:ascii="Times New Roman" w:hAnsi="Times New Roman" w:cs="Times New Roman"/>
        </w:rPr>
        <w:t>: This 13-item scale was used to capture the extent to which people feel that they can control their behaviour, for example “I refuse things that are bad for me”. Participants responded on a 1 (not at all like me) to 5 (very much like me) scale. The BSCS had good internal reliability, ω = .80.</w:t>
      </w:r>
    </w:p>
    <w:p w14:paraId="5D666B90" w14:textId="77777777" w:rsidR="0054600F" w:rsidRPr="0054600F" w:rsidRDefault="0054600F" w:rsidP="0054600F">
      <w:pPr>
        <w:pStyle w:val="NoSpacing"/>
        <w:spacing w:line="480" w:lineRule="auto"/>
        <w:rPr>
          <w:rFonts w:ascii="Times New Roman" w:hAnsi="Times New Roman" w:cs="Times New Roman"/>
        </w:rPr>
      </w:pPr>
    </w:p>
    <w:p w14:paraId="3D395505" w14:textId="1F7E7DF1" w:rsidR="0054600F" w:rsidRPr="0054600F" w:rsidRDefault="0054600F" w:rsidP="0054600F">
      <w:pPr>
        <w:pStyle w:val="NoSpacing"/>
        <w:spacing w:line="480" w:lineRule="auto"/>
        <w:rPr>
          <w:rFonts w:ascii="Times New Roman" w:hAnsi="Times New Roman" w:cs="Times New Roman"/>
          <w:highlight w:val="red"/>
        </w:rPr>
      </w:pPr>
      <w:r w:rsidRPr="00F01D7B">
        <w:rPr>
          <w:rFonts w:ascii="Times New Roman" w:hAnsi="Times New Roman" w:cs="Times New Roman"/>
          <w:i/>
          <w:iCs/>
        </w:rPr>
        <w:t>Positive and Negative Affect Schedule-Expanded</w:t>
      </w:r>
      <w:r w:rsidRPr="0054600F">
        <w:rPr>
          <w:rFonts w:ascii="Times New Roman" w:hAnsi="Times New Roman" w:cs="Times New Roman"/>
        </w:rPr>
        <w:t xml:space="preserve"> (PANAS-X;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{"citationID":"SrgnRpAf","properties":{"formattedCitation":"(Watson &amp; Clark, 1999)","plainCitation":"(Watson &amp; Clark, 1999)","dontUpdate":true,"noteIndex":0},"citationItems":[{"id":902,"uris":["http://zotero.org/users/7873587/items/GGFDX426"],"itemData":{"id":902,"type":"article-journal","container-title":"Psychology Publications","journalAbbreviation":"Psychology Publications","source":"ResearchGate","title":"The PANAS-X: Manual for the positive and negative affect schedule-expanded form","title-short":"The PANAS-X","author":[{"family":"Watson","given":"David"},{"family":"Clark","given":"Lee"}],"issued":{"date-parts":[["1999",1,1]]}}}],"schema":"https://github.com/citation-style-language/schema/raw/master/csl-citation.json"}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Watson &amp; Clark, 1999)</w:t>
      </w:r>
      <w:r w:rsidRPr="0054600F">
        <w:rPr>
          <w:rFonts w:ascii="Times New Roman" w:hAnsi="Times New Roman" w:cs="Times New Roman"/>
        </w:rPr>
        <w:fldChar w:fldCharType="end"/>
      </w:r>
      <w:r w:rsidRPr="0054600F">
        <w:rPr>
          <w:rFonts w:ascii="Times New Roman" w:hAnsi="Times New Roman" w:cs="Times New Roman"/>
        </w:rPr>
        <w:t xml:space="preserve">: We used two subscales from the PANAS-X (joviality and sadness). The joviality subscale included the following eight items: happy, joyful, delighted, cheerful, excited, enthusiastic, lively, and energetic. The sadness subscale included the following five items: sad, blue, downhearted, alone, and lonely. For each item, participants were asked “Please answer honestly how you feel right now” using a scale which ranged from 0 (very slightly or not at all) to 4 (extremely). In line with previous research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{"citationID":"bmJ1pNAn","properties":{"formattedCitation":"(Marcusson-Clavertz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(Marcusson-Clavertz et al., 2019)</w:t>
      </w:r>
      <w:r w:rsidRPr="0054600F">
        <w:rPr>
          <w:rFonts w:ascii="Times New Roman" w:hAnsi="Times New Roman" w:cs="Times New Roman"/>
        </w:rPr>
        <w:fldChar w:fldCharType="end"/>
      </w:r>
      <w:r w:rsidRPr="0054600F">
        <w:rPr>
          <w:rFonts w:ascii="Times New Roman" w:hAnsi="Times New Roman" w:cs="Times New Roman"/>
        </w:rPr>
        <w:t xml:space="preserve">, the mean score of joviality was used to index positive mood and the mean score of sadness was used to index negative mood. The two subscales had good internal reliability in each of the four times the questionnaire was administered (all </w:t>
      </w:r>
      <w:proofErr w:type="spellStart"/>
      <w:r w:rsidRPr="0054600F">
        <w:rPr>
          <w:rFonts w:ascii="Times New Roman" w:hAnsi="Times New Roman" w:cs="Times New Roman"/>
        </w:rPr>
        <w:t>ω’s</w:t>
      </w:r>
      <w:proofErr w:type="spellEnd"/>
      <w:r w:rsidRPr="0054600F">
        <w:rPr>
          <w:rFonts w:ascii="Times New Roman" w:hAnsi="Times New Roman" w:cs="Times New Roman"/>
        </w:rPr>
        <w:t xml:space="preserve"> &gt; .77). More specifically, before the negative mood induction: joviality, ω = .92; sadness, ω = .84, and after the negative mood induction: joviality ω = .96; sadness ω = .93. Before the positive mood induction: joviality, ω = .93; sadness, ω = .91, and after the positive mood induction: joviality ω = .96; sadness ω = .77.</w:t>
      </w:r>
    </w:p>
    <w:p w14:paraId="5B7F7542" w14:textId="77777777" w:rsidR="0054600F" w:rsidRPr="0054600F" w:rsidRDefault="0054600F" w:rsidP="0054600F">
      <w:pPr>
        <w:pStyle w:val="NoSpacing"/>
        <w:spacing w:line="480" w:lineRule="auto"/>
        <w:rPr>
          <w:rFonts w:ascii="Times New Roman" w:hAnsi="Times New Roman" w:cs="Times New Roman"/>
        </w:rPr>
      </w:pPr>
    </w:p>
    <w:p w14:paraId="43C25A04" w14:textId="32B1BF56" w:rsidR="0054600F" w:rsidRPr="0054600F" w:rsidRDefault="0054600F" w:rsidP="0054600F">
      <w:pPr>
        <w:pStyle w:val="NoSpacing"/>
        <w:spacing w:line="480" w:lineRule="auto"/>
        <w:rPr>
          <w:rFonts w:ascii="Times New Roman" w:hAnsi="Times New Roman" w:cs="Times New Roman"/>
        </w:rPr>
      </w:pPr>
      <w:r w:rsidRPr="00F01D7B">
        <w:rPr>
          <w:rFonts w:ascii="Times New Roman" w:hAnsi="Times New Roman" w:cs="Times New Roman"/>
          <w:i/>
          <w:iCs/>
        </w:rPr>
        <w:lastRenderedPageBreak/>
        <w:t xml:space="preserve">A single item of craving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{"citationID":"3ilLVDtt","properties":{"formattedCitation":"(West &amp; Ussher, 2010)","plainCitation":"(West &amp; Ussher, 2010)","noteIndex":0},"citationItems":[{"id":905,"uris":["http://zotero.org/users/7873587/items/6XZCUDLE"],"itemData":{"id":905,"type":"article-journal","abstract":"OBJECTIVE: The Questionnaire on Smoking Urges is now very widely used as a measure of craving but is considerably longer than alternatives in current use. Longer scales carry a significant cost in studies and clinical practice. This study compared the ten-item Questionnaire on Smoking Urges (QSU-brief) with six shorter measures of craving in terms of sensitivity to abstinence and reliability.\nMETHODS: Sixty smokers were randomly assigned to continue smoking (N = 30) or abstain completely for 24 h (n = 30), by which time the craving would be expected to have increased. Craving was measured at baseline and after 24 h. The craving measures tested were the QSU-brief, the Minnesota Nicotine Withdrawal Scale (MNWS), the Mood and Physical Symptoms Scale (MPSS), the Shiffman Scale (SS), the Wisconsin Smoking Withdrawal Scale and the Cigarette Withdrawal Scale and a simple rating of 'craving' (CR).\nRESULTS: All measures showed significant increases in scores following smoking abstinence. The two-item MPSS measure was similar to the QSU-brief (eta-squared 0.41 versus 0.45, respectively), and the CR was only slightly lower (eta-squared 0.37). The MNWS showed the least sensitivity (eta-squared 0.22). Stability while still smoking was good with the exception of the SS which showed a significant reduction on retest.\nCONCLUSIONS: The ten-item QSU-brief is not more sensitive to abstinence or reliable than the two-item MPSS or a single rating of craving.","container-title":"Psychopharmacology","DOI":"10.1007/s00213-009-1742-x","ISSN":"1432-2072","issue":"3","journalAbbreviation":"Psychopharmacology (Berl)","language":"eng","note":"PMID: 20033133","page":"427-432","source":"PubMed","title":"Is the ten-item Questionnaire of Smoking Urges (QSU-brief) more sensitive to abstinence than shorter craving measures?","volume":"208","author":[{"family":"West","given":"Robert"},{"family":"Ussher","given":"Michael"}],"issued":{"date-parts":[["2010",2]]}}}],"schema":"https://github.com/citation-style-language/schema/raw/master/csl-citation.json"}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(West &amp; Ussher, 2010)</w:t>
      </w:r>
      <w:r w:rsidRPr="0054600F">
        <w:rPr>
          <w:rFonts w:ascii="Times New Roman" w:hAnsi="Times New Roman" w:cs="Times New Roman"/>
        </w:rPr>
        <w:fldChar w:fldCharType="end"/>
      </w:r>
      <w:r w:rsidRPr="0054600F">
        <w:rPr>
          <w:rFonts w:ascii="Times New Roman" w:hAnsi="Times New Roman" w:cs="Times New Roman"/>
        </w:rPr>
        <w:t xml:space="preserve">: Participants answered a single question to assess their craving to smoke, which was “How strong is your urge to smoke now?”. Participants responded on a visual analogue scale ranging from 0 (no urge to smoke) to 100 (extreme urge to smoke). Single item measures of craving have been found to have good reliability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{"citationID":"TB1j0EC5","properties":{"formattedCitation":"(West &amp; Ussher, 2010)","plainCitation":"(West &amp; Ussher, 2010)","noteIndex":0},"citationItems":[{"id":905,"uris":["http://zotero.org/users/7873587/items/6XZCUDLE"],"itemData":{"id":905,"type":"article-journal","abstract":"OBJECTIVE: The Questionnaire on Smoking Urges is now very widely used as a measure of craving but is considerably longer than alternatives in current use. Longer scales carry a significant cost in studies and clinical practice. This study compared the ten-item Questionnaire on Smoking Urges (QSU-brief) with six shorter measures of craving in terms of sensitivity to abstinence and reliability.\nMETHODS: Sixty smokers were randomly assigned to continue smoking (N = 30) or abstain completely for 24 h (n = 30), by which time the craving would be expected to have increased. Craving was measured at baseline and after 24 h. The craving measures tested were the QSU-brief, the Minnesota Nicotine Withdrawal Scale (MNWS), the Mood and Physical Symptoms Scale (MPSS), the Shiffman Scale (SS), the Wisconsin Smoking Withdrawal Scale and the Cigarette Withdrawal Scale and a simple rating of 'craving' (CR).\nRESULTS: All measures showed significant increases in scores following smoking abstinence. The two-item MPSS measure was similar to the QSU-brief (eta-squared 0.41 versus 0.45, respectively), and the CR was only slightly lower (eta-squared 0.37). The MNWS showed the least sensitivity (eta-squared 0.22). Stability while still smoking was good with the exception of the SS which showed a significant reduction on retest.\nCONCLUSIONS: The ten-item QSU-brief is not more sensitive to abstinence or reliable than the two-item MPSS or a single rating of craving.","container-title":"Psychopharmacology","DOI":"10.1007/s00213-009-1742-x","ISSN":"1432-2072","issue":"3","journalAbbreviation":"Psychopharmacology (Berl)","language":"eng","note":"PMID: 20033133","page":"427-432","source":"PubMed","title":"Is the ten-item Questionnaire of Smoking Urges (QSU-brief) more sensitive to abstinence than shorter craving measures?","volume":"208","author":[{"family":"West","given":"Robert"},{"family":"Ussher","given":"Michael"}],"issued":{"date-parts":[["2010",2]]}}}],"schema":"https://github.com/citation-style-language/schema/raw/master/csl-citation.json"}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(West &amp; Ussher, 2010)</w:t>
      </w:r>
      <w:r w:rsidRPr="0054600F">
        <w:rPr>
          <w:rFonts w:ascii="Times New Roman" w:hAnsi="Times New Roman" w:cs="Times New Roman"/>
        </w:rPr>
        <w:fldChar w:fldCharType="end"/>
      </w:r>
      <w:r w:rsidRPr="0054600F">
        <w:rPr>
          <w:rFonts w:ascii="Times New Roman" w:hAnsi="Times New Roman" w:cs="Times New Roman"/>
        </w:rPr>
        <w:t xml:space="preserve">. </w:t>
      </w:r>
    </w:p>
    <w:p w14:paraId="12041AA8" w14:textId="77777777" w:rsidR="0054600F" w:rsidRPr="0054600F" w:rsidRDefault="0054600F" w:rsidP="0054600F">
      <w:pPr>
        <w:pStyle w:val="NoSpacing"/>
        <w:spacing w:line="480" w:lineRule="auto"/>
        <w:rPr>
          <w:rFonts w:ascii="Times New Roman" w:hAnsi="Times New Roman" w:cs="Times New Roman"/>
        </w:rPr>
      </w:pPr>
    </w:p>
    <w:p w14:paraId="427F5248" w14:textId="06A64AFA" w:rsidR="0054600F" w:rsidRPr="0054600F" w:rsidRDefault="0054600F" w:rsidP="0000382A">
      <w:pPr>
        <w:pStyle w:val="NoSpacing"/>
        <w:spacing w:line="480" w:lineRule="auto"/>
        <w:rPr>
          <w:rFonts w:ascii="Times New Roman" w:hAnsi="Times New Roman" w:cs="Times New Roman"/>
        </w:rPr>
      </w:pPr>
      <w:r w:rsidRPr="00F01D7B">
        <w:rPr>
          <w:rFonts w:ascii="Times New Roman" w:hAnsi="Times New Roman" w:cs="Times New Roman"/>
          <w:i/>
          <w:iCs/>
        </w:rPr>
        <w:t>Cigarette Purchase Task</w:t>
      </w:r>
      <w:r w:rsidRPr="0054600F">
        <w:rPr>
          <w:rFonts w:ascii="Times New Roman" w:hAnsi="Times New Roman" w:cs="Times New Roman"/>
        </w:rPr>
        <w:t xml:space="preserve"> (CPT;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{"citationID":"NcBJghJM","properties":{"formattedCitation":"(MacKillop et al., 2008)","plainCitation":"(MacKillop et al., 2008)","dontUpdate":true,"noteIndex":0},"citationItems":[{"id":825,"uris":["http://zotero.org/users/7873587/items/HPVPY5R2"],"itemData":{"id":825,"type":"article-journal","abstract":"The authors sought to further validate a cigarette purchase task (CPT), a self-report analogue of a progressive-ratio operant schedule, for the assessment of the relative reinforcing efficacy (RRE) of nicotine in smokers. The measure was assessed in terms of its correspondence to typically observed operant behavior, convergent validity, and divergent validity. Participants were 33 individuals (58% male, age M = 19.30 years) who smoked at least weekly (M = 5.31 cigarettes/day) and underwent a single assessment session. Data from the CPT exhibited the predicted inverse relationship between consumption and price, the predicted relationship between consumption and expenditure, and a heterogeneous pattern of interrelationships among the indices of reinforcement. In addition, 2 indices from the measure, intensity of demand and maximum expenditure for cigarettes, exhibited robust convergent and divergent validity. Although this is an incipient research area and the current study used a relatively small sample, these findings support the validity of a CPT as a time- and cost-efficient method for assessing nicotine reinforcement. Theoretical implications of the findings, limitations, and future directions are also discussed. (PsycINFO Database Record (c) 2016 APA, all rights reserved)","container-title":"Experimental and Clinical Psychopharmacology","DOI":"10.1037/1064-1297.16.1.57","ISSN":"1936-2293","issue":"1","note":"publisher-place: US\npublisher: American Psychological Association","page":"57-65","source":"APA PsycNet","title":"Further validation of a cigarette purchase task for assessing the relative reinforcing efficacy of nicotine in college smokers","volume":"16","author":[{"family":"MacKillop","given":"James"},{"family":"Murphy","given":"James G."},{"family":"Ray","given":"Lara A."},{"family":"Eisenberg","given":"Daniel T. A."},{"family":"Lisman","given":"Stephen A."},{"family":"Lum","given":"J. Koji"},{"family":"Wilson","given":"David S."}],"issued":{"date-parts":[["2008"]]}}}],"schema":"https://github.com/citation-style-language/schema/raw/master/csl-citation.json"}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MacKillop et al., 2008)</w:t>
      </w:r>
      <w:r w:rsidRPr="0054600F">
        <w:rPr>
          <w:rFonts w:ascii="Times New Roman" w:hAnsi="Times New Roman" w:cs="Times New Roman"/>
        </w:rPr>
        <w:fldChar w:fldCharType="end"/>
      </w:r>
      <w:r w:rsidRPr="0054600F">
        <w:rPr>
          <w:rFonts w:ascii="Times New Roman" w:hAnsi="Times New Roman" w:cs="Times New Roman"/>
        </w:rPr>
        <w:t xml:space="preserve">: The CPT was used to measure cigarette demand by asking participants about their cigarette consumption on a typical day across a range of escalating price points. In line with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{"citationID":"Pgg1gy1z","properties":{"formattedCitation":"(Aston et al., 2021)","plainCitation":"(Aston et al., 2021)","dontUpdate":true,"noteIndex":0},"citationItems":[{"id":853,"uris":["http://zotero.org/users/7873587/items/6NHAL78N"],"itemData":{"id":853,"type":"article-journal","abstract":"Introduction\nCigarette demand, or relative value, can be assessed via analysis of performance on a hypothetical behavioral economic cigarette purchase task (CPT). Substance purchase tasks are highly amenable to manipulation, namely, external stimuli, instructional changes, or acute stressors. In this regard, the current secondary analysis evaluates the role a novel, computerized stress induction paradigm, the Contextual-Frustration Intolerance Typing Task (C-FiTT), plays in eliciting varying levels of stress and resulting demand.\nMethod\nDaily smokers (n = 484) completed the C-FiTT wherein they were randomly assigned to one of five distress conditions: combination of task difficulty (low or high difficulty) with neutral or withdrawal cues, and a neutral control group. Tobacco demand was assessed immediately following the distress task using the hypothetical CPT.\nResults\nThe C-FiTT distress-induction task significantly increased key cigarette demand indices, including price at maximum expenditure (Pmax) and first price where consumption was suppressed to zero (breakpoint). Moreover, demand increased with severity of C-FiTT condition, with the high-difficulty condition resulting in significantly higher breakpoint and Pmax, compared to other conditions. C-FiTT condition was not related to a significant increase in Omax, intensity, or elasticity.\nDiscussion\nThe novel C-FiTT paradigm produced comparable effects on tobacco demand relative to in vivo withdrawal induction, indicating that the C-FiTT is a viable procedure by which to influence demand. Reduction of internal and external stressors may be effective in lowering motivation for tobacco. These results highlight the importance of state distress in tobacco demand, and offer a potential avenue for intervention.","container-title":"Drug and Alcohol Dependence","DOI":"10.1016/j.drugalcdep.2021.108522","ISSN":"0376-8716","journalAbbreviation":"Drug and Alcohol Dependence","language":"en","page":"108522","source":"ScienceDirect","title":"Effects of acute distress and tobacco cues on tobacco demand","volume":"221","author":[{"family":"Aston","given":"Elizabeth R."},{"family":"Smith","given":"Jacqueline E."},{"family":"DiBello","given":"Angelo M."},{"family":"Farris","given":"Samantha G."}],"issued":{"date-parts":[["2021",4,1]]}}}],"schema":"https://github.com/citation-style-language/schema/raw/master/csl-citation.json"}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Aston et al. (2021)</w:t>
      </w:r>
      <w:r w:rsidRPr="0054600F">
        <w:rPr>
          <w:rFonts w:ascii="Times New Roman" w:hAnsi="Times New Roman" w:cs="Times New Roman"/>
        </w:rPr>
        <w:fldChar w:fldCharType="end"/>
      </w:r>
      <w:r w:rsidRPr="0054600F">
        <w:rPr>
          <w:rFonts w:ascii="Times New Roman" w:hAnsi="Times New Roman" w:cs="Times New Roman"/>
        </w:rPr>
        <w:t xml:space="preserve">, the CPT comprised 22 price points. The prices ranged from free to £10, and each price point was presented alongside the associated standard pack size (e.g., if cigarettes are 20p each, then a standard pack of 20 cigarettes would be £4). The hypothetical scenario presented to participants read “Imagine a TYPICAL DAY during which you smoke. The following questions ask how many cigarettes you would consume if they cost various amounts of money. Assume the available cigarettes are your favourite brand. Assume that you have the same income/savings that you have now and NO ACCESS to any cigarettes or nicotine products other than those offered at these prices. In addition, assume that you would consume the cigarettes that you request on that day. You cannot save or stockpile cigarettes for a later date. Be sure to consider each price increment carefully”. Before completing the CPT, to ensure that participants had read and understood the scenario they were instructed to imagine, they firstly took part in a comprehension check where they could only proceed if they correctly answered two questions about the scenario (“In the typical scenario above, should you assume the available cigarettes are your favourite brand?” and “In the typical scenario above, should you assume you can save or stockpile cigarettes for a later date?”). The use of comprehension checks has also been employed in previous purchase task research </w:t>
      </w:r>
      <w:r w:rsidR="003F1EA9">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{"citationID":"D4uE7nlm","properties":{"formattedCitation":"(Kaplan &amp; Reed, 2018)","plainCitation":"(Kaplan &amp; Reed, 2018)","noteIndex":0},"citationItems":[{"id":989,"uris":["http://zotero.org/users/7873587/items/7JJKW2X3"],"itemData":{"id":989,"type":"article-journal","abstract":"There is strong evidence to suggest that happy hour drink specials are associated with undesirable outcomes such as increased amount of drinking, increased likelihood of being highly intoxicated, and increased likelihood of experiencing negative outcomes related to drinking (e.g., getting into fights). Public policy efforts have been made to ban or at least restrict alcohol drink specials. Research in behavioral economics—primarily demand curve analyses—has yielded valuable insights into the role of environmental effects on reinforcer consumption, especially within the context of alcohol reinforcement. The use of the Alcohol Purchase Task (APT), which asks respondents to report how many alcoholic drinks they would be willing to purchase at various prices, has contributed greatly to these efforts. The purpose of the current experiment was to determine whether self-reported consumption of alcohol on an APT changes when participants imagine a hypothetical “happy hour” scenario, akin to drink specials encountered in the real world. Results from the current experiment extend previous literature on APT vignette manipulations and provide implications for efforts to reduce problematic drinking. (PsycINFO Database Record (c) 2018 APA, all rights reserved)","container-title":"Experimental and Clinical Psychopharmacology","DOI":"10.1037/pha0000174","ISSN":"1936-2293","issue":"2","note":"publisher-place: US\npublisher: American Psychological Association","page":"156-167","source":"APA PsycNet","title":"Happy hour drink specials in the Alcohol Purchase Task","volume":"26","author":[{"family":"Kaplan","given":"Brent A."},{"family":"Reed","given":"Derek D."}],"issued":{"date-parts":[["2018"]]}}}],"schema":"https://github.com/citation-style-language/schema/raw/master/csl-citation.json"} </w:instrText>
      </w:r>
      <w:r w:rsidR="003F1EA9">
        <w:rPr>
          <w:rFonts w:ascii="Times New Roman" w:hAnsi="Times New Roman" w:cs="Times New Roman"/>
        </w:rPr>
        <w:fldChar w:fldCharType="separate"/>
      </w:r>
      <w:r w:rsidR="0000382A" w:rsidRPr="0000382A">
        <w:rPr>
          <w:rFonts w:ascii="Times New Roman" w:hAnsi="Times New Roman" w:cs="Times New Roman"/>
        </w:rPr>
        <w:t>(Kaplan &amp; Reed, 2018)</w:t>
      </w:r>
      <w:r w:rsidR="003F1EA9">
        <w:rPr>
          <w:rFonts w:ascii="Times New Roman" w:hAnsi="Times New Roman" w:cs="Times New Roman"/>
        </w:rPr>
        <w:fldChar w:fldCharType="end"/>
      </w:r>
      <w:r w:rsidRPr="0054600F">
        <w:rPr>
          <w:rFonts w:ascii="Times New Roman" w:hAnsi="Times New Roman" w:cs="Times New Roman"/>
        </w:rPr>
        <w:t xml:space="preserve">. </w:t>
      </w:r>
      <w:r w:rsidRPr="0054600F">
        <w:rPr>
          <w:rFonts w:ascii="Times New Roman" w:hAnsi="Times New Roman" w:cs="Times New Roman"/>
        </w:rPr>
        <w:lastRenderedPageBreak/>
        <w:t xml:space="preserve">Several indices can be calculated using the CPT, and these are: intensity (consumption when price is at zero), </w:t>
      </w:r>
      <w:proofErr w:type="spellStart"/>
      <w:r w:rsidRPr="0054600F">
        <w:rPr>
          <w:rFonts w:ascii="Times New Roman" w:hAnsi="Times New Roman" w:cs="Times New Roman"/>
        </w:rPr>
        <w:t>O</w:t>
      </w:r>
      <w:r w:rsidRPr="003F1EA9">
        <w:rPr>
          <w:rFonts w:ascii="Times New Roman" w:hAnsi="Times New Roman" w:cs="Times New Roman"/>
          <w:vertAlign w:val="subscript"/>
        </w:rPr>
        <w:t>max</w:t>
      </w:r>
      <w:proofErr w:type="spellEnd"/>
      <w:r w:rsidRPr="0054600F">
        <w:rPr>
          <w:rFonts w:ascii="Times New Roman" w:hAnsi="Times New Roman" w:cs="Times New Roman"/>
        </w:rPr>
        <w:t xml:space="preserve"> (maximum expenditure), P</w:t>
      </w:r>
      <w:r w:rsidRPr="003F1EA9">
        <w:rPr>
          <w:rFonts w:ascii="Times New Roman" w:hAnsi="Times New Roman" w:cs="Times New Roman"/>
          <w:vertAlign w:val="subscript"/>
        </w:rPr>
        <w:t>max</w:t>
      </w:r>
      <w:r w:rsidRPr="0054600F">
        <w:rPr>
          <w:rFonts w:ascii="Times New Roman" w:hAnsi="Times New Roman" w:cs="Times New Roman"/>
        </w:rPr>
        <w:t xml:space="preserve"> (the price by which demand becomes elastic), breakpoint (first price that suppresses consumption to zero), and elasticity (rate at which consumption becomes more or less dependent upon price). See Appendix D for the exact price points that were used in this study.</w:t>
      </w:r>
    </w:p>
    <w:p w14:paraId="2984774A" w14:textId="77777777" w:rsidR="0054600F" w:rsidRPr="0054600F" w:rsidRDefault="0054600F" w:rsidP="0054600F">
      <w:pPr>
        <w:pStyle w:val="NoSpacing"/>
        <w:spacing w:line="480" w:lineRule="auto"/>
        <w:rPr>
          <w:rFonts w:ascii="Times New Roman" w:hAnsi="Times New Roman" w:cs="Times New Roman"/>
        </w:rPr>
      </w:pPr>
    </w:p>
    <w:p w14:paraId="59E11145" w14:textId="7580D4B3" w:rsidR="0054600F" w:rsidRPr="0054600F" w:rsidRDefault="0054600F" w:rsidP="0054600F">
      <w:pPr>
        <w:pStyle w:val="NoSpacing"/>
        <w:spacing w:line="480" w:lineRule="auto"/>
        <w:rPr>
          <w:rFonts w:ascii="Times New Roman" w:hAnsi="Times New Roman" w:cs="Times New Roman"/>
        </w:rPr>
      </w:pPr>
      <w:r w:rsidRPr="00F01D7B">
        <w:rPr>
          <w:rFonts w:ascii="Times New Roman" w:hAnsi="Times New Roman" w:cs="Times New Roman"/>
          <w:i/>
          <w:iCs/>
        </w:rPr>
        <w:t xml:space="preserve">Contemplation Ladder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{"citationID":"nL1niwYO","properties":{"formattedCitation":"(Biener &amp; Abrams, 1991)","plainCitation":"(Biener &amp; Abrams, 1991)","noteIndex":0},"citationItems":[{"id":909,"uris":["http://zotero.org/users/7873587/items/GSAL2R8Z"],"itemData":{"id":909,"type":"article-journal","abstract":"Presents evidence for the validity of the Contemplation Ladder, a measure of readiness to consider smoking cessation. Analyses of data collected from more than 400 smokers at two worksites before and during a 10-month intervention indicate that Ladder scores were significantly associated with reported intention to quit, number of previous quit attempts, perceived co-worker encouragement to quit, and socioeconomic status. Ladder scores predicted subsequent participation in programs designed to educate workers about their smoking habit and its contingent risks. The Ladder did not predict biochemically validated abstinence of 24 hr or more. To assess its ability to distinguish between groups known a priori to differ in readiness, we administered the Ladder to 36 participants in a clinic-based smoking cessation program. As predicted, clinic patients scored significantly higher than the workers on the Ladder. The importance of distinguishing between smokers at the lowest stages of readiness to quit is discussed.","container-title":"Health Psychology: Official Journal of the Division of Health Psychology, American Psychological Association","DOI":"10.1037//0278-6133.10.5.360","ISSN":"0278-6133","issue":"5","journalAbbreviation":"Health Psychol","language":"eng","note":"PMID: 1935872","page":"360-365","source":"PubMed","title":"The Contemplation Ladder: validation of a measure of readiness to consider smoking cessation","title-short":"The Contemplation Ladder","volume":"10","author":[{"family":"Biener","given":"L."},{"family":"Abrams","given":"D. B."}],"issued":{"date-parts":[["1991"]]}}}],"schema":"https://github.com/citation-style-language/schema/raw/master/csl-citation.json"}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(Biener &amp; Abrams, 1991)</w:t>
      </w:r>
      <w:r w:rsidRPr="0054600F">
        <w:rPr>
          <w:rFonts w:ascii="Times New Roman" w:hAnsi="Times New Roman" w:cs="Times New Roman"/>
        </w:rPr>
        <w:fldChar w:fldCharType="end"/>
      </w:r>
      <w:r w:rsidRPr="0054600F">
        <w:rPr>
          <w:rFonts w:ascii="Times New Roman" w:hAnsi="Times New Roman" w:cs="Times New Roman"/>
        </w:rPr>
        <w:t xml:space="preserve">: Participants completed the contemplation ladder to capture motivation (readiness) to quit smoking. The ladder was presented on a scale that ranged from 0 “no thought about quitting” to 10 “taking action to quit”.  </w:t>
      </w:r>
    </w:p>
    <w:p w14:paraId="2A607788" w14:textId="77777777" w:rsidR="0054600F" w:rsidRPr="0054600F" w:rsidRDefault="0054600F" w:rsidP="0054600F">
      <w:pPr>
        <w:pStyle w:val="NoSpacing"/>
        <w:spacing w:line="480" w:lineRule="auto"/>
        <w:rPr>
          <w:rFonts w:ascii="Times New Roman" w:hAnsi="Times New Roman" w:cs="Times New Roman"/>
        </w:rPr>
      </w:pPr>
    </w:p>
    <w:p w14:paraId="51D672B9" w14:textId="77777777" w:rsidR="0054600F" w:rsidRPr="0054600F" w:rsidRDefault="0054600F" w:rsidP="0054600F">
      <w:pPr>
        <w:pStyle w:val="NoSpacing"/>
        <w:spacing w:line="480" w:lineRule="auto"/>
        <w:rPr>
          <w:rFonts w:ascii="Times New Roman" w:hAnsi="Times New Roman" w:cs="Times New Roman"/>
        </w:rPr>
      </w:pPr>
      <w:r w:rsidRPr="00F01D7B">
        <w:rPr>
          <w:rFonts w:ascii="Times New Roman" w:hAnsi="Times New Roman" w:cs="Times New Roman"/>
          <w:i/>
          <w:iCs/>
        </w:rPr>
        <w:t>Demographic and smoking questions</w:t>
      </w:r>
      <w:r w:rsidRPr="0054600F">
        <w:rPr>
          <w:rFonts w:ascii="Times New Roman" w:hAnsi="Times New Roman" w:cs="Times New Roman"/>
        </w:rPr>
        <w:t>: Finally, we obtained demographic information such as participants’ age and gender. We asked additional questions regarding cigarette use such as quit attempts (if any), typical cigarette consumption per day, years smoked, and age of initiation of smoking.</w:t>
      </w:r>
    </w:p>
    <w:p w14:paraId="2AFC06A3" w14:textId="77777777" w:rsidR="0054600F" w:rsidRPr="0054600F" w:rsidRDefault="0054600F" w:rsidP="0054600F">
      <w:pPr>
        <w:pStyle w:val="NoSpacing"/>
        <w:spacing w:line="480" w:lineRule="auto"/>
        <w:rPr>
          <w:rFonts w:ascii="Times New Roman" w:hAnsi="Times New Roman" w:cs="Times New Roman"/>
        </w:rPr>
      </w:pPr>
    </w:p>
    <w:p w14:paraId="2197767B" w14:textId="77777777" w:rsidR="0054600F" w:rsidRPr="00F01D7B" w:rsidRDefault="0054600F" w:rsidP="0054600F">
      <w:pPr>
        <w:pStyle w:val="NoSpacing"/>
        <w:spacing w:line="480" w:lineRule="auto"/>
        <w:rPr>
          <w:rFonts w:ascii="Times New Roman" w:hAnsi="Times New Roman" w:cs="Times New Roman"/>
          <w:b/>
          <w:bCs/>
        </w:rPr>
      </w:pPr>
      <w:r w:rsidRPr="00F01D7B">
        <w:rPr>
          <w:rFonts w:ascii="Times New Roman" w:hAnsi="Times New Roman" w:cs="Times New Roman"/>
          <w:b/>
          <w:bCs/>
        </w:rPr>
        <w:t>Procedure</w:t>
      </w:r>
    </w:p>
    <w:p w14:paraId="4AA9094D" w14:textId="7FFC27CF"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This was an online study and participants were recruited via Prolific (</w:t>
      </w:r>
      <w:hyperlink r:id="rId43" w:history="1">
        <w:r w:rsidRPr="0054600F">
          <w:rPr>
            <w:rStyle w:val="Hyperlink"/>
            <w:rFonts w:ascii="Times New Roman" w:hAnsi="Times New Roman" w:cs="Times New Roman"/>
          </w:rPr>
          <w:t>https://www.prolific.co/</w:t>
        </w:r>
      </w:hyperlink>
      <w:r w:rsidRPr="0054600F">
        <w:rPr>
          <w:rFonts w:ascii="Times New Roman" w:hAnsi="Times New Roman" w:cs="Times New Roman"/>
        </w:rPr>
        <w:t xml:space="preserve">). In line with the procedure from </w:t>
      </w:r>
      <w:r w:rsidRPr="0054600F">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{"citationID":"QknQVwQD","properties":{"formattedCitation":"(Marcusson-Clavertz et al., 2019)","plainCitation":"(Marcusson-Clavertz et al., 2019)","dontUpdate":true,"noteIndex":0},"citationItems":[{"id":889,"uris":["http://zotero.org/users/7873587/items/J86QYCB2"],"itemData":{"id":889,"type":"article-journal","abstract":"Film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54600F">
        <w:rPr>
          <w:rFonts w:ascii="Times New Roman" w:hAnsi="Times New Roman" w:cs="Times New Roman"/>
        </w:rPr>
        <w:fldChar w:fldCharType="separate"/>
      </w:r>
      <w:r w:rsidRPr="0054600F">
        <w:rPr>
          <w:rFonts w:ascii="Times New Roman" w:hAnsi="Times New Roman" w:cs="Times New Roman"/>
        </w:rPr>
        <w:t>Marcusson-Clavertz et al. (2019)</w:t>
      </w:r>
      <w:r w:rsidRPr="0054600F">
        <w:rPr>
          <w:rFonts w:ascii="Times New Roman" w:hAnsi="Times New Roman" w:cs="Times New Roman"/>
        </w:rPr>
        <w:fldChar w:fldCharType="end"/>
      </w:r>
      <w:r w:rsidRPr="0054600F">
        <w:rPr>
          <w:rFonts w:ascii="Times New Roman" w:hAnsi="Times New Roman" w:cs="Times New Roman"/>
        </w:rPr>
        <w:t xml:space="preserve">, participants firstly completed a pre-screen phase where they answered questions to assess current depressive symptoms. If participants scored below a set threshold (&lt;1 on both questions) they were eligible to participate. This step was included to safeguard participants who might be vulnerable to distress induced by the negative mood induction. </w:t>
      </w:r>
    </w:p>
    <w:p w14:paraId="51D6A6CA" w14:textId="77777777" w:rsidR="0054600F" w:rsidRPr="0054600F" w:rsidRDefault="0054600F" w:rsidP="0054600F">
      <w:pPr>
        <w:pStyle w:val="NoSpacing"/>
        <w:spacing w:line="480" w:lineRule="auto"/>
        <w:rPr>
          <w:rFonts w:ascii="Times New Roman" w:hAnsi="Times New Roman" w:cs="Times New Roman"/>
        </w:rPr>
      </w:pPr>
    </w:p>
    <w:p w14:paraId="32C968BA" w14:textId="16D45E00" w:rsidR="0054600F" w:rsidRPr="0054600F" w:rsidRDefault="0054600F" w:rsidP="001748B7">
      <w:pPr>
        <w:pStyle w:val="NoSpacing"/>
        <w:spacing w:line="480" w:lineRule="auto"/>
        <w:rPr>
          <w:rFonts w:ascii="Times New Roman" w:hAnsi="Times New Roman" w:cs="Times New Roman"/>
        </w:rPr>
      </w:pPr>
      <w:r w:rsidRPr="0054600F">
        <w:rPr>
          <w:rFonts w:ascii="Times New Roman" w:hAnsi="Times New Roman" w:cs="Times New Roman"/>
        </w:rPr>
        <w:t xml:space="preserve">Eligible participants were subsequently invited to participate in the study which comprised two separate testing sessions (part 1 and part 2). Experimental condition assignment was </w:t>
      </w:r>
      <w:r w:rsidRPr="0054600F">
        <w:rPr>
          <w:rFonts w:ascii="Times New Roman" w:hAnsi="Times New Roman" w:cs="Times New Roman"/>
        </w:rPr>
        <w:lastRenderedPageBreak/>
        <w:t xml:space="preserve">counterbalanced across participants, such that for half of the sample the positive mood induction was first, whilst for the other half the negative mood induction was first (see Appendix D for order effect analyses). After completing part 1 of the study, all participants completed part 2 within 10 days. The average duration between participation in part 1 and part 2 was 2.65 days (SD = 1.69). In each experimental condition, participants firstly completed the image-rating phase. Next, they completed the questionnaires listed above in a randomised order (these were only completed in part 1 for each participant, i.e., the first experimental condition they took part in). Next, they self-reported their mood and subjective craving to smoke, both before and after watching the videos intended to manipulate mood, and this was followed by completion of the VBDM task. For a schematic overview of the procedure see Figure 5.1. Completion of both experimental conditions (i.e., negative mood and positive mood induction) took on average 88.30 minutes (SD = 19.07 minutes). Split by experimental condition, participants took on average 48.37 minutes (SD = 16.03 minutes) in the negative mood induction, and 39.93 minutes (SD = 12.00 minutes) in the positive mood induction. We anticipated that the duration of the negative condition would be slightly longer because this contained the mood repair video at the end. Both the image-rating phase and VBDM task (described below) were programmed in </w:t>
      </w:r>
      <w:proofErr w:type="spellStart"/>
      <w:r w:rsidRPr="0054600F">
        <w:rPr>
          <w:rFonts w:ascii="Times New Roman" w:hAnsi="Times New Roman" w:cs="Times New Roman"/>
        </w:rPr>
        <w:t>PsychoPy</w:t>
      </w:r>
      <w:proofErr w:type="spellEnd"/>
      <w:r w:rsidRPr="0054600F">
        <w:rPr>
          <w:rFonts w:ascii="Times New Roman" w:hAnsi="Times New Roman" w:cs="Times New Roman"/>
        </w:rPr>
        <w:t xml:space="preserve"> and hosted on </w:t>
      </w:r>
      <w:proofErr w:type="spellStart"/>
      <w:r w:rsidRPr="0054600F">
        <w:rPr>
          <w:rFonts w:ascii="Times New Roman" w:hAnsi="Times New Roman" w:cs="Times New Roman"/>
        </w:rPr>
        <w:t>Pavlovia</w:t>
      </w:r>
      <w:proofErr w:type="spellEnd"/>
      <w:r w:rsidRPr="0054600F">
        <w:rPr>
          <w:rFonts w:ascii="Times New Roman" w:hAnsi="Times New Roman" w:cs="Times New Roman"/>
        </w:rPr>
        <w:t xml:space="preserve"> </w:t>
      </w:r>
      <w:r w:rsidRPr="0054600F">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{"citationID":"Mp8Hh6l2","properties":{"formattedCitation":"(Peirce et al., 2019a)","plainCitation":"(Peirce et al., 2019a)","dontUpdate":true,"noteIndex":0},"citationItems":[{"id":40,"uris":["http://zotero.org/users/7873587/items/WL6HSKZ7"],"itemData":{"id":40,"type":"article-journal","abstract":"PsychoPy is an application for the creation of experiments in behavioral science (psychology, neuroscience, linguistics, etc.) with precise spatial control and timing of stimuli. It now provides a choice of interface; users can write scripts in Python if they choose, while those who prefer to construct experiments graphically can use the new Builder interface. Here we describe the features that have been added over the last 10 years of its development. The most notable addition has been that Builder interface, allowing users to create studies with minimal or no programming, while also allowing the insertion of Python code for maximal flexibility. We also present some of the other new features, including further stimulus options, asynchronous time-stamped hardware polling, and better support for open science and reproducibility. Tens of thousands of users now launch PsychoPy every month, and more than 90 people have contributed to the code. We discuss the current state of the project, as well as plans for the future.","container-title":"Behavior Research Methods","DOI":"10.3758/s13428-018-01193-y","ISSN":"1554-3528","issue":"1","journalAbbreviation":"Behav Res Methods","language":"eng","note":"PMID: 30734206\nPMCID: PMC6420413","page":"195-203","source":"PubMed","title":"PsychoPy2: Experiments in behavior made easy","title-short":"PsychoPy2","volume":"51","author":[{"family":"Peirce","given":"Jonathan"},{"family":"Gray","given":"Jeremy R."},{"family":"Simpson","given":"Sol"},{"family":"MacAskill","given":"Michael"},{"family":"Höchenberger","given":"Richard"},{"family":"Sogo","given":"Hiroyuki"},{"family":"Kastman","given":"Erik"},{"family":"Lindeløv","given":"Jonas Kristoffer"}],"issued":{"date-parts":[["2019"]]}}}],"schema":"https://github.com/citation-style-language/schema/raw/master/csl-citation.json"} </w:instrText>
      </w:r>
      <w:r w:rsidRPr="0054600F">
        <w:rPr>
          <w:rFonts w:ascii="Times New Roman" w:hAnsi="Times New Roman" w:cs="Times New Roman"/>
        </w:rPr>
        <w:fldChar w:fldCharType="separate"/>
      </w:r>
      <w:r w:rsidR="001748B7" w:rsidRPr="001748B7">
        <w:rPr>
          <w:rFonts w:ascii="Times New Roman" w:hAnsi="Times New Roman" w:cs="Times New Roman"/>
        </w:rPr>
        <w:t>(Peirce et al., 2019)</w:t>
      </w:r>
      <w:r w:rsidRPr="0054600F">
        <w:rPr>
          <w:rFonts w:ascii="Times New Roman" w:hAnsi="Times New Roman" w:cs="Times New Roman"/>
        </w:rPr>
        <w:fldChar w:fldCharType="end"/>
      </w:r>
      <w:r w:rsidRPr="0054600F">
        <w:rPr>
          <w:rFonts w:ascii="Times New Roman" w:hAnsi="Times New Roman" w:cs="Times New Roman"/>
        </w:rPr>
        <w:t xml:space="preserve">. </w:t>
      </w:r>
    </w:p>
    <w:p w14:paraId="73C37D23" w14:textId="77777777" w:rsidR="0054600F" w:rsidRPr="0054600F" w:rsidRDefault="0054600F" w:rsidP="0054600F">
      <w:pPr>
        <w:pStyle w:val="NoSpacing"/>
        <w:spacing w:line="480" w:lineRule="auto"/>
        <w:rPr>
          <w:rFonts w:ascii="Times New Roman" w:hAnsi="Times New Roman" w:cs="Times New Roman"/>
        </w:rPr>
      </w:pPr>
    </w:p>
    <w:p w14:paraId="2DA49230"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Image-rating phase</w:t>
      </w:r>
    </w:p>
    <w:p w14:paraId="1D8919A0" w14:textId="77777777" w:rsidR="0054600F" w:rsidRPr="0054600F" w:rsidRDefault="0054600F" w:rsidP="0054600F">
      <w:pPr>
        <w:pStyle w:val="NoSpacing"/>
        <w:spacing w:line="480" w:lineRule="auto"/>
        <w:rPr>
          <w:rFonts w:ascii="Times New Roman" w:hAnsi="Times New Roman" w:cs="Times New Roman"/>
        </w:rPr>
      </w:pPr>
      <w:r w:rsidRPr="0054600F">
        <w:rPr>
          <w:rFonts w:ascii="Times New Roman" w:hAnsi="Times New Roman" w:cs="Times New Roman"/>
        </w:rPr>
        <w:t xml:space="preserve">We asked participants to view two sets of 30 images (a tobacco-related set, and a tobacco-unrelated (animal) set) and make preferential judgements about them. This was done firstly for animal images and then for tobacco images. Each participant used a computer mouse to place each of the images into one of four boxes to indicate how positive they rate the image: ‘Most positive’, ‘Somewhat positive’, ‘Somewhat negative’, and ‘Most negative’. For each </w:t>
      </w:r>
      <w:r w:rsidRPr="0054600F">
        <w:rPr>
          <w:rFonts w:ascii="Times New Roman" w:hAnsi="Times New Roman" w:cs="Times New Roman"/>
        </w:rPr>
        <w:lastRenderedPageBreak/>
        <w:t>picture set, participants were instructed to rate all 30 images, whilst assigning at least five images to each category. All participants completed the rating task, which solicited the subjective values of the stimuli.</w:t>
      </w:r>
    </w:p>
    <w:p w14:paraId="2FA8CEF7" w14:textId="77777777" w:rsidR="0054600F" w:rsidRPr="0054600F" w:rsidRDefault="0054600F" w:rsidP="0054600F">
      <w:pPr>
        <w:pStyle w:val="NoSpacing"/>
        <w:spacing w:line="480" w:lineRule="auto"/>
        <w:rPr>
          <w:rFonts w:ascii="Times New Roman" w:hAnsi="Times New Roman" w:cs="Times New Roman"/>
        </w:rPr>
      </w:pPr>
    </w:p>
    <w:p w14:paraId="7A18AA46" w14:textId="77777777" w:rsidR="0054600F" w:rsidRPr="00F01D7B" w:rsidRDefault="0054600F" w:rsidP="0054600F">
      <w:pPr>
        <w:pStyle w:val="NoSpacing"/>
        <w:spacing w:line="480" w:lineRule="auto"/>
        <w:rPr>
          <w:rFonts w:ascii="Times New Roman" w:hAnsi="Times New Roman" w:cs="Times New Roman"/>
          <w:i/>
          <w:iCs/>
        </w:rPr>
      </w:pPr>
      <w:r w:rsidRPr="00F01D7B">
        <w:rPr>
          <w:rFonts w:ascii="Times New Roman" w:hAnsi="Times New Roman" w:cs="Times New Roman"/>
          <w:i/>
          <w:iCs/>
        </w:rPr>
        <w:t xml:space="preserve">Value-based decision-making (VBDM) task </w:t>
      </w:r>
    </w:p>
    <w:p w14:paraId="14468883" w14:textId="5C9318CE" w:rsidR="00F01D7B" w:rsidRDefault="0054600F" w:rsidP="00F01D7B">
      <w:pPr>
        <w:pStyle w:val="NoSpacing"/>
        <w:spacing w:line="480" w:lineRule="auto"/>
        <w:rPr>
          <w:rFonts w:ascii="Times New Roman" w:hAnsi="Times New Roman" w:cs="Times New Roman"/>
        </w:rPr>
      </w:pPr>
      <w:r w:rsidRPr="0054600F">
        <w:rPr>
          <w:rFonts w:ascii="Times New Roman" w:hAnsi="Times New Roman" w:cs="Times New Roman"/>
        </w:rPr>
        <w:t xml:space="preserve">In the VBDM task, five images were randomly selected from each of the value categories (‘Most positive’, ‘Somewhat positive’, ‘Somewhat negative’, and ‘Most negative’). To begin, images were displayed on the centre of the screen for 3 seconds each, followed by a 500ms fixation cross. The purpose of this was to show participants which 5 images from each value category had been selected at random, as well as to remind them how they evaluated each of the images. Following this, participants completed the task. On each trial, two images appeared in the centre of the screen (one on the left and one on the right), and participants were instructed to use one of two keys to choose the image that they rated higher by pressing one of two keys (‘Z’ for left and ‘M’ for right) as quickly as possible (see Figure 5.2). To familiarise participants with the task, they completed a practice block consisting of 12 trials (50% tobacco-unrelated (animal) trials and 50% tobacco-related trials). Next, they completed the task which comprised two blocks (a tobacco-unrelated (animal) block and a tobacco-related block; order randomized) of 150 trials (300 trials in total with embedded breaks after every 50 trials). Difficulty levels for each trial were varied, in that the difference in rating between the two images could be 1, 2 or 3 (hard, medium, and easy choices respectively). When the differences in the value ratings between the two images were minimal (i.e., rating difference 1, e.g., ‘Somewhat positive’, ‘Somewhat negative’), these were difficult trials because it is harder to immediately distinguish which one is higher in value. However, when the differences in the value ratings between the two images were large (i.e., rating difference 3, e.g., ‘Most positive’ versus ‘Most negative’), these were easier trials because it is likely to </w:t>
      </w:r>
      <w:r w:rsidRPr="0054600F">
        <w:rPr>
          <w:rFonts w:ascii="Times New Roman" w:hAnsi="Times New Roman" w:cs="Times New Roman"/>
        </w:rPr>
        <w:lastRenderedPageBreak/>
        <w:t xml:space="preserve">be more apparent which one is higher in value. On each trial there was an image that had been rated higher, and whether this appeared on the left or the right of the screen was random so that the ‘correct’ answer should have been a left or right key press with equal frequency. Participants were given </w:t>
      </w:r>
      <w:r w:rsidR="00463E60">
        <w:rPr>
          <w:rFonts w:ascii="Times New Roman" w:hAnsi="Times New Roman" w:cs="Times New Roman"/>
        </w:rPr>
        <w:t xml:space="preserve">a </w:t>
      </w:r>
      <w:r w:rsidRPr="0054600F">
        <w:rPr>
          <w:rFonts w:ascii="Times New Roman" w:hAnsi="Times New Roman" w:cs="Times New Roman"/>
        </w:rPr>
        <w:t xml:space="preserve">maximum of four seconds to respond on each trial, responses outside of this response window were classed as “miss trials” as commonly used in VBDM tasks </w:t>
      </w:r>
      <w:r w:rsidR="009D3289">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{"citationID":"Nv9chZD8","properties":{"formattedCitation":"(Polan\\uc0\\u237{}a et al., 2014)","plainCitation":"(Polanía et al., 2014)","noteIndex":0},"citationItems":[{"id":1544,"uris":["http://zotero.org/users/7873587/items/S2B2VYDB"],"itemData":{"id":1544,"type":"article-journal","abstract":"Organisms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C."}],"issued":{"date-parts":[["2014",5,7]]}}}],"schema":"https://github.com/citation-style-language/schema/raw/master/csl-citation.json"} </w:instrText>
      </w:r>
      <w:r w:rsidR="009D3289">
        <w:rPr>
          <w:rFonts w:ascii="Times New Roman" w:hAnsi="Times New Roman" w:cs="Times New Roman"/>
        </w:rPr>
        <w:fldChar w:fldCharType="separate"/>
      </w:r>
      <w:r w:rsidR="005D0EB3" w:rsidRPr="005D0EB3">
        <w:rPr>
          <w:rFonts w:ascii="Times New Roman" w:hAnsi="Times New Roman" w:cs="Times New Roman"/>
        </w:rPr>
        <w:t>(Polanía et al., 2014)</w:t>
      </w:r>
      <w:r w:rsidR="009D3289">
        <w:rPr>
          <w:rFonts w:ascii="Times New Roman" w:hAnsi="Times New Roman" w:cs="Times New Roman"/>
        </w:rPr>
        <w:fldChar w:fldCharType="end"/>
      </w:r>
      <w:r w:rsidR="005D0EB3">
        <w:rPr>
          <w:rFonts w:ascii="Times New Roman" w:hAnsi="Times New Roman" w:cs="Times New Roman"/>
        </w:rPr>
        <w:t>.</w:t>
      </w:r>
    </w:p>
    <w:p w14:paraId="39DE73B5" w14:textId="77777777" w:rsidR="00F01D7B" w:rsidRPr="00F01D7B" w:rsidRDefault="00F01D7B" w:rsidP="00F01D7B">
      <w:pPr>
        <w:pStyle w:val="NoSpacing"/>
        <w:spacing w:line="480" w:lineRule="auto"/>
        <w:rPr>
          <w:rFonts w:ascii="Times New Roman" w:hAnsi="Times New Roman" w:cs="Times New Roman"/>
        </w:rPr>
      </w:pPr>
    </w:p>
    <w:p w14:paraId="3F9A7AED" w14:textId="70EFC827" w:rsidR="0054600F" w:rsidRPr="003F1EA9" w:rsidRDefault="0054600F" w:rsidP="00F01D7B">
      <w:pPr>
        <w:pStyle w:val="NoSpacing"/>
        <w:spacing w:line="480" w:lineRule="auto"/>
        <w:rPr>
          <w:rFonts w:ascii="Times New Roman" w:hAnsi="Times New Roman" w:cs="Times New Roman"/>
          <w:b/>
          <w:bCs/>
        </w:rPr>
      </w:pPr>
      <w:bookmarkStart w:id="225" w:name="_Hlk110614400"/>
      <w:r w:rsidRPr="003F1EA9">
        <w:rPr>
          <w:rFonts w:ascii="Times New Roman" w:hAnsi="Times New Roman" w:cs="Times New Roman"/>
          <w:b/>
          <w:bCs/>
        </w:rPr>
        <w:t>Figure 5.1</w:t>
      </w:r>
    </w:p>
    <w:p w14:paraId="0B4F6491" w14:textId="190E30C7" w:rsidR="006D2E38" w:rsidRPr="003F1EA9" w:rsidRDefault="0054600F" w:rsidP="0054600F">
      <w:pPr>
        <w:pStyle w:val="NoSpacing"/>
        <w:rPr>
          <w:rFonts w:ascii="Times New Roman" w:hAnsi="Times New Roman" w:cs="Times New Roman"/>
          <w:i/>
          <w:iCs/>
        </w:rPr>
      </w:pPr>
      <w:r w:rsidRPr="003F1EA9">
        <w:rPr>
          <w:rFonts w:ascii="Times New Roman" w:hAnsi="Times New Roman" w:cs="Times New Roman"/>
          <w:i/>
          <w:iCs/>
        </w:rPr>
        <w:t>Schematic overview of the study procedure</w:t>
      </w:r>
    </w:p>
    <w:bookmarkEnd w:id="225"/>
    <w:p w14:paraId="5071F3E5" w14:textId="77777777" w:rsidR="00FB7CBA" w:rsidRPr="00F01D7B" w:rsidRDefault="00FB7CBA" w:rsidP="0054600F">
      <w:pPr>
        <w:pStyle w:val="NoSpacing"/>
        <w:rPr>
          <w:rFonts w:ascii="Times New Roman" w:hAnsi="Times New Roman" w:cs="Times New Roman"/>
        </w:rPr>
      </w:pPr>
    </w:p>
    <w:p w14:paraId="3014812F" w14:textId="1B06529E" w:rsidR="006D2E38" w:rsidRDefault="00FB7CBA" w:rsidP="00FB7CBA">
      <w:pPr>
        <w:pStyle w:val="NoSpacing"/>
        <w:spacing w:line="480" w:lineRule="auto"/>
        <w:jc w:val="center"/>
        <w:rPr>
          <w:rFonts w:ascii="Times New Roman" w:hAnsi="Times New Roman" w:cs="Times New Roman"/>
        </w:rPr>
      </w:pPr>
      <w:r w:rsidRPr="00BA6B45">
        <w:rPr>
          <w:rFonts w:asciiTheme="majorBidi" w:hAnsiTheme="majorBidi" w:cstheme="majorBidi"/>
          <w:noProof/>
        </w:rPr>
        <w:drawing>
          <wp:inline distT="0" distB="0" distL="0" distR="0" wp14:anchorId="5C9C3630" wp14:editId="6FD7B184">
            <wp:extent cx="4999355" cy="391414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9355" cy="3914140"/>
                    </a:xfrm>
                    <a:prstGeom prst="rect">
                      <a:avLst/>
                    </a:prstGeom>
                    <a:noFill/>
                  </pic:spPr>
                </pic:pic>
              </a:graphicData>
            </a:graphic>
          </wp:inline>
        </w:drawing>
      </w:r>
    </w:p>
    <w:p w14:paraId="0A0AEB9D" w14:textId="03282D2C" w:rsidR="00FB7CBA" w:rsidRDefault="00FB7CBA" w:rsidP="00FB7CBA">
      <w:pPr>
        <w:pStyle w:val="NoSpacing"/>
        <w:spacing w:line="480" w:lineRule="auto"/>
        <w:rPr>
          <w:rFonts w:ascii="Times New Roman" w:hAnsi="Times New Roman" w:cs="Times New Roman"/>
        </w:rPr>
      </w:pPr>
      <w:r w:rsidRPr="00FB7CBA">
        <w:rPr>
          <w:rFonts w:ascii="Times New Roman" w:hAnsi="Times New Roman" w:cs="Times New Roman"/>
          <w:i/>
          <w:iCs/>
        </w:rPr>
        <w:t>Note.</w:t>
      </w:r>
      <w:r w:rsidRPr="00FB7CBA">
        <w:rPr>
          <w:rFonts w:ascii="Times New Roman" w:hAnsi="Times New Roman" w:cs="Times New Roman"/>
        </w:rPr>
        <w:t xml:space="preserve"> Self-report questionnaires comprise demographic questions (age and gender), questions about cigarette use such as quit attempts (if any), typical cigarette consumption per day, years smoked, and age of initiation of smoking, </w:t>
      </w:r>
      <w:proofErr w:type="spellStart"/>
      <w:r w:rsidRPr="00FB7CBA">
        <w:rPr>
          <w:rFonts w:ascii="Times New Roman" w:hAnsi="Times New Roman" w:cs="Times New Roman"/>
        </w:rPr>
        <w:t>Fagerström</w:t>
      </w:r>
      <w:proofErr w:type="spellEnd"/>
      <w:r w:rsidRPr="00FB7CBA">
        <w:rPr>
          <w:rFonts w:ascii="Times New Roman" w:hAnsi="Times New Roman" w:cs="Times New Roman"/>
        </w:rPr>
        <w:t xml:space="preserve"> Test for Cigarette Dependence, the Brief self-control scale (BSCS), the Cigarette Purchase Task (CPT), and a Contemplation </w:t>
      </w:r>
      <w:r w:rsidRPr="00FB7CBA">
        <w:rPr>
          <w:rFonts w:ascii="Times New Roman" w:hAnsi="Times New Roman" w:cs="Times New Roman"/>
        </w:rPr>
        <w:lastRenderedPageBreak/>
        <w:t>Ladder. The order of mood induction was counterbalanced, and participants only completed the self-report questionnaires in the first experimental condition that they completed.</w:t>
      </w:r>
    </w:p>
    <w:p w14:paraId="4BD78B72" w14:textId="77777777" w:rsidR="00FB7CBA" w:rsidRDefault="00FB7CBA" w:rsidP="00FB7CBA">
      <w:pPr>
        <w:pStyle w:val="NoSpacing"/>
        <w:spacing w:line="480" w:lineRule="auto"/>
        <w:rPr>
          <w:rFonts w:ascii="Times New Roman" w:hAnsi="Times New Roman" w:cs="Times New Roman"/>
        </w:rPr>
      </w:pPr>
    </w:p>
    <w:p w14:paraId="5FAA2935" w14:textId="77777777" w:rsidR="00FB7CBA" w:rsidRPr="003F1EA9" w:rsidRDefault="00FB7CBA" w:rsidP="00FB7CBA">
      <w:pPr>
        <w:pStyle w:val="NoSpacing"/>
        <w:spacing w:line="480" w:lineRule="auto"/>
        <w:rPr>
          <w:rFonts w:ascii="Times New Roman" w:hAnsi="Times New Roman" w:cs="Times New Roman"/>
          <w:b/>
          <w:bCs/>
        </w:rPr>
      </w:pPr>
      <w:bookmarkStart w:id="226" w:name="_Hlk110614410"/>
      <w:r w:rsidRPr="003F1EA9">
        <w:rPr>
          <w:rFonts w:ascii="Times New Roman" w:hAnsi="Times New Roman" w:cs="Times New Roman"/>
          <w:b/>
          <w:bCs/>
        </w:rPr>
        <w:t>Figure 5.2</w:t>
      </w:r>
    </w:p>
    <w:p w14:paraId="3759AC41" w14:textId="60A72073" w:rsidR="00FB7CBA" w:rsidRPr="003F1EA9" w:rsidRDefault="00FB7CBA" w:rsidP="00FB7CBA">
      <w:pPr>
        <w:pStyle w:val="NoSpacing"/>
        <w:spacing w:line="480" w:lineRule="auto"/>
        <w:rPr>
          <w:rFonts w:ascii="Times New Roman" w:hAnsi="Times New Roman" w:cs="Times New Roman"/>
          <w:i/>
          <w:iCs/>
        </w:rPr>
      </w:pPr>
      <w:r w:rsidRPr="003F1EA9">
        <w:rPr>
          <w:rFonts w:ascii="Times New Roman" w:hAnsi="Times New Roman" w:cs="Times New Roman"/>
          <w:i/>
          <w:iCs/>
        </w:rPr>
        <w:t>Schematic depiction of typical tobacco block (left) and typical animal block (right) trials</w:t>
      </w:r>
    </w:p>
    <w:bookmarkEnd w:id="226"/>
    <w:p w14:paraId="0694D6BD" w14:textId="524FB8D7" w:rsidR="00FB7CBA" w:rsidRPr="00FB7CBA" w:rsidRDefault="00FB7CBA" w:rsidP="00FB7CBA">
      <w:pPr>
        <w:pStyle w:val="NoSpacing"/>
        <w:spacing w:line="480" w:lineRule="auto"/>
        <w:jc w:val="center"/>
        <w:rPr>
          <w:rFonts w:ascii="Times New Roman" w:hAnsi="Times New Roman" w:cs="Times New Roman"/>
        </w:rPr>
      </w:pPr>
      <w:r w:rsidRPr="00BA6B45">
        <w:rPr>
          <w:rFonts w:asciiTheme="majorBidi" w:hAnsiTheme="majorBidi" w:cstheme="majorBidi"/>
          <w:noProof/>
        </w:rPr>
        <w:drawing>
          <wp:inline distT="0" distB="0" distL="0" distR="0" wp14:anchorId="5772E97E" wp14:editId="2659D14A">
            <wp:extent cx="5727700" cy="246866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7700" cy="2468661"/>
                    </a:xfrm>
                    <a:prstGeom prst="rect">
                      <a:avLst/>
                    </a:prstGeom>
                    <a:noFill/>
                  </pic:spPr>
                </pic:pic>
              </a:graphicData>
            </a:graphic>
          </wp:inline>
        </w:drawing>
      </w:r>
    </w:p>
    <w:p w14:paraId="2405E0EB" w14:textId="5C2E5966" w:rsidR="00FB7CBA" w:rsidRPr="00BA090B" w:rsidRDefault="00FB7CBA" w:rsidP="00BA090B">
      <w:pPr>
        <w:spacing w:line="480" w:lineRule="auto"/>
        <w:rPr>
          <w:rFonts w:ascii="Times New Roman" w:hAnsi="Times New Roman" w:cs="Times New Roman"/>
        </w:rPr>
      </w:pPr>
      <w:r w:rsidRPr="00BA6B45">
        <w:rPr>
          <w:rFonts w:asciiTheme="majorBidi" w:hAnsiTheme="majorBidi" w:cstheme="majorBidi"/>
          <w:i/>
          <w:iCs/>
        </w:rPr>
        <w:t>Note.</w:t>
      </w:r>
      <w:r w:rsidRPr="00BA6B45">
        <w:rPr>
          <w:rFonts w:asciiTheme="majorBidi" w:hAnsiTheme="majorBidi" w:cstheme="majorBidi"/>
        </w:rPr>
        <w:t xml:space="preserve"> </w:t>
      </w:r>
      <w:bookmarkStart w:id="227" w:name="_Hlk109219099"/>
      <w:r w:rsidRPr="00BA6B45">
        <w:rPr>
          <w:rFonts w:asciiTheme="majorBidi" w:hAnsiTheme="majorBidi" w:cstheme="majorBidi"/>
        </w:rPr>
        <w:t xml:space="preserve">The question asked was “Which did you rate higher? Press ‘Z’ for the left image or ‘M’ for the right image”. Participants had 4 seconds to make a decision per trial, and each trial </w:t>
      </w:r>
      <w:r w:rsidRPr="00BA090B">
        <w:rPr>
          <w:rFonts w:ascii="Times New Roman" w:hAnsi="Times New Roman" w:cs="Times New Roman"/>
        </w:rPr>
        <w:t>was followed by a 500ms fixation cross located in the centre of the screen.</w:t>
      </w:r>
      <w:bookmarkEnd w:id="227"/>
      <w:r w:rsidR="004A7333" w:rsidRPr="004A7333">
        <w:t xml:space="preserve"> </w:t>
      </w:r>
      <w:bookmarkStart w:id="228" w:name="_Hlk110698979"/>
      <w:r w:rsidR="004A7333" w:rsidRPr="004A7333">
        <w:rPr>
          <w:rFonts w:ascii="Times New Roman" w:hAnsi="Times New Roman" w:cs="Times New Roman"/>
        </w:rPr>
        <w:t xml:space="preserve">Images are taken from the </w:t>
      </w:r>
      <w:r w:rsidR="004A7333" w:rsidRPr="0054600F">
        <w:rPr>
          <w:rFonts w:ascii="Times New Roman" w:hAnsi="Times New Roman" w:cs="Times New Roman"/>
        </w:rPr>
        <w:t xml:space="preserve">Geneva smoking pictures data set </w:t>
      </w:r>
      <w:r w:rsidR="004A7333" w:rsidRPr="0054600F">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{"citationID":"m40SQcJ1","properties":{"formattedCitation":"(Khazaal et al., 2012)","plainCitation":"(Khazaal et al., 2012)","noteIndex":0},"citationItems":[{"id":883,"uris":["http://zotero.org/users/7873587/items/EIAC8EKF"],"itemData":{"id":883,"type":"article-journal","abstract":"Cue reactivity is essential to the maintenance of addictive disorders. A useful way to study cue reactivity is by means of normative pictures, but few validated tobacco-related pictures are available. This study describes a database of smoking-related pictures: The Geneva Smoking Pictures (GSP). Sixty smoking-related pictures were presented to 91 participants who assessed them according to the classic emotional pictures validation provided by the International Affective Picture System (NIMH Center for the Study of Emotion and Attention, 2002). The pictures were rated according to three dimensions: (1) valence (from positive to negative), (2) emotional arousal (from high arousing to low arousing), and (3) dominance (from submissive to dominant). Participants were also screened with the Fagerström Test for Nicotine Dependence. Normative ratings for valence, arousal and dominance of the pictures are provided for the whole sample, as well as separately for dependent (n = 46) and nondependent smokers (n = 45). Arousal and dominance were associated with greater nicotine dependence, but valence ratings were not. The GSP is a normative database providing a large number of stimuli for investigators who are conducting nicotine and tobacco research.","container-title":"European Addiction Research","DOI":"10.1159/000335083","ISSN":"1421-9891","issue":"3","journalAbbreviation":"Eur Addict Res","language":"eng","note":"PMID: 22285929","page":"103-109","source":"PubMed","title":"The Geneva Smoking Pictures: development and preliminary validation","title-short":"The Geneva Smoking Pictures","volume":"18","author":[{"family":"Khazaal","given":"Yasser"},{"family":"Zullino","given":"Daniele"},{"family":"Billieux","given":"Joël"}],"issued":{"date-parts":[["2012"]]}}}],"schema":"https://github.com/citation-style-language/schema/raw/master/csl-citation.json"} </w:instrText>
      </w:r>
      <w:r w:rsidR="004A7333" w:rsidRPr="0054600F">
        <w:rPr>
          <w:rFonts w:ascii="Times New Roman" w:hAnsi="Times New Roman" w:cs="Times New Roman"/>
        </w:rPr>
        <w:fldChar w:fldCharType="separate"/>
      </w:r>
      <w:r w:rsidR="004A7333" w:rsidRPr="0054600F">
        <w:rPr>
          <w:rFonts w:ascii="Times New Roman" w:hAnsi="Times New Roman" w:cs="Times New Roman"/>
        </w:rPr>
        <w:t>(Khazaal et al., 2012)</w:t>
      </w:r>
      <w:r w:rsidR="004A7333" w:rsidRPr="0054600F">
        <w:rPr>
          <w:rFonts w:ascii="Times New Roman" w:hAnsi="Times New Roman" w:cs="Times New Roman"/>
        </w:rPr>
        <w:fldChar w:fldCharType="end"/>
      </w:r>
      <w:r w:rsidR="004A7333">
        <w:rPr>
          <w:rFonts w:ascii="Times New Roman" w:hAnsi="Times New Roman" w:cs="Times New Roman"/>
        </w:rPr>
        <w:t xml:space="preserve"> and </w:t>
      </w:r>
      <w:r w:rsidR="004A7333" w:rsidRPr="0054600F">
        <w:rPr>
          <w:rFonts w:ascii="Times New Roman" w:hAnsi="Times New Roman" w:cs="Times New Roman"/>
        </w:rPr>
        <w:t xml:space="preserve">the international affective picture system (IAPS) data set </w:t>
      </w:r>
      <w:r w:rsidR="004A7333" w:rsidRPr="0054600F">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{"citationID":"gM2tcAPv","properties":{"formattedCitation":"(Lang et al., 2008)","plainCitation":"(Lang et al., 2008)","noteIndex":0},"citationItems":[{"id":887,"uris":["http://zotero.org/users/7873587/items/JE4HN9LE"],"itemData":{"id":887,"type":"report","publisher":"University of Florida","source":"CiNii","title":"International affective picture system (IAPS): affective ratings of pictures and instruction manual","title-short":"International affective picture system (IAPS)","URL":"https://ci.nii.ac.jp/naid/20001061266/","author":[{"family":"Lang","given":"Peter J."},{"family":"Bradley","given":"M"},{"family":"Cuthbert","given":"B"}],"accessed":{"date-parts":[["2022",3,17]]},"issued":{"date-parts":[["2008"]]}}}],"schema":"https://github.com/citation-style-language/schema/raw/master/csl-citation.json"} </w:instrText>
      </w:r>
      <w:r w:rsidR="004A7333" w:rsidRPr="0054600F">
        <w:rPr>
          <w:rFonts w:ascii="Times New Roman" w:hAnsi="Times New Roman" w:cs="Times New Roman"/>
        </w:rPr>
        <w:fldChar w:fldCharType="separate"/>
      </w:r>
      <w:r w:rsidR="004A7333" w:rsidRPr="0054600F">
        <w:rPr>
          <w:rFonts w:ascii="Times New Roman" w:hAnsi="Times New Roman" w:cs="Times New Roman"/>
        </w:rPr>
        <w:t>(Lang et al., 2008)</w:t>
      </w:r>
      <w:r w:rsidR="004A7333" w:rsidRPr="0054600F">
        <w:rPr>
          <w:rFonts w:ascii="Times New Roman" w:hAnsi="Times New Roman" w:cs="Times New Roman"/>
        </w:rPr>
        <w:fldChar w:fldCharType="end"/>
      </w:r>
      <w:r w:rsidR="004A7333" w:rsidRPr="0054600F">
        <w:rPr>
          <w:rFonts w:ascii="Times New Roman" w:hAnsi="Times New Roman" w:cs="Times New Roman"/>
        </w:rPr>
        <w:t>.</w:t>
      </w:r>
    </w:p>
    <w:bookmarkEnd w:id="228"/>
    <w:p w14:paraId="49ADD583" w14:textId="77777777" w:rsidR="00BA090B" w:rsidRPr="00BA090B" w:rsidRDefault="00BA090B" w:rsidP="00BA090B">
      <w:pPr>
        <w:pStyle w:val="NoSpacing"/>
        <w:spacing w:line="480" w:lineRule="auto"/>
        <w:rPr>
          <w:rFonts w:ascii="Times New Roman" w:hAnsi="Times New Roman" w:cs="Times New Roman"/>
        </w:rPr>
      </w:pPr>
    </w:p>
    <w:p w14:paraId="14A5E01D" w14:textId="119B81FB" w:rsidR="00BA090B" w:rsidRPr="00BA090B" w:rsidRDefault="00BA090B" w:rsidP="00BA090B">
      <w:pPr>
        <w:pStyle w:val="NoSpacing"/>
        <w:spacing w:line="480" w:lineRule="auto"/>
        <w:rPr>
          <w:rFonts w:ascii="Times New Roman" w:hAnsi="Times New Roman" w:cs="Times New Roman"/>
          <w:b/>
          <w:bCs/>
        </w:rPr>
      </w:pPr>
      <w:r w:rsidRPr="00BA090B">
        <w:rPr>
          <w:rFonts w:ascii="Times New Roman" w:hAnsi="Times New Roman" w:cs="Times New Roman"/>
          <w:b/>
          <w:bCs/>
        </w:rPr>
        <w:t xml:space="preserve">Data preparation and analysis </w:t>
      </w:r>
    </w:p>
    <w:p w14:paraId="52E0A24E" w14:textId="6EE9028D" w:rsidR="00BA090B" w:rsidRDefault="00BA090B" w:rsidP="00461459">
      <w:pPr>
        <w:pStyle w:val="NoSpacing"/>
        <w:spacing w:line="480" w:lineRule="auto"/>
        <w:rPr>
          <w:rFonts w:ascii="Times New Roman" w:hAnsi="Times New Roman" w:cs="Times New Roman"/>
        </w:rPr>
      </w:pPr>
      <w:r w:rsidRPr="00BA090B">
        <w:rPr>
          <w:rFonts w:ascii="Times New Roman" w:hAnsi="Times New Roman" w:cs="Times New Roman"/>
        </w:rPr>
        <w:t>On the VBDM task, “miss trials” (responses exceeding 4 seconds) were removed (0.15%) in addition to trials that were under 300ms (0.21%) as these are likely to be fast guesses</w:t>
      </w:r>
      <w:r w:rsidR="006023CF">
        <w:rPr>
          <w:rFonts w:ascii="Times New Roman" w:hAnsi="Times New Roman" w:cs="Times New Roman"/>
        </w:rPr>
        <w:t xml:space="preserve"> </w:t>
      </w:r>
      <w:r w:rsidR="006023CF">
        <w:rPr>
          <w:rFonts w:ascii="Times New Roman" w:hAnsi="Times New Roman" w:cs="Times New Roman"/>
        </w:rPr>
        <w:fldChar w:fldCharType="begin"/>
      </w:r>
      <w:r w:rsidR="006023CF">
        <w:rPr>
          <w:rFonts w:ascii="Times New Roman" w:hAnsi="Times New Roman" w:cs="Times New Roman"/>
        </w:rPr>
        <w:instrText xml:space="preserve"> ADDIN ZOTERO_ITEM CSL_CITATION {"citationID":"LlHGdlPA","properties":{"formattedCitation":"(Ratcliff et al., 2006b)","plainCitation":"(Ratcliff et al., 2006b)","noteIndex":0},"citationItems":[{"id":658,"uris":["http://zotero.org/users/7873587/items/GVYLJ39Z"],"itemData":{"id":658,"type":"article-journal","abstract":"Practice effects were examined in a masked letter discrimination task and a masked brightness discrimination task for college-age and 60- to 75-year-old subjects. The diffusion model (Ratcliff, 1978) was fit to the response time and accuracy data and used to extract estimates of components of processing from the data. Relative to young subjects, the older subjects began the experiments with slower and less accurate performance; however, across sessions their accuracy improved because the quality of the information on which their decisions were based improved, and this, along with reduced decision criteria, led to shorter response times. For the brightness, but not the letter, discrimination task, the older subjects' performance matched that of the younger group by the end of 4 sessions, except that their nondecision components of processing were slightly slower. These analyses illustrate how a well-specified model can provide a unified view of multiple aspects of data that are often interpreted separately.","container-title":"Psychology and Aging","DOI":"10.1037/0882-7974.21.2.353","ISSN":"0882-7974","issue":"2","journalAbbreviation":"Psychol Aging","language":"eng","note":"PMID: 16768580\nPMCID: PMC2386252","page":"353-371","source":"PubMed","title":"Aging, practice, and perceptual tasks: a diffusion model analysis","title-short":"Aging, practice, and perceptual tasks","volume":"21","author":[{"family":"Ratcliff","given":"Roger"},{"family":"Thapar","given":"Anjali"},{"family":"McKoon","given":"Gail"}],"issued":{"date-parts":[["2006",6]]}}}],"schema":"https://github.com/citation-style-language/schema/raw/master/csl-citation.json"} </w:instrText>
      </w:r>
      <w:r w:rsidR="006023CF">
        <w:rPr>
          <w:rFonts w:ascii="Times New Roman" w:hAnsi="Times New Roman" w:cs="Times New Roman"/>
        </w:rPr>
        <w:fldChar w:fldCharType="separate"/>
      </w:r>
      <w:r w:rsidR="006023CF" w:rsidRPr="006023CF">
        <w:rPr>
          <w:rFonts w:ascii="Times New Roman" w:hAnsi="Times New Roman" w:cs="Times New Roman"/>
        </w:rPr>
        <w:t>(Ratcliff et al., 2006b)</w:t>
      </w:r>
      <w:r w:rsidR="006023CF">
        <w:rPr>
          <w:rFonts w:ascii="Times New Roman" w:hAnsi="Times New Roman" w:cs="Times New Roman"/>
        </w:rPr>
        <w:fldChar w:fldCharType="end"/>
      </w:r>
      <w:r w:rsidRPr="00BA090B">
        <w:rPr>
          <w:rFonts w:ascii="Times New Roman" w:hAnsi="Times New Roman" w:cs="Times New Roman"/>
        </w:rPr>
        <w:t xml:space="preserve">. This resulted in the overall removal of 0.36% of trials. We then fitted the DDM </w:t>
      </w:r>
      <w:r w:rsidRPr="00BA090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{"citationID":"8vjSkfVN","properties":{"formattedCitation":"(Ratcliff &amp; McKoon, 2008b)","plainCitation":"(Ratcliff &amp; McKoon, 2008b)","dontUpdate":true,"noteIndex":0},"citationItems":[{"id":1541,"uris":["http://zotero.org/users/7873587/items/DJFYEPQB"],"itemData":{"id":1541,"type":"article-journal","abstract":"The diffusion decision model allows detailed explanations of behavior in two-choice discrimination tasks. In this article, the model is reviewed to show how it translates behavioral data—accuracy, mean response times, and response time distributions—into components of cognitive processing. Three experiments are used to illustrate experimental manipulations of three components: stimulus difficulty affects the quality of information on which a decision is based; instructions emphasizing either speed or accuracy affect the criterial amounts of information that a subject requires before initiating a response; and the relative proportions of the two stimuli affect biases in drift rate and starting point. The experiments also illustrate the strong constraints that ensure the model is empirically testable and potentially falsifiable. The broad range of applications of the model is also reviewed, including research in the domains of aging and neurophysiology.","container-title":"Neural computation","DOI":"10.1162/neco.2008.12-06-420","ISSN":"0899-7667","issue":"4","journalAbbreviation":"Neural Comput","note":"PMID: 18085991\nPMCID: PMC2474742","page":"873-922","source":"PubMed Central","title":"The Diffusion Decision Model: Theory and Data for Two-Choice Decision Tasks","title-short":"The Diffusion Decision Model","volume":"20","author":[{"family":"Ratcliff","given":"Roger"},{"family":"McKoon","given":"Gail"}],"issued":{"date-parts":[["2008",4]]}}}],"schema":"https://github.com/citation-style-language/schema/raw/master/csl-citation.json"} </w:instrText>
      </w:r>
      <w:r w:rsidRPr="00BA090B">
        <w:rPr>
          <w:rFonts w:ascii="Times New Roman" w:hAnsi="Times New Roman" w:cs="Times New Roman"/>
        </w:rPr>
        <w:fldChar w:fldCharType="separate"/>
      </w:r>
      <w:r w:rsidR="00FC6425" w:rsidRPr="00FC6425">
        <w:rPr>
          <w:rFonts w:ascii="Times New Roman" w:hAnsi="Times New Roman" w:cs="Times New Roman"/>
        </w:rPr>
        <w:t>(Ratcliff &amp; McKoon, 2008)</w:t>
      </w:r>
      <w:r w:rsidRPr="00BA090B">
        <w:rPr>
          <w:rFonts w:ascii="Times New Roman" w:hAnsi="Times New Roman" w:cs="Times New Roman"/>
        </w:rPr>
        <w:fldChar w:fldCharType="end"/>
      </w:r>
      <w:r w:rsidRPr="00BA090B">
        <w:rPr>
          <w:rFonts w:ascii="Times New Roman" w:hAnsi="Times New Roman" w:cs="Times New Roman"/>
        </w:rPr>
        <w:t xml:space="preserve"> using the EZ method </w:t>
      </w:r>
      <w:r w:rsidR="001A5D31">
        <w:rPr>
          <w:rFonts w:ascii="Times New Roman" w:hAnsi="Times New Roman" w:cs="Times New Roman"/>
        </w:rPr>
        <w:fldChar w:fldCharType="begin"/>
      </w:r>
      <w:r w:rsidR="001A5D31">
        <w:rPr>
          <w:rFonts w:ascii="Times New Roman" w:hAnsi="Times New Roman" w:cs="Times New Roman"/>
        </w:rPr>
        <w:instrText xml:space="preserve"> ADDIN ZOTERO_ITEM CSL_CITATION {"citationID":"4ArQ3uEx","properties":{"formattedCitation":"(Wagenmakers et al., 2007)","plainCitation":"(Wagenmakers et al., 2007)","noteIndex":0},"citationItems":[{"id":52,"uris":["http://zotero.org/users/7873587/items/6JI6YTPQ"],"itemData":{"id":52,"type":"article-journal","abstract":"The EZ-diffusion model for two-choice response time tasks takes mean response time, the variance of response time, and response accuracy as inputs. The model transforms these data via three simple equations to produce unique values for the quality of information, response conservativeness, and nondecision time. This transformation of observed data in terms of unobserved variables addresses the speed—accuracy trade-off and allows an unambiguous quantification of performance differences in two-choice response time tasks. The EZ-diffusion model can be applied to data-sparse situations to facilitate individual subject analysis. We studied the performance of the EZ-diffusion model in terms of parameter recovery and robustness against misspecification by using Monte Carlo simulations. The EZ model was also applied to a real-world data set.","container-title":"Psychonomic Bulletin &amp; Review","DOI":"10.3758/BF03194023","ISSN":"1531-5320","issue":"1","journalAbbreviation":"Psychonomic Bulletin &amp; Review","language":"en","page":"3-22","source":"Springer Link","title":"An EZ-diffusion model for response time and accuracy","volume":"14","author":[{"family":"Wagenmakers","given":"Eric-Jan"},{"family":"Van Der Maas","given":"Han L. J."},{"family":"Grasman","given":"Raoul P. P. P."}],"issued":{"date-parts":[["2007"]]}}}],"schema":"https://github.com/citation-style-language/schema/raw/master/csl-citation.json"} </w:instrText>
      </w:r>
      <w:r w:rsidR="001A5D31">
        <w:rPr>
          <w:rFonts w:ascii="Times New Roman" w:hAnsi="Times New Roman" w:cs="Times New Roman"/>
        </w:rPr>
        <w:fldChar w:fldCharType="separate"/>
      </w:r>
      <w:r w:rsidR="001A5D31" w:rsidRPr="001A5D31">
        <w:rPr>
          <w:rFonts w:ascii="Times New Roman" w:hAnsi="Times New Roman" w:cs="Times New Roman"/>
        </w:rPr>
        <w:t>(Wagenmakers et al., 2007)</w:t>
      </w:r>
      <w:r w:rsidR="001A5D31">
        <w:rPr>
          <w:rFonts w:ascii="Times New Roman" w:hAnsi="Times New Roman" w:cs="Times New Roman"/>
        </w:rPr>
        <w:fldChar w:fldCharType="end"/>
      </w:r>
      <w:r w:rsidRPr="00BA090B">
        <w:rPr>
          <w:rFonts w:ascii="Times New Roman" w:hAnsi="Times New Roman" w:cs="Times New Roman"/>
        </w:rPr>
        <w:t xml:space="preserve"> which takes response accuracy, mean correct RT, and variance of correct RT as input to produce three key parameters which are: drift rate (</w:t>
      </w:r>
      <w:r w:rsidRPr="00806986">
        <w:rPr>
          <w:rFonts w:ascii="Times New Roman" w:hAnsi="Times New Roman" w:cs="Times New Roman"/>
          <w:i/>
          <w:iCs/>
        </w:rPr>
        <w:t>v</w:t>
      </w:r>
      <w:r w:rsidRPr="00BA090B">
        <w:rPr>
          <w:rFonts w:ascii="Times New Roman" w:hAnsi="Times New Roman" w:cs="Times New Roman"/>
        </w:rPr>
        <w:t>), boundary separation (</w:t>
      </w:r>
      <w:r w:rsidRPr="00806986">
        <w:rPr>
          <w:rFonts w:ascii="Times New Roman" w:hAnsi="Times New Roman" w:cs="Times New Roman"/>
          <w:i/>
          <w:iCs/>
        </w:rPr>
        <w:t>a</w:t>
      </w:r>
      <w:r w:rsidRPr="00BA090B">
        <w:rPr>
          <w:rFonts w:ascii="Times New Roman" w:hAnsi="Times New Roman" w:cs="Times New Roman"/>
        </w:rPr>
        <w:t>), and non-</w:t>
      </w:r>
      <w:r w:rsidRPr="00BA090B">
        <w:rPr>
          <w:rFonts w:ascii="Times New Roman" w:hAnsi="Times New Roman" w:cs="Times New Roman"/>
        </w:rPr>
        <w:lastRenderedPageBreak/>
        <w:t>decision time (</w:t>
      </w:r>
      <w:r w:rsidRPr="00806986">
        <w:rPr>
          <w:rFonts w:ascii="Times New Roman" w:hAnsi="Times New Roman" w:cs="Times New Roman"/>
          <w:i/>
          <w:iCs/>
        </w:rPr>
        <w:t>T</w:t>
      </w:r>
      <w:r w:rsidRPr="00806986">
        <w:rPr>
          <w:rFonts w:ascii="Times New Roman" w:hAnsi="Times New Roman" w:cs="Times New Roman"/>
          <w:i/>
          <w:iCs/>
          <w:vertAlign w:val="subscript"/>
        </w:rPr>
        <w:t>er</w:t>
      </w:r>
      <w:r w:rsidRPr="00BA090B">
        <w:rPr>
          <w:rFonts w:ascii="Times New Roman" w:hAnsi="Times New Roman" w:cs="Times New Roman"/>
        </w:rPr>
        <w:t xml:space="preserve">). </w:t>
      </w:r>
      <w:bookmarkStart w:id="229" w:name="_Hlk109223622"/>
      <w:r w:rsidRPr="00BA090B">
        <w:rPr>
          <w:rFonts w:ascii="Times New Roman" w:hAnsi="Times New Roman" w:cs="Times New Roman"/>
        </w:rPr>
        <w:t>We estimated the parameters (EA rates and response thresholds) for each of the experimental conditions, for each difficulty level, and for each image type separately (see Appendix D for analyses on difficulty levels in isolation).</w:t>
      </w:r>
    </w:p>
    <w:p w14:paraId="64284B47" w14:textId="77777777" w:rsidR="00BA090B" w:rsidRDefault="00BA090B" w:rsidP="00BA090B">
      <w:pPr>
        <w:pStyle w:val="NoSpacing"/>
        <w:spacing w:line="480" w:lineRule="auto"/>
        <w:rPr>
          <w:rFonts w:ascii="Times New Roman" w:hAnsi="Times New Roman" w:cs="Times New Roman"/>
        </w:rPr>
      </w:pPr>
    </w:p>
    <w:p w14:paraId="6F97472D" w14:textId="65F22D31" w:rsidR="00530156" w:rsidRDefault="00BA090B" w:rsidP="00C741DB">
      <w:pPr>
        <w:pStyle w:val="NoSpacing"/>
        <w:spacing w:line="480" w:lineRule="auto"/>
        <w:rPr>
          <w:rFonts w:ascii="Times New Roman" w:hAnsi="Times New Roman" w:cs="Times New Roman"/>
        </w:rPr>
      </w:pPr>
      <w:r w:rsidRPr="00530156">
        <w:rPr>
          <w:rFonts w:ascii="Times New Roman" w:hAnsi="Times New Roman" w:cs="Times New Roman"/>
        </w:rPr>
        <w:t>For the CPT, using the R package “</w:t>
      </w:r>
      <w:proofErr w:type="spellStart"/>
      <w:r w:rsidRPr="007A0B2F">
        <w:rPr>
          <w:rFonts w:ascii="Times New Roman" w:hAnsi="Times New Roman" w:cs="Times New Roman"/>
          <w:i/>
          <w:iCs/>
        </w:rPr>
        <w:t>beezdemand</w:t>
      </w:r>
      <w:proofErr w:type="spellEnd"/>
      <w:r w:rsidRPr="00530156">
        <w:rPr>
          <w:rFonts w:ascii="Times New Roman" w:hAnsi="Times New Roman" w:cs="Times New Roman"/>
        </w:rPr>
        <w:t xml:space="preserve">” </w:t>
      </w:r>
      <w:r w:rsidRPr="0053015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{"citationID":"uDJ8HgHR","properties":{"formattedCitation":"(Kaplan et al., 2019)","plainCitation":"(Kaplan et al., 2019)","noteIndex":0},"citationItems":[{"id":121,"uris":["http://zotero.org/users/7873587/items/5PSFEMKF"],"itemData":{"id":121,"type":"article-journal","abstract":"beezdemand: Behavioral Economic Easy Demand, a novel  package for performing behavioral economic analyses, is introduced and evaluated. beezdemand extends the  statistical program to facilitate many of the analyses performed in studies of behavioral economic demand. The package supports commonly used options for modeling operant demand and performs data screening, fits models of demand, and calculates numerous measures relevant to applied behavioral economists. The free and open source beezdemand package is compared to commercially available software (i.e., GraphPad Prism™) using peer-reviewed and simulated data. The results of this study indicated that beezdemand provides results consistent with commonly used commercial software but provides a wider range of methods and functionality desirable to behavioral economic researchers. A brief overview of the package is presented, its functionality is demonstrated, and considerations for its use are discussed.","container-title":"Perspectives on Behavior Science","DOI":"10.1007/s40614-018-00187-7","ISSN":"2520-8969","issue":"1","journalAbbreviation":"Perspect Behav Sci","note":"PMID: 31976427\nPMCID: PMC6701494","page":"163-180","source":"PubMed Central","title":"The R package beezdemand: Behavioral Economic Easy Demand","title-short":"The R package beezdemand","volume":"42","author":[{"family":"Kaplan","given":"Brent A."},{"family":"Gilroy","given":"Shawn P."},{"family":"Reed","given":"Derek D."},{"family":"Koffarnus","given":"Mikhail N."},{"family":"Hursh","given":"Steven R."}],"issued":{"date-parts":[["2019"]]}}}],"schema":"https://github.com/citation-style-language/schema/raw/master/csl-citation.json"} </w:instrText>
      </w:r>
      <w:r w:rsidRPr="00530156">
        <w:rPr>
          <w:rFonts w:ascii="Times New Roman" w:hAnsi="Times New Roman" w:cs="Times New Roman"/>
        </w:rPr>
        <w:fldChar w:fldCharType="separate"/>
      </w:r>
      <w:r w:rsidRPr="00530156">
        <w:rPr>
          <w:rFonts w:ascii="Times New Roman" w:hAnsi="Times New Roman" w:cs="Times New Roman"/>
        </w:rPr>
        <w:t>(Kaplan et al., 2019)</w:t>
      </w:r>
      <w:r w:rsidRPr="00530156">
        <w:rPr>
          <w:rFonts w:ascii="Times New Roman" w:hAnsi="Times New Roman" w:cs="Times New Roman"/>
        </w:rPr>
        <w:fldChar w:fldCharType="end"/>
      </w:r>
      <w:r w:rsidRPr="00530156">
        <w:rPr>
          <w:rFonts w:ascii="Times New Roman" w:hAnsi="Times New Roman" w:cs="Times New Roman"/>
        </w:rPr>
        <w:t xml:space="preserve"> we firstly checked the consistency of the demand data using a standardised 3-point algorithm (Stein et al., 2015). All participants met these criteria. Both observed (intensity, breakpoint, </w:t>
      </w:r>
      <w:proofErr w:type="spellStart"/>
      <w:r w:rsidRPr="00530156">
        <w:rPr>
          <w:rFonts w:ascii="Times New Roman" w:hAnsi="Times New Roman" w:cs="Times New Roman"/>
        </w:rPr>
        <w:t>O</w:t>
      </w:r>
      <w:r w:rsidRPr="00530156">
        <w:rPr>
          <w:rFonts w:ascii="Times New Roman" w:hAnsi="Times New Roman" w:cs="Times New Roman"/>
          <w:vertAlign w:val="subscript"/>
        </w:rPr>
        <w:t>max</w:t>
      </w:r>
      <w:proofErr w:type="spellEnd"/>
      <w:r w:rsidRPr="00530156">
        <w:rPr>
          <w:rFonts w:ascii="Times New Roman" w:hAnsi="Times New Roman" w:cs="Times New Roman"/>
        </w:rPr>
        <w:t>, P</w:t>
      </w:r>
      <w:r w:rsidRPr="00530156">
        <w:rPr>
          <w:rFonts w:ascii="Times New Roman" w:hAnsi="Times New Roman" w:cs="Times New Roman"/>
          <w:vertAlign w:val="subscript"/>
        </w:rPr>
        <w:t>max</w:t>
      </w:r>
      <w:r w:rsidRPr="00530156">
        <w:rPr>
          <w:rFonts w:ascii="Times New Roman" w:hAnsi="Times New Roman" w:cs="Times New Roman"/>
        </w:rPr>
        <w:t xml:space="preserve">) and derived (elasticity) values were subsequently estimated using the exponentiated demand equation </w:t>
      </w:r>
      <w:r w:rsidRPr="00530156">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{"citationID":"jnJccvlE","properties":{"formattedCitation":"(Koffarnus et al., 2015)","plainCitation":"(Koffarnus et al., 2015)","dontUpdate":true,"noteIndex":0},"citationItems":[{"id":754,"uris":["http://zotero.org/users/7873587/items/F7THT6ML"],"itemData":{"id":754,"type":"article-journal","abstract":"Behavioral economic demand analyses that quantify the relationship between the consumption of a commodity and its price have proven useful in studying the reinforcing efficacy of many commodities, including drugs of abuse. An exponential equation proposed by  has proven useful in quantifying the dissociable components of demand intensity and demand elasticity, but is limited as an analysis technique by the inability to correctly analyze consumption values of zero. Here, we examine an exponentiated version of this equation that retains all the beneficial features of the original Hursh and Silberberg equation, but can accommodate consumption values of zero and improves its fit to the data. In Experiment 1, we compared the modified equation to the unmodified equation under different treatments zero values in cigarette consumption data collected online from 272 participants. We found that the unmodified equation produces different results depending on how zeros are treated, while the exponentiated version incorporates zeros into the analysis, accounts for more variance, and is better able to estimate actual unconstrained consumption as reported by participants. In Experiment 2, we simulated 1000 datasets with demand parameters known a priori and compared the equation fits. Results indicate that the exponentiated equation was better able to replicate the true values from which the test data were simulated. In conclusion, an exponentiated version of the Hursh and Silberberg equation provides better fits to the data, is able to fit all consumption values including zero, and more accurately produces true parameter values.","container-title":"Experimental and clinical psychopharmacology","DOI":"10.1037/pha0000045","ISSN":"1064-1297","issue":"6","journalAbbreviation":"Exp Clin Psychopharmacol","note":"PMID: 26280591\nPMCID: PMC4854291","page":"504-512","source":"PubMed Central","title":"A modified exponential behavioral economic demand model to better describe consumption data","volume":"23","author":[{"family":"Koffarnus","given":"Mikhail N."},{"family":"Franck","given":"Christopher T."},{"family":"Stein","given":"Jeffrey S."},{"family":"Bickel","given":"Warren K."}],"issued":{"date-parts":[["2015",12]]}}}],"schema":"https://github.com/citation-style-language/schema/raw/master/csl-citation.json"} </w:instrText>
      </w:r>
      <w:r w:rsidRPr="00530156">
        <w:rPr>
          <w:rFonts w:ascii="Times New Roman" w:hAnsi="Times New Roman" w:cs="Times New Roman"/>
        </w:rPr>
        <w:fldChar w:fldCharType="separate"/>
      </w:r>
      <w:r w:rsidRPr="00530156">
        <w:rPr>
          <w:rFonts w:ascii="Times New Roman" w:hAnsi="Times New Roman" w:cs="Times New Roman"/>
        </w:rPr>
        <w:t>(</w:t>
      </w:r>
      <w:r w:rsidR="00C741DB">
        <w:rPr>
          <w:rFonts w:ascii="Times New Roman" w:hAnsi="Times New Roman" w:cs="Times New Roman"/>
        </w:rPr>
        <w:t xml:space="preserve">see </w:t>
      </w:r>
      <w:r w:rsidRPr="00530156">
        <w:rPr>
          <w:rFonts w:ascii="Times New Roman" w:hAnsi="Times New Roman" w:cs="Times New Roman"/>
        </w:rPr>
        <w:t>Koffarnus et al., 2015)</w:t>
      </w:r>
      <w:r w:rsidRPr="00530156">
        <w:rPr>
          <w:rFonts w:ascii="Times New Roman" w:hAnsi="Times New Roman" w:cs="Times New Roman"/>
        </w:rPr>
        <w:fldChar w:fldCharType="end"/>
      </w:r>
      <w:bookmarkEnd w:id="229"/>
      <w:r w:rsidR="00C741DB">
        <w:rPr>
          <w:rFonts w:ascii="Times New Roman" w:hAnsi="Times New Roman" w:cs="Times New Roman"/>
        </w:rPr>
        <w:t xml:space="preserve">. </w:t>
      </w:r>
      <w:r w:rsidRPr="00530156">
        <w:rPr>
          <w:rFonts w:ascii="Times New Roman" w:hAnsi="Times New Roman" w:cs="Times New Roman"/>
        </w:rPr>
        <w:t xml:space="preserve">As recommended by </w:t>
      </w:r>
      <w:r w:rsidRPr="0053015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{"citationID":"he0USrkY","properties":{"formattedCitation":"(Tabachnick &amp; Fidell, 2013)","plainCitation":"(Tabachnick &amp; Fidell, 2013)","noteIndex":0},"citationItems":[{"id":915,"uris":["http://zotero.org/users/7873587/items/H98XBG47"],"itemData":{"id":915,"type":"book","edition":"6th","event-place":"Boston: MA","publisher":"Pearson","publisher-place":"Boston: MA","title":"Using multivariate statistics","author":[{"family":"Tabachnick","given":"Barbara G."},{"family":"Fidell","given":"Linda S."}],"issued":{"date-parts":[["2013"]]}}}],"schema":"https://github.com/citation-style-language/schema/raw/master/csl-citation.json"} </w:instrText>
      </w:r>
      <w:r w:rsidRPr="00530156">
        <w:rPr>
          <w:rFonts w:ascii="Times New Roman" w:hAnsi="Times New Roman" w:cs="Times New Roman"/>
        </w:rPr>
        <w:fldChar w:fldCharType="separate"/>
      </w:r>
      <w:r w:rsidRPr="00530156">
        <w:rPr>
          <w:rFonts w:ascii="Times New Roman" w:hAnsi="Times New Roman" w:cs="Times New Roman"/>
        </w:rPr>
        <w:t>(Tabachnick &amp; Fidell, 2013)</w:t>
      </w:r>
      <w:r w:rsidRPr="00530156">
        <w:rPr>
          <w:rFonts w:ascii="Times New Roman" w:hAnsi="Times New Roman" w:cs="Times New Roman"/>
        </w:rPr>
        <w:fldChar w:fldCharType="end"/>
      </w:r>
      <w:r w:rsidRPr="00530156">
        <w:rPr>
          <w:rFonts w:ascii="Times New Roman" w:hAnsi="Times New Roman" w:cs="Times New Roman"/>
        </w:rPr>
        <w:t xml:space="preserve">, outliers greater than 3.29 standard deviations away from the mean were detected and recoded as one unit than the greatest nonoutlier value (this was the case for 5 values). The adequacy of the fit of the model to the data was evaluated by </w:t>
      </w:r>
      <w:r w:rsidRPr="00530156">
        <w:rPr>
          <w:rFonts w:ascii="Times New Roman" w:hAnsi="Times New Roman" w:cs="Times New Roman"/>
          <w:i/>
          <w:iCs/>
        </w:rPr>
        <w:t>R</w:t>
      </w:r>
      <w:r w:rsidRPr="00530156">
        <w:rPr>
          <w:rFonts w:ascii="Times New Roman" w:hAnsi="Times New Roman" w:cs="Times New Roman"/>
          <w:vertAlign w:val="superscript"/>
        </w:rPr>
        <w:t>2</w:t>
      </w:r>
      <w:r w:rsidRPr="00530156">
        <w:rPr>
          <w:rFonts w:ascii="Times New Roman" w:hAnsi="Times New Roman" w:cs="Times New Roman"/>
        </w:rPr>
        <w:t xml:space="preserve"> values which represent the percentage of variance accounted for by the demand equation. The exponentiated equation provided an excellent fit for both participant-level and aggregated data (</w:t>
      </w:r>
      <w:r w:rsidRPr="00530156">
        <w:rPr>
          <w:rFonts w:ascii="Times New Roman" w:hAnsi="Times New Roman" w:cs="Times New Roman"/>
          <w:i/>
          <w:iCs/>
        </w:rPr>
        <w:t>R</w:t>
      </w:r>
      <w:r w:rsidRPr="00530156">
        <w:rPr>
          <w:rFonts w:ascii="Times New Roman" w:hAnsi="Times New Roman" w:cs="Times New Roman"/>
          <w:vertAlign w:val="superscript"/>
        </w:rPr>
        <w:t>2</w:t>
      </w:r>
      <w:r w:rsidRPr="00530156">
        <w:rPr>
          <w:rFonts w:ascii="Times New Roman" w:hAnsi="Times New Roman" w:cs="Times New Roman"/>
        </w:rPr>
        <w:t xml:space="preserve"> = 0.92 and </w:t>
      </w:r>
      <w:r w:rsidRPr="00530156">
        <w:rPr>
          <w:rFonts w:ascii="Times New Roman" w:hAnsi="Times New Roman" w:cs="Times New Roman"/>
          <w:i/>
          <w:iCs/>
        </w:rPr>
        <w:t>R</w:t>
      </w:r>
      <w:r w:rsidRPr="00530156">
        <w:rPr>
          <w:rFonts w:ascii="Times New Roman" w:hAnsi="Times New Roman" w:cs="Times New Roman"/>
          <w:vertAlign w:val="superscript"/>
        </w:rPr>
        <w:t>2</w:t>
      </w:r>
      <w:r w:rsidRPr="00530156">
        <w:rPr>
          <w:rFonts w:ascii="Times New Roman" w:hAnsi="Times New Roman" w:cs="Times New Roman"/>
        </w:rPr>
        <w:t xml:space="preserve"> = 0.98 respectively). </w:t>
      </w:r>
    </w:p>
    <w:p w14:paraId="25ADF83B" w14:textId="77777777" w:rsidR="00530156" w:rsidRDefault="00530156" w:rsidP="00530156">
      <w:pPr>
        <w:pStyle w:val="NoSpacing"/>
        <w:spacing w:line="480" w:lineRule="auto"/>
        <w:rPr>
          <w:rFonts w:ascii="Times New Roman" w:hAnsi="Times New Roman" w:cs="Times New Roman"/>
        </w:rPr>
      </w:pPr>
    </w:p>
    <w:p w14:paraId="68AAA854" w14:textId="0993D615" w:rsidR="00530156" w:rsidRDefault="00530156" w:rsidP="00530156">
      <w:pPr>
        <w:pStyle w:val="NoSpacing"/>
        <w:spacing w:line="480" w:lineRule="auto"/>
        <w:rPr>
          <w:rFonts w:ascii="Times New Roman" w:hAnsi="Times New Roman" w:cs="Times New Roman"/>
        </w:rPr>
      </w:pPr>
      <w:r w:rsidRPr="00530156">
        <w:rPr>
          <w:rFonts w:ascii="Times New Roman" w:hAnsi="Times New Roman" w:cs="Times New Roman"/>
        </w:rPr>
        <w:t xml:space="preserve">Paired samples (one-tailed) </w:t>
      </w:r>
      <w:r w:rsidRPr="00530156">
        <w:rPr>
          <w:rFonts w:ascii="Times New Roman" w:hAnsi="Times New Roman" w:cs="Times New Roman"/>
          <w:i/>
          <w:iCs/>
        </w:rPr>
        <w:t>t</w:t>
      </w:r>
      <w:r w:rsidRPr="00530156">
        <w:rPr>
          <w:rFonts w:ascii="Times New Roman" w:hAnsi="Times New Roman" w:cs="Times New Roman"/>
        </w:rPr>
        <w:t xml:space="preserve">-tests were used to analyse the data for the core pre-registered hypotheses, supplemented by exploratory repeated-measure ANOVAs to interpret any group differences in VBDM parameters. Non-parametric tests were used for data that were not approximately normally distributed. Data preparation and statistical analyses were conducted in RStudio version 4.0.2 </w:t>
      </w:r>
      <w:r w:rsidR="00AF657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{"citationID":"5pSiJ62r","properties":{"formattedCitation":"(R Core Team, 2020)","plainCitation":"(R Core Team, 2020)","noteIndex":0},"citationItems":[{"id":59,"uris":["http://zotero.org/users/7873587/items/YGGZGPSX"],"itemData":{"id":59,"type":"software","event-place":"Vienna, Austria","publisher":"R Foundation for Statistical Computing","publisher-place":"Vienna, Austria","title":"A language and environment for statistical computing","URL":"https://www.R-project.org/","author":[{"literal":"R Core Team"}],"issued":{"date-parts":[["2020"]]}}}],"schema":"https://github.com/citation-style-language/schema/raw/master/csl-citation.json"} </w:instrText>
      </w:r>
      <w:r w:rsidR="00AF6576">
        <w:rPr>
          <w:rFonts w:ascii="Times New Roman" w:hAnsi="Times New Roman" w:cs="Times New Roman"/>
        </w:rPr>
        <w:fldChar w:fldCharType="separate"/>
      </w:r>
      <w:r w:rsidR="00AF6576">
        <w:rPr>
          <w:rFonts w:ascii="Times New Roman" w:hAnsi="Times New Roman" w:cs="Times New Roman"/>
          <w:noProof/>
        </w:rPr>
        <w:t>(R Core Team, 2020)</w:t>
      </w:r>
      <w:r w:rsidR="00AF6576">
        <w:rPr>
          <w:rFonts w:ascii="Times New Roman" w:hAnsi="Times New Roman" w:cs="Times New Roman"/>
        </w:rPr>
        <w:fldChar w:fldCharType="end"/>
      </w:r>
      <w:r w:rsidRPr="00530156">
        <w:rPr>
          <w:rFonts w:ascii="Times New Roman" w:hAnsi="Times New Roman" w:cs="Times New Roman"/>
        </w:rPr>
        <w:t xml:space="preserve">. All participants passed &gt;75% of the embedded attention checks which was our pre-registered criterion. As previously mentioned under the subheading ‘Participants’, data from one participant was removed. The rationale for this is that it was not possible to recover DDM parameters for this participant in one of the conditions (easy smoking trials in the negative mood induction) due to an accuracy score of </w:t>
      </w:r>
      <w:r w:rsidRPr="00530156">
        <w:rPr>
          <w:rFonts w:ascii="Times New Roman" w:hAnsi="Times New Roman" w:cs="Times New Roman"/>
        </w:rPr>
        <w:lastRenderedPageBreak/>
        <w:t>0. As the VBDM task is relatively simple, this is indicative of unreliable responding</w:t>
      </w:r>
      <w:r w:rsidRPr="004B73B2">
        <w:rPr>
          <w:rStyle w:val="FootnoteReference"/>
        </w:rPr>
        <w:footnoteReference w:id="15"/>
      </w:r>
      <w:r w:rsidRPr="00530156">
        <w:rPr>
          <w:rFonts w:ascii="Times New Roman" w:hAnsi="Times New Roman" w:cs="Times New Roman"/>
        </w:rPr>
        <w:t xml:space="preserve"> and we therefore did not retain this participants data. </w:t>
      </w:r>
    </w:p>
    <w:p w14:paraId="58686D86" w14:textId="393E9741" w:rsidR="0070703C" w:rsidRDefault="0070703C" w:rsidP="00530156">
      <w:pPr>
        <w:pStyle w:val="NoSpacing"/>
        <w:spacing w:line="480" w:lineRule="auto"/>
        <w:rPr>
          <w:rFonts w:ascii="Times New Roman" w:hAnsi="Times New Roman" w:cs="Times New Roman"/>
        </w:rPr>
      </w:pPr>
    </w:p>
    <w:p w14:paraId="5CE69196" w14:textId="6BB780CE" w:rsidR="0075473A" w:rsidRPr="0075473A" w:rsidRDefault="0070703C" w:rsidP="0075473A">
      <w:pPr>
        <w:pStyle w:val="Heading4"/>
      </w:pPr>
      <w:bookmarkStart w:id="230" w:name="_Toc110629065"/>
      <w:bookmarkStart w:id="231" w:name="_Toc110870973"/>
      <w:r>
        <w:t>5.3. Results</w:t>
      </w:r>
      <w:bookmarkEnd w:id="230"/>
      <w:bookmarkEnd w:id="231"/>
    </w:p>
    <w:p w14:paraId="083BE4F0" w14:textId="77777777" w:rsidR="0075473A" w:rsidRDefault="0075473A" w:rsidP="0075473A">
      <w:pPr>
        <w:pStyle w:val="NoSpacing"/>
        <w:spacing w:line="480" w:lineRule="auto"/>
        <w:rPr>
          <w:rFonts w:ascii="Times New Roman" w:hAnsi="Times New Roman" w:cs="Times New Roman"/>
        </w:rPr>
      </w:pPr>
    </w:p>
    <w:p w14:paraId="3958ABDF" w14:textId="79D55572" w:rsidR="0070703C" w:rsidRPr="003F1EA9" w:rsidRDefault="0070703C" w:rsidP="0075473A">
      <w:pPr>
        <w:pStyle w:val="NoSpacing"/>
        <w:spacing w:line="480" w:lineRule="auto"/>
        <w:rPr>
          <w:rFonts w:ascii="Times New Roman" w:hAnsi="Times New Roman" w:cs="Times New Roman"/>
          <w:b/>
          <w:bCs/>
        </w:rPr>
      </w:pPr>
      <w:bookmarkStart w:id="232" w:name="_Hlk110614422"/>
      <w:r w:rsidRPr="003F1EA9">
        <w:rPr>
          <w:rFonts w:ascii="Times New Roman" w:hAnsi="Times New Roman" w:cs="Times New Roman"/>
          <w:b/>
          <w:bCs/>
        </w:rPr>
        <w:t xml:space="preserve">Table 5.1 </w:t>
      </w:r>
    </w:p>
    <w:p w14:paraId="32B8A4AA" w14:textId="7091DB02" w:rsidR="0075473A" w:rsidRPr="003F1EA9" w:rsidRDefault="0070703C" w:rsidP="0075473A">
      <w:pPr>
        <w:pStyle w:val="NoSpacing"/>
        <w:spacing w:line="480" w:lineRule="auto"/>
        <w:rPr>
          <w:rFonts w:ascii="Times New Roman" w:hAnsi="Times New Roman" w:cs="Times New Roman"/>
          <w:i/>
          <w:iCs/>
        </w:rPr>
      </w:pPr>
      <w:r w:rsidRPr="003F1EA9">
        <w:rPr>
          <w:rFonts w:ascii="Times New Roman" w:hAnsi="Times New Roman" w:cs="Times New Roman"/>
          <w:i/>
          <w:iCs/>
        </w:rPr>
        <w:t>Descriptive statistics of the sample (values represent the mean, standard deviation, and range)</w:t>
      </w:r>
    </w:p>
    <w:tbl>
      <w:tblPr>
        <w:tblStyle w:val="TableGrid"/>
        <w:tblW w:w="0" w:type="auto"/>
        <w:tblLook w:val="04A0" w:firstRow="1" w:lastRow="0" w:firstColumn="1" w:lastColumn="0" w:noHBand="0" w:noVBand="1"/>
      </w:tblPr>
      <w:tblGrid>
        <w:gridCol w:w="4465"/>
        <w:gridCol w:w="4465"/>
      </w:tblGrid>
      <w:tr w:rsidR="0075473A" w:rsidRPr="00806986" w14:paraId="0EBA8C1A" w14:textId="77777777" w:rsidTr="00EB7C97">
        <w:trPr>
          <w:trHeight w:val="495"/>
        </w:trPr>
        <w:tc>
          <w:tcPr>
            <w:tcW w:w="4465" w:type="dxa"/>
            <w:tcBorders>
              <w:top w:val="single" w:sz="18" w:space="0" w:color="auto"/>
              <w:left w:val="nil"/>
              <w:right w:val="nil"/>
            </w:tcBorders>
          </w:tcPr>
          <w:bookmarkEnd w:id="232"/>
          <w:p w14:paraId="2FFFE5EA" w14:textId="4FA9CB05" w:rsidR="0075473A" w:rsidRPr="00806986" w:rsidRDefault="00EB6A55" w:rsidP="0075473A">
            <w:pPr>
              <w:pStyle w:val="NoSpacing"/>
              <w:rPr>
                <w:rFonts w:ascii="Times New Roman" w:hAnsi="Times New Roman" w:cs="Times New Roman"/>
              </w:rPr>
            </w:pPr>
            <w:r>
              <w:rPr>
                <w:rFonts w:ascii="Times New Roman" w:hAnsi="Times New Roman" w:cs="Times New Roman"/>
              </w:rPr>
              <w:t>Variable</w:t>
            </w:r>
          </w:p>
        </w:tc>
        <w:tc>
          <w:tcPr>
            <w:tcW w:w="4465" w:type="dxa"/>
            <w:tcBorders>
              <w:top w:val="single" w:sz="18" w:space="0" w:color="auto"/>
              <w:left w:val="nil"/>
              <w:right w:val="nil"/>
            </w:tcBorders>
          </w:tcPr>
          <w:p w14:paraId="07241807"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Mean (SD, range)</w:t>
            </w:r>
          </w:p>
        </w:tc>
      </w:tr>
      <w:tr w:rsidR="0075473A" w:rsidRPr="00806986" w14:paraId="69987209" w14:textId="77777777" w:rsidTr="00EB7C97">
        <w:trPr>
          <w:trHeight w:val="508"/>
        </w:trPr>
        <w:tc>
          <w:tcPr>
            <w:tcW w:w="4465" w:type="dxa"/>
            <w:tcBorders>
              <w:left w:val="nil"/>
              <w:bottom w:val="nil"/>
              <w:right w:val="nil"/>
            </w:tcBorders>
          </w:tcPr>
          <w:p w14:paraId="259D86D5"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BSCS</w:t>
            </w:r>
          </w:p>
        </w:tc>
        <w:tc>
          <w:tcPr>
            <w:tcW w:w="4465" w:type="dxa"/>
            <w:tcBorders>
              <w:left w:val="nil"/>
              <w:bottom w:val="nil"/>
              <w:right w:val="nil"/>
            </w:tcBorders>
          </w:tcPr>
          <w:p w14:paraId="274A5480"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37.61 (7.75, 23-52)</w:t>
            </w:r>
          </w:p>
        </w:tc>
      </w:tr>
      <w:tr w:rsidR="0075473A" w:rsidRPr="00806986" w14:paraId="4DDEFA21" w14:textId="77777777" w:rsidTr="00EB7C97">
        <w:trPr>
          <w:trHeight w:val="495"/>
        </w:trPr>
        <w:tc>
          <w:tcPr>
            <w:tcW w:w="4465" w:type="dxa"/>
            <w:tcBorders>
              <w:top w:val="nil"/>
              <w:left w:val="nil"/>
              <w:bottom w:val="nil"/>
              <w:right w:val="nil"/>
            </w:tcBorders>
          </w:tcPr>
          <w:p w14:paraId="185BC4AC"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FTCD</w:t>
            </w:r>
          </w:p>
        </w:tc>
        <w:tc>
          <w:tcPr>
            <w:tcW w:w="4465" w:type="dxa"/>
            <w:tcBorders>
              <w:top w:val="nil"/>
              <w:left w:val="nil"/>
              <w:bottom w:val="nil"/>
              <w:right w:val="nil"/>
            </w:tcBorders>
          </w:tcPr>
          <w:p w14:paraId="1394C890"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5.10 (1.79, 1-10)</w:t>
            </w:r>
          </w:p>
        </w:tc>
      </w:tr>
      <w:tr w:rsidR="0075473A" w:rsidRPr="00806986" w14:paraId="697EF69A" w14:textId="77777777" w:rsidTr="00EB7C97">
        <w:trPr>
          <w:trHeight w:val="495"/>
        </w:trPr>
        <w:tc>
          <w:tcPr>
            <w:tcW w:w="4465" w:type="dxa"/>
            <w:tcBorders>
              <w:top w:val="nil"/>
              <w:left w:val="nil"/>
              <w:bottom w:val="nil"/>
              <w:right w:val="nil"/>
            </w:tcBorders>
          </w:tcPr>
          <w:p w14:paraId="7E2E9834"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 xml:space="preserve">Contemplation ladder </w:t>
            </w:r>
          </w:p>
        </w:tc>
        <w:tc>
          <w:tcPr>
            <w:tcW w:w="4465" w:type="dxa"/>
            <w:tcBorders>
              <w:top w:val="nil"/>
              <w:left w:val="nil"/>
              <w:bottom w:val="nil"/>
              <w:right w:val="nil"/>
            </w:tcBorders>
          </w:tcPr>
          <w:p w14:paraId="5C920963"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5.45 (2.56, 0-10)</w:t>
            </w:r>
          </w:p>
        </w:tc>
      </w:tr>
      <w:tr w:rsidR="0075473A" w:rsidRPr="00806986" w14:paraId="51DA787D" w14:textId="77777777" w:rsidTr="00EB7C97">
        <w:trPr>
          <w:trHeight w:val="508"/>
        </w:trPr>
        <w:tc>
          <w:tcPr>
            <w:tcW w:w="4465" w:type="dxa"/>
            <w:tcBorders>
              <w:top w:val="nil"/>
              <w:left w:val="nil"/>
              <w:bottom w:val="nil"/>
              <w:right w:val="nil"/>
            </w:tcBorders>
          </w:tcPr>
          <w:p w14:paraId="46C75167"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Cigarettes smoked per day</w:t>
            </w:r>
          </w:p>
        </w:tc>
        <w:tc>
          <w:tcPr>
            <w:tcW w:w="4465" w:type="dxa"/>
            <w:tcBorders>
              <w:top w:val="nil"/>
              <w:left w:val="nil"/>
              <w:bottom w:val="nil"/>
              <w:right w:val="nil"/>
            </w:tcBorders>
          </w:tcPr>
          <w:p w14:paraId="678AC5FD"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17.94 (8.13, 5-60)</w:t>
            </w:r>
          </w:p>
        </w:tc>
      </w:tr>
      <w:tr w:rsidR="0075473A" w:rsidRPr="00806986" w14:paraId="01185413" w14:textId="77777777" w:rsidTr="00EB7C97">
        <w:trPr>
          <w:trHeight w:val="495"/>
        </w:trPr>
        <w:tc>
          <w:tcPr>
            <w:tcW w:w="4465" w:type="dxa"/>
            <w:tcBorders>
              <w:top w:val="nil"/>
              <w:left w:val="nil"/>
              <w:bottom w:val="nil"/>
              <w:right w:val="nil"/>
            </w:tcBorders>
          </w:tcPr>
          <w:p w14:paraId="454D3DBC"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Years smoked</w:t>
            </w:r>
          </w:p>
        </w:tc>
        <w:tc>
          <w:tcPr>
            <w:tcW w:w="4465" w:type="dxa"/>
            <w:tcBorders>
              <w:top w:val="nil"/>
              <w:left w:val="nil"/>
              <w:bottom w:val="nil"/>
              <w:right w:val="nil"/>
            </w:tcBorders>
          </w:tcPr>
          <w:p w14:paraId="3F462578"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30.84 (12.09, 12-53)</w:t>
            </w:r>
          </w:p>
        </w:tc>
      </w:tr>
      <w:tr w:rsidR="0075473A" w:rsidRPr="00806986" w14:paraId="6C6B642C" w14:textId="77777777" w:rsidTr="00EB7C97">
        <w:trPr>
          <w:trHeight w:val="508"/>
        </w:trPr>
        <w:tc>
          <w:tcPr>
            <w:tcW w:w="4465" w:type="dxa"/>
            <w:tcBorders>
              <w:top w:val="nil"/>
              <w:left w:val="nil"/>
              <w:bottom w:val="nil"/>
              <w:right w:val="nil"/>
            </w:tcBorders>
          </w:tcPr>
          <w:p w14:paraId="1D5E0A76"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 xml:space="preserve">Age of smoking initiation </w:t>
            </w:r>
          </w:p>
        </w:tc>
        <w:tc>
          <w:tcPr>
            <w:tcW w:w="4465" w:type="dxa"/>
            <w:tcBorders>
              <w:top w:val="nil"/>
              <w:left w:val="nil"/>
              <w:bottom w:val="nil"/>
              <w:right w:val="nil"/>
            </w:tcBorders>
          </w:tcPr>
          <w:p w14:paraId="3BC41521"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15.49 (2.76, 10-22)</w:t>
            </w:r>
          </w:p>
        </w:tc>
      </w:tr>
      <w:tr w:rsidR="0075473A" w:rsidRPr="00806986" w14:paraId="0FF69774" w14:textId="77777777" w:rsidTr="00EB7C97">
        <w:trPr>
          <w:trHeight w:val="495"/>
        </w:trPr>
        <w:tc>
          <w:tcPr>
            <w:tcW w:w="4465" w:type="dxa"/>
            <w:tcBorders>
              <w:top w:val="nil"/>
              <w:left w:val="nil"/>
              <w:bottom w:val="single" w:sz="18" w:space="0" w:color="auto"/>
              <w:right w:val="nil"/>
            </w:tcBorders>
          </w:tcPr>
          <w:p w14:paraId="6EEED196" w14:textId="77777777" w:rsidR="0075473A" w:rsidRPr="00806986" w:rsidRDefault="0075473A" w:rsidP="0075473A">
            <w:pPr>
              <w:pStyle w:val="NoSpacing"/>
              <w:rPr>
                <w:rFonts w:ascii="Times New Roman" w:hAnsi="Times New Roman" w:cs="Times New Roman"/>
              </w:rPr>
            </w:pPr>
            <w:r w:rsidRPr="00806986">
              <w:rPr>
                <w:rFonts w:ascii="Times New Roman" w:hAnsi="Times New Roman" w:cs="Times New Roman"/>
              </w:rPr>
              <w:t>Number of previous quit attempts</w:t>
            </w:r>
          </w:p>
        </w:tc>
        <w:tc>
          <w:tcPr>
            <w:tcW w:w="4465" w:type="dxa"/>
            <w:tcBorders>
              <w:top w:val="nil"/>
              <w:left w:val="nil"/>
              <w:bottom w:val="single" w:sz="18" w:space="0" w:color="auto"/>
              <w:right w:val="nil"/>
            </w:tcBorders>
          </w:tcPr>
          <w:p w14:paraId="5AEB4D05" w14:textId="77777777" w:rsidR="0075473A" w:rsidRPr="00806986" w:rsidRDefault="0075473A" w:rsidP="0075473A">
            <w:pPr>
              <w:pStyle w:val="NoSpacing"/>
              <w:jc w:val="center"/>
              <w:rPr>
                <w:rFonts w:ascii="Times New Roman" w:hAnsi="Times New Roman" w:cs="Times New Roman"/>
              </w:rPr>
            </w:pPr>
            <w:r w:rsidRPr="00806986">
              <w:rPr>
                <w:rFonts w:ascii="Times New Roman" w:hAnsi="Times New Roman" w:cs="Times New Roman"/>
              </w:rPr>
              <w:t>1.76 (1.52, 0-6)</w:t>
            </w:r>
          </w:p>
        </w:tc>
      </w:tr>
    </w:tbl>
    <w:p w14:paraId="021D006E" w14:textId="77777777" w:rsidR="0075473A" w:rsidRPr="00806986" w:rsidRDefault="0075473A" w:rsidP="00806986">
      <w:pPr>
        <w:pStyle w:val="NoSpacing"/>
        <w:spacing w:line="480" w:lineRule="auto"/>
        <w:rPr>
          <w:rFonts w:ascii="Times New Roman" w:hAnsi="Times New Roman" w:cs="Times New Roman"/>
        </w:rPr>
      </w:pPr>
      <w:r w:rsidRPr="00806986">
        <w:rPr>
          <w:rFonts w:ascii="Times New Roman" w:hAnsi="Times New Roman" w:cs="Times New Roman"/>
        </w:rPr>
        <w:t xml:space="preserve">Note. </w:t>
      </w:r>
      <w:bookmarkStart w:id="233" w:name="_Hlk109227006"/>
      <w:r w:rsidRPr="00806986">
        <w:rPr>
          <w:rFonts w:ascii="Times New Roman" w:hAnsi="Times New Roman" w:cs="Times New Roman"/>
        </w:rPr>
        <w:t xml:space="preserve">BSCS = brief self-control scale (possible range of values: 13 to 65). </w:t>
      </w:r>
      <w:bookmarkStart w:id="234" w:name="_Hlk109227029"/>
      <w:bookmarkEnd w:id="233"/>
      <w:r w:rsidRPr="00806986">
        <w:rPr>
          <w:rFonts w:ascii="Times New Roman" w:hAnsi="Times New Roman" w:cs="Times New Roman"/>
        </w:rPr>
        <w:t xml:space="preserve">FTCD = </w:t>
      </w:r>
      <w:proofErr w:type="spellStart"/>
      <w:r w:rsidRPr="00806986">
        <w:rPr>
          <w:rFonts w:ascii="Times New Roman" w:hAnsi="Times New Roman" w:cs="Times New Roman"/>
        </w:rPr>
        <w:t>Fagerström</w:t>
      </w:r>
      <w:proofErr w:type="spellEnd"/>
      <w:r w:rsidRPr="00806986">
        <w:rPr>
          <w:rFonts w:ascii="Times New Roman" w:hAnsi="Times New Roman" w:cs="Times New Roman"/>
        </w:rPr>
        <w:t xml:space="preserve"> test for cigarette dependence (possible range of values: 0 to 10). Contemplation ladder provides an index of motivation to quit smoking (possible range of values: 0 to 10).</w:t>
      </w:r>
      <w:bookmarkEnd w:id="234"/>
    </w:p>
    <w:p w14:paraId="16D13FEB" w14:textId="7CCA7BAA" w:rsidR="0075473A" w:rsidRPr="00806986" w:rsidRDefault="0075473A" w:rsidP="00806986">
      <w:pPr>
        <w:pStyle w:val="NoSpacing"/>
        <w:spacing w:line="480" w:lineRule="auto"/>
        <w:rPr>
          <w:rFonts w:ascii="Times New Roman" w:hAnsi="Times New Roman" w:cs="Times New Roman"/>
        </w:rPr>
      </w:pPr>
    </w:p>
    <w:p w14:paraId="7EF71699" w14:textId="63323F0B" w:rsidR="0075473A" w:rsidRPr="00806986" w:rsidRDefault="0075473A" w:rsidP="00806986">
      <w:pPr>
        <w:pStyle w:val="NoSpacing"/>
        <w:spacing w:line="480" w:lineRule="auto"/>
        <w:rPr>
          <w:rFonts w:ascii="Times New Roman" w:hAnsi="Times New Roman" w:cs="Times New Roman"/>
        </w:rPr>
      </w:pPr>
      <w:r w:rsidRPr="00806986">
        <w:rPr>
          <w:rFonts w:ascii="Times New Roman" w:hAnsi="Times New Roman" w:cs="Times New Roman"/>
        </w:rPr>
        <w:t>See Table 5.1 for descriptive statistics.</w:t>
      </w:r>
    </w:p>
    <w:p w14:paraId="19A97412" w14:textId="77777777" w:rsidR="0075473A" w:rsidRPr="00806986" w:rsidRDefault="0075473A" w:rsidP="00806986">
      <w:pPr>
        <w:pStyle w:val="NoSpacing"/>
        <w:spacing w:line="480" w:lineRule="auto"/>
        <w:rPr>
          <w:rFonts w:ascii="Times New Roman" w:hAnsi="Times New Roman" w:cs="Times New Roman"/>
        </w:rPr>
      </w:pPr>
    </w:p>
    <w:p w14:paraId="7870E290" w14:textId="77777777" w:rsidR="0075473A" w:rsidRPr="00806986" w:rsidRDefault="0075473A" w:rsidP="00806986">
      <w:pPr>
        <w:pStyle w:val="NoSpacing"/>
        <w:spacing w:line="480" w:lineRule="auto"/>
        <w:rPr>
          <w:rFonts w:ascii="Times New Roman" w:hAnsi="Times New Roman" w:cs="Times New Roman"/>
          <w:b/>
          <w:bCs/>
        </w:rPr>
      </w:pPr>
      <w:r w:rsidRPr="00806986">
        <w:rPr>
          <w:rFonts w:ascii="Times New Roman" w:hAnsi="Times New Roman" w:cs="Times New Roman"/>
          <w:b/>
          <w:bCs/>
        </w:rPr>
        <w:lastRenderedPageBreak/>
        <w:t>Effects of experimental manipulation on mood scores (Figures 5.3 and 5.4)</w:t>
      </w:r>
    </w:p>
    <w:p w14:paraId="1DB0AEE4" w14:textId="4B8C90F0" w:rsidR="0075473A" w:rsidRPr="00806986" w:rsidRDefault="0075473A" w:rsidP="00B85248">
      <w:pPr>
        <w:pStyle w:val="NoSpacing"/>
        <w:spacing w:line="480" w:lineRule="auto"/>
        <w:rPr>
          <w:rFonts w:ascii="Times New Roman" w:hAnsi="Times New Roman" w:cs="Times New Roman"/>
        </w:rPr>
      </w:pPr>
      <w:r w:rsidRPr="00806986">
        <w:rPr>
          <w:rFonts w:ascii="Times New Roman" w:hAnsi="Times New Roman" w:cs="Times New Roman"/>
        </w:rPr>
        <w:t xml:space="preserve">Self-report mood ratings were analysed using a three-way repeated measures ANOVA with mood (2: happy; sad), time (2: before video; after video), and experimental condition (2: positive; negative) as within-subject variables. There was a significant three-way interaction between mood, time, and condition, </w:t>
      </w:r>
      <w:proofErr w:type="gramStart"/>
      <w:r w:rsidRPr="00806986">
        <w:rPr>
          <w:rFonts w:ascii="Times New Roman" w:hAnsi="Times New Roman" w:cs="Times New Roman"/>
          <w:i/>
          <w:iCs/>
        </w:rPr>
        <w:t>F</w:t>
      </w:r>
      <w:r w:rsidRPr="00806986">
        <w:rPr>
          <w:rFonts w:ascii="Times New Roman" w:hAnsi="Times New Roman" w:cs="Times New Roman"/>
        </w:rPr>
        <w:t>(</w:t>
      </w:r>
      <w:proofErr w:type="gramEnd"/>
      <w:r w:rsidRPr="00806986">
        <w:rPr>
          <w:rFonts w:ascii="Times New Roman" w:hAnsi="Times New Roman" w:cs="Times New Roman"/>
        </w:rPr>
        <w:t xml:space="preserve">1, 48) = 66.96, </w:t>
      </w:r>
      <w:r w:rsidRPr="00806986">
        <w:rPr>
          <w:rFonts w:ascii="Times New Roman" w:hAnsi="Times New Roman" w:cs="Times New Roman"/>
          <w:i/>
          <w:iCs/>
        </w:rPr>
        <w:t>p</w:t>
      </w:r>
      <w:r w:rsidRPr="00806986">
        <w:rPr>
          <w:rFonts w:ascii="Times New Roman" w:hAnsi="Times New Roman" w:cs="Times New Roman"/>
        </w:rPr>
        <w:t xml:space="preserve"> &lt; .001, </w:t>
      </w:r>
      <w:bookmarkStart w:id="235" w:name="_Hlk106806651"/>
      <w:bookmarkStart w:id="236" w:name="_Hlk107932471"/>
      <w:r w:rsidR="00806986" w:rsidRPr="00BA6B45">
        <w:rPr>
          <w:rFonts w:asciiTheme="majorBidi" w:hAnsiTheme="majorBidi" w:cstheme="majorBidi"/>
        </w:rPr>
        <w:t>η</w:t>
      </w:r>
      <w:r w:rsidR="00806986" w:rsidRPr="00BA6B45">
        <w:rPr>
          <w:rFonts w:asciiTheme="majorBidi" w:hAnsiTheme="majorBidi" w:cstheme="majorBidi"/>
          <w:vertAlign w:val="subscript"/>
        </w:rPr>
        <w:t>p</w:t>
      </w:r>
      <w:r w:rsidR="00806986" w:rsidRPr="00BA6B45">
        <w:rPr>
          <w:rFonts w:asciiTheme="majorBidi" w:hAnsiTheme="majorBidi" w:cstheme="majorBidi"/>
          <w:vertAlign w:val="superscript"/>
        </w:rPr>
        <w:t>2</w:t>
      </w:r>
      <w:bookmarkEnd w:id="235"/>
      <w:r w:rsidRPr="00806986">
        <w:rPr>
          <w:rFonts w:ascii="Times New Roman" w:hAnsi="Times New Roman" w:cs="Times New Roman"/>
        </w:rPr>
        <w:t xml:space="preserve"> </w:t>
      </w:r>
      <w:bookmarkEnd w:id="236"/>
      <w:r w:rsidRPr="00806986">
        <w:rPr>
          <w:rFonts w:ascii="Times New Roman" w:hAnsi="Times New Roman" w:cs="Times New Roman"/>
        </w:rPr>
        <w:t xml:space="preserve">= .58. To examine this interaction further, subsequent two-way ANOVAs were conducted on each mood separately, followed by </w:t>
      </w:r>
      <w:r w:rsidR="00BA1F0E">
        <w:rPr>
          <w:rFonts w:ascii="Times New Roman" w:hAnsi="Times New Roman" w:cs="Times New Roman"/>
        </w:rPr>
        <w:t xml:space="preserve">post-hoc tests </w:t>
      </w:r>
      <w:r w:rsidRPr="00806986">
        <w:rPr>
          <w:rFonts w:ascii="Times New Roman" w:hAnsi="Times New Roman" w:cs="Times New Roman"/>
        </w:rPr>
        <w:t>(</w:t>
      </w:r>
      <w:r w:rsidR="00B85248" w:rsidRPr="00B85248">
        <w:rPr>
          <w:rFonts w:ascii="Times New Roman" w:hAnsi="Times New Roman" w:cs="Times New Roman"/>
        </w:rPr>
        <w:t xml:space="preserve">applying the Holm-Bonferroni correction to </w:t>
      </w:r>
      <w:r w:rsidR="00B85248" w:rsidRPr="00B85248">
        <w:rPr>
          <w:rFonts w:ascii="Times New Roman" w:hAnsi="Times New Roman" w:cs="Times New Roman"/>
          <w:i/>
          <w:iCs/>
        </w:rPr>
        <w:t>p</w:t>
      </w:r>
      <w:r w:rsidR="00B85248" w:rsidRPr="00B85248">
        <w:rPr>
          <w:rFonts w:ascii="Times New Roman" w:hAnsi="Times New Roman" w:cs="Times New Roman"/>
        </w:rPr>
        <w:t>-values for multiple comparison</w:t>
      </w:r>
      <w:r w:rsidRPr="00806986">
        <w:rPr>
          <w:rFonts w:ascii="Times New Roman" w:hAnsi="Times New Roman" w:cs="Times New Roman"/>
        </w:rPr>
        <w:t xml:space="preserve">). These analyses revealed a significant interaction between time and experimental condition for both moods (happy mood, </w:t>
      </w:r>
      <w:proofErr w:type="gramStart"/>
      <w:r w:rsidRPr="00806986">
        <w:rPr>
          <w:rFonts w:ascii="Times New Roman" w:hAnsi="Times New Roman" w:cs="Times New Roman"/>
          <w:i/>
          <w:iCs/>
        </w:rPr>
        <w:t>F</w:t>
      </w:r>
      <w:r w:rsidRPr="00806986">
        <w:rPr>
          <w:rFonts w:ascii="Times New Roman" w:hAnsi="Times New Roman" w:cs="Times New Roman"/>
        </w:rPr>
        <w:t>(</w:t>
      </w:r>
      <w:proofErr w:type="gramEnd"/>
      <w:r w:rsidRPr="00806986">
        <w:rPr>
          <w:rFonts w:ascii="Times New Roman" w:hAnsi="Times New Roman" w:cs="Times New Roman"/>
        </w:rPr>
        <w:t xml:space="preserve">1, 48) = 67.32, </w:t>
      </w:r>
      <w:r w:rsidRPr="00806986">
        <w:rPr>
          <w:rFonts w:ascii="Times New Roman" w:hAnsi="Times New Roman" w:cs="Times New Roman"/>
          <w:i/>
          <w:iCs/>
        </w:rPr>
        <w:t>p</w:t>
      </w:r>
      <w:r w:rsidRPr="00806986">
        <w:rPr>
          <w:rFonts w:ascii="Times New Roman" w:hAnsi="Times New Roman" w:cs="Times New Roman"/>
        </w:rPr>
        <w:t xml:space="preserve"> &lt; .001, </w:t>
      </w:r>
      <w:r w:rsidR="00806986" w:rsidRPr="00BA6B45">
        <w:rPr>
          <w:rFonts w:asciiTheme="majorBidi" w:hAnsiTheme="majorBidi" w:cstheme="majorBidi"/>
        </w:rPr>
        <w:t>η</w:t>
      </w:r>
      <w:r w:rsidR="00806986" w:rsidRPr="00BA6B45">
        <w:rPr>
          <w:rFonts w:asciiTheme="majorBidi" w:hAnsiTheme="majorBidi" w:cstheme="majorBidi"/>
          <w:vertAlign w:val="subscript"/>
        </w:rPr>
        <w:t>p</w:t>
      </w:r>
      <w:r w:rsidR="00806986" w:rsidRPr="00BA6B45">
        <w:rPr>
          <w:rFonts w:asciiTheme="majorBidi" w:hAnsiTheme="majorBidi" w:cstheme="majorBidi"/>
          <w:vertAlign w:val="superscript"/>
        </w:rPr>
        <w:t>2</w:t>
      </w:r>
      <w:r w:rsidRPr="00806986">
        <w:rPr>
          <w:rFonts w:ascii="Times New Roman" w:hAnsi="Times New Roman" w:cs="Times New Roman"/>
        </w:rPr>
        <w:t xml:space="preserve"> = .58; sad mood, </w:t>
      </w:r>
      <w:r w:rsidRPr="00806986">
        <w:rPr>
          <w:rFonts w:ascii="Times New Roman" w:hAnsi="Times New Roman" w:cs="Times New Roman"/>
          <w:i/>
          <w:iCs/>
        </w:rPr>
        <w:t>F</w:t>
      </w:r>
      <w:r w:rsidRPr="00806986">
        <w:rPr>
          <w:rFonts w:ascii="Times New Roman" w:hAnsi="Times New Roman" w:cs="Times New Roman"/>
        </w:rPr>
        <w:t xml:space="preserve">(1, 48) = 43.01, </w:t>
      </w:r>
      <w:r w:rsidRPr="00806986">
        <w:rPr>
          <w:rFonts w:ascii="Times New Roman" w:hAnsi="Times New Roman" w:cs="Times New Roman"/>
          <w:i/>
          <w:iCs/>
        </w:rPr>
        <w:t>p</w:t>
      </w:r>
      <w:r w:rsidRPr="00806986">
        <w:rPr>
          <w:rFonts w:ascii="Times New Roman" w:hAnsi="Times New Roman" w:cs="Times New Roman"/>
        </w:rPr>
        <w:t xml:space="preserve"> &lt; .001, </w:t>
      </w:r>
      <w:r w:rsidR="00806986" w:rsidRPr="00BA6B45">
        <w:rPr>
          <w:rFonts w:asciiTheme="majorBidi" w:hAnsiTheme="majorBidi" w:cstheme="majorBidi"/>
        </w:rPr>
        <w:t>η</w:t>
      </w:r>
      <w:r w:rsidR="00806986" w:rsidRPr="00BA6B45">
        <w:rPr>
          <w:rFonts w:asciiTheme="majorBidi" w:hAnsiTheme="majorBidi" w:cstheme="majorBidi"/>
          <w:vertAlign w:val="subscript"/>
        </w:rPr>
        <w:t>p</w:t>
      </w:r>
      <w:r w:rsidR="00806986" w:rsidRPr="00BA6B45">
        <w:rPr>
          <w:rFonts w:asciiTheme="majorBidi" w:hAnsiTheme="majorBidi" w:cstheme="majorBidi"/>
          <w:vertAlign w:val="superscript"/>
        </w:rPr>
        <w:t>2</w:t>
      </w:r>
      <w:r w:rsidRPr="00806986">
        <w:rPr>
          <w:rFonts w:ascii="Times New Roman" w:hAnsi="Times New Roman" w:cs="Times New Roman"/>
        </w:rPr>
        <w:t xml:space="preserve"> = .47). </w:t>
      </w:r>
      <w:r w:rsidR="00BA1F0E">
        <w:rPr>
          <w:rFonts w:ascii="Times New Roman" w:hAnsi="Times New Roman" w:cs="Times New Roman"/>
        </w:rPr>
        <w:t>Post-hoc tests</w:t>
      </w:r>
      <w:r w:rsidRPr="00806986">
        <w:rPr>
          <w:rFonts w:ascii="Times New Roman" w:hAnsi="Times New Roman" w:cs="Times New Roman"/>
        </w:rPr>
        <w:t xml:space="preserve"> revealed that after watching the negative mood videos (negative condition), happiness scores decreased whilst sadness scores increased compared to before the videos (both </w:t>
      </w:r>
      <w:proofErr w:type="spellStart"/>
      <w:r w:rsidRPr="00806986">
        <w:rPr>
          <w:rFonts w:ascii="Times New Roman" w:hAnsi="Times New Roman" w:cs="Times New Roman"/>
          <w:i/>
          <w:iCs/>
        </w:rPr>
        <w:t>p</w:t>
      </w:r>
      <w:r w:rsidRPr="00806986">
        <w:rPr>
          <w:rFonts w:ascii="Times New Roman" w:hAnsi="Times New Roman" w:cs="Times New Roman"/>
        </w:rPr>
        <w:t>s</w:t>
      </w:r>
      <w:proofErr w:type="spellEnd"/>
      <w:r w:rsidRPr="00806986">
        <w:rPr>
          <w:rFonts w:ascii="Times New Roman" w:hAnsi="Times New Roman" w:cs="Times New Roman"/>
        </w:rPr>
        <w:t xml:space="preserve"> &lt; .001). A different pattern was seen after participants watched the positive mood videos (positive condition): happiness scores increased compared to before the videos (</w:t>
      </w:r>
      <w:r w:rsidRPr="00806986">
        <w:rPr>
          <w:rFonts w:ascii="Times New Roman" w:hAnsi="Times New Roman" w:cs="Times New Roman"/>
          <w:i/>
          <w:iCs/>
        </w:rPr>
        <w:t>p</w:t>
      </w:r>
      <w:r w:rsidRPr="00806986">
        <w:rPr>
          <w:rFonts w:ascii="Times New Roman" w:hAnsi="Times New Roman" w:cs="Times New Roman"/>
        </w:rPr>
        <w:t xml:space="preserve"> &lt; .001), but sadness scores did not significantly decrease (</w:t>
      </w:r>
      <w:r w:rsidRPr="00806986">
        <w:rPr>
          <w:rFonts w:ascii="Times New Roman" w:hAnsi="Times New Roman" w:cs="Times New Roman"/>
          <w:i/>
          <w:iCs/>
        </w:rPr>
        <w:t>p</w:t>
      </w:r>
      <w:r w:rsidRPr="00806986">
        <w:rPr>
          <w:rFonts w:ascii="Times New Roman" w:hAnsi="Times New Roman" w:cs="Times New Roman"/>
        </w:rPr>
        <w:t xml:space="preserve"> = .07).  </w:t>
      </w:r>
    </w:p>
    <w:p w14:paraId="1E322EFB" w14:textId="77777777" w:rsidR="0075473A" w:rsidRPr="00806986" w:rsidRDefault="0075473A" w:rsidP="00806986">
      <w:pPr>
        <w:pStyle w:val="NoSpacing"/>
        <w:spacing w:line="480" w:lineRule="auto"/>
        <w:rPr>
          <w:rFonts w:ascii="Times New Roman" w:hAnsi="Times New Roman" w:cs="Times New Roman"/>
        </w:rPr>
      </w:pPr>
    </w:p>
    <w:p w14:paraId="064117F9" w14:textId="77777777" w:rsidR="0075473A" w:rsidRPr="00BE0218" w:rsidRDefault="0075473A" w:rsidP="00BE0218">
      <w:pPr>
        <w:pStyle w:val="NoSpacing"/>
        <w:spacing w:line="480" w:lineRule="auto"/>
        <w:rPr>
          <w:rFonts w:ascii="Times New Roman" w:hAnsi="Times New Roman" w:cs="Times New Roman"/>
        </w:rPr>
      </w:pPr>
      <w:r w:rsidRPr="00BE0218">
        <w:rPr>
          <w:rFonts w:ascii="Times New Roman" w:hAnsi="Times New Roman" w:cs="Times New Roman"/>
        </w:rPr>
        <w:t>Looking at contrasts for scores after watching the videos only, sadness scores were significantly higher after the negative videos compared to after the positive videos (</w:t>
      </w:r>
      <w:r w:rsidRPr="00BE0218">
        <w:rPr>
          <w:rFonts w:ascii="Times New Roman" w:hAnsi="Times New Roman" w:cs="Times New Roman"/>
          <w:i/>
          <w:iCs/>
        </w:rPr>
        <w:t>p</w:t>
      </w:r>
      <w:r w:rsidRPr="00BE0218">
        <w:rPr>
          <w:rFonts w:ascii="Times New Roman" w:hAnsi="Times New Roman" w:cs="Times New Roman"/>
        </w:rPr>
        <w:t xml:space="preserve"> &lt; .001), while happiness scores were significantly higher after the positive videos compared to after the negative videos (</w:t>
      </w:r>
      <w:r w:rsidRPr="00BE0218">
        <w:rPr>
          <w:rFonts w:ascii="Times New Roman" w:hAnsi="Times New Roman" w:cs="Times New Roman"/>
          <w:i/>
          <w:iCs/>
        </w:rPr>
        <w:t>p</w:t>
      </w:r>
      <w:r w:rsidRPr="00BE0218">
        <w:rPr>
          <w:rFonts w:ascii="Times New Roman" w:hAnsi="Times New Roman" w:cs="Times New Roman"/>
        </w:rPr>
        <w:t xml:space="preserve"> &lt; .001). Looking at contrasts for before watching the videos only, there were no significant differences in sadness (</w:t>
      </w:r>
      <w:r w:rsidRPr="00BE0218">
        <w:rPr>
          <w:rFonts w:ascii="Times New Roman" w:hAnsi="Times New Roman" w:cs="Times New Roman"/>
          <w:i/>
          <w:iCs/>
        </w:rPr>
        <w:t>p</w:t>
      </w:r>
      <w:r w:rsidRPr="00BE0218">
        <w:rPr>
          <w:rFonts w:ascii="Times New Roman" w:hAnsi="Times New Roman" w:cs="Times New Roman"/>
        </w:rPr>
        <w:t xml:space="preserve"> = .70) or happiness (</w:t>
      </w:r>
      <w:r w:rsidRPr="00BE0218">
        <w:rPr>
          <w:rFonts w:ascii="Times New Roman" w:hAnsi="Times New Roman" w:cs="Times New Roman"/>
          <w:i/>
          <w:iCs/>
        </w:rPr>
        <w:t>p</w:t>
      </w:r>
      <w:r w:rsidRPr="00BE0218">
        <w:rPr>
          <w:rFonts w:ascii="Times New Roman" w:hAnsi="Times New Roman" w:cs="Times New Roman"/>
        </w:rPr>
        <w:t xml:space="preserve"> = .73) scores. </w:t>
      </w:r>
    </w:p>
    <w:p w14:paraId="4E31FAA3" w14:textId="77777777" w:rsidR="00BE0218" w:rsidRPr="00BE0218" w:rsidRDefault="00BE0218" w:rsidP="00BE0218">
      <w:pPr>
        <w:pStyle w:val="NoSpacing"/>
        <w:spacing w:line="480" w:lineRule="auto"/>
        <w:rPr>
          <w:rFonts w:ascii="Times New Roman" w:hAnsi="Times New Roman" w:cs="Times New Roman"/>
        </w:rPr>
      </w:pPr>
    </w:p>
    <w:p w14:paraId="17A2EF9E" w14:textId="77777777" w:rsidR="00BE0218" w:rsidRPr="003F1EA9" w:rsidRDefault="00806986" w:rsidP="00BE0218">
      <w:pPr>
        <w:pStyle w:val="NoSpacing"/>
        <w:spacing w:line="480" w:lineRule="auto"/>
        <w:rPr>
          <w:rFonts w:ascii="Times New Roman" w:hAnsi="Times New Roman" w:cs="Times New Roman"/>
          <w:b/>
          <w:bCs/>
        </w:rPr>
      </w:pPr>
      <w:bookmarkStart w:id="237" w:name="_Hlk110614438"/>
      <w:r w:rsidRPr="003F1EA9">
        <w:rPr>
          <w:rFonts w:ascii="Times New Roman" w:hAnsi="Times New Roman" w:cs="Times New Roman"/>
          <w:b/>
          <w:bCs/>
        </w:rPr>
        <w:t>Figure 5.3</w:t>
      </w:r>
    </w:p>
    <w:p w14:paraId="05C2957A" w14:textId="417EE7DE" w:rsidR="00806986" w:rsidRPr="003F1EA9" w:rsidRDefault="00806986" w:rsidP="00BE0218">
      <w:pPr>
        <w:pStyle w:val="NoSpacing"/>
        <w:spacing w:line="480" w:lineRule="auto"/>
        <w:rPr>
          <w:rFonts w:ascii="Times New Roman" w:hAnsi="Times New Roman" w:cs="Times New Roman"/>
          <w:i/>
          <w:iCs/>
        </w:rPr>
      </w:pPr>
      <w:r w:rsidRPr="003F1EA9">
        <w:rPr>
          <w:rFonts w:ascii="Times New Roman" w:hAnsi="Times New Roman" w:cs="Times New Roman"/>
          <w:i/>
          <w:iCs/>
        </w:rPr>
        <w:t>Average PANAS-X scores (happiness and sadness subscales) pre (before) and post (after) watching the negative videos in the negative mood experimental condition</w:t>
      </w:r>
    </w:p>
    <w:bookmarkEnd w:id="237"/>
    <w:p w14:paraId="3C91FBDA" w14:textId="4777A99F" w:rsidR="00BE0218" w:rsidRPr="00BE0218" w:rsidRDefault="00BE0218" w:rsidP="00BE0218">
      <w:pPr>
        <w:pStyle w:val="NoSpacing"/>
        <w:spacing w:line="480" w:lineRule="auto"/>
        <w:jc w:val="center"/>
        <w:rPr>
          <w:rFonts w:ascii="Times New Roman" w:hAnsi="Times New Roman" w:cs="Times New Roman"/>
        </w:rPr>
      </w:pPr>
      <w:r w:rsidRPr="00BA6B45">
        <w:rPr>
          <w:noProof/>
        </w:rPr>
        <w:lastRenderedPageBreak/>
        <w:drawing>
          <wp:inline distT="0" distB="0" distL="0" distR="0" wp14:anchorId="54B300EB" wp14:editId="0C51C4BA">
            <wp:extent cx="5114892" cy="3945255"/>
            <wp:effectExtent l="0" t="0" r="0"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14892" cy="3945255"/>
                    </a:xfrm>
                    <a:prstGeom prst="rect">
                      <a:avLst/>
                    </a:prstGeom>
                    <a:noFill/>
                    <a:ln>
                      <a:noFill/>
                    </a:ln>
                  </pic:spPr>
                </pic:pic>
              </a:graphicData>
            </a:graphic>
          </wp:inline>
        </w:drawing>
      </w:r>
    </w:p>
    <w:p w14:paraId="72B69CC4" w14:textId="4A8594DC" w:rsidR="00942B47" w:rsidRPr="00942B47" w:rsidRDefault="00BE0218" w:rsidP="00942B47">
      <w:pPr>
        <w:pStyle w:val="NoSpacing"/>
        <w:spacing w:line="480" w:lineRule="auto"/>
        <w:rPr>
          <w:rFonts w:ascii="Times New Roman" w:hAnsi="Times New Roman" w:cs="Times New Roman"/>
        </w:rPr>
      </w:pPr>
      <w:r w:rsidRPr="00942B47">
        <w:rPr>
          <w:rFonts w:ascii="Times New Roman" w:hAnsi="Times New Roman" w:cs="Times New Roman"/>
          <w:i/>
          <w:iCs/>
        </w:rPr>
        <w:t>Note.</w:t>
      </w:r>
      <w:r w:rsidRPr="00942B47">
        <w:rPr>
          <w:rFonts w:ascii="Times New Roman" w:hAnsi="Times New Roman" w:cs="Times New Roman"/>
        </w:rPr>
        <w:t xml:space="preserve"> Blue bars represent happiness scores, while green bars represent sadness scores, pre (before) and post (after) watching videos in the negative mood condition. Error bars represent the standard error of the mean (SE).</w:t>
      </w:r>
    </w:p>
    <w:p w14:paraId="01AC94F1" w14:textId="77777777" w:rsidR="00942B47" w:rsidRPr="00942B47" w:rsidRDefault="00942B47" w:rsidP="00942B47">
      <w:pPr>
        <w:pStyle w:val="NoSpacing"/>
        <w:spacing w:line="480" w:lineRule="auto"/>
        <w:rPr>
          <w:rFonts w:ascii="Times New Roman" w:hAnsi="Times New Roman" w:cs="Times New Roman"/>
        </w:rPr>
      </w:pPr>
    </w:p>
    <w:p w14:paraId="0AE53F23" w14:textId="77777777" w:rsidR="00942B47" w:rsidRPr="003F1EA9" w:rsidRDefault="00942B47" w:rsidP="00942B47">
      <w:pPr>
        <w:spacing w:line="480" w:lineRule="auto"/>
        <w:rPr>
          <w:rFonts w:ascii="Times New Roman" w:hAnsi="Times New Roman" w:cs="Times New Roman"/>
          <w:b/>
          <w:bCs/>
        </w:rPr>
      </w:pPr>
      <w:bookmarkStart w:id="238" w:name="_Hlk110614446"/>
      <w:r w:rsidRPr="003F1EA9">
        <w:rPr>
          <w:rFonts w:ascii="Times New Roman" w:hAnsi="Times New Roman" w:cs="Times New Roman"/>
          <w:b/>
          <w:bCs/>
        </w:rPr>
        <w:t>Figure 5.4</w:t>
      </w:r>
    </w:p>
    <w:p w14:paraId="7CD52DBE" w14:textId="17B3EAFF" w:rsidR="00942B47" w:rsidRPr="003F1EA9" w:rsidRDefault="00942B47" w:rsidP="00942B47">
      <w:pPr>
        <w:spacing w:line="480" w:lineRule="auto"/>
        <w:rPr>
          <w:rFonts w:ascii="Times New Roman" w:hAnsi="Times New Roman" w:cs="Times New Roman"/>
          <w:i/>
          <w:iCs/>
        </w:rPr>
      </w:pPr>
      <w:r w:rsidRPr="003F1EA9">
        <w:rPr>
          <w:rFonts w:ascii="Times New Roman" w:hAnsi="Times New Roman" w:cs="Times New Roman"/>
          <w:i/>
          <w:iCs/>
        </w:rPr>
        <w:t>Average PANAS-X scores (happiness and sadness subscales) pre (before) and post (after) watching the positive videos in the positive mood experimental condition</w:t>
      </w:r>
    </w:p>
    <w:bookmarkEnd w:id="238"/>
    <w:p w14:paraId="5E6C366D" w14:textId="1DF7FC5B" w:rsidR="0075473A" w:rsidRDefault="00942B47" w:rsidP="00942B47">
      <w:pPr>
        <w:pStyle w:val="NoSpacing"/>
        <w:spacing w:line="480" w:lineRule="auto"/>
        <w:jc w:val="center"/>
        <w:rPr>
          <w:rFonts w:ascii="Times New Roman" w:hAnsi="Times New Roman" w:cs="Times New Roman"/>
        </w:rPr>
      </w:pPr>
      <w:r w:rsidRPr="00BA6B45">
        <w:rPr>
          <w:noProof/>
        </w:rPr>
        <w:lastRenderedPageBreak/>
        <w:drawing>
          <wp:inline distT="0" distB="0" distL="0" distR="0" wp14:anchorId="4D98F74A" wp14:editId="0551FF7B">
            <wp:extent cx="5114925" cy="3945281"/>
            <wp:effectExtent l="0" t="0" r="1905"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14925" cy="3945281"/>
                    </a:xfrm>
                    <a:prstGeom prst="rect">
                      <a:avLst/>
                    </a:prstGeom>
                    <a:noFill/>
                    <a:ln>
                      <a:noFill/>
                    </a:ln>
                  </pic:spPr>
                </pic:pic>
              </a:graphicData>
            </a:graphic>
          </wp:inline>
        </w:drawing>
      </w:r>
    </w:p>
    <w:p w14:paraId="02FC968B"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i/>
          <w:iCs/>
        </w:rPr>
        <w:t>Note.</w:t>
      </w:r>
      <w:r w:rsidRPr="00942B47">
        <w:rPr>
          <w:rFonts w:ascii="Times New Roman" w:hAnsi="Times New Roman" w:cs="Times New Roman"/>
        </w:rPr>
        <w:t xml:space="preserve"> Blue bars represent happiness scores, while green bars represent sadness scores, pre (before) and post (after) watching videos in the positive mood condition. Error bars represent the standard error of the mean (SE).</w:t>
      </w:r>
    </w:p>
    <w:p w14:paraId="2F2800A7" w14:textId="77777777" w:rsidR="00942B47" w:rsidRPr="00942B47" w:rsidRDefault="00942B47" w:rsidP="00942B47">
      <w:pPr>
        <w:pStyle w:val="NoSpacing"/>
        <w:spacing w:line="480" w:lineRule="auto"/>
        <w:rPr>
          <w:rFonts w:ascii="Times New Roman" w:hAnsi="Times New Roman" w:cs="Times New Roman"/>
        </w:rPr>
      </w:pPr>
    </w:p>
    <w:p w14:paraId="24E9CB25" w14:textId="40C8DB92" w:rsidR="00942B47" w:rsidRPr="00942B47" w:rsidRDefault="00942B47" w:rsidP="00942B47">
      <w:pPr>
        <w:pStyle w:val="NoSpacing"/>
        <w:spacing w:line="480" w:lineRule="auto"/>
        <w:rPr>
          <w:rFonts w:ascii="Times New Roman" w:hAnsi="Times New Roman" w:cs="Times New Roman"/>
          <w:b/>
          <w:bCs/>
        </w:rPr>
      </w:pPr>
      <w:r w:rsidRPr="00942B47">
        <w:rPr>
          <w:rFonts w:ascii="Times New Roman" w:hAnsi="Times New Roman" w:cs="Times New Roman"/>
          <w:b/>
          <w:bCs/>
        </w:rPr>
        <w:t>Effects of experimental manipulation on craving to smoke (Figure 5.5)</w:t>
      </w:r>
    </w:p>
    <w:p w14:paraId="38231B5D" w14:textId="47701228"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rPr>
        <w:t>Craving scores were analysed using a two-way repeated measures ANOVA with time (2: before video; after video), and experimental condition (2: positive; negative) as within-subject variables. There was a significant interaction between time and condition (</w:t>
      </w:r>
      <w:proofErr w:type="gramStart"/>
      <w:r w:rsidRPr="00942B47">
        <w:rPr>
          <w:rFonts w:ascii="Times New Roman" w:hAnsi="Times New Roman" w:cs="Times New Roman"/>
          <w:i/>
          <w:iCs/>
        </w:rPr>
        <w:t>F</w:t>
      </w:r>
      <w:r w:rsidRPr="00942B47">
        <w:rPr>
          <w:rFonts w:ascii="Times New Roman" w:hAnsi="Times New Roman" w:cs="Times New Roman"/>
        </w:rPr>
        <w:t>(</w:t>
      </w:r>
      <w:proofErr w:type="gramEnd"/>
      <w:r w:rsidRPr="00942B47">
        <w:rPr>
          <w:rFonts w:ascii="Times New Roman" w:hAnsi="Times New Roman" w:cs="Times New Roman"/>
        </w:rPr>
        <w:t xml:space="preserve">1,48) = 17.90, </w:t>
      </w:r>
      <w:r w:rsidRPr="00942B47">
        <w:rPr>
          <w:rFonts w:ascii="Times New Roman" w:hAnsi="Times New Roman" w:cs="Times New Roman"/>
          <w:i/>
          <w:iCs/>
        </w:rPr>
        <w:t xml:space="preserve">p </w:t>
      </w:r>
      <w:r w:rsidRPr="00942B47">
        <w:rPr>
          <w:rFonts w:ascii="Times New Roman" w:hAnsi="Times New Roman" w:cs="Times New Roman"/>
        </w:rPr>
        <w:t xml:space="preserve">&lt; .001,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942B47">
        <w:rPr>
          <w:rFonts w:ascii="Times New Roman" w:hAnsi="Times New Roman" w:cs="Times New Roman"/>
        </w:rPr>
        <w:t xml:space="preserve"> = .27). </w:t>
      </w:r>
      <w:r w:rsidR="00BA1F0E">
        <w:rPr>
          <w:rFonts w:ascii="Times New Roman" w:hAnsi="Times New Roman" w:cs="Times New Roman"/>
        </w:rPr>
        <w:t>Post-hoc tests</w:t>
      </w:r>
      <w:r w:rsidRPr="00942B47">
        <w:rPr>
          <w:rFonts w:ascii="Times New Roman" w:hAnsi="Times New Roman" w:cs="Times New Roman"/>
        </w:rPr>
        <w:t xml:space="preserve"> revealed that in the negative mood condition, craving was marginally significantly increased after watching the videos compared to before watching (</w:t>
      </w:r>
      <w:r w:rsidRPr="00942B47">
        <w:rPr>
          <w:rFonts w:ascii="Times New Roman" w:hAnsi="Times New Roman" w:cs="Times New Roman"/>
          <w:i/>
          <w:iCs/>
        </w:rPr>
        <w:t>p</w:t>
      </w:r>
      <w:r w:rsidRPr="00942B47">
        <w:rPr>
          <w:rFonts w:ascii="Times New Roman" w:hAnsi="Times New Roman" w:cs="Times New Roman"/>
        </w:rPr>
        <w:t xml:space="preserve"> = .05). However, in the positive mood condition, there were no significant differences in craving before versus after watching the videos (</w:t>
      </w:r>
      <w:r w:rsidRPr="00942B47">
        <w:rPr>
          <w:rFonts w:ascii="Times New Roman" w:hAnsi="Times New Roman" w:cs="Times New Roman"/>
          <w:i/>
          <w:iCs/>
        </w:rPr>
        <w:t>p</w:t>
      </w:r>
      <w:r w:rsidRPr="00942B47">
        <w:rPr>
          <w:rFonts w:ascii="Times New Roman" w:hAnsi="Times New Roman" w:cs="Times New Roman"/>
        </w:rPr>
        <w:t xml:space="preserve"> = .08). </w:t>
      </w:r>
    </w:p>
    <w:p w14:paraId="35DD9F38" w14:textId="77777777" w:rsidR="00942B47" w:rsidRPr="00942B47" w:rsidRDefault="00942B47" w:rsidP="00942B47">
      <w:pPr>
        <w:pStyle w:val="NoSpacing"/>
        <w:spacing w:line="480" w:lineRule="auto"/>
        <w:rPr>
          <w:rFonts w:ascii="Times New Roman" w:hAnsi="Times New Roman" w:cs="Times New Roman"/>
        </w:rPr>
      </w:pPr>
    </w:p>
    <w:p w14:paraId="1231F86B"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rPr>
        <w:lastRenderedPageBreak/>
        <w:t>Looking only at craving after viewing the videos, craving scores were significantly increased after the negative videos compared to after positive videos (</w:t>
      </w:r>
      <w:r w:rsidRPr="00942B47">
        <w:rPr>
          <w:rFonts w:ascii="Times New Roman" w:hAnsi="Times New Roman" w:cs="Times New Roman"/>
          <w:i/>
          <w:iCs/>
        </w:rPr>
        <w:t>p</w:t>
      </w:r>
      <w:r w:rsidRPr="00942B47">
        <w:rPr>
          <w:rFonts w:ascii="Times New Roman" w:hAnsi="Times New Roman" w:cs="Times New Roman"/>
        </w:rPr>
        <w:t xml:space="preserve"> &lt; .001). Looking at contrasts only before watching the videos, there were no significant differences in craving scores (</w:t>
      </w:r>
      <w:r w:rsidRPr="00942B47">
        <w:rPr>
          <w:rFonts w:ascii="Times New Roman" w:hAnsi="Times New Roman" w:cs="Times New Roman"/>
          <w:i/>
          <w:iCs/>
        </w:rPr>
        <w:t>p</w:t>
      </w:r>
      <w:r w:rsidRPr="00942B47">
        <w:rPr>
          <w:rFonts w:ascii="Times New Roman" w:hAnsi="Times New Roman" w:cs="Times New Roman"/>
        </w:rPr>
        <w:t xml:space="preserve"> = .39). </w:t>
      </w:r>
    </w:p>
    <w:p w14:paraId="2213E8E1" w14:textId="77777777" w:rsidR="00942B47" w:rsidRPr="00942B47" w:rsidRDefault="00942B47" w:rsidP="00942B47">
      <w:pPr>
        <w:pStyle w:val="NoSpacing"/>
        <w:spacing w:line="480" w:lineRule="auto"/>
        <w:rPr>
          <w:rFonts w:ascii="Times New Roman" w:hAnsi="Times New Roman" w:cs="Times New Roman"/>
        </w:rPr>
      </w:pPr>
    </w:p>
    <w:p w14:paraId="2615ABF3" w14:textId="77777777" w:rsidR="00942B47" w:rsidRPr="003F1EA9" w:rsidRDefault="00942B47" w:rsidP="00942B47">
      <w:pPr>
        <w:pStyle w:val="NoSpacing"/>
        <w:spacing w:line="480" w:lineRule="auto"/>
        <w:rPr>
          <w:rFonts w:ascii="Times New Roman" w:hAnsi="Times New Roman" w:cs="Times New Roman"/>
          <w:b/>
          <w:bCs/>
        </w:rPr>
      </w:pPr>
      <w:bookmarkStart w:id="239" w:name="_Hlk110614456"/>
      <w:r w:rsidRPr="003F1EA9">
        <w:rPr>
          <w:rFonts w:ascii="Times New Roman" w:hAnsi="Times New Roman" w:cs="Times New Roman"/>
          <w:b/>
          <w:bCs/>
        </w:rPr>
        <w:t>Figure 5.5</w:t>
      </w:r>
    </w:p>
    <w:p w14:paraId="70D9C891" w14:textId="25CCF586" w:rsidR="00942B47" w:rsidRPr="003F1EA9" w:rsidRDefault="00942B47" w:rsidP="00942B47">
      <w:pPr>
        <w:pStyle w:val="NoSpacing"/>
        <w:spacing w:line="480" w:lineRule="auto"/>
        <w:rPr>
          <w:rFonts w:ascii="Times New Roman" w:hAnsi="Times New Roman" w:cs="Times New Roman"/>
          <w:i/>
          <w:iCs/>
        </w:rPr>
      </w:pPr>
      <w:r w:rsidRPr="003F1EA9">
        <w:rPr>
          <w:rFonts w:ascii="Times New Roman" w:hAnsi="Times New Roman" w:cs="Times New Roman"/>
          <w:i/>
          <w:iCs/>
        </w:rPr>
        <w:t>Mean craving to smoke scores pre (before) and post (after) in each of the experimental conditions</w:t>
      </w:r>
    </w:p>
    <w:bookmarkEnd w:id="239"/>
    <w:p w14:paraId="42F3DC30" w14:textId="2052F45B" w:rsidR="00942B47" w:rsidRDefault="00942B47" w:rsidP="00942B47">
      <w:pPr>
        <w:pStyle w:val="NoSpacing"/>
        <w:spacing w:line="480" w:lineRule="auto"/>
        <w:jc w:val="center"/>
        <w:rPr>
          <w:rFonts w:ascii="Times New Roman" w:hAnsi="Times New Roman" w:cs="Times New Roman"/>
        </w:rPr>
      </w:pPr>
      <w:r w:rsidRPr="00BA6B45">
        <w:rPr>
          <w:noProof/>
        </w:rPr>
        <w:drawing>
          <wp:inline distT="0" distB="0" distL="0" distR="0" wp14:anchorId="29751583" wp14:editId="0BC6FCE3">
            <wp:extent cx="4784651" cy="3390768"/>
            <wp:effectExtent l="0" t="0" r="0" b="635"/>
            <wp:docPr id="5" name="Picture 5"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ox and whisker chart&#10;&#10;Description automatically generated"/>
                    <pic:cNvPicPr>
                      <a:picLocks noChangeAspect="1" noChangeArrowheads="1"/>
                    </pic:cNvPicPr>
                  </pic:nvPicPr>
                  <pic:blipFill rotWithShape="1">
                    <a:blip r:embed="rId48">
                      <a:extLst>
                        <a:ext uri="{28A0092B-C50C-407E-A947-70E740481C1C}">
                          <a14:useLocalDpi xmlns:a14="http://schemas.microsoft.com/office/drawing/2010/main" val="0"/>
                        </a:ext>
                      </a:extLst>
                    </a:blip>
                    <a:srcRect b="8267"/>
                    <a:stretch/>
                  </pic:blipFill>
                  <pic:spPr bwMode="auto">
                    <a:xfrm>
                      <a:off x="0" y="0"/>
                      <a:ext cx="4789075" cy="3393903"/>
                    </a:xfrm>
                    <a:prstGeom prst="rect">
                      <a:avLst/>
                    </a:prstGeom>
                    <a:noFill/>
                    <a:ln>
                      <a:noFill/>
                    </a:ln>
                    <a:extLst>
                      <a:ext uri="{53640926-AAD7-44D8-BBD7-CCE9431645EC}">
                        <a14:shadowObscured xmlns:a14="http://schemas.microsoft.com/office/drawing/2010/main"/>
                      </a:ext>
                    </a:extLst>
                  </pic:spPr>
                </pic:pic>
              </a:graphicData>
            </a:graphic>
          </wp:inline>
        </w:drawing>
      </w:r>
    </w:p>
    <w:p w14:paraId="06FE50E5"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i/>
          <w:iCs/>
        </w:rPr>
        <w:t>Note.</w:t>
      </w:r>
      <w:r w:rsidRPr="00942B47">
        <w:rPr>
          <w:rFonts w:ascii="Times New Roman" w:hAnsi="Times New Roman" w:cs="Times New Roman"/>
        </w:rPr>
        <w:t xml:space="preserve"> Blue bars represent pre (before) and after (post) scores in the negative mood experimental condition while green bars represent before (pre) and after (post) scores in the positive mood experimental condition. Error bars represent the standard error of the mean (SE).</w:t>
      </w:r>
    </w:p>
    <w:p w14:paraId="65721018" w14:textId="77777777" w:rsidR="00942B47" w:rsidRPr="00942B47" w:rsidRDefault="00942B47" w:rsidP="00942B47">
      <w:pPr>
        <w:pStyle w:val="NoSpacing"/>
        <w:spacing w:line="480" w:lineRule="auto"/>
        <w:rPr>
          <w:rFonts w:ascii="Times New Roman" w:hAnsi="Times New Roman" w:cs="Times New Roman"/>
        </w:rPr>
      </w:pPr>
    </w:p>
    <w:p w14:paraId="63E05DAE" w14:textId="77777777" w:rsidR="00942B47" w:rsidRPr="00942B47" w:rsidRDefault="00942B47" w:rsidP="00942B47">
      <w:pPr>
        <w:pStyle w:val="NoSpacing"/>
        <w:spacing w:line="480" w:lineRule="auto"/>
        <w:rPr>
          <w:rFonts w:ascii="Times New Roman" w:hAnsi="Times New Roman" w:cs="Times New Roman"/>
          <w:b/>
          <w:bCs/>
        </w:rPr>
      </w:pPr>
      <w:r w:rsidRPr="00942B47">
        <w:rPr>
          <w:rFonts w:ascii="Times New Roman" w:hAnsi="Times New Roman" w:cs="Times New Roman"/>
          <w:b/>
          <w:bCs/>
        </w:rPr>
        <w:t>Pre-registered analyses</w:t>
      </w:r>
    </w:p>
    <w:p w14:paraId="3176CACE" w14:textId="77777777" w:rsidR="00942B47" w:rsidRPr="00942B47" w:rsidRDefault="00942B47" w:rsidP="00942B47">
      <w:pPr>
        <w:pStyle w:val="NoSpacing"/>
        <w:spacing w:line="480" w:lineRule="auto"/>
        <w:rPr>
          <w:rFonts w:ascii="Times New Roman" w:hAnsi="Times New Roman" w:cs="Times New Roman"/>
        </w:rPr>
      </w:pPr>
    </w:p>
    <w:p w14:paraId="354F1E92"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i/>
          <w:iCs/>
        </w:rPr>
        <w:lastRenderedPageBreak/>
        <w:t>Hypothesis 1</w:t>
      </w:r>
      <w:r w:rsidRPr="00942B47">
        <w:rPr>
          <w:rFonts w:ascii="Times New Roman" w:hAnsi="Times New Roman" w:cs="Times New Roman"/>
        </w:rPr>
        <w:t>: When participants are primed to experience negative mood, they will have increased EA rates and lower response thresholds when choosing between tobacco-related images compared to when choosing between tobacco-unrelated (animal) images.</w:t>
      </w:r>
    </w:p>
    <w:p w14:paraId="3754A9CC" w14:textId="77777777" w:rsidR="00942B47" w:rsidRPr="00942B47" w:rsidRDefault="00942B47" w:rsidP="00942B47">
      <w:pPr>
        <w:pStyle w:val="NoSpacing"/>
        <w:spacing w:line="480" w:lineRule="auto"/>
        <w:rPr>
          <w:rFonts w:ascii="Times New Roman" w:hAnsi="Times New Roman" w:cs="Times New Roman"/>
        </w:rPr>
      </w:pPr>
    </w:p>
    <w:p w14:paraId="4602BA05" w14:textId="2AEB3293" w:rsidR="00942B47" w:rsidRPr="00942B47" w:rsidRDefault="00942B47" w:rsidP="00B722FA">
      <w:pPr>
        <w:pStyle w:val="NoSpacing"/>
        <w:spacing w:line="480" w:lineRule="auto"/>
        <w:rPr>
          <w:rFonts w:ascii="Times New Roman" w:hAnsi="Times New Roman" w:cs="Times New Roman"/>
        </w:rPr>
      </w:pPr>
      <w:r w:rsidRPr="00942B47">
        <w:rPr>
          <w:rFonts w:ascii="Times New Roman" w:hAnsi="Times New Roman" w:cs="Times New Roman"/>
        </w:rPr>
        <w:t xml:space="preserve">When primed to experience a negative mood, participants did not have significantly increased tobacco EA rates (M = 1.83 SD = .49) compared to animal EA rates (M = 2.13, SD = .45),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4.50, p = 1.00, d = .64. Furthermore, participants did not have significantly decreased tobacco response thresholds (M = 1.57, SD = .31) compared to animal thresholds (M = 1.57, SD = .31),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.09, </w:t>
      </w:r>
      <w:r w:rsidRPr="00942B47">
        <w:rPr>
          <w:rFonts w:ascii="Times New Roman" w:hAnsi="Times New Roman" w:cs="Times New Roman"/>
          <w:i/>
          <w:iCs/>
        </w:rPr>
        <w:t>p</w:t>
      </w:r>
      <w:r w:rsidRPr="00942B47">
        <w:rPr>
          <w:rFonts w:ascii="Times New Roman" w:hAnsi="Times New Roman" w:cs="Times New Roman"/>
        </w:rPr>
        <w:t xml:space="preserve"> = .46, </w:t>
      </w:r>
      <w:r w:rsidRPr="00942B47">
        <w:rPr>
          <w:rFonts w:ascii="Times New Roman" w:hAnsi="Times New Roman" w:cs="Times New Roman"/>
          <w:i/>
          <w:iCs/>
        </w:rPr>
        <w:t>d</w:t>
      </w:r>
      <w:r w:rsidRPr="00942B47">
        <w:rPr>
          <w:rFonts w:ascii="Times New Roman" w:hAnsi="Times New Roman" w:cs="Times New Roman"/>
        </w:rPr>
        <w:t xml:space="preserve"> = .01. </w:t>
      </w:r>
    </w:p>
    <w:p w14:paraId="71A73385" w14:textId="77777777" w:rsidR="00942B47" w:rsidRPr="00942B47" w:rsidRDefault="00942B47" w:rsidP="00942B47">
      <w:pPr>
        <w:pStyle w:val="NoSpacing"/>
        <w:spacing w:line="480" w:lineRule="auto"/>
        <w:rPr>
          <w:rFonts w:ascii="Times New Roman" w:hAnsi="Times New Roman" w:cs="Times New Roman"/>
        </w:rPr>
      </w:pPr>
    </w:p>
    <w:p w14:paraId="36707020"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i/>
          <w:iCs/>
        </w:rPr>
        <w:t>Hypothesis 2</w:t>
      </w:r>
      <w:r w:rsidRPr="00942B47">
        <w:rPr>
          <w:rFonts w:ascii="Times New Roman" w:hAnsi="Times New Roman" w:cs="Times New Roman"/>
        </w:rPr>
        <w:t>: When participants are primed to experience positive mood, they will have increased EA rates and lower response thresholds when choosing between tobacco-unrelated (animal) images compared to when choosing between tobacco-related images.</w:t>
      </w:r>
    </w:p>
    <w:p w14:paraId="128A4A61" w14:textId="77777777" w:rsidR="00942B47" w:rsidRPr="00942B47" w:rsidRDefault="00942B47" w:rsidP="00942B47">
      <w:pPr>
        <w:pStyle w:val="NoSpacing"/>
        <w:spacing w:line="480" w:lineRule="auto"/>
        <w:rPr>
          <w:rFonts w:ascii="Times New Roman" w:hAnsi="Times New Roman" w:cs="Times New Roman"/>
        </w:rPr>
      </w:pPr>
    </w:p>
    <w:p w14:paraId="5E541B0A" w14:textId="1BFFF644" w:rsidR="00942B47" w:rsidRPr="00942B47" w:rsidRDefault="00942B47" w:rsidP="00B722FA">
      <w:pPr>
        <w:pStyle w:val="NoSpacing"/>
        <w:spacing w:line="480" w:lineRule="auto"/>
        <w:rPr>
          <w:rFonts w:ascii="Times New Roman" w:hAnsi="Times New Roman" w:cs="Times New Roman"/>
        </w:rPr>
      </w:pPr>
      <w:r w:rsidRPr="00942B47">
        <w:rPr>
          <w:rFonts w:ascii="Times New Roman" w:hAnsi="Times New Roman" w:cs="Times New Roman"/>
        </w:rPr>
        <w:t xml:space="preserve">When primed to experience a positive mood, participants had significantly increased animal EA rates (M = 2.14, SD = .44) compared to tobacco EA rates (M = 1.75, SD = .48),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6.02, </w:t>
      </w:r>
      <w:r w:rsidRPr="00942B47">
        <w:rPr>
          <w:rFonts w:ascii="Times New Roman" w:hAnsi="Times New Roman" w:cs="Times New Roman"/>
          <w:i/>
          <w:iCs/>
        </w:rPr>
        <w:t>p</w:t>
      </w:r>
      <w:r w:rsidRPr="00942B47">
        <w:rPr>
          <w:rFonts w:ascii="Times New Roman" w:hAnsi="Times New Roman" w:cs="Times New Roman"/>
        </w:rPr>
        <w:t xml:space="preserve"> &lt; .001, </w:t>
      </w:r>
      <w:r w:rsidRPr="00942B47">
        <w:rPr>
          <w:rFonts w:ascii="Times New Roman" w:hAnsi="Times New Roman" w:cs="Times New Roman"/>
          <w:i/>
          <w:iCs/>
        </w:rPr>
        <w:t xml:space="preserve">d </w:t>
      </w:r>
      <w:r w:rsidRPr="00942B47">
        <w:rPr>
          <w:rFonts w:ascii="Times New Roman" w:hAnsi="Times New Roman" w:cs="Times New Roman"/>
        </w:rPr>
        <w:t xml:space="preserve">= .86. However, they did not have significantly decreased animal response thresholds (M = 1.54, SD = .29) compared to tobacco response thresholds (M = 1.52, SE = .29);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.53, </w:t>
      </w:r>
      <w:r w:rsidRPr="00942B47">
        <w:rPr>
          <w:rFonts w:ascii="Times New Roman" w:hAnsi="Times New Roman" w:cs="Times New Roman"/>
          <w:i/>
          <w:iCs/>
        </w:rPr>
        <w:t>p</w:t>
      </w:r>
      <w:r w:rsidRPr="00942B47">
        <w:rPr>
          <w:rFonts w:ascii="Times New Roman" w:hAnsi="Times New Roman" w:cs="Times New Roman"/>
        </w:rPr>
        <w:t xml:space="preserve"> = .70, </w:t>
      </w:r>
      <w:r w:rsidRPr="00942B47">
        <w:rPr>
          <w:rFonts w:ascii="Times New Roman" w:hAnsi="Times New Roman" w:cs="Times New Roman"/>
          <w:i/>
          <w:iCs/>
        </w:rPr>
        <w:t>d</w:t>
      </w:r>
      <w:r w:rsidRPr="00942B47">
        <w:rPr>
          <w:rFonts w:ascii="Times New Roman" w:hAnsi="Times New Roman" w:cs="Times New Roman"/>
        </w:rPr>
        <w:t xml:space="preserve"> = .08. </w:t>
      </w:r>
    </w:p>
    <w:p w14:paraId="5B9E4A7D" w14:textId="77777777" w:rsidR="00942B47" w:rsidRPr="00942B47" w:rsidRDefault="00942B47" w:rsidP="00942B47">
      <w:pPr>
        <w:pStyle w:val="NoSpacing"/>
        <w:spacing w:line="480" w:lineRule="auto"/>
        <w:rPr>
          <w:rFonts w:ascii="Times New Roman" w:hAnsi="Times New Roman" w:cs="Times New Roman"/>
        </w:rPr>
      </w:pPr>
    </w:p>
    <w:p w14:paraId="629C80EA"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i/>
          <w:iCs/>
        </w:rPr>
        <w:t>Hypothesis 3</w:t>
      </w:r>
      <w:r w:rsidRPr="00942B47">
        <w:rPr>
          <w:rFonts w:ascii="Times New Roman" w:hAnsi="Times New Roman" w:cs="Times New Roman"/>
        </w:rPr>
        <w:t>: When participants are choosing between tobacco-related images, they will have increased EA rates and lower response thresholds when primed to experience negative mood compared to when primed to experience positive mood.</w:t>
      </w:r>
    </w:p>
    <w:p w14:paraId="290A733E" w14:textId="77777777" w:rsidR="00942B47" w:rsidRPr="00942B47" w:rsidRDefault="00942B47" w:rsidP="00942B47">
      <w:pPr>
        <w:pStyle w:val="NoSpacing"/>
        <w:spacing w:line="480" w:lineRule="auto"/>
        <w:rPr>
          <w:rFonts w:ascii="Times New Roman" w:hAnsi="Times New Roman" w:cs="Times New Roman"/>
        </w:rPr>
      </w:pPr>
    </w:p>
    <w:p w14:paraId="10F3CA06" w14:textId="17B7DF00" w:rsidR="00942B47" w:rsidRPr="00942B47" w:rsidRDefault="00942B47" w:rsidP="00B722FA">
      <w:pPr>
        <w:pStyle w:val="NoSpacing"/>
        <w:spacing w:line="480" w:lineRule="auto"/>
        <w:rPr>
          <w:rFonts w:ascii="Times New Roman" w:hAnsi="Times New Roman" w:cs="Times New Roman"/>
        </w:rPr>
      </w:pPr>
      <w:r w:rsidRPr="00942B47">
        <w:rPr>
          <w:rFonts w:ascii="Times New Roman" w:hAnsi="Times New Roman" w:cs="Times New Roman"/>
        </w:rPr>
        <w:lastRenderedPageBreak/>
        <w:t xml:space="preserve">When choosing between tobacco images, EA rates in the negative mood condition (M = 1.83, SD = .49) were not significantly increased compared to in the positive mood condition (M = 1.75, SD = .48);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1.15, </w:t>
      </w:r>
      <w:r w:rsidRPr="00942B47">
        <w:rPr>
          <w:rFonts w:ascii="Times New Roman" w:hAnsi="Times New Roman" w:cs="Times New Roman"/>
          <w:i/>
          <w:iCs/>
        </w:rPr>
        <w:t>p</w:t>
      </w:r>
      <w:r w:rsidRPr="00942B47">
        <w:rPr>
          <w:rFonts w:ascii="Times New Roman" w:hAnsi="Times New Roman" w:cs="Times New Roman"/>
        </w:rPr>
        <w:t xml:space="preserve"> = .13, </w:t>
      </w:r>
      <w:r w:rsidRPr="00942B47">
        <w:rPr>
          <w:rFonts w:ascii="Times New Roman" w:hAnsi="Times New Roman" w:cs="Times New Roman"/>
          <w:i/>
          <w:iCs/>
        </w:rPr>
        <w:t>d</w:t>
      </w:r>
      <w:r w:rsidRPr="00942B47">
        <w:rPr>
          <w:rFonts w:ascii="Times New Roman" w:hAnsi="Times New Roman" w:cs="Times New Roman"/>
        </w:rPr>
        <w:t xml:space="preserve"> = .16. Furthermore, smoking response thresholds were not decreased in the negative mood condition (M = 1.57, SD = .31) compared to in the positive mood condition (M = 1.52, SD = .29), </w:t>
      </w:r>
      <w:proofErr w:type="gramStart"/>
      <w:r w:rsidRPr="00942B47">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1.24, </w:t>
      </w:r>
      <w:r w:rsidRPr="00942B47">
        <w:rPr>
          <w:rFonts w:ascii="Times New Roman" w:hAnsi="Times New Roman" w:cs="Times New Roman"/>
          <w:i/>
          <w:iCs/>
        </w:rPr>
        <w:t>p</w:t>
      </w:r>
      <w:r w:rsidRPr="00942B47">
        <w:rPr>
          <w:rFonts w:ascii="Times New Roman" w:hAnsi="Times New Roman" w:cs="Times New Roman"/>
        </w:rPr>
        <w:t xml:space="preserve"> = .89, </w:t>
      </w:r>
      <w:r w:rsidRPr="00942B47">
        <w:rPr>
          <w:rFonts w:ascii="Times New Roman" w:hAnsi="Times New Roman" w:cs="Times New Roman"/>
          <w:i/>
          <w:iCs/>
        </w:rPr>
        <w:t>d</w:t>
      </w:r>
      <w:r w:rsidRPr="00942B47">
        <w:rPr>
          <w:rFonts w:ascii="Times New Roman" w:hAnsi="Times New Roman" w:cs="Times New Roman"/>
        </w:rPr>
        <w:t xml:space="preserve"> = .18</w:t>
      </w:r>
      <w:r w:rsidR="00B722FA">
        <w:rPr>
          <w:rFonts w:ascii="Times New Roman" w:hAnsi="Times New Roman" w:cs="Times New Roman"/>
        </w:rPr>
        <w:t>.</w:t>
      </w:r>
    </w:p>
    <w:p w14:paraId="7399FA01" w14:textId="77777777" w:rsidR="00942B47" w:rsidRPr="00942B47" w:rsidRDefault="00942B47" w:rsidP="00942B47">
      <w:pPr>
        <w:pStyle w:val="NoSpacing"/>
        <w:spacing w:line="480" w:lineRule="auto"/>
        <w:rPr>
          <w:rFonts w:ascii="Times New Roman" w:hAnsi="Times New Roman" w:cs="Times New Roman"/>
        </w:rPr>
      </w:pPr>
    </w:p>
    <w:p w14:paraId="7518F08C" w14:textId="77777777" w:rsidR="00942B47" w:rsidRPr="00942B47" w:rsidRDefault="00942B47" w:rsidP="00942B47">
      <w:pPr>
        <w:pStyle w:val="NoSpacing"/>
        <w:spacing w:line="480" w:lineRule="auto"/>
        <w:rPr>
          <w:rFonts w:ascii="Times New Roman" w:hAnsi="Times New Roman" w:cs="Times New Roman"/>
        </w:rPr>
      </w:pPr>
      <w:r w:rsidRPr="00942B47">
        <w:rPr>
          <w:rFonts w:ascii="Times New Roman" w:hAnsi="Times New Roman" w:cs="Times New Roman"/>
        </w:rPr>
        <w:t>Hypothesis 4: When participants are choosing between tobacco-unrelated (animal) images, they will have increased EA rates and lower response thresholds when primed to experience positive mood compared to when primed to experience negative mood.</w:t>
      </w:r>
    </w:p>
    <w:p w14:paraId="58D1122F" w14:textId="77777777" w:rsidR="00942B47" w:rsidRPr="00942B47" w:rsidRDefault="00942B47" w:rsidP="00942B47">
      <w:pPr>
        <w:pStyle w:val="NoSpacing"/>
        <w:spacing w:line="480" w:lineRule="auto"/>
        <w:rPr>
          <w:rFonts w:ascii="Times New Roman" w:hAnsi="Times New Roman" w:cs="Times New Roman"/>
        </w:rPr>
      </w:pPr>
    </w:p>
    <w:p w14:paraId="67B3817E" w14:textId="03F2B7AE" w:rsidR="00942B47" w:rsidRPr="00942B47" w:rsidRDefault="00942B47" w:rsidP="00B722FA">
      <w:pPr>
        <w:pStyle w:val="NoSpacing"/>
        <w:spacing w:line="480" w:lineRule="auto"/>
        <w:rPr>
          <w:rFonts w:ascii="Times New Roman" w:hAnsi="Times New Roman" w:cs="Times New Roman"/>
        </w:rPr>
      </w:pPr>
      <w:r w:rsidRPr="00942B47">
        <w:rPr>
          <w:rFonts w:ascii="Times New Roman" w:hAnsi="Times New Roman" w:cs="Times New Roman"/>
        </w:rPr>
        <w:t xml:space="preserve">When choosing between animal images, EA rates were not significantly increased in the positive mood condition (M = 2.14, SD = .44) compared to the negative mood condition (M = 2.13, SD = .45), </w:t>
      </w:r>
      <w:proofErr w:type="gramStart"/>
      <w:r w:rsidRPr="00232D38">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.10, </w:t>
      </w:r>
      <w:r w:rsidRPr="00232D38">
        <w:rPr>
          <w:rFonts w:ascii="Times New Roman" w:hAnsi="Times New Roman" w:cs="Times New Roman"/>
          <w:i/>
          <w:iCs/>
        </w:rPr>
        <w:t>p</w:t>
      </w:r>
      <w:r w:rsidRPr="00942B47">
        <w:rPr>
          <w:rFonts w:ascii="Times New Roman" w:hAnsi="Times New Roman" w:cs="Times New Roman"/>
        </w:rPr>
        <w:t xml:space="preserve"> = .46, </w:t>
      </w:r>
      <w:r w:rsidRPr="00232D38">
        <w:rPr>
          <w:rFonts w:ascii="Times New Roman" w:hAnsi="Times New Roman" w:cs="Times New Roman"/>
          <w:i/>
          <w:iCs/>
        </w:rPr>
        <w:t>d</w:t>
      </w:r>
      <w:r w:rsidRPr="00942B47">
        <w:rPr>
          <w:rFonts w:ascii="Times New Roman" w:hAnsi="Times New Roman" w:cs="Times New Roman"/>
        </w:rPr>
        <w:t xml:space="preserve"> = .01. Furthermore, animal response thresholds were not significantly decreased in the positive mood condition (M = 1.54, SD = .29) compared to the negative mood condition (M = 1.57, SD = .31), </w:t>
      </w:r>
      <w:proofErr w:type="gramStart"/>
      <w:r w:rsidRPr="00232D38">
        <w:rPr>
          <w:rFonts w:ascii="Times New Roman" w:hAnsi="Times New Roman" w:cs="Times New Roman"/>
          <w:i/>
          <w:iCs/>
        </w:rPr>
        <w:t>t</w:t>
      </w:r>
      <w:r w:rsidRPr="00942B47">
        <w:rPr>
          <w:rFonts w:ascii="Times New Roman" w:hAnsi="Times New Roman" w:cs="Times New Roman"/>
        </w:rPr>
        <w:t>(</w:t>
      </w:r>
      <w:proofErr w:type="gramEnd"/>
      <w:r w:rsidRPr="00942B47">
        <w:rPr>
          <w:rFonts w:ascii="Times New Roman" w:hAnsi="Times New Roman" w:cs="Times New Roman"/>
        </w:rPr>
        <w:t xml:space="preserve">48) = .89, </w:t>
      </w:r>
      <w:r w:rsidRPr="00232D38">
        <w:rPr>
          <w:rFonts w:ascii="Times New Roman" w:hAnsi="Times New Roman" w:cs="Times New Roman"/>
          <w:i/>
          <w:iCs/>
        </w:rPr>
        <w:t>p</w:t>
      </w:r>
      <w:r w:rsidRPr="00942B47">
        <w:rPr>
          <w:rFonts w:ascii="Times New Roman" w:hAnsi="Times New Roman" w:cs="Times New Roman"/>
        </w:rPr>
        <w:t xml:space="preserve"> = .19, </w:t>
      </w:r>
      <w:r w:rsidRPr="00232D38">
        <w:rPr>
          <w:rFonts w:ascii="Times New Roman" w:hAnsi="Times New Roman" w:cs="Times New Roman"/>
          <w:i/>
          <w:iCs/>
        </w:rPr>
        <w:t>d</w:t>
      </w:r>
      <w:r w:rsidRPr="00942B47">
        <w:rPr>
          <w:rFonts w:ascii="Times New Roman" w:hAnsi="Times New Roman" w:cs="Times New Roman"/>
        </w:rPr>
        <w:t xml:space="preserve"> = .13. </w:t>
      </w:r>
    </w:p>
    <w:p w14:paraId="61F1EEAB" w14:textId="77777777" w:rsidR="00232D38" w:rsidRPr="00942B47" w:rsidRDefault="00232D38" w:rsidP="00942B47">
      <w:pPr>
        <w:pStyle w:val="NoSpacing"/>
        <w:spacing w:line="480" w:lineRule="auto"/>
        <w:rPr>
          <w:rFonts w:ascii="Times New Roman" w:hAnsi="Times New Roman" w:cs="Times New Roman"/>
        </w:rPr>
      </w:pPr>
    </w:p>
    <w:p w14:paraId="5F70E91F" w14:textId="77777777" w:rsidR="00232D38" w:rsidRPr="003F1EA9" w:rsidRDefault="00942B47" w:rsidP="00942B47">
      <w:pPr>
        <w:pStyle w:val="NoSpacing"/>
        <w:spacing w:line="480" w:lineRule="auto"/>
        <w:rPr>
          <w:rFonts w:ascii="Times New Roman" w:hAnsi="Times New Roman" w:cs="Times New Roman"/>
          <w:b/>
          <w:bCs/>
        </w:rPr>
      </w:pPr>
      <w:bookmarkStart w:id="240" w:name="_Hlk110614467"/>
      <w:r w:rsidRPr="003F1EA9">
        <w:rPr>
          <w:rFonts w:ascii="Times New Roman" w:hAnsi="Times New Roman" w:cs="Times New Roman"/>
          <w:b/>
          <w:bCs/>
        </w:rPr>
        <w:t>Figure 5.6</w:t>
      </w:r>
    </w:p>
    <w:p w14:paraId="020A2DE2" w14:textId="514AA4E1" w:rsidR="0075473A" w:rsidRPr="006C6BA7" w:rsidRDefault="00942B47" w:rsidP="00806986">
      <w:pPr>
        <w:pStyle w:val="NoSpacing"/>
        <w:spacing w:line="480" w:lineRule="auto"/>
        <w:rPr>
          <w:rFonts w:ascii="Times New Roman" w:hAnsi="Times New Roman" w:cs="Times New Roman"/>
          <w:i/>
          <w:iCs/>
        </w:rPr>
      </w:pPr>
      <w:r w:rsidRPr="006C6BA7">
        <w:rPr>
          <w:rFonts w:ascii="Times New Roman" w:hAnsi="Times New Roman" w:cs="Times New Roman"/>
          <w:i/>
          <w:iCs/>
        </w:rPr>
        <w:t>Mean overall EA rates for tobacco and animal choices split by negative (solid black line</w:t>
      </w:r>
      <w:r w:rsidR="00EA3533">
        <w:rPr>
          <w:rFonts w:ascii="Times New Roman" w:hAnsi="Times New Roman" w:cs="Times New Roman"/>
          <w:i/>
          <w:iCs/>
        </w:rPr>
        <w:t xml:space="preserve">; </w:t>
      </w:r>
      <w:r w:rsidRPr="006C6BA7">
        <w:rPr>
          <w:rFonts w:ascii="Times New Roman" w:hAnsi="Times New Roman" w:cs="Times New Roman"/>
          <w:i/>
          <w:iCs/>
        </w:rPr>
        <w:t>circle) and positive (dashed black line</w:t>
      </w:r>
      <w:r w:rsidR="00EA3533">
        <w:rPr>
          <w:rFonts w:ascii="Times New Roman" w:hAnsi="Times New Roman" w:cs="Times New Roman"/>
          <w:i/>
          <w:iCs/>
        </w:rPr>
        <w:t>;</w:t>
      </w:r>
      <w:r w:rsidRPr="006C6BA7">
        <w:rPr>
          <w:rFonts w:ascii="Times New Roman" w:hAnsi="Times New Roman" w:cs="Times New Roman"/>
          <w:i/>
          <w:iCs/>
        </w:rPr>
        <w:t xml:space="preserve"> triangle) experimental conditions</w:t>
      </w:r>
    </w:p>
    <w:bookmarkEnd w:id="240"/>
    <w:p w14:paraId="1525FD4E" w14:textId="3ADF17C0" w:rsidR="0075473A" w:rsidRPr="00806986" w:rsidRDefault="00232D38" w:rsidP="00232D38">
      <w:pPr>
        <w:pStyle w:val="NoSpacing"/>
        <w:spacing w:line="480" w:lineRule="auto"/>
        <w:jc w:val="center"/>
      </w:pPr>
      <w:r w:rsidRPr="00BA6B45">
        <w:rPr>
          <w:noProof/>
        </w:rPr>
        <w:lastRenderedPageBreak/>
        <w:drawing>
          <wp:inline distT="0" distB="0" distL="0" distR="0" wp14:anchorId="1B9EE47D" wp14:editId="592409E1">
            <wp:extent cx="5086601" cy="3437635"/>
            <wp:effectExtent l="0" t="0" r="0" b="4445"/>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a:picLocks noChangeAspect="1" noChangeArrowheads="1"/>
                    </pic:cNvPicPr>
                  </pic:nvPicPr>
                  <pic:blipFill rotWithShape="1">
                    <a:blip r:embed="rId49">
                      <a:extLst>
                        <a:ext uri="{28A0092B-C50C-407E-A947-70E740481C1C}">
                          <a14:useLocalDpi xmlns:a14="http://schemas.microsoft.com/office/drawing/2010/main" val="0"/>
                        </a:ext>
                      </a:extLst>
                    </a:blip>
                    <a:srcRect t="4284"/>
                    <a:stretch/>
                  </pic:blipFill>
                  <pic:spPr bwMode="auto">
                    <a:xfrm>
                      <a:off x="0" y="0"/>
                      <a:ext cx="5124072" cy="3462959"/>
                    </a:xfrm>
                    <a:prstGeom prst="rect">
                      <a:avLst/>
                    </a:prstGeom>
                    <a:noFill/>
                    <a:ln>
                      <a:noFill/>
                    </a:ln>
                    <a:extLst>
                      <a:ext uri="{53640926-AAD7-44D8-BBD7-CCE9431645EC}">
                        <a14:shadowObscured xmlns:a14="http://schemas.microsoft.com/office/drawing/2010/main"/>
                      </a:ext>
                    </a:extLst>
                  </pic:spPr>
                </pic:pic>
              </a:graphicData>
            </a:graphic>
          </wp:inline>
        </w:drawing>
      </w:r>
    </w:p>
    <w:p w14:paraId="000B4BD7" w14:textId="77777777" w:rsidR="00232D38" w:rsidRPr="00232D38" w:rsidRDefault="00232D38" w:rsidP="00232D38">
      <w:pPr>
        <w:pStyle w:val="NoSpacing"/>
        <w:spacing w:line="480" w:lineRule="auto"/>
        <w:rPr>
          <w:rFonts w:ascii="Times New Roman" w:hAnsi="Times New Roman" w:cs="Times New Roman"/>
        </w:rPr>
      </w:pPr>
      <w:r w:rsidRPr="00232D38">
        <w:rPr>
          <w:rFonts w:ascii="Times New Roman" w:hAnsi="Times New Roman" w:cs="Times New Roman"/>
        </w:rPr>
        <w:t>Note. Error bars represent the standard error of the mean (SE).</w:t>
      </w:r>
    </w:p>
    <w:p w14:paraId="404ECDE8" w14:textId="77777777" w:rsidR="00232D38" w:rsidRPr="00232D38" w:rsidRDefault="00232D38" w:rsidP="00232D38">
      <w:pPr>
        <w:pStyle w:val="NoSpacing"/>
        <w:spacing w:line="480" w:lineRule="auto"/>
        <w:rPr>
          <w:rFonts w:ascii="Times New Roman" w:hAnsi="Times New Roman" w:cs="Times New Roman"/>
        </w:rPr>
      </w:pPr>
    </w:p>
    <w:p w14:paraId="73D8CC3F" w14:textId="77777777" w:rsidR="00232D38" w:rsidRPr="006C6BA7" w:rsidRDefault="00232D38" w:rsidP="00232D38">
      <w:pPr>
        <w:pStyle w:val="NoSpacing"/>
        <w:spacing w:line="480" w:lineRule="auto"/>
        <w:rPr>
          <w:rFonts w:ascii="Times New Roman" w:hAnsi="Times New Roman" w:cs="Times New Roman"/>
          <w:b/>
          <w:bCs/>
        </w:rPr>
      </w:pPr>
      <w:bookmarkStart w:id="241" w:name="_Hlk110614473"/>
      <w:r w:rsidRPr="006C6BA7">
        <w:rPr>
          <w:rFonts w:ascii="Times New Roman" w:hAnsi="Times New Roman" w:cs="Times New Roman"/>
          <w:b/>
          <w:bCs/>
        </w:rPr>
        <w:t>Figure 5.7</w:t>
      </w:r>
    </w:p>
    <w:p w14:paraId="777CBFDB" w14:textId="058856AF" w:rsidR="00232D38" w:rsidRPr="006C6BA7" w:rsidRDefault="00232D38" w:rsidP="00232D38">
      <w:pPr>
        <w:pStyle w:val="NoSpacing"/>
        <w:spacing w:line="480" w:lineRule="auto"/>
        <w:rPr>
          <w:rFonts w:ascii="Times New Roman" w:hAnsi="Times New Roman" w:cs="Times New Roman"/>
          <w:i/>
          <w:iCs/>
        </w:rPr>
      </w:pPr>
      <w:r w:rsidRPr="006C6BA7">
        <w:rPr>
          <w:rFonts w:ascii="Times New Roman" w:hAnsi="Times New Roman" w:cs="Times New Roman"/>
          <w:i/>
          <w:iCs/>
        </w:rPr>
        <w:t>Mean overall response thresholds for tobacco and animal choices split by negative mood (solid black line</w:t>
      </w:r>
      <w:r w:rsidR="00EA3533">
        <w:rPr>
          <w:rFonts w:ascii="Times New Roman" w:hAnsi="Times New Roman" w:cs="Times New Roman"/>
          <w:i/>
          <w:iCs/>
        </w:rPr>
        <w:t>;</w:t>
      </w:r>
      <w:r w:rsidRPr="006C6BA7">
        <w:rPr>
          <w:rFonts w:ascii="Times New Roman" w:hAnsi="Times New Roman" w:cs="Times New Roman"/>
          <w:i/>
          <w:iCs/>
        </w:rPr>
        <w:t xml:space="preserve"> circle) and positive (dashed black line</w:t>
      </w:r>
      <w:r w:rsidR="00EA3533">
        <w:rPr>
          <w:rFonts w:ascii="Times New Roman" w:hAnsi="Times New Roman" w:cs="Times New Roman"/>
          <w:i/>
          <w:iCs/>
        </w:rPr>
        <w:t>;</w:t>
      </w:r>
      <w:r w:rsidRPr="006C6BA7">
        <w:rPr>
          <w:rFonts w:ascii="Times New Roman" w:hAnsi="Times New Roman" w:cs="Times New Roman"/>
          <w:i/>
          <w:iCs/>
        </w:rPr>
        <w:t xml:space="preserve"> triangle) experimental conditions</w:t>
      </w:r>
    </w:p>
    <w:bookmarkEnd w:id="241"/>
    <w:p w14:paraId="62C6B3BC" w14:textId="0F60441C" w:rsidR="00232D38" w:rsidRDefault="00232D38" w:rsidP="00232D38">
      <w:pPr>
        <w:pStyle w:val="NoSpacing"/>
        <w:spacing w:line="480" w:lineRule="auto"/>
        <w:jc w:val="center"/>
        <w:rPr>
          <w:rFonts w:ascii="Times New Roman" w:hAnsi="Times New Roman" w:cs="Times New Roman"/>
        </w:rPr>
      </w:pPr>
      <w:r w:rsidRPr="00BA6B45">
        <w:rPr>
          <w:noProof/>
        </w:rPr>
        <w:drawing>
          <wp:inline distT="0" distB="0" distL="0" distR="0" wp14:anchorId="5E70F917" wp14:editId="0D01E2A9">
            <wp:extent cx="4895759" cy="3303270"/>
            <wp:effectExtent l="0" t="0" r="0" b="0"/>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a:picLocks noChangeAspect="1" noChangeArrowheads="1"/>
                    </pic:cNvPicPr>
                  </pic:nvPicPr>
                  <pic:blipFill rotWithShape="1">
                    <a:blip r:embed="rId50">
                      <a:extLst>
                        <a:ext uri="{28A0092B-C50C-407E-A947-70E740481C1C}">
                          <a14:useLocalDpi xmlns:a14="http://schemas.microsoft.com/office/drawing/2010/main" val="0"/>
                        </a:ext>
                      </a:extLst>
                    </a:blip>
                    <a:srcRect t="4410"/>
                    <a:stretch/>
                  </pic:blipFill>
                  <pic:spPr bwMode="auto">
                    <a:xfrm>
                      <a:off x="0" y="0"/>
                      <a:ext cx="4912219" cy="3314376"/>
                    </a:xfrm>
                    <a:prstGeom prst="rect">
                      <a:avLst/>
                    </a:prstGeom>
                    <a:noFill/>
                    <a:ln>
                      <a:noFill/>
                    </a:ln>
                    <a:extLst>
                      <a:ext uri="{53640926-AAD7-44D8-BBD7-CCE9431645EC}">
                        <a14:shadowObscured xmlns:a14="http://schemas.microsoft.com/office/drawing/2010/main"/>
                      </a:ext>
                    </a:extLst>
                  </pic:spPr>
                </pic:pic>
              </a:graphicData>
            </a:graphic>
          </wp:inline>
        </w:drawing>
      </w:r>
    </w:p>
    <w:p w14:paraId="547D568D" w14:textId="1A45C873" w:rsidR="00232D38" w:rsidRDefault="00232D38" w:rsidP="00232D38">
      <w:pPr>
        <w:pStyle w:val="NoSpacing"/>
        <w:spacing w:line="480" w:lineRule="auto"/>
        <w:rPr>
          <w:rFonts w:ascii="Times New Roman" w:hAnsi="Times New Roman" w:cs="Times New Roman"/>
        </w:rPr>
      </w:pPr>
      <w:r w:rsidRPr="00232D38">
        <w:rPr>
          <w:rFonts w:ascii="Times New Roman" w:hAnsi="Times New Roman" w:cs="Times New Roman"/>
          <w:i/>
          <w:iCs/>
        </w:rPr>
        <w:lastRenderedPageBreak/>
        <w:t>Note.</w:t>
      </w:r>
      <w:r w:rsidRPr="00232D38">
        <w:rPr>
          <w:rFonts w:ascii="Times New Roman" w:hAnsi="Times New Roman" w:cs="Times New Roman"/>
        </w:rPr>
        <w:t xml:space="preserve"> Error bars represent the standard error of the mean (SE).</w:t>
      </w:r>
    </w:p>
    <w:p w14:paraId="0227B5FA" w14:textId="77777777" w:rsidR="00232D38" w:rsidRPr="00232D38" w:rsidRDefault="00232D38" w:rsidP="00232D38">
      <w:pPr>
        <w:pStyle w:val="NoSpacing"/>
        <w:spacing w:line="480" w:lineRule="auto"/>
        <w:rPr>
          <w:rFonts w:ascii="Times New Roman" w:hAnsi="Times New Roman" w:cs="Times New Roman"/>
        </w:rPr>
      </w:pPr>
    </w:p>
    <w:p w14:paraId="0FD1E011" w14:textId="77777777" w:rsidR="00232D38" w:rsidRPr="00232D38" w:rsidRDefault="00232D38" w:rsidP="00232D38">
      <w:pPr>
        <w:pStyle w:val="NoSpacing"/>
        <w:spacing w:line="480" w:lineRule="auto"/>
        <w:rPr>
          <w:rFonts w:ascii="Times New Roman" w:hAnsi="Times New Roman" w:cs="Times New Roman"/>
          <w:b/>
          <w:bCs/>
        </w:rPr>
      </w:pPr>
      <w:r w:rsidRPr="00232D38">
        <w:rPr>
          <w:rFonts w:ascii="Times New Roman" w:hAnsi="Times New Roman" w:cs="Times New Roman"/>
          <w:b/>
          <w:bCs/>
        </w:rPr>
        <w:t>Exploratory analyses</w:t>
      </w:r>
    </w:p>
    <w:p w14:paraId="018D9D8F" w14:textId="358561A1" w:rsidR="00232D38" w:rsidRPr="00232D38" w:rsidRDefault="00232D38" w:rsidP="00232D38">
      <w:pPr>
        <w:pStyle w:val="NoSpacing"/>
        <w:spacing w:line="480" w:lineRule="auto"/>
        <w:rPr>
          <w:rFonts w:ascii="Times New Roman" w:hAnsi="Times New Roman" w:cs="Times New Roman"/>
        </w:rPr>
      </w:pPr>
      <w:r w:rsidRPr="00232D38">
        <w:rPr>
          <w:rFonts w:ascii="Times New Roman" w:hAnsi="Times New Roman" w:cs="Times New Roman"/>
        </w:rPr>
        <w:t xml:space="preserve">To further supplement the VBDM analyses presented above, we conducted exploratory repeated-measure ANOVAs on EA rates and response thresholds using within-subject factors of image type (2: tobacco-unrelated (animal); tobacco) and experimental condition (2: positive; negative). However, in line with our pre-registration, our study was powered to detect differences in means between two dependent groups rather than an interaction effect. </w:t>
      </w:r>
      <w:bookmarkStart w:id="242" w:name="_Hlk109231381"/>
      <w:r w:rsidRPr="00232D38">
        <w:rPr>
          <w:rFonts w:ascii="Times New Roman" w:hAnsi="Times New Roman" w:cs="Times New Roman"/>
        </w:rPr>
        <w:t>When looking at EA rates, there was a significant main effect of image type (</w:t>
      </w:r>
      <w:proofErr w:type="gramStart"/>
      <w:r w:rsidRPr="00232D38">
        <w:rPr>
          <w:rFonts w:ascii="Times New Roman" w:hAnsi="Times New Roman" w:cs="Times New Roman"/>
          <w:i/>
          <w:iCs/>
        </w:rPr>
        <w:t>F</w:t>
      </w:r>
      <w:r w:rsidRPr="00232D38">
        <w:rPr>
          <w:rFonts w:ascii="Times New Roman" w:hAnsi="Times New Roman" w:cs="Times New Roman"/>
        </w:rPr>
        <w:t>(</w:t>
      </w:r>
      <w:proofErr w:type="gramEnd"/>
      <w:r w:rsidRPr="00232D38">
        <w:rPr>
          <w:rFonts w:ascii="Times New Roman" w:hAnsi="Times New Roman" w:cs="Times New Roman"/>
        </w:rPr>
        <w:t xml:space="preserve">1, 48) = 43.37, </w:t>
      </w:r>
      <w:r w:rsidRPr="00232D38">
        <w:rPr>
          <w:rFonts w:ascii="Times New Roman" w:hAnsi="Times New Roman" w:cs="Times New Roman"/>
          <w:i/>
          <w:iCs/>
        </w:rPr>
        <w:t>p</w:t>
      </w:r>
      <w:r w:rsidRPr="00232D38">
        <w:rPr>
          <w:rFonts w:ascii="Times New Roman" w:hAnsi="Times New Roman" w:cs="Times New Roman"/>
        </w:rPr>
        <w:t xml:space="preserve"> &lt; .001,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.47), but there was no significant main effect of experimental condition (</w:t>
      </w:r>
      <w:r w:rsidRPr="00232D38">
        <w:rPr>
          <w:rFonts w:ascii="Times New Roman" w:hAnsi="Times New Roman" w:cs="Times New Roman"/>
          <w:i/>
          <w:iCs/>
        </w:rPr>
        <w:t>F</w:t>
      </w:r>
      <w:r w:rsidRPr="00232D38">
        <w:rPr>
          <w:rFonts w:ascii="Times New Roman" w:hAnsi="Times New Roman" w:cs="Times New Roman"/>
        </w:rPr>
        <w:t xml:space="preserve">(1, 48) = .33, </w:t>
      </w:r>
      <w:r w:rsidRPr="00232D38">
        <w:rPr>
          <w:rFonts w:ascii="Times New Roman" w:hAnsi="Times New Roman" w:cs="Times New Roman"/>
          <w:i/>
          <w:iCs/>
        </w:rPr>
        <w:t>p</w:t>
      </w:r>
      <w:r w:rsidRPr="00232D38">
        <w:rPr>
          <w:rFonts w:ascii="Times New Roman" w:hAnsi="Times New Roman" w:cs="Times New Roman"/>
        </w:rPr>
        <w:t xml:space="preserve"> = .57,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.01), and no interaction (</w:t>
      </w:r>
      <w:r w:rsidRPr="00232D38">
        <w:rPr>
          <w:rFonts w:ascii="Times New Roman" w:hAnsi="Times New Roman" w:cs="Times New Roman"/>
          <w:i/>
          <w:iCs/>
        </w:rPr>
        <w:t>F</w:t>
      </w:r>
      <w:r w:rsidRPr="00232D38">
        <w:rPr>
          <w:rFonts w:ascii="Times New Roman" w:hAnsi="Times New Roman" w:cs="Times New Roman"/>
        </w:rPr>
        <w:t xml:space="preserve">(1, 48) = 1.15, </w:t>
      </w:r>
      <w:r w:rsidRPr="00232D38">
        <w:rPr>
          <w:rFonts w:ascii="Times New Roman" w:hAnsi="Times New Roman" w:cs="Times New Roman"/>
          <w:i/>
          <w:iCs/>
        </w:rPr>
        <w:t>p</w:t>
      </w:r>
      <w:r w:rsidRPr="00232D38">
        <w:rPr>
          <w:rFonts w:ascii="Times New Roman" w:hAnsi="Times New Roman" w:cs="Times New Roman"/>
        </w:rPr>
        <w:t xml:space="preserve"> = .29,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.02). Post-hoc tests for the significant main effect of image type revealed that, collapsed across experimental condition, EA rates were higher for animal choices (M = 2.14, SD = .35) compared to tobacco choices (M = 1.79, SD = .43; </w:t>
      </w:r>
      <w:r w:rsidRPr="00232D38">
        <w:rPr>
          <w:rFonts w:ascii="Times New Roman" w:hAnsi="Times New Roman" w:cs="Times New Roman"/>
          <w:i/>
          <w:iCs/>
        </w:rPr>
        <w:t>p</w:t>
      </w:r>
      <w:r w:rsidRPr="00232D38">
        <w:rPr>
          <w:rFonts w:ascii="Times New Roman" w:hAnsi="Times New Roman" w:cs="Times New Roman"/>
        </w:rPr>
        <w:t xml:space="preserve"> &lt; .001).  This analysis demonstrates that there was a main effect of image type that was not robustly moderated by experimental condition. When looking at response thresholds, there was no significant main effect of image type (</w:t>
      </w:r>
      <w:proofErr w:type="gramStart"/>
      <w:r w:rsidRPr="00232D38">
        <w:rPr>
          <w:rFonts w:ascii="Times New Roman" w:hAnsi="Times New Roman" w:cs="Times New Roman"/>
          <w:i/>
          <w:iCs/>
        </w:rPr>
        <w:t>F</w:t>
      </w:r>
      <w:r w:rsidRPr="00232D38">
        <w:rPr>
          <w:rFonts w:ascii="Times New Roman" w:hAnsi="Times New Roman" w:cs="Times New Roman"/>
        </w:rPr>
        <w:t>(</w:t>
      </w:r>
      <w:proofErr w:type="gramEnd"/>
      <w:r w:rsidRPr="00232D38">
        <w:rPr>
          <w:rFonts w:ascii="Times New Roman" w:hAnsi="Times New Roman" w:cs="Times New Roman"/>
        </w:rPr>
        <w:t>1, 48) = .20,</w:t>
      </w:r>
      <w:r w:rsidRPr="00232D38">
        <w:rPr>
          <w:rFonts w:ascii="Times New Roman" w:hAnsi="Times New Roman" w:cs="Times New Roman"/>
          <w:i/>
          <w:iCs/>
        </w:rPr>
        <w:t xml:space="preserve"> p</w:t>
      </w:r>
      <w:r w:rsidRPr="00232D38">
        <w:rPr>
          <w:rFonts w:ascii="Times New Roman" w:hAnsi="Times New Roman" w:cs="Times New Roman"/>
        </w:rPr>
        <w:t xml:space="preserve"> = .66,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.00) or  experimental condition (</w:t>
      </w:r>
      <w:r w:rsidRPr="00232D38">
        <w:rPr>
          <w:rFonts w:ascii="Times New Roman" w:hAnsi="Times New Roman" w:cs="Times New Roman"/>
          <w:i/>
          <w:iCs/>
        </w:rPr>
        <w:t>F</w:t>
      </w:r>
      <w:r w:rsidRPr="00232D38">
        <w:rPr>
          <w:rFonts w:ascii="Times New Roman" w:hAnsi="Times New Roman" w:cs="Times New Roman"/>
        </w:rPr>
        <w:t xml:space="preserve">(1, 48) = 2.47, </w:t>
      </w:r>
      <w:r w:rsidRPr="00232D38">
        <w:rPr>
          <w:rFonts w:ascii="Times New Roman" w:hAnsi="Times New Roman" w:cs="Times New Roman"/>
          <w:i/>
          <w:iCs/>
        </w:rPr>
        <w:t>p</w:t>
      </w:r>
      <w:r w:rsidRPr="00232D38">
        <w:rPr>
          <w:rFonts w:ascii="Times New Roman" w:hAnsi="Times New Roman" w:cs="Times New Roman"/>
        </w:rPr>
        <w:t xml:space="preserve"> = .12,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.05), and no interaction (</w:t>
      </w:r>
      <w:r w:rsidRPr="00232D38">
        <w:rPr>
          <w:rFonts w:ascii="Times New Roman" w:hAnsi="Times New Roman" w:cs="Times New Roman"/>
          <w:i/>
          <w:iCs/>
        </w:rPr>
        <w:t>F</w:t>
      </w:r>
      <w:r w:rsidRPr="00232D38">
        <w:rPr>
          <w:rFonts w:ascii="Times New Roman" w:hAnsi="Times New Roman" w:cs="Times New Roman"/>
        </w:rPr>
        <w:t xml:space="preserve">(1,48) = .07, </w:t>
      </w:r>
      <w:r w:rsidRPr="00232D38">
        <w:rPr>
          <w:rFonts w:ascii="Times New Roman" w:hAnsi="Times New Roman" w:cs="Times New Roman"/>
          <w:i/>
          <w:iCs/>
        </w:rPr>
        <w:t>p</w:t>
      </w:r>
      <w:r w:rsidRPr="00232D38">
        <w:rPr>
          <w:rFonts w:ascii="Times New Roman" w:hAnsi="Times New Roman" w:cs="Times New Roman"/>
        </w:rPr>
        <w:t xml:space="preserve"> = .79,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.00). </w:t>
      </w:r>
    </w:p>
    <w:bookmarkEnd w:id="242"/>
    <w:p w14:paraId="30E21EF6" w14:textId="77777777" w:rsidR="00232D38" w:rsidRPr="00232D38" w:rsidRDefault="00232D38" w:rsidP="00232D38">
      <w:pPr>
        <w:pStyle w:val="NoSpacing"/>
        <w:spacing w:line="480" w:lineRule="auto"/>
        <w:rPr>
          <w:rFonts w:ascii="Times New Roman" w:hAnsi="Times New Roman" w:cs="Times New Roman"/>
        </w:rPr>
      </w:pPr>
    </w:p>
    <w:p w14:paraId="6DCA9D0E" w14:textId="77777777" w:rsidR="00232D38" w:rsidRPr="00232D38" w:rsidRDefault="00232D38" w:rsidP="00232D38">
      <w:pPr>
        <w:pStyle w:val="NoSpacing"/>
        <w:spacing w:line="480" w:lineRule="auto"/>
        <w:rPr>
          <w:rFonts w:ascii="Times New Roman" w:hAnsi="Times New Roman" w:cs="Times New Roman"/>
          <w:b/>
          <w:bCs/>
        </w:rPr>
      </w:pPr>
      <w:r w:rsidRPr="00232D38">
        <w:rPr>
          <w:rFonts w:ascii="Times New Roman" w:hAnsi="Times New Roman" w:cs="Times New Roman"/>
          <w:b/>
          <w:bCs/>
        </w:rPr>
        <w:t>Establishing a ‘difficulty effect’ on the VBDM task</w:t>
      </w:r>
    </w:p>
    <w:p w14:paraId="10F817B0" w14:textId="58886CC1" w:rsidR="00232D38" w:rsidRPr="00232D38" w:rsidRDefault="00232D38" w:rsidP="00232D38">
      <w:pPr>
        <w:pStyle w:val="NoSpacing"/>
        <w:spacing w:line="480" w:lineRule="auto"/>
        <w:rPr>
          <w:rFonts w:ascii="Times New Roman" w:hAnsi="Times New Roman" w:cs="Times New Roman"/>
        </w:rPr>
      </w:pPr>
      <w:r w:rsidRPr="00232D38">
        <w:rPr>
          <w:rFonts w:ascii="Times New Roman" w:hAnsi="Times New Roman" w:cs="Times New Roman"/>
        </w:rPr>
        <w:t xml:space="preserve">A pre-registered exploratory analysis was that there should be a ‘difficulty effect’, such that on trials where the difference between the value ratings for the competing images is large (i.e., easier trials), EA rates should be increased compared to when the difference between the value ratings for the competing images is minimal (i.e., difficult trials). Separate one-way repeated measure ANOVAs were used to compare EA rates for tobacco and for animals on </w:t>
      </w:r>
      <w:r w:rsidRPr="00232D38">
        <w:rPr>
          <w:rFonts w:ascii="Times New Roman" w:hAnsi="Times New Roman" w:cs="Times New Roman"/>
        </w:rPr>
        <w:lastRenderedPageBreak/>
        <w:t xml:space="preserve">each of the difficulty levels (easy, medium, and difficult trials). There was a significant main effect of difficulty on tobacco EA rates, </w:t>
      </w:r>
      <w:proofErr w:type="gramStart"/>
      <w:r w:rsidRPr="00232D38">
        <w:rPr>
          <w:rFonts w:ascii="Times New Roman" w:hAnsi="Times New Roman" w:cs="Times New Roman"/>
          <w:i/>
          <w:iCs/>
        </w:rPr>
        <w:t>F</w:t>
      </w:r>
      <w:r w:rsidRPr="00232D38">
        <w:rPr>
          <w:rFonts w:ascii="Times New Roman" w:hAnsi="Times New Roman" w:cs="Times New Roman"/>
        </w:rPr>
        <w:t>(</w:t>
      </w:r>
      <w:proofErr w:type="gramEnd"/>
      <w:r w:rsidRPr="00232D38">
        <w:rPr>
          <w:rFonts w:ascii="Times New Roman" w:hAnsi="Times New Roman" w:cs="Times New Roman"/>
        </w:rPr>
        <w:t>1.68, 80.43) = 292.59,</w:t>
      </w:r>
      <w:r w:rsidRPr="00232D38">
        <w:rPr>
          <w:rFonts w:ascii="Times New Roman" w:hAnsi="Times New Roman" w:cs="Times New Roman"/>
          <w:i/>
          <w:iCs/>
        </w:rPr>
        <w:t xml:space="preserve"> p</w:t>
      </w:r>
      <w:r w:rsidRPr="00232D38">
        <w:rPr>
          <w:rFonts w:ascii="Times New Roman" w:hAnsi="Times New Roman" w:cs="Times New Roman"/>
        </w:rPr>
        <w:t xml:space="preserve"> &lt; .001,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.86. </w:t>
      </w:r>
      <w:r w:rsidR="00BA1F0E">
        <w:rPr>
          <w:rFonts w:ascii="Times New Roman" w:hAnsi="Times New Roman" w:cs="Times New Roman"/>
        </w:rPr>
        <w:t>Post-hoc tests</w:t>
      </w:r>
      <w:r w:rsidRPr="00232D38">
        <w:rPr>
          <w:rFonts w:ascii="Times New Roman" w:hAnsi="Times New Roman" w:cs="Times New Roman"/>
        </w:rPr>
        <w:t xml:space="preserve"> demonstrated that tobacco EA rates in the easier trials (M = 2.46, SD = .61) were significantly increased compared to medium trials (M = 1.88, SD = .48; </w:t>
      </w:r>
      <w:r w:rsidRPr="00232D38">
        <w:rPr>
          <w:rFonts w:ascii="Times New Roman" w:hAnsi="Times New Roman" w:cs="Times New Roman"/>
          <w:i/>
          <w:iCs/>
        </w:rPr>
        <w:t>p</w:t>
      </w:r>
      <w:r w:rsidRPr="00232D38">
        <w:rPr>
          <w:rFonts w:ascii="Times New Roman" w:hAnsi="Times New Roman" w:cs="Times New Roman"/>
        </w:rPr>
        <w:t xml:space="preserve"> &lt; .001) and difficult trials (M = 1.03, SD = .35; </w:t>
      </w:r>
      <w:r w:rsidRPr="00232D38">
        <w:rPr>
          <w:rFonts w:ascii="Times New Roman" w:hAnsi="Times New Roman" w:cs="Times New Roman"/>
          <w:i/>
          <w:iCs/>
        </w:rPr>
        <w:t>p</w:t>
      </w:r>
      <w:r w:rsidRPr="00232D38">
        <w:rPr>
          <w:rFonts w:ascii="Times New Roman" w:hAnsi="Times New Roman" w:cs="Times New Roman"/>
        </w:rPr>
        <w:t xml:space="preserve"> &lt; .001). Furthermore, tobacco EA rates on medium trials were significantly increased compared to EA rates on difficult trials (</w:t>
      </w:r>
      <w:r w:rsidRPr="00232D38">
        <w:rPr>
          <w:rFonts w:ascii="Times New Roman" w:hAnsi="Times New Roman" w:cs="Times New Roman"/>
          <w:i/>
          <w:iCs/>
        </w:rPr>
        <w:t>p</w:t>
      </w:r>
      <w:r w:rsidRPr="00232D38">
        <w:rPr>
          <w:rFonts w:ascii="Times New Roman" w:hAnsi="Times New Roman" w:cs="Times New Roman"/>
        </w:rPr>
        <w:t xml:space="preserve"> &lt; .001). There was also significant main effect of difficulty on animal EA rates, </w:t>
      </w:r>
      <w:proofErr w:type="gramStart"/>
      <w:r w:rsidRPr="00232D38">
        <w:rPr>
          <w:rFonts w:ascii="Times New Roman" w:hAnsi="Times New Roman" w:cs="Times New Roman"/>
          <w:i/>
          <w:iCs/>
        </w:rPr>
        <w:t>F</w:t>
      </w:r>
      <w:r w:rsidRPr="00232D38">
        <w:rPr>
          <w:rFonts w:ascii="Times New Roman" w:hAnsi="Times New Roman" w:cs="Times New Roman"/>
        </w:rPr>
        <w:t>(</w:t>
      </w:r>
      <w:proofErr w:type="gramEnd"/>
      <w:r w:rsidRPr="00232D38">
        <w:rPr>
          <w:rFonts w:ascii="Times New Roman" w:hAnsi="Times New Roman" w:cs="Times New Roman"/>
        </w:rPr>
        <w:t xml:space="preserve">2, 96) = 270.53, </w:t>
      </w:r>
      <w:r w:rsidRPr="00232D38">
        <w:rPr>
          <w:rFonts w:ascii="Times New Roman" w:hAnsi="Times New Roman" w:cs="Times New Roman"/>
          <w:i/>
          <w:iCs/>
        </w:rPr>
        <w:t>p</w:t>
      </w:r>
      <w:r w:rsidRPr="00232D38">
        <w:rPr>
          <w:rFonts w:ascii="Times New Roman" w:hAnsi="Times New Roman" w:cs="Times New Roman"/>
        </w:rPr>
        <w:t xml:space="preserve"> &lt; .001, </w:t>
      </w:r>
      <w:r w:rsidRPr="00BA6B45">
        <w:rPr>
          <w:rFonts w:asciiTheme="majorBidi" w:hAnsiTheme="majorBidi" w:cstheme="majorBidi"/>
        </w:rPr>
        <w:t>η</w:t>
      </w:r>
      <w:r w:rsidRPr="00BA6B45">
        <w:rPr>
          <w:rFonts w:asciiTheme="majorBidi" w:hAnsiTheme="majorBidi" w:cstheme="majorBidi"/>
          <w:vertAlign w:val="subscript"/>
        </w:rPr>
        <w:t>p</w:t>
      </w:r>
      <w:r w:rsidRPr="00BA6B45">
        <w:rPr>
          <w:rFonts w:asciiTheme="majorBidi" w:hAnsiTheme="majorBidi" w:cstheme="majorBidi"/>
          <w:vertAlign w:val="superscript"/>
        </w:rPr>
        <w:t>2</w:t>
      </w:r>
      <w:r w:rsidRPr="00232D38">
        <w:rPr>
          <w:rFonts w:ascii="Times New Roman" w:hAnsi="Times New Roman" w:cs="Times New Roman"/>
        </w:rPr>
        <w:t xml:space="preserve"> = .85. </w:t>
      </w:r>
      <w:r w:rsidR="00BA1F0E">
        <w:rPr>
          <w:rFonts w:ascii="Times New Roman" w:hAnsi="Times New Roman" w:cs="Times New Roman"/>
        </w:rPr>
        <w:t>Post-hoc tests</w:t>
      </w:r>
      <w:r w:rsidRPr="00232D38">
        <w:rPr>
          <w:rFonts w:ascii="Times New Roman" w:hAnsi="Times New Roman" w:cs="Times New Roman"/>
        </w:rPr>
        <w:t xml:space="preserve"> demonstrated that animal EA rates in the easier trials (M = 2.64, SD = .46) were significantly increased compared to medium trials (M = 2.40, SD = .44; </w:t>
      </w:r>
      <w:r w:rsidRPr="00232D38">
        <w:rPr>
          <w:rFonts w:ascii="Times New Roman" w:hAnsi="Times New Roman" w:cs="Times New Roman"/>
          <w:i/>
          <w:iCs/>
        </w:rPr>
        <w:t>p</w:t>
      </w:r>
      <w:r w:rsidRPr="00232D38">
        <w:rPr>
          <w:rFonts w:ascii="Times New Roman" w:hAnsi="Times New Roman" w:cs="Times New Roman"/>
        </w:rPr>
        <w:t xml:space="preserve"> &lt; .001) and difficult trials (M = 1.36, SD = .37; </w:t>
      </w:r>
      <w:r w:rsidRPr="00232D38">
        <w:rPr>
          <w:rFonts w:ascii="Times New Roman" w:hAnsi="Times New Roman" w:cs="Times New Roman"/>
          <w:i/>
          <w:iCs/>
        </w:rPr>
        <w:t>p</w:t>
      </w:r>
      <w:r w:rsidRPr="00232D38">
        <w:rPr>
          <w:rFonts w:ascii="Times New Roman" w:hAnsi="Times New Roman" w:cs="Times New Roman"/>
        </w:rPr>
        <w:t xml:space="preserve"> &lt; .001). Furthermore, animal EA rates on medium trials were significantly increased compared to EA rates on difficult trials (</w:t>
      </w:r>
      <w:r w:rsidRPr="00232D38">
        <w:rPr>
          <w:rFonts w:ascii="Times New Roman" w:hAnsi="Times New Roman" w:cs="Times New Roman"/>
          <w:i/>
          <w:iCs/>
        </w:rPr>
        <w:t>p</w:t>
      </w:r>
      <w:r w:rsidRPr="00232D38">
        <w:rPr>
          <w:rFonts w:ascii="Times New Roman" w:hAnsi="Times New Roman" w:cs="Times New Roman"/>
        </w:rPr>
        <w:t xml:space="preserve"> &lt; .001). Therefore, EA rates decreased with increasing difficulty levels in the trials (Figure 5.8).  For analyses on response thresholds, see Appendix D.</w:t>
      </w:r>
    </w:p>
    <w:p w14:paraId="6A8C1AEE" w14:textId="77777777" w:rsidR="00FC4E19" w:rsidRPr="00232D38" w:rsidRDefault="00FC4E19" w:rsidP="00232D38">
      <w:pPr>
        <w:pStyle w:val="NoSpacing"/>
        <w:spacing w:line="480" w:lineRule="auto"/>
        <w:rPr>
          <w:rFonts w:ascii="Times New Roman" w:hAnsi="Times New Roman" w:cs="Times New Roman"/>
        </w:rPr>
      </w:pPr>
    </w:p>
    <w:p w14:paraId="1555D930" w14:textId="77777777" w:rsidR="00232D38" w:rsidRPr="006C6BA7" w:rsidRDefault="00232D38" w:rsidP="00232D38">
      <w:pPr>
        <w:pStyle w:val="NoSpacing"/>
        <w:spacing w:line="480" w:lineRule="auto"/>
        <w:rPr>
          <w:rFonts w:ascii="Times New Roman" w:hAnsi="Times New Roman" w:cs="Times New Roman"/>
          <w:b/>
          <w:bCs/>
        </w:rPr>
      </w:pPr>
      <w:bookmarkStart w:id="243" w:name="_Hlk110614482"/>
      <w:r w:rsidRPr="006C6BA7">
        <w:rPr>
          <w:rFonts w:ascii="Times New Roman" w:hAnsi="Times New Roman" w:cs="Times New Roman"/>
          <w:b/>
          <w:bCs/>
        </w:rPr>
        <w:t>Figure 5.8</w:t>
      </w:r>
    </w:p>
    <w:p w14:paraId="6D440361" w14:textId="6E8A8FEB" w:rsidR="00232D38" w:rsidRPr="006C6BA7" w:rsidRDefault="00232D38" w:rsidP="00232D38">
      <w:pPr>
        <w:pStyle w:val="NoSpacing"/>
        <w:spacing w:line="480" w:lineRule="auto"/>
        <w:rPr>
          <w:rFonts w:ascii="Times New Roman" w:hAnsi="Times New Roman" w:cs="Times New Roman"/>
          <w:i/>
          <w:iCs/>
        </w:rPr>
      </w:pPr>
      <w:r w:rsidRPr="006C6BA7">
        <w:rPr>
          <w:rFonts w:ascii="Times New Roman" w:hAnsi="Times New Roman" w:cs="Times New Roman"/>
          <w:i/>
          <w:iCs/>
        </w:rPr>
        <w:t>Mean evidence accumulation (EA) rates for tobacco and tobacco-unrelated (animal) decisions (averaged across experimental condition) split by trial difficulty level</w:t>
      </w:r>
    </w:p>
    <w:bookmarkEnd w:id="243"/>
    <w:p w14:paraId="7B21A329" w14:textId="1BF2183F" w:rsidR="00232D38" w:rsidRPr="00232D38" w:rsidRDefault="00FC4E19" w:rsidP="00FC4E19">
      <w:pPr>
        <w:pStyle w:val="NoSpacing"/>
        <w:spacing w:line="480" w:lineRule="auto"/>
        <w:jc w:val="center"/>
        <w:rPr>
          <w:rFonts w:ascii="Times New Roman" w:hAnsi="Times New Roman" w:cs="Times New Roman"/>
        </w:rPr>
      </w:pPr>
      <w:r w:rsidRPr="00BA6B45">
        <w:rPr>
          <w:noProof/>
        </w:rPr>
        <w:lastRenderedPageBreak/>
        <w:drawing>
          <wp:inline distT="0" distB="0" distL="0" distR="0" wp14:anchorId="3198DF10" wp14:editId="50B228CD">
            <wp:extent cx="5161466" cy="3400425"/>
            <wp:effectExtent l="0" t="0" r="127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rotWithShape="1">
                    <a:blip r:embed="rId51">
                      <a:extLst>
                        <a:ext uri="{28A0092B-C50C-407E-A947-70E740481C1C}">
                          <a14:useLocalDpi xmlns:a14="http://schemas.microsoft.com/office/drawing/2010/main" val="0"/>
                        </a:ext>
                      </a:extLst>
                    </a:blip>
                    <a:srcRect t="1759" r="513" b="833"/>
                    <a:stretch/>
                  </pic:blipFill>
                  <pic:spPr bwMode="auto">
                    <a:xfrm>
                      <a:off x="0" y="0"/>
                      <a:ext cx="5183291" cy="3414803"/>
                    </a:xfrm>
                    <a:prstGeom prst="rect">
                      <a:avLst/>
                    </a:prstGeom>
                    <a:noFill/>
                    <a:ln>
                      <a:noFill/>
                    </a:ln>
                    <a:extLst>
                      <a:ext uri="{53640926-AAD7-44D8-BBD7-CCE9431645EC}">
                        <a14:shadowObscured xmlns:a14="http://schemas.microsoft.com/office/drawing/2010/main"/>
                      </a:ext>
                    </a:extLst>
                  </pic:spPr>
                </pic:pic>
              </a:graphicData>
            </a:graphic>
          </wp:inline>
        </w:drawing>
      </w:r>
    </w:p>
    <w:p w14:paraId="585BB200" w14:textId="77777777" w:rsidR="00FC4E19" w:rsidRDefault="00FC4E19" w:rsidP="00FC4E19">
      <w:pPr>
        <w:pStyle w:val="NoSpacing"/>
        <w:spacing w:line="480" w:lineRule="auto"/>
        <w:rPr>
          <w:rFonts w:ascii="Times New Roman" w:hAnsi="Times New Roman" w:cs="Times New Roman"/>
        </w:rPr>
      </w:pPr>
      <w:r w:rsidRPr="00232D38">
        <w:rPr>
          <w:rFonts w:ascii="Times New Roman" w:hAnsi="Times New Roman" w:cs="Times New Roman"/>
          <w:i/>
          <w:iCs/>
        </w:rPr>
        <w:t>Note.</w:t>
      </w:r>
      <w:r w:rsidRPr="00232D38">
        <w:rPr>
          <w:rFonts w:ascii="Times New Roman" w:hAnsi="Times New Roman" w:cs="Times New Roman"/>
        </w:rPr>
        <w:t xml:space="preserve"> Error bars represent the standard error of the mean (SE).</w:t>
      </w:r>
    </w:p>
    <w:p w14:paraId="06888345" w14:textId="77777777" w:rsidR="00FC4E19" w:rsidRDefault="00FC4E19" w:rsidP="00FC4E19">
      <w:pPr>
        <w:pStyle w:val="NoSpacing"/>
        <w:spacing w:line="480" w:lineRule="auto"/>
        <w:rPr>
          <w:rFonts w:ascii="Times New Roman" w:hAnsi="Times New Roman" w:cs="Times New Roman"/>
        </w:rPr>
      </w:pPr>
    </w:p>
    <w:p w14:paraId="5B740764" w14:textId="0A348B3D" w:rsidR="00FC4E19" w:rsidRPr="00FC4E19" w:rsidRDefault="00FC4E19" w:rsidP="00FC4E19">
      <w:pPr>
        <w:pStyle w:val="NoSpacing"/>
        <w:spacing w:line="480" w:lineRule="auto"/>
        <w:rPr>
          <w:rFonts w:ascii="Times New Roman" w:hAnsi="Times New Roman" w:cs="Times New Roman"/>
          <w:b/>
          <w:bCs/>
        </w:rPr>
      </w:pPr>
      <w:r w:rsidRPr="00FC4E19">
        <w:rPr>
          <w:rFonts w:ascii="Times New Roman" w:hAnsi="Times New Roman" w:cs="Times New Roman"/>
          <w:b/>
          <w:bCs/>
        </w:rPr>
        <w:t xml:space="preserve">Cigarette </w:t>
      </w:r>
      <w:r w:rsidR="004B73B2">
        <w:rPr>
          <w:rFonts w:ascii="Times New Roman" w:hAnsi="Times New Roman" w:cs="Times New Roman"/>
          <w:b/>
          <w:bCs/>
        </w:rPr>
        <w:t>p</w:t>
      </w:r>
      <w:r w:rsidRPr="00FC4E19">
        <w:rPr>
          <w:rFonts w:ascii="Times New Roman" w:hAnsi="Times New Roman" w:cs="Times New Roman"/>
          <w:b/>
          <w:bCs/>
        </w:rPr>
        <w:t xml:space="preserve">urchase </w:t>
      </w:r>
      <w:r w:rsidR="004B73B2">
        <w:rPr>
          <w:rFonts w:ascii="Times New Roman" w:hAnsi="Times New Roman" w:cs="Times New Roman"/>
          <w:b/>
          <w:bCs/>
        </w:rPr>
        <w:t>t</w:t>
      </w:r>
      <w:r w:rsidRPr="00FC4E19">
        <w:rPr>
          <w:rFonts w:ascii="Times New Roman" w:hAnsi="Times New Roman" w:cs="Times New Roman"/>
          <w:b/>
          <w:bCs/>
        </w:rPr>
        <w:t>ask (CPT)</w:t>
      </w:r>
    </w:p>
    <w:p w14:paraId="0D4C77CD" w14:textId="77777777" w:rsidR="00FC4E19" w:rsidRPr="00FC4E19" w:rsidRDefault="00FC4E19" w:rsidP="00FC4E19">
      <w:pPr>
        <w:pStyle w:val="NoSpacing"/>
        <w:spacing w:line="480" w:lineRule="auto"/>
        <w:rPr>
          <w:rFonts w:ascii="Times New Roman" w:hAnsi="Times New Roman" w:cs="Times New Roman"/>
        </w:rPr>
      </w:pPr>
      <w:r w:rsidRPr="00FC4E19">
        <w:rPr>
          <w:rFonts w:ascii="Times New Roman" w:hAnsi="Times New Roman" w:cs="Times New Roman"/>
        </w:rPr>
        <w:t xml:space="preserve">The CPT was administered for exploratory purposes to investigate the relationships between indices of demand generated from this measure and VBDM tobacco-related decision parameters. Overall, there were no significant correlations (all </w:t>
      </w:r>
      <w:proofErr w:type="spellStart"/>
      <w:r w:rsidRPr="00FC4E19">
        <w:rPr>
          <w:rFonts w:ascii="Times New Roman" w:hAnsi="Times New Roman" w:cs="Times New Roman"/>
          <w:i/>
          <w:iCs/>
        </w:rPr>
        <w:t>p</w:t>
      </w:r>
      <w:r w:rsidRPr="00FC4E19">
        <w:rPr>
          <w:rFonts w:ascii="Times New Roman" w:hAnsi="Times New Roman" w:cs="Times New Roman"/>
        </w:rPr>
        <w:t>s</w:t>
      </w:r>
      <w:proofErr w:type="spellEnd"/>
      <w:r w:rsidRPr="00FC4E19">
        <w:rPr>
          <w:rFonts w:ascii="Times New Roman" w:hAnsi="Times New Roman" w:cs="Times New Roman"/>
        </w:rPr>
        <w:t xml:space="preserve"> &gt; .05). As these analyses are not of primary interest, they are placed in Appendix D, however, see Table 5.2 for descriptive statistics of the demand indices and Figure 5.9 for current smokers’ demand curve.</w:t>
      </w:r>
    </w:p>
    <w:p w14:paraId="499C993C" w14:textId="311E7273" w:rsidR="00FC4E19" w:rsidRDefault="00FC4E19" w:rsidP="00FC4E19">
      <w:pPr>
        <w:pStyle w:val="NoSpacing"/>
        <w:spacing w:line="480" w:lineRule="auto"/>
        <w:rPr>
          <w:rFonts w:ascii="Times New Roman" w:hAnsi="Times New Roman" w:cs="Times New Roman"/>
        </w:rPr>
      </w:pPr>
    </w:p>
    <w:p w14:paraId="78197C64" w14:textId="04C607A3" w:rsidR="00FC4E19" w:rsidRDefault="00FC4E19" w:rsidP="00FC4E19">
      <w:pPr>
        <w:pStyle w:val="NoSpacing"/>
        <w:spacing w:line="480" w:lineRule="auto"/>
        <w:rPr>
          <w:rFonts w:ascii="Times New Roman" w:hAnsi="Times New Roman" w:cs="Times New Roman"/>
        </w:rPr>
      </w:pPr>
    </w:p>
    <w:p w14:paraId="3C1F9CB5" w14:textId="23CB90D7" w:rsidR="00FC4E19" w:rsidRDefault="00FC4E19" w:rsidP="00FC4E19">
      <w:pPr>
        <w:pStyle w:val="NoSpacing"/>
        <w:spacing w:line="480" w:lineRule="auto"/>
        <w:rPr>
          <w:rFonts w:ascii="Times New Roman" w:hAnsi="Times New Roman" w:cs="Times New Roman"/>
        </w:rPr>
      </w:pPr>
    </w:p>
    <w:p w14:paraId="53804DB7" w14:textId="7C323580" w:rsidR="00FC4E19" w:rsidRDefault="00FC4E19" w:rsidP="00FC4E19">
      <w:pPr>
        <w:pStyle w:val="NoSpacing"/>
        <w:spacing w:line="480" w:lineRule="auto"/>
        <w:rPr>
          <w:rFonts w:ascii="Times New Roman" w:hAnsi="Times New Roman" w:cs="Times New Roman"/>
        </w:rPr>
      </w:pPr>
    </w:p>
    <w:p w14:paraId="2D3B6F67" w14:textId="5C2D9EA7" w:rsidR="00FC4E19" w:rsidRDefault="00FC4E19" w:rsidP="00FC4E19">
      <w:pPr>
        <w:pStyle w:val="NoSpacing"/>
        <w:spacing w:line="480" w:lineRule="auto"/>
        <w:rPr>
          <w:rFonts w:ascii="Times New Roman" w:hAnsi="Times New Roman" w:cs="Times New Roman"/>
        </w:rPr>
      </w:pPr>
    </w:p>
    <w:p w14:paraId="5D2C5D82" w14:textId="0A0C3333" w:rsidR="00FC4E19" w:rsidRDefault="00FC4E19" w:rsidP="00FC4E19">
      <w:pPr>
        <w:pStyle w:val="NoSpacing"/>
        <w:spacing w:line="480" w:lineRule="auto"/>
        <w:rPr>
          <w:rFonts w:ascii="Times New Roman" w:hAnsi="Times New Roman" w:cs="Times New Roman"/>
        </w:rPr>
      </w:pPr>
    </w:p>
    <w:p w14:paraId="1114DF62" w14:textId="77777777" w:rsidR="00FC4E19" w:rsidRPr="00FC4E19" w:rsidRDefault="00FC4E19" w:rsidP="00FC4E19">
      <w:pPr>
        <w:pStyle w:val="NoSpacing"/>
        <w:spacing w:line="480" w:lineRule="auto"/>
        <w:rPr>
          <w:rFonts w:ascii="Times New Roman" w:hAnsi="Times New Roman" w:cs="Times New Roman"/>
        </w:rPr>
      </w:pPr>
    </w:p>
    <w:p w14:paraId="51877C14" w14:textId="77777777" w:rsidR="00FC4E19" w:rsidRPr="006C6BA7" w:rsidRDefault="00FC4E19" w:rsidP="00FC4E19">
      <w:pPr>
        <w:pStyle w:val="NoSpacing"/>
        <w:spacing w:line="480" w:lineRule="auto"/>
        <w:rPr>
          <w:rFonts w:ascii="Times New Roman" w:hAnsi="Times New Roman" w:cs="Times New Roman"/>
          <w:b/>
          <w:bCs/>
        </w:rPr>
      </w:pPr>
      <w:bookmarkStart w:id="244" w:name="_Hlk110614491"/>
      <w:r w:rsidRPr="006C6BA7">
        <w:rPr>
          <w:rFonts w:ascii="Times New Roman" w:hAnsi="Times New Roman" w:cs="Times New Roman"/>
          <w:b/>
          <w:bCs/>
        </w:rPr>
        <w:t>Table 5.2</w:t>
      </w:r>
    </w:p>
    <w:p w14:paraId="17AF819E" w14:textId="4D686EE1" w:rsidR="00FC4E19" w:rsidRPr="006C6BA7" w:rsidRDefault="00FC4E19" w:rsidP="00FC4E19">
      <w:pPr>
        <w:pStyle w:val="NoSpacing"/>
        <w:spacing w:line="480" w:lineRule="auto"/>
        <w:rPr>
          <w:rFonts w:ascii="Times New Roman" w:hAnsi="Times New Roman" w:cs="Times New Roman"/>
          <w:i/>
          <w:iCs/>
        </w:rPr>
      </w:pPr>
      <w:r w:rsidRPr="006C6BA7">
        <w:rPr>
          <w:rFonts w:ascii="Times New Roman" w:hAnsi="Times New Roman" w:cs="Times New Roman"/>
          <w:i/>
          <w:iCs/>
        </w:rPr>
        <w:t xml:space="preserve">Descriptive statistics for the demand indices captured by the </w:t>
      </w:r>
      <w:r w:rsidR="004A7333">
        <w:rPr>
          <w:rFonts w:ascii="Times New Roman" w:hAnsi="Times New Roman" w:cs="Times New Roman"/>
          <w:i/>
          <w:iCs/>
        </w:rPr>
        <w:t>CPT</w:t>
      </w:r>
      <w:r w:rsidRPr="006C6BA7">
        <w:rPr>
          <w:rFonts w:ascii="Times New Roman" w:hAnsi="Times New Roman" w:cs="Times New Roman"/>
          <w:i/>
          <w:iCs/>
        </w:rPr>
        <w:t xml:space="preserve"> (values are means and standard deviations)</w:t>
      </w:r>
    </w:p>
    <w:tbl>
      <w:tblPr>
        <w:tblStyle w:val="TableGrid1"/>
        <w:tblW w:w="9066" w:type="dxa"/>
        <w:tblLook w:val="04A0" w:firstRow="1" w:lastRow="0" w:firstColumn="1" w:lastColumn="0" w:noHBand="0" w:noVBand="1"/>
      </w:tblPr>
      <w:tblGrid>
        <w:gridCol w:w="4533"/>
        <w:gridCol w:w="4533"/>
      </w:tblGrid>
      <w:tr w:rsidR="00FC4E19" w:rsidRPr="002147A7" w14:paraId="6734058F" w14:textId="77777777" w:rsidTr="002147A7">
        <w:trPr>
          <w:trHeight w:val="510"/>
        </w:trPr>
        <w:tc>
          <w:tcPr>
            <w:tcW w:w="4533" w:type="dxa"/>
            <w:tcBorders>
              <w:top w:val="single" w:sz="18" w:space="0" w:color="auto"/>
              <w:left w:val="nil"/>
              <w:right w:val="nil"/>
            </w:tcBorders>
          </w:tcPr>
          <w:bookmarkEnd w:id="244"/>
          <w:p w14:paraId="05D169B5" w14:textId="2ABA62C9" w:rsidR="00FC4E19" w:rsidRPr="002147A7" w:rsidRDefault="00FC4E19" w:rsidP="00EB7C97">
            <w:pPr>
              <w:rPr>
                <w:rFonts w:ascii="Times New Roman" w:hAnsi="Times New Roman" w:cs="Times New Roman"/>
                <w:sz w:val="24"/>
                <w:szCs w:val="24"/>
              </w:rPr>
            </w:pPr>
            <w:r w:rsidRPr="002147A7">
              <w:rPr>
                <w:rFonts w:ascii="Times New Roman" w:hAnsi="Times New Roman" w:cs="Times New Roman"/>
                <w:sz w:val="24"/>
                <w:szCs w:val="24"/>
              </w:rPr>
              <w:t>Variable</w:t>
            </w:r>
          </w:p>
        </w:tc>
        <w:tc>
          <w:tcPr>
            <w:tcW w:w="4533" w:type="dxa"/>
            <w:tcBorders>
              <w:top w:val="single" w:sz="18" w:space="0" w:color="auto"/>
              <w:left w:val="nil"/>
              <w:right w:val="nil"/>
            </w:tcBorders>
          </w:tcPr>
          <w:p w14:paraId="4DD10830" w14:textId="77777777"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Mean (SD, range)</w:t>
            </w:r>
          </w:p>
        </w:tc>
      </w:tr>
      <w:tr w:rsidR="00FC4E19" w:rsidRPr="002147A7" w14:paraId="6C81E576" w14:textId="77777777" w:rsidTr="002147A7">
        <w:trPr>
          <w:trHeight w:val="510"/>
        </w:trPr>
        <w:tc>
          <w:tcPr>
            <w:tcW w:w="4533" w:type="dxa"/>
            <w:tcBorders>
              <w:left w:val="nil"/>
              <w:bottom w:val="nil"/>
              <w:right w:val="nil"/>
            </w:tcBorders>
          </w:tcPr>
          <w:p w14:paraId="51C61CE9" w14:textId="77777777" w:rsidR="00FC4E19" w:rsidRPr="002147A7" w:rsidRDefault="00FC4E19" w:rsidP="00EB7C97">
            <w:pPr>
              <w:rPr>
                <w:rFonts w:ascii="Times New Roman" w:hAnsi="Times New Roman" w:cs="Times New Roman"/>
                <w:sz w:val="24"/>
                <w:szCs w:val="24"/>
              </w:rPr>
            </w:pPr>
            <w:r w:rsidRPr="002147A7">
              <w:rPr>
                <w:rFonts w:ascii="Times New Roman" w:hAnsi="Times New Roman" w:cs="Times New Roman"/>
                <w:sz w:val="24"/>
                <w:szCs w:val="24"/>
              </w:rPr>
              <w:t>Intensity</w:t>
            </w:r>
          </w:p>
        </w:tc>
        <w:tc>
          <w:tcPr>
            <w:tcW w:w="4533" w:type="dxa"/>
            <w:tcBorders>
              <w:left w:val="nil"/>
              <w:bottom w:val="nil"/>
              <w:right w:val="nil"/>
            </w:tcBorders>
          </w:tcPr>
          <w:p w14:paraId="384FE7F1" w14:textId="77777777"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23.55 (11.96, 10-70)</w:t>
            </w:r>
          </w:p>
        </w:tc>
      </w:tr>
      <w:tr w:rsidR="00FC4E19" w:rsidRPr="002147A7" w14:paraId="3D3C7FBD" w14:textId="77777777" w:rsidTr="002147A7">
        <w:trPr>
          <w:trHeight w:val="542"/>
        </w:trPr>
        <w:tc>
          <w:tcPr>
            <w:tcW w:w="4533" w:type="dxa"/>
            <w:tcBorders>
              <w:top w:val="nil"/>
              <w:left w:val="nil"/>
              <w:bottom w:val="nil"/>
              <w:right w:val="nil"/>
            </w:tcBorders>
          </w:tcPr>
          <w:p w14:paraId="4E4CC2B2" w14:textId="77777777" w:rsidR="00FC4E19" w:rsidRPr="002147A7" w:rsidRDefault="00FC4E19" w:rsidP="00EB7C97">
            <w:pPr>
              <w:rPr>
                <w:rFonts w:ascii="Times New Roman" w:hAnsi="Times New Roman" w:cs="Times New Roman"/>
                <w:sz w:val="24"/>
                <w:szCs w:val="24"/>
              </w:rPr>
            </w:pPr>
            <w:proofErr w:type="spellStart"/>
            <w:r w:rsidRPr="002147A7">
              <w:rPr>
                <w:rFonts w:ascii="Times New Roman" w:hAnsi="Times New Roman" w:cs="Times New Roman"/>
                <w:sz w:val="24"/>
                <w:szCs w:val="24"/>
              </w:rPr>
              <w:t>O</w:t>
            </w:r>
            <w:r w:rsidRPr="004A7333">
              <w:rPr>
                <w:rFonts w:ascii="Times New Roman" w:hAnsi="Times New Roman" w:cs="Times New Roman"/>
                <w:sz w:val="24"/>
                <w:szCs w:val="24"/>
                <w:vertAlign w:val="subscript"/>
              </w:rPr>
              <w:t>max</w:t>
            </w:r>
            <w:proofErr w:type="spellEnd"/>
          </w:p>
        </w:tc>
        <w:tc>
          <w:tcPr>
            <w:tcW w:w="4533" w:type="dxa"/>
            <w:tcBorders>
              <w:top w:val="nil"/>
              <w:left w:val="nil"/>
              <w:bottom w:val="nil"/>
              <w:right w:val="nil"/>
            </w:tcBorders>
          </w:tcPr>
          <w:p w14:paraId="71D616FB" w14:textId="77777777"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15.17 (16.23; 2-100)</w:t>
            </w:r>
          </w:p>
        </w:tc>
      </w:tr>
      <w:tr w:rsidR="00FC4E19" w:rsidRPr="002147A7" w14:paraId="33E7D57F" w14:textId="77777777" w:rsidTr="002147A7">
        <w:trPr>
          <w:trHeight w:val="510"/>
        </w:trPr>
        <w:tc>
          <w:tcPr>
            <w:tcW w:w="4533" w:type="dxa"/>
            <w:tcBorders>
              <w:top w:val="nil"/>
              <w:left w:val="nil"/>
              <w:bottom w:val="nil"/>
              <w:right w:val="nil"/>
            </w:tcBorders>
          </w:tcPr>
          <w:p w14:paraId="54FD4682" w14:textId="77777777" w:rsidR="00FC4E19" w:rsidRPr="002147A7" w:rsidRDefault="00FC4E19" w:rsidP="00EB7C97">
            <w:pPr>
              <w:rPr>
                <w:rFonts w:ascii="Times New Roman" w:hAnsi="Times New Roman" w:cs="Times New Roman"/>
                <w:sz w:val="24"/>
                <w:szCs w:val="24"/>
              </w:rPr>
            </w:pPr>
            <w:r w:rsidRPr="002147A7">
              <w:rPr>
                <w:rFonts w:ascii="Times New Roman" w:hAnsi="Times New Roman" w:cs="Times New Roman"/>
                <w:sz w:val="24"/>
                <w:szCs w:val="24"/>
              </w:rPr>
              <w:t>Breakpoint</w:t>
            </w:r>
          </w:p>
        </w:tc>
        <w:tc>
          <w:tcPr>
            <w:tcW w:w="4533" w:type="dxa"/>
            <w:tcBorders>
              <w:top w:val="nil"/>
              <w:left w:val="nil"/>
              <w:bottom w:val="nil"/>
              <w:right w:val="nil"/>
            </w:tcBorders>
          </w:tcPr>
          <w:p w14:paraId="1386C2B2" w14:textId="77777777"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2.89 (2.72, .40-10)</w:t>
            </w:r>
          </w:p>
        </w:tc>
      </w:tr>
      <w:tr w:rsidR="00FC4E19" w:rsidRPr="002147A7" w14:paraId="2B5131BC" w14:textId="77777777" w:rsidTr="002147A7">
        <w:trPr>
          <w:trHeight w:val="542"/>
        </w:trPr>
        <w:tc>
          <w:tcPr>
            <w:tcW w:w="4533" w:type="dxa"/>
            <w:tcBorders>
              <w:top w:val="nil"/>
              <w:left w:val="nil"/>
              <w:bottom w:val="nil"/>
              <w:right w:val="nil"/>
            </w:tcBorders>
          </w:tcPr>
          <w:p w14:paraId="5FF630C4" w14:textId="77777777" w:rsidR="00FC4E19" w:rsidRPr="002147A7" w:rsidRDefault="00FC4E19" w:rsidP="00EB7C97">
            <w:pPr>
              <w:rPr>
                <w:rFonts w:ascii="Times New Roman" w:hAnsi="Times New Roman" w:cs="Times New Roman"/>
                <w:sz w:val="24"/>
                <w:szCs w:val="24"/>
              </w:rPr>
            </w:pPr>
            <w:r w:rsidRPr="002147A7">
              <w:rPr>
                <w:rFonts w:ascii="Times New Roman" w:hAnsi="Times New Roman" w:cs="Times New Roman"/>
                <w:sz w:val="24"/>
                <w:szCs w:val="24"/>
              </w:rPr>
              <w:t>P</w:t>
            </w:r>
            <w:r w:rsidRPr="004A7333">
              <w:rPr>
                <w:rFonts w:ascii="Times New Roman" w:hAnsi="Times New Roman" w:cs="Times New Roman"/>
                <w:sz w:val="24"/>
                <w:szCs w:val="24"/>
                <w:vertAlign w:val="subscript"/>
              </w:rPr>
              <w:t>max</w:t>
            </w:r>
          </w:p>
        </w:tc>
        <w:tc>
          <w:tcPr>
            <w:tcW w:w="4533" w:type="dxa"/>
            <w:tcBorders>
              <w:top w:val="nil"/>
              <w:left w:val="nil"/>
              <w:bottom w:val="nil"/>
              <w:right w:val="nil"/>
            </w:tcBorders>
          </w:tcPr>
          <w:p w14:paraId="02B9C1EC" w14:textId="7A9CB3F3"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1.91 (2.28, .2</w:t>
            </w:r>
            <w:r w:rsidR="002147A7" w:rsidRPr="002147A7">
              <w:rPr>
                <w:rFonts w:ascii="Times New Roman" w:hAnsi="Times New Roman" w:cs="Times New Roman"/>
                <w:sz w:val="24"/>
                <w:szCs w:val="24"/>
              </w:rPr>
              <w:t>0</w:t>
            </w:r>
            <w:r w:rsidRPr="002147A7">
              <w:rPr>
                <w:rFonts w:ascii="Times New Roman" w:hAnsi="Times New Roman" w:cs="Times New Roman"/>
                <w:sz w:val="24"/>
                <w:szCs w:val="24"/>
              </w:rPr>
              <w:t>-10)</w:t>
            </w:r>
          </w:p>
        </w:tc>
      </w:tr>
      <w:tr w:rsidR="00FC4E19" w:rsidRPr="002147A7" w14:paraId="57D4847B" w14:textId="77777777" w:rsidTr="002147A7">
        <w:trPr>
          <w:trHeight w:val="510"/>
        </w:trPr>
        <w:tc>
          <w:tcPr>
            <w:tcW w:w="4533" w:type="dxa"/>
            <w:tcBorders>
              <w:top w:val="nil"/>
              <w:left w:val="nil"/>
              <w:bottom w:val="single" w:sz="18" w:space="0" w:color="auto"/>
              <w:right w:val="nil"/>
            </w:tcBorders>
          </w:tcPr>
          <w:p w14:paraId="64EDB936" w14:textId="77777777" w:rsidR="00FC4E19" w:rsidRPr="002147A7" w:rsidRDefault="00FC4E19" w:rsidP="00EB7C97">
            <w:pPr>
              <w:rPr>
                <w:rFonts w:ascii="Times New Roman" w:hAnsi="Times New Roman" w:cs="Times New Roman"/>
                <w:sz w:val="24"/>
                <w:szCs w:val="24"/>
              </w:rPr>
            </w:pPr>
            <w:r w:rsidRPr="002147A7">
              <w:rPr>
                <w:rFonts w:ascii="Times New Roman" w:hAnsi="Times New Roman" w:cs="Times New Roman"/>
                <w:sz w:val="24"/>
                <w:szCs w:val="24"/>
              </w:rPr>
              <w:t>Elasticity</w:t>
            </w:r>
          </w:p>
        </w:tc>
        <w:tc>
          <w:tcPr>
            <w:tcW w:w="4533" w:type="dxa"/>
            <w:tcBorders>
              <w:top w:val="nil"/>
              <w:left w:val="nil"/>
              <w:bottom w:val="single" w:sz="18" w:space="0" w:color="auto"/>
              <w:right w:val="nil"/>
            </w:tcBorders>
          </w:tcPr>
          <w:p w14:paraId="0EE73B24" w14:textId="77777777" w:rsidR="00FC4E19" w:rsidRPr="002147A7" w:rsidRDefault="00FC4E19" w:rsidP="004A7333">
            <w:pPr>
              <w:jc w:val="center"/>
              <w:rPr>
                <w:rFonts w:ascii="Times New Roman" w:hAnsi="Times New Roman" w:cs="Times New Roman"/>
                <w:sz w:val="24"/>
                <w:szCs w:val="24"/>
              </w:rPr>
            </w:pPr>
            <w:r w:rsidRPr="002147A7">
              <w:rPr>
                <w:rFonts w:ascii="Times New Roman" w:hAnsi="Times New Roman" w:cs="Times New Roman"/>
                <w:sz w:val="24"/>
                <w:szCs w:val="24"/>
              </w:rPr>
              <w:t>.01 (.01, .00-.04)</w:t>
            </w:r>
          </w:p>
        </w:tc>
      </w:tr>
    </w:tbl>
    <w:p w14:paraId="3133E63C" w14:textId="77777777" w:rsidR="002147A7" w:rsidRPr="002147A7" w:rsidRDefault="002147A7" w:rsidP="002147A7">
      <w:pPr>
        <w:pStyle w:val="NoSpacing"/>
        <w:rPr>
          <w:rFonts w:ascii="Times New Roman" w:hAnsi="Times New Roman" w:cs="Times New Roman"/>
        </w:rPr>
      </w:pPr>
    </w:p>
    <w:p w14:paraId="0D685685" w14:textId="77777777" w:rsidR="002147A7" w:rsidRDefault="002147A7" w:rsidP="002147A7">
      <w:pPr>
        <w:pStyle w:val="NoSpacing"/>
        <w:spacing w:line="480" w:lineRule="auto"/>
        <w:rPr>
          <w:rFonts w:ascii="Times New Roman" w:hAnsi="Times New Roman" w:cs="Times New Roman"/>
        </w:rPr>
      </w:pPr>
    </w:p>
    <w:p w14:paraId="4EE5956A" w14:textId="00746C38" w:rsidR="002147A7" w:rsidRPr="006C6BA7" w:rsidRDefault="002147A7" w:rsidP="002147A7">
      <w:pPr>
        <w:pStyle w:val="NoSpacing"/>
        <w:spacing w:line="480" w:lineRule="auto"/>
        <w:rPr>
          <w:rFonts w:ascii="Times New Roman" w:hAnsi="Times New Roman" w:cs="Times New Roman"/>
          <w:b/>
          <w:bCs/>
        </w:rPr>
      </w:pPr>
      <w:bookmarkStart w:id="245" w:name="_Hlk110614496"/>
      <w:r w:rsidRPr="006C6BA7">
        <w:rPr>
          <w:rFonts w:ascii="Times New Roman" w:hAnsi="Times New Roman" w:cs="Times New Roman"/>
          <w:b/>
          <w:bCs/>
        </w:rPr>
        <w:t>Figure 5.9</w:t>
      </w:r>
    </w:p>
    <w:p w14:paraId="18C62D60" w14:textId="0029116B" w:rsidR="002147A7" w:rsidRPr="006C6BA7" w:rsidRDefault="004B73B2" w:rsidP="002147A7">
      <w:pPr>
        <w:pStyle w:val="NoSpacing"/>
        <w:spacing w:line="480" w:lineRule="auto"/>
        <w:rPr>
          <w:rFonts w:ascii="Times New Roman" w:hAnsi="Times New Roman" w:cs="Times New Roman"/>
          <w:i/>
          <w:iCs/>
        </w:rPr>
      </w:pPr>
      <w:r>
        <w:rPr>
          <w:rFonts w:ascii="Times New Roman" w:hAnsi="Times New Roman" w:cs="Times New Roman"/>
          <w:i/>
          <w:iCs/>
        </w:rPr>
        <w:t>D</w:t>
      </w:r>
      <w:r w:rsidR="002147A7" w:rsidRPr="006C6BA7">
        <w:rPr>
          <w:rFonts w:ascii="Times New Roman" w:hAnsi="Times New Roman" w:cs="Times New Roman"/>
          <w:i/>
          <w:iCs/>
        </w:rPr>
        <w:t>emand curve for current smokers. Each data point represents average hypothetical consumption on a particular price of the CPT</w:t>
      </w:r>
    </w:p>
    <w:bookmarkEnd w:id="245"/>
    <w:p w14:paraId="6AA911E8" w14:textId="2EC5195D" w:rsidR="00232D38" w:rsidRPr="00FC4E19" w:rsidRDefault="002147A7" w:rsidP="002147A7">
      <w:pPr>
        <w:pStyle w:val="NoSpacing"/>
        <w:spacing w:line="480" w:lineRule="auto"/>
        <w:jc w:val="center"/>
        <w:rPr>
          <w:rFonts w:ascii="Times New Roman" w:hAnsi="Times New Roman" w:cs="Times New Roman"/>
        </w:rPr>
      </w:pPr>
      <w:r w:rsidRPr="00BA6B45">
        <w:rPr>
          <w:noProof/>
        </w:rPr>
        <w:drawing>
          <wp:inline distT="0" distB="0" distL="0" distR="0" wp14:anchorId="5A6ADFE6" wp14:editId="511C4F99">
            <wp:extent cx="4419600" cy="3753673"/>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2085" cy="3764277"/>
                    </a:xfrm>
                    <a:prstGeom prst="rect">
                      <a:avLst/>
                    </a:prstGeom>
                    <a:noFill/>
                    <a:ln>
                      <a:noFill/>
                    </a:ln>
                  </pic:spPr>
                </pic:pic>
              </a:graphicData>
            </a:graphic>
          </wp:inline>
        </w:drawing>
      </w:r>
    </w:p>
    <w:p w14:paraId="7DBF11D4" w14:textId="77777777" w:rsidR="002147A7" w:rsidRDefault="002147A7" w:rsidP="002147A7">
      <w:pPr>
        <w:pStyle w:val="NoSpacing"/>
        <w:spacing w:line="480" w:lineRule="auto"/>
        <w:rPr>
          <w:rFonts w:ascii="Times New Roman" w:hAnsi="Times New Roman" w:cs="Times New Roman"/>
        </w:rPr>
      </w:pPr>
      <w:r w:rsidRPr="002147A7">
        <w:rPr>
          <w:rFonts w:ascii="Times New Roman" w:hAnsi="Times New Roman" w:cs="Times New Roman"/>
          <w:i/>
          <w:iCs/>
        </w:rPr>
        <w:lastRenderedPageBreak/>
        <w:t>Note.</w:t>
      </w:r>
      <w:r w:rsidRPr="002147A7">
        <w:rPr>
          <w:rFonts w:ascii="Times New Roman" w:hAnsi="Times New Roman" w:cs="Times New Roman"/>
        </w:rPr>
        <w:t xml:space="preserve"> The x-axis is log-transformed (zero values are replaced by trivial nonzero values (0.01) to permit logarithmic units). Error bars represent the standard error of the mean (SE).</w:t>
      </w:r>
    </w:p>
    <w:p w14:paraId="11AE54B0" w14:textId="77777777" w:rsidR="002147A7" w:rsidRDefault="002147A7" w:rsidP="002147A7">
      <w:pPr>
        <w:pStyle w:val="NoSpacing"/>
        <w:spacing w:line="480" w:lineRule="auto"/>
        <w:rPr>
          <w:rFonts w:ascii="Times New Roman" w:hAnsi="Times New Roman" w:cs="Times New Roman"/>
        </w:rPr>
      </w:pPr>
    </w:p>
    <w:p w14:paraId="764173DA" w14:textId="2BCF6CBA" w:rsidR="002147A7" w:rsidRPr="002147A7" w:rsidRDefault="00C64EEC" w:rsidP="002147A7">
      <w:pPr>
        <w:pStyle w:val="Heading4"/>
        <w:spacing w:line="480" w:lineRule="auto"/>
        <w:rPr>
          <w:rFonts w:cs="Times New Roman"/>
        </w:rPr>
      </w:pPr>
      <w:bookmarkStart w:id="246" w:name="_Toc110629066"/>
      <w:bookmarkStart w:id="247" w:name="_Toc110870974"/>
      <w:r>
        <w:rPr>
          <w:rFonts w:cs="Times New Roman"/>
        </w:rPr>
        <w:t xml:space="preserve">5.4. </w:t>
      </w:r>
      <w:r w:rsidR="002147A7" w:rsidRPr="002147A7">
        <w:rPr>
          <w:rFonts w:cs="Times New Roman"/>
        </w:rPr>
        <w:t>Discussion</w:t>
      </w:r>
      <w:bookmarkEnd w:id="246"/>
      <w:bookmarkEnd w:id="247"/>
    </w:p>
    <w:p w14:paraId="36C7AE30" w14:textId="0C6F003C" w:rsidR="002147A7" w:rsidRDefault="002147A7" w:rsidP="002147A7">
      <w:pPr>
        <w:spacing w:line="480" w:lineRule="auto"/>
        <w:rPr>
          <w:rFonts w:ascii="Times New Roman" w:hAnsi="Times New Roman" w:cs="Times New Roman"/>
        </w:rPr>
      </w:pPr>
      <w:r w:rsidRPr="002147A7">
        <w:rPr>
          <w:rFonts w:ascii="Times New Roman" w:hAnsi="Times New Roman" w:cs="Times New Roman"/>
        </w:rPr>
        <w:t>This study aimed to investigate the underlying mechanisms by which valuation processes exert their influence on tobacco choice. We applied a computational model of VBDM to daily smokers’ decisions made about tobacco and tobacco-unrelated (animal) cues after experimental manipulation of mood. Unexpectedly, there were no robust between or within-condition differences in VBDM parameters, and therefore our findings failed to provide support for our pre-registered hypotheses. Although animal EA rates were significantly higher compared to tobacco EA rates when participants were primed to experience positive mood, our exploratory analyses revealed that animal EA rates were consistently higher regardless of the experimental manipulation. Given that there were no between-condition differences in animal EA rates</w:t>
      </w:r>
      <w:r w:rsidRPr="00342E7D">
        <w:rPr>
          <w:rFonts w:ascii="Times New Roman" w:hAnsi="Times New Roman" w:cs="Times New Roman"/>
        </w:rPr>
        <w:t>,</w:t>
      </w:r>
      <w:r w:rsidR="00EA3EA2" w:rsidRPr="00342E7D">
        <w:rPr>
          <w:rFonts w:ascii="Times New Roman" w:hAnsi="Times New Roman" w:cs="Times New Roman"/>
        </w:rPr>
        <w:t xml:space="preserve"> these findings are interpreted as providing no robust evidence in favour of the alternative hypothesis.</w:t>
      </w:r>
    </w:p>
    <w:p w14:paraId="1968B433" w14:textId="77777777" w:rsidR="00342E7D" w:rsidRPr="002147A7" w:rsidRDefault="00342E7D" w:rsidP="002147A7">
      <w:pPr>
        <w:spacing w:line="480" w:lineRule="auto"/>
        <w:rPr>
          <w:rFonts w:ascii="Times New Roman" w:hAnsi="Times New Roman" w:cs="Times New Roman"/>
        </w:rPr>
      </w:pPr>
    </w:p>
    <w:p w14:paraId="25722FD2" w14:textId="6823A133" w:rsidR="002147A7" w:rsidRPr="002147A7" w:rsidRDefault="002147A7" w:rsidP="008C2026">
      <w:pPr>
        <w:spacing w:line="480" w:lineRule="auto"/>
        <w:rPr>
          <w:rFonts w:ascii="Times New Roman" w:hAnsi="Times New Roman" w:cs="Times New Roman"/>
        </w:rPr>
      </w:pPr>
      <w:r w:rsidRPr="002147A7">
        <w:rPr>
          <w:rFonts w:ascii="Times New Roman" w:hAnsi="Times New Roman" w:cs="Times New Roman"/>
        </w:rPr>
        <w:t xml:space="preserve">Our findings contrast with existing studies that have manipulated participant mood and subsequently measured overt choice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{"citationID":"Yr1LgR7S","properties":{"formattedCitation":"(Hardy &amp; Hogarth, 2017; Hogarth et al., 2015, 2018)","plainCitation":"(Hardy &amp; Hogarth, 2017; Hogarth et al., 2015, 2018)","noteIndex":0},"citationItems":[{"id":875,"uris":["http://zotero.org/users/7873587/items/E23ESQBL"],"itemData":{"id":875,"type":"article-journal","abstract":"This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(Hardy &amp; Hogarth, 2017; Hogarth et al., 2015, 2018)</w:t>
      </w:r>
      <w:r w:rsidRPr="002147A7">
        <w:rPr>
          <w:rFonts w:ascii="Times New Roman" w:hAnsi="Times New Roman" w:cs="Times New Roman"/>
        </w:rPr>
        <w:fldChar w:fldCharType="end"/>
      </w:r>
      <w:r w:rsidRPr="002147A7">
        <w:rPr>
          <w:rFonts w:ascii="Times New Roman" w:hAnsi="Times New Roman" w:cs="Times New Roman"/>
        </w:rPr>
        <w:t xml:space="preserve">. For example,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{"citationID":"SQtxxFOs","properties":{"formattedCitation":"(Hogarth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Hogarth et al. (2015)</w:t>
      </w:r>
      <w:r w:rsidRPr="002147A7">
        <w:rPr>
          <w:rFonts w:ascii="Times New Roman" w:hAnsi="Times New Roman" w:cs="Times New Roman"/>
        </w:rPr>
        <w:fldChar w:fldCharType="end"/>
      </w:r>
      <w:r w:rsidRPr="002147A7">
        <w:rPr>
          <w:rFonts w:ascii="Times New Roman" w:hAnsi="Times New Roman" w:cs="Times New Roman"/>
        </w:rPr>
        <w:t xml:space="preserve"> found that percentage choice (and therefore value) of tobacco (i.e., cigarette) relative to tobacco-unrelated (i.e., chocolate) rewards increased in participants who were primed to experience negative mood, but decreased in participants who were primed to experience positive mood. In line with predictions from recent theoretical accounts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{"citationID":"5vAmWA6U","properties":{"formattedCitation":"(Copeland et al., 2021; Field, Heather, et al., 2020a)","plainCitation":"(Copeland et al., 2021; Field, Heather, et al., 2020a)","noteIndex":0},"citationItems":[{"id":466,"uris":["http://zotero.org/users/7873587/items/5AW5LCBI"],"itemData":{"id":466,"type":"chapter","abstract":"Most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Pr="002147A7">
        <w:rPr>
          <w:rFonts w:ascii="Times New Roman" w:hAnsi="Times New Roman" w:cs="Times New Roman"/>
        </w:rPr>
        <w:fldChar w:fldCharType="separate"/>
      </w:r>
      <w:r w:rsidR="008C2026" w:rsidRPr="008C2026">
        <w:rPr>
          <w:rFonts w:ascii="Times New Roman" w:hAnsi="Times New Roman" w:cs="Times New Roman"/>
        </w:rPr>
        <w:t>(Copeland et al., 2021; Field, Heather, et al., 2020a)</w:t>
      </w:r>
      <w:r w:rsidRPr="002147A7">
        <w:rPr>
          <w:rFonts w:ascii="Times New Roman" w:hAnsi="Times New Roman" w:cs="Times New Roman"/>
        </w:rPr>
        <w:fldChar w:fldCharType="end"/>
      </w:r>
      <w:r w:rsidRPr="002147A7">
        <w:rPr>
          <w:rFonts w:ascii="Times New Roman" w:hAnsi="Times New Roman" w:cs="Times New Roman"/>
        </w:rPr>
        <w:t xml:space="preserve">, we anticipated that negative mood would augment tobacco value in the current study and alter the internal mechanics of decision-making, either in the form of elevated tobacco EA rates, lower tobacco response </w:t>
      </w:r>
      <w:r w:rsidRPr="002147A7">
        <w:rPr>
          <w:rFonts w:ascii="Times New Roman" w:hAnsi="Times New Roman" w:cs="Times New Roman"/>
        </w:rPr>
        <w:lastRenderedPageBreak/>
        <w:t xml:space="preserve">thresholds, or both. However, it is important to acknowledge that there are several methodological differences which impede direct comparison between our study and previous work: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{"citationID":"FhnJE8QJ","properties":{"formattedCitation":"(Hogarth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Hogarth et al. (2015)</w:t>
      </w:r>
      <w:r w:rsidRPr="002147A7">
        <w:rPr>
          <w:rFonts w:ascii="Times New Roman" w:hAnsi="Times New Roman" w:cs="Times New Roman"/>
        </w:rPr>
        <w:fldChar w:fldCharType="end"/>
      </w:r>
      <w:r w:rsidRPr="002147A7">
        <w:rPr>
          <w:rFonts w:ascii="Times New Roman" w:hAnsi="Times New Roman" w:cs="Times New Roman"/>
        </w:rPr>
        <w:t xml:space="preserve"> used a similar, but briefer manipulation of mood and only administered a singular-scale to explore the effectiveness of the experimental manipulation on mood. In the current study, we administered several self-report questions to measure positive and negative affect as unidimensional constructs</w:t>
      </w:r>
      <w:r w:rsidRPr="004B73B2">
        <w:rPr>
          <w:rStyle w:val="FootnoteReference"/>
        </w:rPr>
        <w:footnoteReference w:id="16"/>
      </w:r>
      <w:r w:rsidRPr="002147A7">
        <w:rPr>
          <w:rFonts w:ascii="Times New Roman" w:hAnsi="Times New Roman" w:cs="Times New Roman"/>
        </w:rPr>
        <w:t xml:space="preserve"> and it may be that the gap between the viewing of videos and completion of the VBDM task inadvertently enabled any powerful mood effect to be diminished by the time the trials were completed. Other methodological differences are that our study used a within-subjects design as the same participants underwent both experimental manipulations of mood, and that it was conducted online rather than in a laboratory setting (due to the ongoing COVID-19 pandemic). This increases the power of our study because individual variation is removed. However, the online setting meant that we were unable to strictly control the environment by which participants took part. Finally, the experimental tasks used to capture value-based choice differed methodologically, with only ours enabling the parameterisation of the internal processes that precede decisions made (for more detail, see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{"citationID":"tevoZjmj","properties":{"formattedCitation":"(Field et al., 2020)","plainCitation":"(Field et al., 2020)","dontUpdate":true,"noteIndex":0},"citationItems":[{"id":116,"uris":["http://zotero.org/users/7873587/items/NA8IT5PD"],"itemData":{"id":116,"type":"article-journal","abstract":"Behavioral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Field et al., 2020)</w:t>
      </w:r>
      <w:r w:rsidRPr="002147A7">
        <w:rPr>
          <w:rFonts w:ascii="Times New Roman" w:hAnsi="Times New Roman" w:cs="Times New Roman"/>
        </w:rPr>
        <w:fldChar w:fldCharType="end"/>
      </w:r>
      <w:r w:rsidRPr="002147A7">
        <w:rPr>
          <w:rFonts w:ascii="Times New Roman" w:hAnsi="Times New Roman" w:cs="Times New Roman"/>
        </w:rPr>
        <w:t xml:space="preserve">. Overall, these methodological differences may in part account for why our findings cannot be reconciled or interpreted in line with previous findings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{"citationID":"dLKXAvZF","properties":{"formattedCitation":"(Hardy &amp; Hogarth, 2017; Hogarth et al., 2015, 2018)","plainCitation":"(Hardy &amp; Hogarth, 2017; Hogarth et al., 2015, 2018)","noteIndex":0},"citationItems":[{"id":875,"uris":["http://zotero.org/users/7873587/items/E23ESQBL"],"itemData":{"id":875,"type":"article-journal","abstract":"This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(Hardy &amp; Hogarth, 2017; Hogarth et al., 2015, 2018)</w:t>
      </w:r>
      <w:r w:rsidRPr="002147A7">
        <w:rPr>
          <w:rFonts w:ascii="Times New Roman" w:hAnsi="Times New Roman" w:cs="Times New Roman"/>
        </w:rPr>
        <w:fldChar w:fldCharType="end"/>
      </w:r>
      <w:r w:rsidRPr="002147A7">
        <w:rPr>
          <w:rFonts w:ascii="Times New Roman" w:hAnsi="Times New Roman" w:cs="Times New Roman"/>
        </w:rPr>
        <w:t>.</w:t>
      </w:r>
    </w:p>
    <w:p w14:paraId="28A15099" w14:textId="77777777" w:rsidR="002147A7" w:rsidRPr="002147A7" w:rsidRDefault="002147A7" w:rsidP="002147A7">
      <w:pPr>
        <w:spacing w:line="480" w:lineRule="auto"/>
        <w:rPr>
          <w:rFonts w:ascii="Times New Roman" w:hAnsi="Times New Roman" w:cs="Times New Roman"/>
        </w:rPr>
      </w:pPr>
    </w:p>
    <w:p w14:paraId="4F9DD818" w14:textId="023E79A0" w:rsidR="002147A7" w:rsidRPr="002147A7" w:rsidRDefault="002147A7" w:rsidP="00A26007">
      <w:pPr>
        <w:spacing w:line="480" w:lineRule="auto"/>
        <w:rPr>
          <w:rFonts w:ascii="Times New Roman" w:hAnsi="Times New Roman" w:cs="Times New Roman"/>
        </w:rPr>
      </w:pPr>
      <w:r w:rsidRPr="002147A7">
        <w:rPr>
          <w:rFonts w:ascii="Times New Roman" w:hAnsi="Times New Roman" w:cs="Times New Roman"/>
        </w:rPr>
        <w:t xml:space="preserve">Another potential explanation may stem from recent research which has begun to uncover complexity within the relationships between mood and substance use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{"citationID":"tRdJBvxA","properties":{"formattedCitation":"(Tovmasyan, Monk, &amp; Heim, 2022)","plainCitation":"(Tovmasyan, Monk, &amp; Heim, 2022)","noteIndex":0},"citationItems":[{"id":919,"uris":["http://zotero.org/users/7873587/items/LXCCLURQ"],"itemData":{"id":919,"type":"article-journal","abstract":"While self-medication and positive and negative reinforcement models of alcohol use suggest that there is an association between daily affect and alcohol consumption, findings within the academic literature have been inconsistent. This pre-registered systematic review meta-analytically interrogated the results from studies amongst non-clinical populations that examine the relationship between daily affective states and alcohol consumption volume. PRISMA guided searches of PsychINFO, PsycARTICLES, Science Direct, PubMed, SCOPUS, and JSTOR databases were conducted. When both laboratory and field studies were included, meta-analyses with robust variance estimation yielded 53 eligible studies on negative affect (8355 participants, 127 effect sizes) and 35 studies for positive affect (6384 participants, 50 effect sizes). The significant pooled associations between intra-day affect and alcohol consumption were r = .09, [.03, .14] for negative affect, and r = .17, [.04, .30] for positive affect. A small-to-medium sized effect (d = .275, [.11, .44]) of negative affect on daily alcohol consumption volume was found in laboratory studies (14 studies, 1100 participants). While publication bias was suspected, P-curve analyses suggested that the results were unlikely to be the product of publication bias and p-hacking alone, and selection model analysis revealed no significant differences in results when publication bias was accounted for. For negative affect, using number of drinks as the measure of alcohol consumption was associated with lower effect sizes. For positive affect, the results demonstrated a decline of this observed effect over time. Overall, findings point towards the possibility of developing an affect intensity regulation theory of alcohol use. Conceptualizing the mood-alcohol nexus in terms of affect intensity regulation may afford a more parsimonious explanation of alcohol consumption rather than viewing the behavior as being shaped by either positive or negative affective states.","container-title":"PLOS ONE","DOI":"10.1371/journal.pone.0262670","ISSN":"1932-6203","issue":"1","journalAbbreviation":"PLOS ONE","language":"en","note":"publisher: Public Library of Science","page":"e0262670","source":"PLoS Journals","title":"Towards an affect intensity regulation hypothesis: Systematic review and meta-analyses of the relationship between affective states and alcohol consumption","title-short":"Towards an affect intensity regulation hypothesis","volume":"17","author":[{"family":"Tovmasyan","given":"Anna"},{"family":"Monk","given":"Rebecca L."},{"family":"Heim","given":"Derek"}],"issued":{"date-parts":[["2022",1,31]]}}}],"schema":"https://github.com/citation-style-language/schema/raw/master/csl-citation.json"} </w:instrText>
      </w:r>
      <w:r w:rsidRPr="002147A7">
        <w:rPr>
          <w:rFonts w:ascii="Times New Roman" w:hAnsi="Times New Roman" w:cs="Times New Roman"/>
        </w:rPr>
        <w:fldChar w:fldCharType="separate"/>
      </w:r>
      <w:r w:rsidR="00A63777">
        <w:rPr>
          <w:rFonts w:ascii="Times New Roman" w:hAnsi="Times New Roman" w:cs="Times New Roman"/>
        </w:rPr>
        <w:t>(Tovmasyan, Monk, &amp; Heim, 2022)</w:t>
      </w:r>
      <w:r w:rsidRPr="002147A7">
        <w:rPr>
          <w:rFonts w:ascii="Times New Roman" w:hAnsi="Times New Roman" w:cs="Times New Roman"/>
        </w:rPr>
        <w:fldChar w:fldCharType="end"/>
      </w:r>
      <w:r w:rsidRPr="002147A7">
        <w:rPr>
          <w:rFonts w:ascii="Times New Roman" w:hAnsi="Times New Roman" w:cs="Times New Roman"/>
        </w:rPr>
        <w:t xml:space="preserve">. Although research has successfully manipulated tobacco value via mood </w:t>
      </w:r>
      <w:r w:rsidRPr="002147A7">
        <w:rPr>
          <w:rFonts w:ascii="Times New Roman" w:hAnsi="Times New Roman" w:cs="Times New Roman"/>
        </w:rPr>
        <w:lastRenderedPageBreak/>
        <w:fldChar w:fldCharType="begin"/>
      </w:r>
      <w:r w:rsidR="00A6058A">
        <w:rPr>
          <w:rFonts w:ascii="Times New Roman" w:hAnsi="Times New Roman" w:cs="Times New Roman"/>
        </w:rPr>
        <w:instrText xml:space="preserve"> ADDIN ZOTERO_ITEM CSL_CITATION {"citationID":"FrGp8INL","properties":{"formattedCitation":"(Hogarth et al., 2015)","plainCitation":"(Hogarth et al., 2015)","noteIndex":0},"citationItems":[{"id":708,"uris":["http://zotero.org/users/7873587/items/XHY9EL6E"],"itemData":{"id":708,"type":"article-journal","abstract":"Background\nTwo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(Hogarth et al., 2015)</w:t>
      </w:r>
      <w:r w:rsidRPr="002147A7">
        <w:rPr>
          <w:rFonts w:ascii="Times New Roman" w:hAnsi="Times New Roman" w:cs="Times New Roman"/>
        </w:rPr>
        <w:fldChar w:fldCharType="end"/>
      </w:r>
      <w:r w:rsidRPr="002147A7">
        <w:rPr>
          <w:rFonts w:ascii="Times New Roman" w:hAnsi="Times New Roman" w:cs="Times New Roman"/>
        </w:rPr>
        <w:t xml:space="preserve"> in line with negative reinforcement accounts </w:t>
      </w:r>
      <w:r w:rsidRPr="002147A7">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{"citationID":"837JPOwY","properties":{"formattedCitation":"(T. B. Baker et al., 2004; Blevins et al., 2016; Cooper et al., 1995; Hogarth, 2022)","plainCitation":"(T. B. Baker et al., 2004; Blevins et al., 2016; Cooper et al., 1995; Hogarth, 2022)","noteIndex":0},"citationItems":[{"id":706,"uris":["http://zotero.org/users/7873587/items/BNCYFAUB"],"itemData":{"id":706,"type":"article-journal","abstract":"This article offers a reformulation of the negative reinforcement model of drug addiction and proposes that the escape and avoidance of negative affect is the prepotent motive for addictive drug use. The authors posit that negative affect is the motivational core of the withdrawal syndrome and argue that, through repeated cycles of drug use and withdrawal, addicted organisms learn to detect interoceptive cues of negative affect preconsciously. Thus, the motivational basis of much drug use is opaque and tends not to reflect cognitive control. When either stressors or abstinence causes negative affect to grow and enter consciousness, increasing negative affect biases information processing in ways that promote renewed drug administration. After explicating their model, the authors address previous critiques of negative reinforcement models in light of their reformulation and review predictions generated by their model.","container-title":"Psychological Review","DOI":"10.1037/0033-295X.111.1.33","ISSN":"0033-295X","issue":"1","journalAbbreviation":"Psychol Rev","language":"eng","note":"PMID: 14756584","page":"33-51","source":"PubMed","title":"Addiction motivation reformulated: an affective processing model of negative reinforcement","title-short":"Addiction motivation reformulated","volume":"111","author":[{"family":"Baker","given":"Timothy B."},{"family":"Piper","given":"Megan E."},{"family":"McCarthy","given":"Danielle E."},{"family":"Majeskie","given":"Matthew R."},{"family":"Fiore","given":"Michael C."}],"issued":{"date-parts":[["2004",1]]}}},{"id":268,"uris":["http://zotero.org/users/7873587/items/HBF7N8KI"],"itemData":{"id":268,"type":"article-journal","abstract":"Background: Drinking among college-aged individuals can be problematic. The motivational model of use, which examines various cognitive factors, personal characteristics, and environmental factors, can provide a greater understanding of what contributes toward the decision to drink in these young adults. Objectives: The current study evaluates proposed paths from risk factors for alcohol use, motives for drinking, and subsequent outcomes of alcohol use, drawing from seminal research on the motivational model and drinking motives. Methods: This model was tested in a sample of 303 undergraduate drinkers (77.9% female, mean age = 19.8 years), and evaluated the potential impact of gender and pattern of use. Results: Results indicate that expectancies, maladaptive coping, and negative affect personality styles are associated with coping motives for drinking, and that coping motives are significantly related to problems associated with use. These results are similar for males and females, and among heavy and lighter drinkers. Conclusion: Findings support the role of the coping motive in problematic outcomes associated with drinking and suggest that expectancies, negative affect personality styles, maladaptive coping, and drinking motives are potential targets of prevention and intervention. (PsycINFO Database Record (c) 2016 APA, all rights reserved)","container-title":"The American Journal of Drug and Alcohol Abuse","DOI":"10.3109/00952990.2016.1141915","ISSN":"1097-9891","issue":"4","note":"publisher-place: United Kingdom\npublisher: Taylor &amp; Francis","page":"395-403","source":"APA PsycNet","title":"Motivational pathways from antecedents of alcohol use to consequences: A structural model of using alcohol to cope with negative affect","title-short":"Motivational pathways from antecedents of alcohol use to consequences","volume":"42","author":[{"family":"Blevins","given":"Claire E."},{"family":"Abrantes","given":"Ana M."},{"family":"Stephens","given":"Robert S."}],"issued":{"date-parts":[["2016"]]}}},{"id":270,"uris":["http://zotero.org/users/7873587/items/5AXKHVL2"],"itemData":{"id":270,"type":"article-journal","abstract":"The present study proposed and tested a motivational model of alcohol use in which people are hypothesized to use alcohol to regulate both positive and negative emotions. Two central premises underpin this model: (a) that enhancement and coping motives for alcohol use are proximal determinants of alcohol use and abuse through which the influence of expectancies, emotions, and other individual differences are mediated and (b) that enhancement and coping motives represent phenomenologically distinct behaviors having both unique antecedents and consequences. This model was tested in 2 random samples (1 of adults, 1 of adolescents) using a combination of moderated regression and path analysis corrected for measurement error. Results revealed strong support for the hypothesized model in both samples and indicate the importance of distinguishing psychological motives for alcohol use.","container-title":"Journal of Personality and Social Psychology","DOI":"10.1037//0022-3514.69.5.990","ISSN":"0022-3514","issue":"5","journalAbbreviation":"J Pers Soc Psychol","language":"eng","note":"PMID: 7473043","page":"990-1005","source":"PubMed","title":"Drinking to regulate positive and negative emotions: a motivational model of alcohol use","title-short":"Drinking to regulate positive and negative emotions","volume":"69","author":[{"family":"Cooper","given":"M. L."},{"family":"Frone","given":"M. R."},{"family":"Russell","given":"M."},{"family":"Mudar","given":"P."}],"issued":{"date-parts":[["1995",11]]}}},{"id":879,"uris":["http://zotero.org/users/7873587/items/HAB8IICP"],"itemData":{"id":879,"type":"chapter","abstract":"Since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C."},{"family":"Satel","given":"Sally"}],"issued":{"date-parts":[["2022"]]}}}],"schema":"https://github.com/citation-style-language/schema/raw/master/csl-citation.json"} </w:instrText>
      </w:r>
      <w:r w:rsidRPr="002147A7">
        <w:rPr>
          <w:rFonts w:ascii="Times New Roman" w:hAnsi="Times New Roman" w:cs="Times New Roman"/>
        </w:rPr>
        <w:fldChar w:fldCharType="separate"/>
      </w:r>
      <w:r w:rsidR="00A26007" w:rsidRPr="00A26007">
        <w:rPr>
          <w:rFonts w:ascii="Times New Roman" w:hAnsi="Times New Roman" w:cs="Times New Roman"/>
        </w:rPr>
        <w:t>(T. B. Baker et al., 2004; Blevins et al., 2016; Cooper et al., 1995; Hogarth, 2022)</w:t>
      </w:r>
      <w:r w:rsidRPr="002147A7">
        <w:rPr>
          <w:rFonts w:ascii="Times New Roman" w:hAnsi="Times New Roman" w:cs="Times New Roman"/>
        </w:rPr>
        <w:fldChar w:fldCharType="end"/>
      </w:r>
      <w:r w:rsidRPr="002147A7">
        <w:rPr>
          <w:rFonts w:ascii="Times New Roman" w:hAnsi="Times New Roman" w:cs="Times New Roman"/>
        </w:rPr>
        <w:t xml:space="preserve">, an individual-level meta-analysis revealed that people are actually more likely to consume a substance (e.g., alcohol) harmfully when they are in a positive mood rather than negative mood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{"citationID":"HVYEm9Ca","properties":{"formattedCitation":"(Dora et al., 2022)","plainCitation":"(Dora et al., 2022)","noteIndex":0},"citationItems":[{"id":922,"uris":["http://zotero.org/users/7873587/items/294T6PMM"],"itemData":{"id":922,"type":"article-journal","abstract":"Influential psychological theories hypothesize that people consume alcohol in response to the experience of both negative and positive emotions. Despite two decades of daily diary and ecological momentary assessment research, it remains unclear whether people consume more alcohol on days they experience higher negative and positive affect in everyday life. In this preregistered meta-analysis, we synthesized the evidence for these daily associations between affect and alcohol use. We included individual participant data from 69 studies (N = 12,394), which used daily and momentary surveys to assess affect and the number of alcoholic drinks consumed. Results indicate that people do not drink more often on days they experience high negative affect, but are more likely to drink and drink heavily on days high in positive affect. People self-reporting a motivational tendency to drink-to-cope and drink-to-enhance were estimated to consume more alcohol, but not to consume more alcohol on days they experience higher negative and positive affect. Results were robust across different operationalizations of affect, study designs, study populations, and individual characteristics. Based on our findings, we collectively propose an agenda for future research to explore open questions surrounding affect and alcohol use.","container-title":"PsyArXiv","DOI":"10.31234/osf.io/xevct","language":"en-us","note":"type: article","source":"OSF Preprints","title":"The daily association between affect and alcohol use: A meta-analysis of individual participant data","title-short":"The daily association between affect and alcohol use","URL":"https://psyarxiv.com/xevct/","author":[{"family":"Dora","given":"Jonas"},{"family":"Piccirillo","given":"Marilyn"},{"family":"Foster","given":"Katherine T."},{"family":"Arbeau","given":"Kelly"},{"family":"Armeli","given":"Stephen"},{"family":"Auriacombe","given":"Marc"},{"family":"Bartholow","given":"Bruce D."},{"family":"Beltz","given":"Adriene"},{"family":"Blumenstock","given":"Shari"},{"family":"Bold","given":"Krysten"},{"family":"Bonar","given":"Erin"},{"family":"Braitman","given":"Abby"},{"family":"Carpenter","given":"Ryan"},{"family":"Creswell","given":"Kasey"},{"family":"DeHart","given":"Tracy"},{"family":"Dvorak","given":"Robert"},{"family":"Emery","given":"Noah N."},{"family":"Enkema","given":"Matthew"},{"family":"Fairbairn","given":"Catharine"},{"family":"Fairlie","given":"Anne"},{"family":"Ferguson","given":"Stuart"},{"family":"Freire","given":"Teresa"},{"family":"Goodman","given":"Fallon"},{"family":"Gottfredson","given":"Nisha"},{"family":"Halvorson","given":"Max Andrew"},{"family":"Haroon","given":"Maleeha"},{"family":"Howard","given":"Andrea"},{"family":"Hussong","given":"Andrea"},{"family":"Jackson","given":"Kristina M."},{"family":"Jenzer","given":"Tiffany"},{"family":"Kelly","given":"Dominic"},{"family":"Kuczynski","given":"Adam M."},{"family":"Kuerbis","given":"Alexis"},{"family":"Lee","given":"Christine"},{"family":"Lewis","given":"Melissa"},{"family":"Linden-Carmichael","given":"Ashley"},{"family":"Littlefield","given":"Andrew"},{"family":"Lydon-Staley","given":"David Martin"},{"family":"Merrill","given":"Jennifer"},{"family":"Jr","given":"Robert Miranda"},{"family":"Mohr","given":"Cynthia"},{"family":"Read","given":"Jennifer"},{"family":"Richardson","given":"Clarissa"},{"family":"O'connor","given":"Roisin"},{"family":"O'malley","given":"Stephanie"},{"family":"Papp","given":"Lauren"},{"family":"Piasecki","given":"Thomas M."},{"family":"Sacco","given":"Paul"},{"family":"Scaglione","given":"Nichole"},{"family":"Serre","given":"Fuschia"},{"family":"Shadur","given":"Julia"},{"family":"Sher","given":"Kenneth J."},{"family":"Shoda","given":"Yuichi"},{"family":"Simpson","given":"Tracy"},{"family":"Stevens","given":"Angela K."},{"family":"Stevenson","given":"Brittany"},{"family":"Tennen","given":"Howard"},{"family":"Todd","given":"Michael"},{"family":"Padovano","given":"Hayley Treloar"},{"family":"Trull","given":"Timothy J."},{"family":"Waddell (MU-Student)","given":"Jack T."},{"family":"Walukevich-Dienst","given":"Katherine"},{"family":"Witkiewitz","given":"Katie"},{"family":"Wray","given":"Tyler B."},{"family":"Wright","given":"Aidan G. C."},{"family":"Wycoff","given":"Andrea M."},{"family":"King","given":"Kevin"}],"accessed":{"date-parts":[["2022",3,18]]},"issued":{"date-parts":[["2022",2,1]]}}}],"schema":"https://github.com/citation-style-language/schema/raw/master/csl-citation.json"}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(Dora et al., 2022)</w:t>
      </w:r>
      <w:r w:rsidRPr="002147A7">
        <w:rPr>
          <w:rFonts w:ascii="Times New Roman" w:hAnsi="Times New Roman" w:cs="Times New Roman"/>
        </w:rPr>
        <w:fldChar w:fldCharType="end"/>
      </w:r>
      <w:r w:rsidRPr="002147A7">
        <w:rPr>
          <w:rFonts w:ascii="Times New Roman" w:hAnsi="Times New Roman" w:cs="Times New Roman"/>
        </w:rPr>
        <w:t xml:space="preserve">. These findings are specific to alcohol, but nevertheless the use of mood as the core manipulation in the current study may have obscured any clear distinction in VBDM parameters. Furthermore, our manipulation of tobacco value may have been relatively weak in comparison to other techniques such as deprivation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{"citationID":"Xl1BCfsV","properties":{"formattedCitation":"(Lawn et al., 2015)","plainCitation":"(Lawn et al., 2015)","noteIndex":0},"citationItems":[{"id":858,"uris":["http://zotero.org/users/7873587/items/AZB9K6WG"],"itemData":{"id":858,"type":"article-journal","abstract":"RATIONALE: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(Lawn et al., 2015)</w:t>
      </w:r>
      <w:r w:rsidRPr="002147A7">
        <w:rPr>
          <w:rFonts w:ascii="Times New Roman" w:hAnsi="Times New Roman" w:cs="Times New Roman"/>
        </w:rPr>
        <w:fldChar w:fldCharType="end"/>
      </w:r>
      <w:r w:rsidRPr="002147A7">
        <w:rPr>
          <w:rFonts w:ascii="Times New Roman" w:hAnsi="Times New Roman" w:cs="Times New Roman"/>
        </w:rPr>
        <w:t xml:space="preserve">, satiation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{"citationID":"x4dbmo3M","properties":{"formattedCitation":"(Hogarth, 2012; Hogarth &amp; Chase, 2011)","plainCitation":"(Hogarth, 2012; Hogarth &amp; Chase, 2011)","noteIndex":0},"citationItems":[{"id":1344,"uris":["http://zotero.org/users/7873587/items/VDKRUUGQ"],"itemData":{"id":1344,"type":"article-journal","abstract":"According to contemporary learning theory, drug-seeking behavior reflects the summation of 2 dissociable controllers. Whereas goal-directed drug-seeking is determined by the expected current incentive value of the drug, stimulus-elicited drug-seeking is determined by the expected probability of the drug independently of its current incentive value, and these 2 controllers contribute additively to observed drug-seeking. One applied prediction of this model is that smoking cessation pharmacotherapies selectively attenuate tonic but not cue-elicited craving because they downgrade the expected incentive value of the drug but leave expected probability intact. To test this, the current study examined whether nicotine replacement therapy (NRT) nasal spray would modify goal-directed tobacco choice in a human outcome devaluation procedure, but leave cue-elicited tobacco choice in a Pavlovian to instrumental transfer (PIT) procedure intact. Smokers (N= 96) first underwent concurrent choice training in which 2 responses earned tobacco or chocolate points, respectively. Participants then ingested either NRT nasal spray (1 mg) or chocolate (147 g) to devalue 1 outcome. Concurrent choice was then tested again in extinction to measure goal-directed control of choice, and in a PIT test to measure the extent to which tobacco and chocolate stimuli enhanced choice of the same outcome. It was found that NRT modified tobacco choice in the extinction test but not the extent to which the tobacco stimulus enhanced choice of the tobacco outcome in the PIT test. This dissociation suggests that the propensity to engage in drug-seeking is determined independently by the expected value and probability of the drug, and that pharmacotherapy has partial efficacy because it selectively effects expected drug value.","container-title":"Journal of Experimental Psychology. Animal Behavior Processes","DOI":"10.1037/a0028914","ISSN":"1939-2184","issue":"3","journalAbbreviation":"J Exp Psychol Anim Behav Process","language":"eng","note":"PMID: 22823420","page":"266-278","source":"PubMed","title":"Goal-directed and transfer-cue-elicited drug-seeking are dissociated by pharmacotherapy: evidence for independent additive controllers","title-short":"Goal-directed and transfer-cue-elicited drug-seeking are dissociated by pharmacotherapy","volume":"38","author":[{"family":"Hogarth","given":"Lee"}],"issued":{"date-parts":[["2012",7]]}},"label":"act"},{"id":860,"uris":["http://zotero.org/users/7873587/items/AEE43PBX"],"itemData":{"id":860,"type":"article-journal","abstract":"Dual-process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W."}],"issued":{"date-parts":[["2011",7]]}},"label":"act"}],"schema":"https://github.com/citation-style-language/schema/raw/master/csl-citation.json"} </w:instrText>
      </w:r>
      <w:r w:rsidRPr="002147A7">
        <w:rPr>
          <w:rFonts w:ascii="Times New Roman" w:hAnsi="Times New Roman" w:cs="Times New Roman"/>
        </w:rPr>
        <w:fldChar w:fldCharType="separate"/>
      </w:r>
      <w:r w:rsidR="00F25F50" w:rsidRPr="00F25F50">
        <w:rPr>
          <w:rFonts w:ascii="Times New Roman" w:hAnsi="Times New Roman" w:cs="Times New Roman"/>
        </w:rPr>
        <w:t>(Hogarth, 2012; Hogarth &amp; Chase, 2011)</w:t>
      </w:r>
      <w:r w:rsidRPr="002147A7">
        <w:rPr>
          <w:rFonts w:ascii="Times New Roman" w:hAnsi="Times New Roman" w:cs="Times New Roman"/>
        </w:rPr>
        <w:fldChar w:fldCharType="end"/>
      </w:r>
      <w:r w:rsidRPr="002147A7">
        <w:rPr>
          <w:rFonts w:ascii="Times New Roman" w:hAnsi="Times New Roman" w:cs="Times New Roman"/>
        </w:rPr>
        <w:t xml:space="preserve">, and stress induction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{"citationID":"XbJ1NMCh","properties":{"formattedCitation":"(Aston et al., 2021)","plainCitation":"(Aston et al., 2021)","noteIndex":0},"citationItems":[{"id":853,"uris":["http://zotero.org/users/7873587/items/6NHAL78N"],"itemData":{"id":853,"type":"article-journal","abstract":"Introduction\nCigarette demand, or relative value, can be assessed via analysis of performance on a hypothetical behavioral economic cigarette purchase task (CPT). Substance purchase tasks are highly amenable to manipulation, namely, external stimuli, instructional changes, or acute stressors. In this regard, the current secondary analysis evaluates the role a novel, computerized stress induction paradigm, the Contextual-Frustration Intolerance Typing Task (C-FiTT), plays in eliciting varying levels of stress and resulting demand.\nMethod\nDaily smokers (n = 484) completed the C-FiTT wherein they were randomly assigned to one of five distress conditions: combination of task difficulty (low or high difficulty) with neutral or withdrawal cues, and a neutral control group. Tobacco demand was assessed immediately following the distress task using the hypothetical CPT.\nResults\nThe C-FiTT distress-induction task significantly increased key cigarette demand indices, including price at maximum expenditure (Pmax) and first price where consumption was suppressed to zero (breakpoint). Moreover, demand increased with severity of C-FiTT condition, with the high-difficulty condition resulting in significantly higher breakpoint and Pmax, compared to other conditions. C-FiTT condition was not related to a significant increase in Omax, intensity, or elasticity.\nDiscussion\nThe novel C-FiTT paradigm produced comparable effects on tobacco demand relative to in vivo withdrawal induction, indicating that the C-FiTT is a viable procedure by which to influence demand. Reduction of internal and external stressors may be effective in lowering motivation for tobacco. These results highlight the importance of state distress in tobacco demand, and offer a potential avenue for intervention.","container-title":"Drug and Alcohol Dependence","DOI":"10.1016/j.drugalcdep.2021.108522","ISSN":"0376-8716","journalAbbreviation":"Drug and Alcohol Dependence","language":"en","page":"108522","source":"ScienceDirect","title":"Effects of acute distress and tobacco cues on tobacco demand","volume":"221","author":[{"family":"Aston","given":"Elizabeth R."},{"family":"Smith","given":"Jacqueline E."},{"family":"DiBello","given":"Angelo M."},{"family":"Farris","given":"Samantha G."}],"issued":{"date-parts":[["2021",4,1]]}}}],"schema":"https://github.com/citation-style-language/schema/raw/master/csl-citation.json"}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(Aston et al., 2021)</w:t>
      </w:r>
      <w:r w:rsidRPr="002147A7">
        <w:rPr>
          <w:rFonts w:ascii="Times New Roman" w:hAnsi="Times New Roman" w:cs="Times New Roman"/>
        </w:rPr>
        <w:fldChar w:fldCharType="end"/>
      </w:r>
      <w:r w:rsidRPr="002147A7">
        <w:rPr>
          <w:rFonts w:ascii="Times New Roman" w:hAnsi="Times New Roman" w:cs="Times New Roman"/>
        </w:rPr>
        <w:t xml:space="preserve">. To elaborate, we found that the experimental manipulation of mood was effective in inducing happy and sad mood states, in line with findings from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{"citationID":"QXEfv62f","properties":{"formattedCitation":"(Marcusson-Clavertz et al., 2019)","plainCitation":"(Marcusson-Clavertz et al., 2019)","noteIndex":0},"citationItems":[{"id":889,"uris":["http://zotero.org/users/7873587/items/J86QYCB2"],"itemData":{"id":889,"type":"article-journal","abstract":"Film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(Marcusson-Clavertz et al., 2019)</w:t>
      </w:r>
      <w:r w:rsidRPr="002147A7">
        <w:rPr>
          <w:rFonts w:ascii="Times New Roman" w:hAnsi="Times New Roman" w:cs="Times New Roman"/>
        </w:rPr>
        <w:fldChar w:fldCharType="end"/>
      </w:r>
      <w:r w:rsidRPr="002147A7">
        <w:rPr>
          <w:rFonts w:ascii="Times New Roman" w:hAnsi="Times New Roman" w:cs="Times New Roman"/>
        </w:rPr>
        <w:t xml:space="preserve">. However, craving to smoke has been linked to higher drug valuation </w:t>
      </w:r>
      <w:r w:rsidRPr="002147A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{"citationID":"6bh85Zwe","properties":{"formattedCitation":"(Biernacki et al., 2021)","plainCitation":"(Biernacki et al., 2021)","noteIndex":0},"citationItems":[{"id":916,"uris":["http://zotero.org/users/7873587/items/Z3XZ6VXZ"],"itemData":{"id":916,"type":"article-journal","abstract":"How does craving bias decisions to pursue drugs over other valuable, and healthier, alternatives in addiction? To address this question, we measured the in-the-moment economic decisions of people with opioid use disorder as they experienced craving, shortly after receiving their scheduled opioid maintenance medication and ~24 h later. We found that higher cravers had higher drug-related valuation, and that moments of higher craving within-person also led to higher drug-related valuation. When experiencing increased opioid craving, participants were willing to pay more for personalized consumer items and foods more closely related to their drug use, but not for alternative “nondrug-related” but equally desirable options. This selective increase in value with craving was greater when the drug-related options were offered in higher quantities and was separable from the effects of other fluctuating psychological states like negative mood. These findings suggest that craving narrows and focuses economic motivation toward the object of craving by selectively and multiplicatively amplifying perceived value along a “drug relatedness” dimension.","container-title":"Neuropsychopharmacology","DOI":"10.1038/s41386-021-01248-3","ISSN":"1740-634X","journalAbbreviation":"Neuropsychopharmacol.","language":"en","license":"2021 The Author(s)","note":"publisher: Nature Publishing Group","page":"1440-1448","source":"www.nature.com","title":"A neuroeconomic signature of opioid craving: How fluctuations in craving bias drug-related and nondrug-related value","title-short":"A neuroeconomic signature of opioid craving","volume":"47","author":[{"family":"Biernacki","given":"Kathryn"},{"family":"Lopez-Guzman","given":"Silvia"},{"family":"Messinger","given":"John C."},{"family":"Banavar","given":"Nidhi V."},{"family":"Rotrosen","given":"John"},{"family":"Glimcher","given":"Paul W."},{"family":"Konova","given":"Anna B."}],"issued":{"date-parts":[["2021",12,16]]}}}],"schema":"https://github.com/citation-style-language/schema/raw/master/csl-citation.json"}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(Biernacki et al., 2021)</w:t>
      </w:r>
      <w:r w:rsidRPr="002147A7">
        <w:rPr>
          <w:rFonts w:ascii="Times New Roman" w:hAnsi="Times New Roman" w:cs="Times New Roman"/>
        </w:rPr>
        <w:fldChar w:fldCharType="end"/>
      </w:r>
      <w:r w:rsidRPr="002147A7">
        <w:rPr>
          <w:rFonts w:ascii="Times New Roman" w:hAnsi="Times New Roman" w:cs="Times New Roman"/>
        </w:rPr>
        <w:t xml:space="preserve">, and although the contrasts for self-report craving scores differed statistically after watching the videos aimed to induce negative versus positive mood, the pre and post contrasts did not reveal a robust effect. This is because there was only a marginally significant increase in craving in the negative mood condition, and there was no statistically significant decrease in craving in the positive mood condition. </w:t>
      </w:r>
    </w:p>
    <w:p w14:paraId="7577FABD" w14:textId="77777777" w:rsidR="002147A7" w:rsidRPr="002147A7" w:rsidRDefault="002147A7" w:rsidP="002147A7">
      <w:pPr>
        <w:spacing w:line="480" w:lineRule="auto"/>
        <w:rPr>
          <w:rFonts w:ascii="Times New Roman" w:hAnsi="Times New Roman" w:cs="Times New Roman"/>
        </w:rPr>
      </w:pPr>
    </w:p>
    <w:p w14:paraId="16DB25B1" w14:textId="3D4451CD" w:rsidR="002147A7" w:rsidRPr="002147A7" w:rsidRDefault="002147A7" w:rsidP="00574B38">
      <w:pPr>
        <w:spacing w:line="480" w:lineRule="auto"/>
        <w:rPr>
          <w:rFonts w:ascii="Times New Roman" w:hAnsi="Times New Roman" w:cs="Times New Roman"/>
        </w:rPr>
      </w:pPr>
      <w:r w:rsidRPr="002147A7">
        <w:rPr>
          <w:rFonts w:ascii="Times New Roman" w:hAnsi="Times New Roman" w:cs="Times New Roman"/>
        </w:rPr>
        <w:t>Interestingly, in Chapter 4 we found that the experimental manipulation of alcohol value selectively augmented EA rates for alcohol-free alternatives (i.e., soft</w:t>
      </w:r>
      <w:r>
        <w:rPr>
          <w:rFonts w:ascii="Times New Roman" w:hAnsi="Times New Roman" w:cs="Times New Roman"/>
        </w:rPr>
        <w:t xml:space="preserve"> </w:t>
      </w:r>
      <w:r w:rsidRPr="002147A7">
        <w:rPr>
          <w:rFonts w:ascii="Times New Roman" w:hAnsi="Times New Roman" w:cs="Times New Roman"/>
        </w:rPr>
        <w:t xml:space="preserve">drinks), but we were unable to detect differences in EA rates in the current study. However, it may be that tobacco value is more difficult to manipulate than other substance types (e.g., alcohol). Indeed, a recent meta-analysis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{"citationID":"obIfm2zO","properties":{"formattedCitation":"(Acuff,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Pr="002147A7">
        <w:rPr>
          <w:rFonts w:ascii="Times New Roman" w:hAnsi="Times New Roman" w:cs="Times New Roman"/>
        </w:rPr>
        <w:fldChar w:fldCharType="separate"/>
      </w:r>
      <w:r w:rsidR="00AE0B75">
        <w:rPr>
          <w:rFonts w:ascii="Times New Roman" w:hAnsi="Times New Roman" w:cs="Times New Roman"/>
        </w:rPr>
        <w:t>(Acuff, Amlung, et al., 2020)</w:t>
      </w:r>
      <w:r w:rsidRPr="002147A7">
        <w:rPr>
          <w:rFonts w:ascii="Times New Roman" w:hAnsi="Times New Roman" w:cs="Times New Roman"/>
        </w:rPr>
        <w:fldChar w:fldCharType="end"/>
      </w:r>
      <w:r w:rsidRPr="002147A7">
        <w:rPr>
          <w:rFonts w:ascii="Times New Roman" w:hAnsi="Times New Roman" w:cs="Times New Roman"/>
        </w:rPr>
        <w:t xml:space="preserve"> quantified only small and non-significant effect sizes for the influence of negative affect on tobacco value. </w:t>
      </w:r>
    </w:p>
    <w:p w14:paraId="7041A2AF" w14:textId="77777777" w:rsidR="002147A7" w:rsidRPr="002147A7" w:rsidRDefault="002147A7" w:rsidP="002147A7">
      <w:pPr>
        <w:spacing w:line="480" w:lineRule="auto"/>
        <w:rPr>
          <w:rFonts w:ascii="Times New Roman" w:hAnsi="Times New Roman" w:cs="Times New Roman"/>
        </w:rPr>
      </w:pPr>
    </w:p>
    <w:p w14:paraId="210AF3EF" w14:textId="37472EEF" w:rsidR="002147A7" w:rsidRPr="002147A7" w:rsidRDefault="002147A7" w:rsidP="002147A7">
      <w:pPr>
        <w:spacing w:line="480" w:lineRule="auto"/>
        <w:rPr>
          <w:rFonts w:ascii="Times New Roman" w:hAnsi="Times New Roman" w:cs="Times New Roman"/>
        </w:rPr>
      </w:pPr>
      <w:r w:rsidRPr="002147A7">
        <w:rPr>
          <w:rFonts w:ascii="Times New Roman" w:hAnsi="Times New Roman" w:cs="Times New Roman"/>
        </w:rPr>
        <w:lastRenderedPageBreak/>
        <w:t>Part of our pre-registered analyses was to establish whether there was a ‘difficulty effect’ observed from the behavioural data from the VBDM task. Indeed, we found that EA rates decreased alongside increasing level of difficulty in the trials (Figure 5.8). This is in line with other chapters in this thesis and previous research</w:t>
      </w:r>
      <w:r w:rsidR="005D0EB3">
        <w:rPr>
          <w:rFonts w:ascii="Times New Roman" w:hAnsi="Times New Roman" w:cs="Times New Roman"/>
        </w:rPr>
        <w:t xml:space="preserve"> </w:t>
      </w:r>
      <w:r w:rsidR="005D0EB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{"citationID":"psEy6dkc","properties":{"formattedCitation":"(Polan\\uc0\\u237{}a et al., 2014)","plainCitation":"(Polanía et al., 2014)","noteIndex":0},"citationItems":[{"id":1544,"uris":["http://zotero.org/users/7873587/items/S2B2VYDB"],"itemData":{"id":1544,"type":"article-journal","abstract":"Organisms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C."}],"issued":{"date-parts":[["2014",5,7]]}}}],"schema":"https://github.com/citation-style-language/schema/raw/master/csl-citation.json"} </w:instrText>
      </w:r>
      <w:r w:rsidR="005D0EB3">
        <w:rPr>
          <w:rFonts w:ascii="Times New Roman" w:hAnsi="Times New Roman" w:cs="Times New Roman"/>
        </w:rPr>
        <w:fldChar w:fldCharType="separate"/>
      </w:r>
      <w:r w:rsidR="005D0EB3" w:rsidRPr="005D0EB3">
        <w:rPr>
          <w:rFonts w:ascii="Times New Roman" w:hAnsi="Times New Roman" w:cs="Times New Roman"/>
        </w:rPr>
        <w:t>(Polanía et al., 2014)</w:t>
      </w:r>
      <w:r w:rsidR="005D0EB3">
        <w:rPr>
          <w:rFonts w:ascii="Times New Roman" w:hAnsi="Times New Roman" w:cs="Times New Roman"/>
        </w:rPr>
        <w:fldChar w:fldCharType="end"/>
      </w:r>
      <w:r w:rsidRPr="002147A7">
        <w:rPr>
          <w:rFonts w:ascii="Times New Roman" w:hAnsi="Times New Roman" w:cs="Times New Roman"/>
        </w:rPr>
        <w:t xml:space="preserve">, and is a particularly reassuring finding because despite the online nature of the study, participants’ responding to the stimuli during the VBDM task was compatible with the value judgments that they had made about those stimuli during the rating task. </w:t>
      </w:r>
    </w:p>
    <w:p w14:paraId="3C3CE214" w14:textId="77777777" w:rsidR="002147A7" w:rsidRPr="002147A7" w:rsidRDefault="002147A7" w:rsidP="002147A7">
      <w:pPr>
        <w:spacing w:line="480" w:lineRule="auto"/>
        <w:rPr>
          <w:rFonts w:ascii="Times New Roman" w:hAnsi="Times New Roman" w:cs="Times New Roman"/>
        </w:rPr>
      </w:pPr>
    </w:p>
    <w:p w14:paraId="06B9F355" w14:textId="020371C6" w:rsidR="002147A7" w:rsidRPr="002147A7" w:rsidRDefault="002147A7" w:rsidP="002147A7">
      <w:pPr>
        <w:spacing w:line="480" w:lineRule="auto"/>
        <w:rPr>
          <w:rFonts w:ascii="Times New Roman" w:hAnsi="Times New Roman" w:cs="Times New Roman"/>
        </w:rPr>
      </w:pPr>
      <w:r w:rsidRPr="002147A7">
        <w:rPr>
          <w:rFonts w:ascii="Times New Roman" w:hAnsi="Times New Roman" w:cs="Times New Roman"/>
        </w:rPr>
        <w:t xml:space="preserve">This study has several limitations, and we have identified avenues for future research. Firstly, unlike in other laboratory research </w:t>
      </w:r>
      <w:r w:rsidRPr="002147A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{"citationID":"yur6Kwga","properties":{"formattedCitation":"(Dahne et al., 2017)","plainCitation":"(Dahne et al., 2017)","noteIndex":0},"citationItems":[{"id":928,"uris":["http://zotero.org/users/7873587/items/N7U5MLJD"],"itemData":{"id":928,"type":"article-journal","abstract":"Introduction:\nDepressed smokers may disproportionately value cigarettes as compared to other reinforcers in the context of increases in negative affect (NA). Thus, cigarette demand may be an important construct for understanding the relationship between depression, NA change, and tobacco use. The aim of the current study was to examine the interaction between depressive symptoms and change in NA as a function of induced mood as a predictor of cigarette demand.\n\nMethods:\nParticipants included 73 young adult daily smokers (41.70% female, 73.60% White, age M (SD) = 19.70 (1.15)) who attended two experimental sessions: one stress and one neutral. During each session, participants completed ratings of depressive symptoms, NA, and cigarette demand.\n\nResults:\nWe examined the predictive utility of depressive symptoms, change in NA as a result of a stressor, and the interaction between depressive symptoms and NA change on demand indices. Separate models were constructed by session. Results indicated significant interactive effects between depressive symptoms and change in NA for predicting intensity, breakpoint, and P\nmax during the stress session. Specifically, change in NA moderated the relationship between depression and demand indices such that among individuals high in NA change, depressive symptoms were positively related to P\nmax and breakpoint, whereas among individuals low in NA change, depressive symptoms were positively related to intensity.\n\nConclusions:\nWhen exposed to stress, cigarettes may become more valuable for individuals with depressive symptoms.\n\nImplications:\nThis study contributes to the literature attempting to understand the complex relationships between depression, stress-related changes in NA, and tobacco use. This study suggests that one mechanism that may be important to the relationship between depression and tobacco use is cigarette demand. Specifically, for individuals with elevated depressive symptoms, certain aspects of cigarette demand may be higher (intensity, breakpoint, and P\nmax) when exposed to stress, which may contribute to tobacco use being maintained over time.","container-title":"Nicotine &amp; Tobacco Research","DOI":"10.1093/ntr/ntw145","ISSN":"1462-2203","issue":"1","journalAbbreviation":"Nicotine Tob Res","note":"PMID: 27245238\nPMCID: PMC5157711","page":"49-58","source":"PubMed Central","title":"Depressive symptoms and cigarette demand as a function of induced stress","volume":"19","author":[{"family":"Dahne","given":"Jennifer"},{"family":"Murphy","given":"James G."},{"family":"MacPherson","given":"Laura"}],"issued":{"date-parts":[["2017",1]]}}}],"schema":"https://github.com/citation-style-language/schema/raw/master/csl-citation.json"}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(Dahne et al., 2017)</w:t>
      </w:r>
      <w:r w:rsidRPr="002147A7">
        <w:rPr>
          <w:rFonts w:ascii="Times New Roman" w:hAnsi="Times New Roman" w:cs="Times New Roman"/>
        </w:rPr>
        <w:fldChar w:fldCharType="end"/>
      </w:r>
      <w:r w:rsidRPr="002147A7">
        <w:rPr>
          <w:rFonts w:ascii="Times New Roman" w:hAnsi="Times New Roman" w:cs="Times New Roman"/>
        </w:rPr>
        <w:t xml:space="preserve">, we did not measure or control for time since participants last smoked a cigarette prior to participating in the study, and therefore it may be possible that there were baseline differences in value ascribed to tobacco that add noise to the comparison of the manipulation effects. Secondly, because participants took part online from their own home, this means that we were unable to fully control their environment. However, as this was an experimental manipulation study, we explicitly instructed participants to only take part if they are in a quiet place where they would not be distracted, and we included frequent attention checks. Furthermore, we recruited from Prolific which has been found to have high levels of data quality, including attention from participants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{"citationID":"ZvYbit93","properties":{"formattedCitation":"(Peer et al., 2021)","plainCitation":"(Peer et al., 2021)","noteIndex":0},"citationItems":[{"id":470,"uris":["http://zotero.org/users/7873587/items/J8FG5JUL"],"itemData":{"id":470,"type":"article-journal","abstract":"We examine key aspects of data quality for online behavioral research between selected platforms (Amazon Mechanical Turk, CloudResearch, and Prolific) and panels (Qualtrics and Dynata). To identify the key aspects of data quality, we first engaged with the behavioral research community to discover which aspects are most critical to researchers and found that these include attention, comprehension, honesty, and reliability. We then explored differences in these data quality aspects in two studies (N ~ 4000), with or without data quality filters (approval ratings). We found considerable differences between the sites, especially in comprehension, attention, and dishonesty. In Study 1 (without filters), we found that only Prolific provided high data quality on all measures. In Study 2 (with filters), we found high data quality among CloudResearch and Prolific. MTurk showed alarmingly low data quality even with data quality filters. We also found that while reputation (approval rating) did not predict data quality, frequency and purpose of usage did, especially on MTurk: the lowest data quality came from MTurk participants who report using the site as their main source of income but spend few hours on it per week. We provide a framework for future investigation into the ever-changing nature of data quality in online research, and how the evolving set of platforms and panels performs on these key aspects.","container-title":"Behavior Research Methods","DOI":"10.3758/s13428-021-01694-3","ISSN":"1554-3528","journalAbbreviation":"Behav Res","language":"en","source":"Springer Link","title":"Data quality of platforms and panels for online behavioral research","URL":"https://doi.org/10.3758/s13428-021-01694-3","author":[{"family":"Peer","given":"Eyal"},{"family":"Rothschild","given":"David"},{"family":"Gordon","given":"Andrew"},{"family":"Evernden","given":"Zak"},{"family":"Damer","given":"Ekaterina"}],"accessed":{"date-parts":[["2021",11,7]]},"issued":{"date-parts":[["2021",9,29]]}}}],"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(Peer et al., 2021)</w:t>
      </w:r>
      <w:r w:rsidRPr="002147A7">
        <w:rPr>
          <w:rFonts w:ascii="Times New Roman" w:hAnsi="Times New Roman" w:cs="Times New Roman"/>
        </w:rPr>
        <w:fldChar w:fldCharType="end"/>
      </w:r>
      <w:r w:rsidRPr="002147A7">
        <w:rPr>
          <w:rFonts w:ascii="Times New Roman" w:hAnsi="Times New Roman" w:cs="Times New Roman"/>
        </w:rPr>
        <w:t xml:space="preserve">. Thirdly, depression is associated with mood-induced tobacco-seeking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{"citationID":"rRjye3xJ","properties":{"formattedCitation":"(Hogarth et al., 2017)","plainCitation":"(Hogarth et al., 2017)","noteIndex":0},"citationItems":[{"id":931,"uris":["http://zotero.org/users/7873587/items/37L9KG3X"],"itemData":{"id":931,"type":"article-journal","abstract":"Background\nAlthough depression and smoking commonly co-occur, the mechanisms underpinning this association are poorly understood. One hypothesis is that depression promotes tobacco dependence, persistence and relapse by increasing sensitivity to acute negative mood and abstinence induced tobacco-seeking behavior.\n\nMethods\nTwenty nine daily smokers of &gt;10 cigarettes per day, nine with major depression and 20 without, completed two laboratory sessions one week apart, smoking as normal prior to session 1 (sated session), and 6 hours abstinent prior to session 2 (abstinent session). In both sessions, tobacco-seeking was measured at baseline by preference to view smoking versus food images. Negative mood was then induced by negative ruminative statements and sad music, before tobacco-seeking was measured again at test.\n\nResults\nIn the sated session, negative mood induction produced a greater increase in tobacco choice from baseline to test in depressed (p&lt;.001, ηp2=.782) compared to non-depressed smokers (p=.045, ηp2=.216, interaction: p=.046, ηp2=.150). Abstinence also produced a greater increase in baseline tobacco choice between the sated and abstinent sessions in depressed (p=.002, ηp2=.771) compared to non-depressed smokers (p=.22, ηp2=.089, interaction: p=.023, ηp2=.189). These mood and abstinence induced increases in tobacco choice were positively associated with depression symptoms across the sample as a whole (ps≤.04, ηp2≥.159), and correlated with each other (r=.67, p&lt;.001).\n\nConclusions\nCurrent major depression or depression symptoms may promote tobacco dependence, persistence and relapse by increasing sensitivity to both acute negative mood and abstinence induced tobacco-seeking behavior. Treatments should seek to break the association between adverse states and smoking to cope.","container-title":"Drug and alcohol dependence","DOI":"10.1016/j.drugalcdep.2017.02.009","ISSN":"0376-8716","journalAbbreviation":"Drug Alcohol Depend","note":"PMID: 28460322\nPMCID: PMC5499379","page":"1-6","source":"PubMed Central","title":"Current major depression is associated with greater sensitivity to the motivational effect of both negative mood induction and abstinence on tobacco-seeking behaviour","volume":"176","author":[{"family":"Hogarth","given":"Lee"},{"family":"Mathew","given":"Amanda R."},{"family":"Hitsman","given":"Brian"}],"issued":{"date-parts":[["2017",7,1]]}}}],"schema":"https://github.com/citation-style-language/schema/raw/master/csl-citation.json"}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(Hogarth et al., 2017)</w:t>
      </w:r>
      <w:r w:rsidRPr="002147A7">
        <w:rPr>
          <w:rFonts w:ascii="Times New Roman" w:hAnsi="Times New Roman" w:cs="Times New Roman"/>
        </w:rPr>
        <w:fldChar w:fldCharType="end"/>
      </w:r>
      <w:r w:rsidRPr="002147A7">
        <w:rPr>
          <w:rFonts w:ascii="Times New Roman" w:hAnsi="Times New Roman" w:cs="Times New Roman"/>
        </w:rPr>
        <w:t xml:space="preserve">, but for ethical reasons given the pandemic and online nature of the study, we firstly pre-screened participants on depressive symptoms. The limitation here is that we potentially washed out the participants for whom the mood-induced increase in tobacco value would have been most potent. Finally, our choice of tobacco-unrelated (animal) stimuli may not have been appropriate to make interpretable comparisons with tobacco-related stimuli. Indeed, previous studies have used food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{"citationID":"wbxxTs7C","properties":{"formattedCitation":"(Chase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(Chase et al., 2013)</w:t>
      </w:r>
      <w:r w:rsidRPr="002147A7">
        <w:rPr>
          <w:rFonts w:ascii="Times New Roman" w:hAnsi="Times New Roman" w:cs="Times New Roman"/>
        </w:rPr>
        <w:fldChar w:fldCharType="end"/>
      </w:r>
      <w:r w:rsidRPr="002147A7">
        <w:rPr>
          <w:rFonts w:ascii="Times New Roman" w:hAnsi="Times New Roman" w:cs="Times New Roman"/>
        </w:rPr>
        <w:t xml:space="preserve"> or face-</w:t>
      </w:r>
      <w:r w:rsidRPr="002147A7">
        <w:rPr>
          <w:rFonts w:ascii="Times New Roman" w:hAnsi="Times New Roman" w:cs="Times New Roman"/>
        </w:rPr>
        <w:lastRenderedPageBreak/>
        <w:t xml:space="preserve">related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{"citationID":"zcWe6Bko","properties":{"formattedCitation":"(Hardy et al., 2018)","plainCitation":"(Hardy et al., 2018)","noteIndex":0},"citationItems":[{"id":830,"uris":["http://zotero.org/users/7873587/items/NPLX5NWL"],"itemData":{"id":830,"type":"article-journal","abstract":"Concurrent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(Hardy et al., 2018)</w:t>
      </w:r>
      <w:r w:rsidRPr="002147A7">
        <w:rPr>
          <w:rFonts w:ascii="Times New Roman" w:hAnsi="Times New Roman" w:cs="Times New Roman"/>
        </w:rPr>
        <w:fldChar w:fldCharType="end"/>
      </w:r>
      <w:r w:rsidRPr="002147A7">
        <w:rPr>
          <w:rFonts w:ascii="Times New Roman" w:hAnsi="Times New Roman" w:cs="Times New Roman"/>
        </w:rPr>
        <w:t xml:space="preserve"> stimuli. However, our choice to use animal stimuli was guided by wanting to remain consistent and enable comparability with Chapter 7 in this thesis. </w:t>
      </w:r>
    </w:p>
    <w:p w14:paraId="26B8C418" w14:textId="77777777" w:rsidR="002147A7" w:rsidRPr="002147A7" w:rsidRDefault="002147A7" w:rsidP="002147A7">
      <w:pPr>
        <w:spacing w:line="480" w:lineRule="auto"/>
        <w:rPr>
          <w:rFonts w:ascii="Times New Roman" w:hAnsi="Times New Roman" w:cs="Times New Roman"/>
        </w:rPr>
      </w:pPr>
    </w:p>
    <w:p w14:paraId="194799BF" w14:textId="1595B229" w:rsidR="002147A7" w:rsidRPr="002147A7" w:rsidRDefault="002147A7" w:rsidP="00F25F50">
      <w:pPr>
        <w:spacing w:line="480" w:lineRule="auto"/>
        <w:rPr>
          <w:rFonts w:ascii="Times New Roman" w:hAnsi="Times New Roman" w:cs="Times New Roman"/>
        </w:rPr>
      </w:pPr>
      <w:r w:rsidRPr="002147A7">
        <w:rPr>
          <w:rFonts w:ascii="Times New Roman" w:hAnsi="Times New Roman" w:cs="Times New Roman"/>
        </w:rPr>
        <w:t xml:space="preserve">Future research, if possible, may recruit a sample for in-person testing and use potentially stronger techniques to manipulate tobacco value such as deprivation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{"citationID":"xJO3Qf3n","properties":{"formattedCitation":"(Lawn et al., 2015)","plainCitation":"(Lawn et al., 2015)","noteIndex":0},"citationItems":[{"id":858,"uris":["http://zotero.org/users/7873587/items/AZB9K6WG"],"itemData":{"id":858,"type":"article-journal","abstract":"RATIONALE: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(Lawn et al., 2015)</w:t>
      </w:r>
      <w:r w:rsidRPr="002147A7">
        <w:rPr>
          <w:rFonts w:ascii="Times New Roman" w:hAnsi="Times New Roman" w:cs="Times New Roman"/>
        </w:rPr>
        <w:fldChar w:fldCharType="end"/>
      </w:r>
      <w:r w:rsidRPr="002147A7">
        <w:rPr>
          <w:rFonts w:ascii="Times New Roman" w:hAnsi="Times New Roman" w:cs="Times New Roman"/>
        </w:rPr>
        <w:t xml:space="preserve"> and satiety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{"citationID":"9BizZrUO","properties":{"formattedCitation":"(Hogarth, 2012; Hogarth &amp; Chase, 2011)","plainCitation":"(Hogarth, 2012; Hogarth &amp; Chase, 2011)","noteIndex":0},"citationItems":[{"id":1344,"uris":["http://zotero.org/users/7873587/items/VDKRUUGQ"],"itemData":{"id":1344,"type":"article-journal","abstract":"According to contemporary learning theory, drug-seeking behavior reflects the summation of 2 dissociable controllers. Whereas goal-directed drug-seeking is determined by the expected current incentive value of the drug, stimulus-elicited drug-seeking is determined by the expected probability of the drug independently of its current incentive value, and these 2 controllers contribute additively to observed drug-seeking. One applied prediction of this model is that smoking cessation pharmacotherapies selectively attenuate tonic but not cue-elicited craving because they downgrade the expected incentive value of the drug but leave expected probability intact. To test this, the current study examined whether nicotine replacement therapy (NRT) nasal spray would modify goal-directed tobacco choice in a human outcome devaluation procedure, but leave cue-elicited tobacco choice in a Pavlovian to instrumental transfer (PIT) procedure intact. Smokers (N= 96) first underwent concurrent choice training in which 2 responses earned tobacco or chocolate points, respectively. Participants then ingested either NRT nasal spray (1 mg) or chocolate (147 g) to devalue 1 outcome. Concurrent choice was then tested again in extinction to measure goal-directed control of choice, and in a PIT test to measure the extent to which tobacco and chocolate stimuli enhanced choice of the same outcome. It was found that NRT modified tobacco choice in the extinction test but not the extent to which the tobacco stimulus enhanced choice of the tobacco outcome in the PIT test. This dissociation suggests that the propensity to engage in drug-seeking is determined independently by the expected value and probability of the drug, and that pharmacotherapy has partial efficacy because it selectively effects expected drug value.","container-title":"Journal of Experimental Psychology. Animal Behavior Processes","DOI":"10.1037/a0028914","ISSN":"1939-2184","issue":"3","journalAbbreviation":"J Exp Psychol Anim Behav Process","language":"eng","note":"PMID: 22823420","page":"266-278","source":"PubMed","title":"Goal-directed and transfer-cue-elicited drug-seeking are dissociated by pharmacotherapy: evidence for independent additive controllers","title-short":"Goal-directed and transfer-cue-elicited drug-seeking are dissociated by pharmacotherapy","volume":"38","author":[{"family":"Hogarth","given":"Lee"}],"issued":{"date-parts":[["2012",7]]}},"label":"act"},{"id":860,"uris":["http://zotero.org/users/7873587/items/AEE43PBX"],"itemData":{"id":860,"type":"article-journal","abstract":"Dual-process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W."}],"issued":{"date-parts":[["2011",7]]}},"label":"page"}],"schema":"https://github.com/citation-style-language/schema/raw/master/csl-citation.json"} </w:instrText>
      </w:r>
      <w:r w:rsidRPr="002147A7">
        <w:rPr>
          <w:rFonts w:ascii="Times New Roman" w:hAnsi="Times New Roman" w:cs="Times New Roman"/>
        </w:rPr>
        <w:fldChar w:fldCharType="separate"/>
      </w:r>
      <w:r w:rsidR="00F25F50" w:rsidRPr="00F25F50">
        <w:rPr>
          <w:rFonts w:ascii="Times New Roman" w:hAnsi="Times New Roman" w:cs="Times New Roman"/>
        </w:rPr>
        <w:t>(Hogarth, 2012; Hogarth &amp; Chase, 2011)</w:t>
      </w:r>
      <w:r w:rsidRPr="002147A7">
        <w:rPr>
          <w:rFonts w:ascii="Times New Roman" w:hAnsi="Times New Roman" w:cs="Times New Roman"/>
        </w:rPr>
        <w:fldChar w:fldCharType="end"/>
      </w:r>
      <w:r w:rsidRPr="002147A7">
        <w:rPr>
          <w:rFonts w:ascii="Times New Roman" w:hAnsi="Times New Roman" w:cs="Times New Roman"/>
        </w:rPr>
        <w:t xml:space="preserve"> which can be verified with a carbon monoxide breathalyser. This would also enable quantification of time since participants last smoked, meaning that this can be controlled for. Future research may consider extending recruitment to a sample that encompasses a range of scores on the depressive symptom scale, and given that research reliably shows that people who self-report higher coping motivations are more sensitive to negative mood-induced tobacco-seeking (see </w:t>
      </w:r>
      <w:r w:rsidRPr="002147A7">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{"citationID":"LfKQXRWH","properties":{"formattedCitation":"(Hogarth, 2022)","plainCitation":"(Hogarth, 2022)","dontUpdate":true,"noteIndex":0},"citationItems":[{"id":879,"uris":["http://zotero.org/users/7873587/items/HAB8IICP"],"itemData":{"id":879,"type":"chapter","abstract":"Since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C."},{"family":"Satel","given":"Sally"}],"issued":{"date-parts":[["2022"]]}}}],"schema":"https://github.com/citation-style-language/schema/raw/master/csl-citation.json"} </w:instrText>
      </w:r>
      <w:r w:rsidRPr="002147A7">
        <w:rPr>
          <w:rFonts w:ascii="Times New Roman" w:hAnsi="Times New Roman" w:cs="Times New Roman"/>
        </w:rPr>
        <w:fldChar w:fldCharType="separate"/>
      </w:r>
      <w:r w:rsidRPr="002147A7">
        <w:rPr>
          <w:rFonts w:ascii="Times New Roman" w:hAnsi="Times New Roman" w:cs="Times New Roman"/>
        </w:rPr>
        <w:t>Hogarth, 2022)</w:t>
      </w:r>
      <w:r w:rsidRPr="002147A7">
        <w:rPr>
          <w:rFonts w:ascii="Times New Roman" w:hAnsi="Times New Roman" w:cs="Times New Roman"/>
        </w:rPr>
        <w:fldChar w:fldCharType="end"/>
      </w:r>
      <w:r w:rsidRPr="002147A7">
        <w:rPr>
          <w:rFonts w:ascii="Times New Roman" w:hAnsi="Times New Roman" w:cs="Times New Roman"/>
        </w:rPr>
        <w:t>, may also measure participants coping motivations. Finally, a core focus of future research could be to continue to refine the methodology used in VBDM research to contribute towards identifying an appropriate control category of images that can be used for making comparisons with tobacco images.</w:t>
      </w:r>
    </w:p>
    <w:p w14:paraId="6AE203BC" w14:textId="77777777" w:rsidR="002147A7" w:rsidRPr="002147A7" w:rsidRDefault="002147A7" w:rsidP="002147A7">
      <w:pPr>
        <w:spacing w:line="480" w:lineRule="auto"/>
        <w:rPr>
          <w:rFonts w:ascii="Times New Roman" w:hAnsi="Times New Roman" w:cs="Times New Roman"/>
        </w:rPr>
      </w:pPr>
    </w:p>
    <w:p w14:paraId="7BB62AD8" w14:textId="58739A91" w:rsidR="002147A7" w:rsidRPr="002147A7" w:rsidRDefault="002147A7" w:rsidP="008C2026">
      <w:pPr>
        <w:spacing w:line="480" w:lineRule="auto"/>
        <w:rPr>
          <w:rFonts w:ascii="Times New Roman" w:hAnsi="Times New Roman" w:cs="Times New Roman"/>
        </w:rPr>
      </w:pPr>
      <w:r w:rsidRPr="002147A7">
        <w:rPr>
          <w:rFonts w:ascii="Times New Roman" w:hAnsi="Times New Roman" w:cs="Times New Roman"/>
        </w:rPr>
        <w:t xml:space="preserve">To conclude, this study is the first to apply a computational model of VBDM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{"citationID":"VSQ4Ik14","properties":{"formattedCitation":"(Field, Heather, et al., 2020a)","plainCitation":"(Field, Heather, et al., 2020a)","noteIndex":0},"citationItems":[{"id":1445,"uris":["http://zotero.org/users/7873587/items/B629PTRW"],"itemData":{"id":1445,"type":"article-journal","abstract":"Behavioral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Pr="002147A7">
        <w:rPr>
          <w:rFonts w:ascii="Times New Roman" w:hAnsi="Times New Roman" w:cs="Times New Roman"/>
        </w:rPr>
        <w:fldChar w:fldCharType="separate"/>
      </w:r>
      <w:r w:rsidR="008C2026" w:rsidRPr="008C2026">
        <w:rPr>
          <w:rFonts w:ascii="Times New Roman" w:hAnsi="Times New Roman" w:cs="Times New Roman"/>
        </w:rPr>
        <w:t>(Field, Heather, et al., 2020a)</w:t>
      </w:r>
      <w:r w:rsidRPr="002147A7">
        <w:rPr>
          <w:rFonts w:ascii="Times New Roman" w:hAnsi="Times New Roman" w:cs="Times New Roman"/>
        </w:rPr>
        <w:fldChar w:fldCharType="end"/>
      </w:r>
      <w:r w:rsidRPr="002147A7">
        <w:rPr>
          <w:rFonts w:ascii="Times New Roman" w:hAnsi="Times New Roman" w:cs="Times New Roman"/>
        </w:rPr>
        <w:t xml:space="preserve"> to explore the underlying mechanisms that determine choices for tobacco and tobacco-unrelated (animal) cues after the experimental manipulation of mood. The experimental manipulation had no effect on EA rates or response thresholds in either priming condition, and therefore, our findings do not provide support for predictions derived from recent theoretical models </w:t>
      </w:r>
      <w:r w:rsidRPr="002147A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{"citationID":"Ol0YRkyX","properties":{"formattedCitation":"(Copeland et al., 2021; Field, Heather, et al., 2020a)","plainCitation":"(Copeland et al., 2021; Field, Heather, et al., 2020a)","noteIndex":0},"citationItems":[{"id":466,"uris":["http://zotero.org/users/7873587/items/5AW5LCBI"],"itemData":{"id":466,"type":"chapter","abstract":"Most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Pr="002147A7">
        <w:rPr>
          <w:rFonts w:ascii="Times New Roman" w:hAnsi="Times New Roman" w:cs="Times New Roman"/>
        </w:rPr>
        <w:fldChar w:fldCharType="separate"/>
      </w:r>
      <w:r w:rsidR="008C2026" w:rsidRPr="008C2026">
        <w:rPr>
          <w:rFonts w:ascii="Times New Roman" w:hAnsi="Times New Roman" w:cs="Times New Roman"/>
        </w:rPr>
        <w:t>(Copeland et al., 2021; Field, Heather, et al., 2020a)</w:t>
      </w:r>
      <w:r w:rsidRPr="002147A7">
        <w:rPr>
          <w:rFonts w:ascii="Times New Roman" w:hAnsi="Times New Roman" w:cs="Times New Roman"/>
        </w:rPr>
        <w:fldChar w:fldCharType="end"/>
      </w:r>
      <w:r w:rsidRPr="002147A7">
        <w:rPr>
          <w:rFonts w:ascii="Times New Roman" w:hAnsi="Times New Roman" w:cs="Times New Roman"/>
        </w:rPr>
        <w:t xml:space="preserve">. </w:t>
      </w:r>
    </w:p>
    <w:p w14:paraId="39A447B0" w14:textId="77777777" w:rsidR="00FC4E19" w:rsidRPr="00232D38" w:rsidRDefault="00FC4E19" w:rsidP="00232D38">
      <w:pPr>
        <w:pStyle w:val="NoSpacing"/>
        <w:spacing w:line="480" w:lineRule="auto"/>
        <w:rPr>
          <w:rFonts w:ascii="Times New Roman" w:hAnsi="Times New Roman" w:cs="Times New Roman"/>
        </w:rPr>
      </w:pPr>
    </w:p>
    <w:p w14:paraId="5039469A" w14:textId="77777777" w:rsidR="00232D38" w:rsidRPr="00232D38" w:rsidRDefault="00232D38" w:rsidP="00232D38">
      <w:pPr>
        <w:pStyle w:val="NoSpacing"/>
        <w:rPr>
          <w:rFonts w:ascii="Times New Roman" w:hAnsi="Times New Roman" w:cs="Times New Roman"/>
        </w:rPr>
      </w:pPr>
    </w:p>
    <w:p w14:paraId="175BCB4C" w14:textId="6E8F6CE8" w:rsidR="002147A7" w:rsidRDefault="002147A7" w:rsidP="00093B56">
      <w:pPr>
        <w:pStyle w:val="NoSpacing"/>
        <w:rPr>
          <w:rFonts w:ascii="Times New Roman" w:hAnsi="Times New Roman" w:cs="Times New Roman"/>
        </w:rPr>
      </w:pPr>
    </w:p>
    <w:p w14:paraId="3EAFF179" w14:textId="1DA69D3B" w:rsidR="00093B56" w:rsidRDefault="00093B56" w:rsidP="00093B56">
      <w:pPr>
        <w:pStyle w:val="NoSpacing"/>
      </w:pPr>
    </w:p>
    <w:p w14:paraId="25933518" w14:textId="77777777" w:rsidR="009E6B70" w:rsidRDefault="009E6B70" w:rsidP="00093B56">
      <w:pPr>
        <w:pStyle w:val="NoSpacing"/>
      </w:pPr>
    </w:p>
    <w:p w14:paraId="428681FB" w14:textId="7ECF7E74" w:rsidR="00093B56" w:rsidRDefault="00093B56" w:rsidP="00107EBB">
      <w:pPr>
        <w:pStyle w:val="Heading1"/>
      </w:pPr>
      <w:bookmarkStart w:id="248" w:name="_Toc109911334"/>
      <w:bookmarkStart w:id="249" w:name="_Toc110612737"/>
      <w:bookmarkStart w:id="250" w:name="_Toc110629067"/>
      <w:bookmarkStart w:id="251" w:name="_Toc110870975"/>
      <w:r>
        <w:lastRenderedPageBreak/>
        <w:t>Chapter 6: Modelling value-based decision-making (VBDM) in heavy drinkers and people who have reduced their drinking without treatment</w:t>
      </w:r>
      <w:bookmarkEnd w:id="248"/>
      <w:bookmarkEnd w:id="249"/>
      <w:bookmarkEnd w:id="250"/>
      <w:bookmarkEnd w:id="251"/>
    </w:p>
    <w:p w14:paraId="1B5CA14C" w14:textId="77777777" w:rsidR="009E6B70" w:rsidRDefault="009E6B70" w:rsidP="009E6B70">
      <w:pPr>
        <w:pStyle w:val="NoSpacing"/>
        <w:spacing w:line="480" w:lineRule="auto"/>
      </w:pPr>
    </w:p>
    <w:p w14:paraId="7C1B0BAD" w14:textId="272AD3D6" w:rsidR="00093B56" w:rsidRDefault="009E6B70" w:rsidP="009E6B70">
      <w:pPr>
        <w:pStyle w:val="NoSpacing"/>
        <w:spacing w:line="480" w:lineRule="auto"/>
        <w:rPr>
          <w:rFonts w:ascii="Times New Roman" w:hAnsi="Times New Roman" w:cs="Times New Roman"/>
        </w:rPr>
      </w:pPr>
      <w:r w:rsidRPr="009E6B70">
        <w:rPr>
          <w:rFonts w:ascii="Times New Roman" w:hAnsi="Times New Roman" w:cs="Times New Roman"/>
        </w:rPr>
        <w:t>In Chapter 5, I found no robust differences in VBDM parameters for tobacco versus tobacco-unrelated cues when participants were primed to value tobacco compared to when they were primed to devalue tobacco. This is because tobacco-unrelated (control) EA rates were consistently higher regardless of the experimental manipulation. In the present Chapter, I extend on previous Chapters that are experimental manipulations of substance value by exploring whether alcohol-related behaviour change is characterised by alterations in VBDM parameters for alcoholic and soft</w:t>
      </w:r>
      <w:r w:rsidR="0000382A">
        <w:rPr>
          <w:rFonts w:ascii="Times New Roman" w:hAnsi="Times New Roman" w:cs="Times New Roman"/>
        </w:rPr>
        <w:t xml:space="preserve"> </w:t>
      </w:r>
      <w:r w:rsidRPr="009E6B70">
        <w:rPr>
          <w:rFonts w:ascii="Times New Roman" w:hAnsi="Times New Roman" w:cs="Times New Roman"/>
        </w:rPr>
        <w:t>drink cues. I did this by comparing parameters in current heavy drinkers and in people who used to consume alcohol heavily but now consume alcohol in moderation.</w:t>
      </w:r>
    </w:p>
    <w:p w14:paraId="6B41F46B" w14:textId="77777777" w:rsidR="009E6B70" w:rsidRPr="009E6B70" w:rsidRDefault="009E6B70" w:rsidP="009E6B70">
      <w:pPr>
        <w:pStyle w:val="NoSpacing"/>
        <w:spacing w:line="480" w:lineRule="auto"/>
        <w:rPr>
          <w:rFonts w:ascii="Times New Roman" w:hAnsi="Times New Roman" w:cs="Times New Roman"/>
        </w:rPr>
      </w:pPr>
    </w:p>
    <w:p w14:paraId="59C1C2D1" w14:textId="5C4AADF9" w:rsidR="00093B56" w:rsidRDefault="009E6B70" w:rsidP="009E6B70">
      <w:pPr>
        <w:pStyle w:val="NoSpacing"/>
        <w:spacing w:line="480" w:lineRule="auto"/>
        <w:rPr>
          <w:rFonts w:ascii="Times New Roman" w:hAnsi="Times New Roman" w:cs="Times New Roman"/>
        </w:rPr>
      </w:pPr>
      <w:r w:rsidRPr="009E6B70">
        <w:rPr>
          <w:rFonts w:ascii="Times New Roman" w:hAnsi="Times New Roman" w:cs="Times New Roman"/>
          <w:b/>
          <w:bCs/>
        </w:rPr>
        <w:t>Contributions:</w:t>
      </w:r>
      <w:r w:rsidRPr="009E6B70">
        <w:rPr>
          <w:rFonts w:ascii="Times New Roman" w:hAnsi="Times New Roman" w:cs="Times New Roman"/>
        </w:rPr>
        <w:t xml:space="preserve"> I designed the study, which was approved by Matt Field and Tom Stafford (primary supervisors). I collected and analysed the data. I wrote the chapter. Matt Field, Tom Stafford, and collaborators Samuel F. Acuff and James G. Murphy provided feedback on the draft.</w:t>
      </w:r>
    </w:p>
    <w:p w14:paraId="38010219" w14:textId="77777777" w:rsidR="009E6B70" w:rsidRPr="009E6B70" w:rsidRDefault="009E6B70" w:rsidP="009E6B70">
      <w:pPr>
        <w:pStyle w:val="NoSpacing"/>
        <w:spacing w:line="480" w:lineRule="auto"/>
        <w:rPr>
          <w:rFonts w:ascii="Times New Roman" w:hAnsi="Times New Roman" w:cs="Times New Roman"/>
        </w:rPr>
      </w:pPr>
    </w:p>
    <w:p w14:paraId="44A51FCE" w14:textId="1DD0CD67" w:rsidR="009E6B70" w:rsidRPr="009E6B70" w:rsidRDefault="009E6B70" w:rsidP="009E6B70">
      <w:pPr>
        <w:pStyle w:val="NoSpacing"/>
        <w:spacing w:line="480" w:lineRule="auto"/>
        <w:rPr>
          <w:rFonts w:ascii="Times New Roman" w:hAnsi="Times New Roman" w:cs="Times New Roman"/>
        </w:rPr>
      </w:pPr>
      <w:r w:rsidRPr="009E6B70">
        <w:rPr>
          <w:rFonts w:ascii="Times New Roman" w:hAnsi="Times New Roman" w:cs="Times New Roman"/>
        </w:rPr>
        <w:t xml:space="preserve">As mentioned </w:t>
      </w:r>
      <w:r w:rsidRPr="00B15E25">
        <w:rPr>
          <w:rFonts w:ascii="Times New Roman" w:hAnsi="Times New Roman" w:cs="Times New Roman"/>
        </w:rPr>
        <w:t>previously (p.</w:t>
      </w:r>
      <w:r w:rsidR="00B15E25" w:rsidRPr="00B15E25">
        <w:rPr>
          <w:rFonts w:ascii="Times New Roman" w:hAnsi="Times New Roman" w:cs="Times New Roman"/>
        </w:rPr>
        <w:t>5</w:t>
      </w:r>
      <w:r w:rsidRPr="00B15E25">
        <w:rPr>
          <w:rFonts w:ascii="Times New Roman" w:hAnsi="Times New Roman" w:cs="Times New Roman"/>
        </w:rPr>
        <w:t>),</w:t>
      </w:r>
      <w:r w:rsidRPr="009E6B70">
        <w:rPr>
          <w:rFonts w:ascii="Times New Roman" w:hAnsi="Times New Roman" w:cs="Times New Roman"/>
        </w:rPr>
        <w:t xml:space="preserve"> a variant of this thesis Chapter is published online at </w:t>
      </w:r>
      <w:r w:rsidRPr="009E6B70">
        <w:rPr>
          <w:rFonts w:ascii="Times New Roman" w:hAnsi="Times New Roman" w:cs="Times New Roman"/>
          <w:i/>
          <w:iCs/>
        </w:rPr>
        <w:t xml:space="preserve">Psychology of Addictive </w:t>
      </w:r>
      <w:proofErr w:type="spellStart"/>
      <w:r w:rsidRPr="009E6B70">
        <w:rPr>
          <w:rFonts w:ascii="Times New Roman" w:hAnsi="Times New Roman" w:cs="Times New Roman"/>
          <w:i/>
          <w:iCs/>
        </w:rPr>
        <w:t>Behaviors</w:t>
      </w:r>
      <w:proofErr w:type="spellEnd"/>
      <w:r w:rsidRPr="009E6B70">
        <w:rPr>
          <w:rFonts w:ascii="Times New Roman" w:hAnsi="Times New Roman" w:cs="Times New Roman"/>
        </w:rPr>
        <w:t>:</w:t>
      </w:r>
    </w:p>
    <w:p w14:paraId="4AE7CDE7" w14:textId="0708A8B1" w:rsidR="00093B56" w:rsidRPr="009E6B70" w:rsidRDefault="009E6B70" w:rsidP="009E6B70">
      <w:pPr>
        <w:pStyle w:val="NoSpacing"/>
        <w:spacing w:line="480" w:lineRule="auto"/>
        <w:ind w:left="720" w:hanging="720"/>
        <w:rPr>
          <w:rFonts w:ascii="Times New Roman" w:hAnsi="Times New Roman" w:cs="Times New Roman"/>
        </w:rPr>
      </w:pPr>
      <w:r w:rsidRPr="009E6B70">
        <w:rPr>
          <w:rFonts w:ascii="Times New Roman" w:hAnsi="Times New Roman" w:cs="Times New Roman"/>
        </w:rPr>
        <w:t xml:space="preserve">Copeland, A., Stafford, T., Acuff, S. F., Murphy, J. G., &amp; Field, M. (2022). </w:t>
      </w:r>
      <w:proofErr w:type="spellStart"/>
      <w:r w:rsidRPr="009E6B70">
        <w:rPr>
          <w:rFonts w:ascii="Times New Roman" w:hAnsi="Times New Roman" w:cs="Times New Roman"/>
        </w:rPr>
        <w:t>Behavioral</w:t>
      </w:r>
      <w:proofErr w:type="spellEnd"/>
      <w:r w:rsidRPr="009E6B70">
        <w:rPr>
          <w:rFonts w:ascii="Times New Roman" w:hAnsi="Times New Roman" w:cs="Times New Roman"/>
        </w:rPr>
        <w:t xml:space="preserve"> economic and value-based decision-making constructs that discriminate current heavy drinkers versus people who reduced their drinking without treatment. </w:t>
      </w:r>
      <w:r w:rsidRPr="009E6B70">
        <w:rPr>
          <w:rFonts w:ascii="Times New Roman" w:hAnsi="Times New Roman" w:cs="Times New Roman"/>
          <w:i/>
          <w:iCs/>
        </w:rPr>
        <w:t xml:space="preserve">Psychology of Addictive </w:t>
      </w:r>
      <w:proofErr w:type="spellStart"/>
      <w:r w:rsidRPr="009E6B70">
        <w:rPr>
          <w:rFonts w:ascii="Times New Roman" w:hAnsi="Times New Roman" w:cs="Times New Roman"/>
          <w:i/>
          <w:iCs/>
        </w:rPr>
        <w:t>Behaviors</w:t>
      </w:r>
      <w:proofErr w:type="spellEnd"/>
      <w:r w:rsidRPr="009E6B70">
        <w:rPr>
          <w:rFonts w:ascii="Times New Roman" w:hAnsi="Times New Roman" w:cs="Times New Roman"/>
        </w:rPr>
        <w:t xml:space="preserve">. </w:t>
      </w:r>
      <w:hyperlink r:id="rId53" w:history="1">
        <w:r w:rsidRPr="009E6B70">
          <w:rPr>
            <w:rStyle w:val="Hyperlink"/>
            <w:rFonts w:ascii="Times New Roman" w:hAnsi="Times New Roman" w:cs="Times New Roman"/>
          </w:rPr>
          <w:t>https://doi.org/10.1037/adb0000873</w:t>
        </w:r>
      </w:hyperlink>
    </w:p>
    <w:p w14:paraId="52EA2016" w14:textId="18ABF163" w:rsidR="009E6B70" w:rsidRDefault="009E6B70" w:rsidP="009E6B70">
      <w:pPr>
        <w:pStyle w:val="NoSpacing"/>
        <w:spacing w:line="480" w:lineRule="auto"/>
        <w:ind w:left="720" w:hanging="720"/>
        <w:rPr>
          <w:rFonts w:ascii="Times New Roman" w:hAnsi="Times New Roman" w:cs="Times New Roman"/>
        </w:rPr>
      </w:pPr>
    </w:p>
    <w:p w14:paraId="17581D69" w14:textId="32B82EA7" w:rsidR="009E6B70" w:rsidRDefault="009E6B70" w:rsidP="009E6B70">
      <w:pPr>
        <w:pStyle w:val="Heading4"/>
      </w:pPr>
      <w:bookmarkStart w:id="252" w:name="_Toc110629068"/>
      <w:bookmarkStart w:id="253" w:name="_Toc110870976"/>
      <w:r>
        <w:lastRenderedPageBreak/>
        <w:t>Abstract</w:t>
      </w:r>
      <w:bookmarkEnd w:id="252"/>
      <w:bookmarkEnd w:id="253"/>
    </w:p>
    <w:p w14:paraId="5EE2924F" w14:textId="6DE5F085" w:rsidR="009E6B70" w:rsidRPr="009E6B70" w:rsidRDefault="009E6B70" w:rsidP="009E6B70">
      <w:pPr>
        <w:pStyle w:val="NoSpacing"/>
        <w:spacing w:line="480" w:lineRule="auto"/>
        <w:rPr>
          <w:rFonts w:ascii="Times New Roman" w:hAnsi="Times New Roman" w:cs="Times New Roman"/>
        </w:rPr>
      </w:pPr>
      <w:r w:rsidRPr="009E6B70">
        <w:rPr>
          <w:rFonts w:ascii="Times New Roman" w:hAnsi="Times New Roman" w:cs="Times New Roman"/>
          <w:b/>
          <w:bCs/>
        </w:rPr>
        <w:t>Background:</w:t>
      </w:r>
      <w:r w:rsidRPr="009E6B70">
        <w:rPr>
          <w:rFonts w:ascii="Times New Roman" w:hAnsi="Times New Roman" w:cs="Times New Roman"/>
        </w:rPr>
        <w:t xml:space="preserve"> A substantial number of people reduce their consumption of alcohol in the absence of formal treatment; however, less is known about the mechanisms of change. The aim of this study is to explore whether computational parameters of value-based decision-making (VBDM) and constructs derived from behavioural economics characterise the moderation of alcohol consumption that many heavy drinkers experience without treatment. </w:t>
      </w:r>
      <w:r w:rsidRPr="009E6B70">
        <w:rPr>
          <w:rFonts w:ascii="Times New Roman" w:hAnsi="Times New Roman" w:cs="Times New Roman"/>
          <w:b/>
          <w:bCs/>
        </w:rPr>
        <w:t>Method:</w:t>
      </w:r>
      <w:r w:rsidRPr="009E6B70">
        <w:rPr>
          <w:rFonts w:ascii="Times New Roman" w:hAnsi="Times New Roman" w:cs="Times New Roman"/>
        </w:rPr>
        <w:t xml:space="preserve"> Between-subject, pre-registered design. People who reside in the United Kingdom and who drink heavily (</w:t>
      </w:r>
      <w:r w:rsidRPr="00AF3DB1">
        <w:rPr>
          <w:rFonts w:ascii="Times New Roman" w:hAnsi="Times New Roman" w:cs="Times New Roman"/>
          <w:i/>
          <w:iCs/>
        </w:rPr>
        <w:t>n</w:t>
      </w:r>
      <w:r w:rsidRPr="009E6B70">
        <w:rPr>
          <w:rFonts w:ascii="Times New Roman" w:hAnsi="Times New Roman" w:cs="Times New Roman"/>
        </w:rPr>
        <w:t xml:space="preserve"> = 60) or used to drink heavily but now consume alcohol in moderation (</w:t>
      </w:r>
      <w:r w:rsidRPr="00AF3DB1">
        <w:rPr>
          <w:rFonts w:ascii="Times New Roman" w:hAnsi="Times New Roman" w:cs="Times New Roman"/>
          <w:i/>
          <w:iCs/>
        </w:rPr>
        <w:t>n</w:t>
      </w:r>
      <w:r w:rsidRPr="009E6B70">
        <w:rPr>
          <w:rFonts w:ascii="Times New Roman" w:hAnsi="Times New Roman" w:cs="Times New Roman"/>
        </w:rPr>
        <w:t xml:space="preserve"> = 60) were recruited. Participants completed a two-alternative forced choice task in which they chose between two alcoholic (in one block) or two soft</w:t>
      </w:r>
      <w:r w:rsidR="0000382A">
        <w:rPr>
          <w:rFonts w:ascii="Times New Roman" w:hAnsi="Times New Roman" w:cs="Times New Roman"/>
        </w:rPr>
        <w:t xml:space="preserve"> </w:t>
      </w:r>
      <w:r w:rsidRPr="009E6B70">
        <w:rPr>
          <w:rFonts w:ascii="Times New Roman" w:hAnsi="Times New Roman" w:cs="Times New Roman"/>
        </w:rPr>
        <w:t xml:space="preserve">drink images (in a different block) alongside self-report behavioural economic measures (alcohol demand and alcohol-related and alcohol-free reinforcement). A drift-diffusion model was fitted to responses from the two-alternative forced choice task to yield the underlying parameters of value-based choice. </w:t>
      </w:r>
      <w:r w:rsidRPr="009E6B70">
        <w:rPr>
          <w:rFonts w:ascii="Times New Roman" w:hAnsi="Times New Roman" w:cs="Times New Roman"/>
          <w:b/>
          <w:bCs/>
        </w:rPr>
        <w:t>Results:</w:t>
      </w:r>
      <w:r w:rsidRPr="009E6B70">
        <w:rPr>
          <w:rFonts w:ascii="Times New Roman" w:hAnsi="Times New Roman" w:cs="Times New Roman"/>
        </w:rPr>
        <w:t xml:space="preserve"> Compared to heavy drinkers, moderated drinkers had significantly lower alcohol demand (</w:t>
      </w:r>
      <w:proofErr w:type="spellStart"/>
      <w:r w:rsidRPr="009E6B70">
        <w:rPr>
          <w:rFonts w:ascii="Times New Roman" w:hAnsi="Times New Roman" w:cs="Times New Roman"/>
        </w:rPr>
        <w:t>O</w:t>
      </w:r>
      <w:r w:rsidRPr="009E6B70">
        <w:rPr>
          <w:rFonts w:ascii="Times New Roman" w:hAnsi="Times New Roman" w:cs="Times New Roman"/>
          <w:vertAlign w:val="subscript"/>
        </w:rPr>
        <w:t>max</w:t>
      </w:r>
      <w:proofErr w:type="spellEnd"/>
      <w:r w:rsidRPr="009E6B70">
        <w:rPr>
          <w:rFonts w:ascii="Times New Roman" w:hAnsi="Times New Roman" w:cs="Times New Roman"/>
        </w:rPr>
        <w:t xml:space="preserve">, </w:t>
      </w:r>
      <w:r w:rsidRPr="009E6B70">
        <w:rPr>
          <w:rFonts w:ascii="Times New Roman" w:hAnsi="Times New Roman" w:cs="Times New Roman"/>
          <w:i/>
          <w:iCs/>
        </w:rPr>
        <w:t>p</w:t>
      </w:r>
      <w:r w:rsidRPr="009E6B70">
        <w:rPr>
          <w:rFonts w:ascii="Times New Roman" w:hAnsi="Times New Roman" w:cs="Times New Roman"/>
        </w:rPr>
        <w:t xml:space="preserve"> = .03, Cohen’s </w:t>
      </w:r>
      <w:r w:rsidRPr="009E6B70">
        <w:rPr>
          <w:rFonts w:ascii="Times New Roman" w:hAnsi="Times New Roman" w:cs="Times New Roman"/>
          <w:i/>
          <w:iCs/>
        </w:rPr>
        <w:t>d</w:t>
      </w:r>
      <w:r w:rsidRPr="009E6B70">
        <w:rPr>
          <w:rFonts w:ascii="Times New Roman" w:hAnsi="Times New Roman" w:cs="Times New Roman"/>
        </w:rPr>
        <w:t xml:space="preserve"> = .36; elasticity, </w:t>
      </w:r>
      <w:r w:rsidRPr="009E6B70">
        <w:rPr>
          <w:rFonts w:ascii="Times New Roman" w:hAnsi="Times New Roman" w:cs="Times New Roman"/>
          <w:i/>
          <w:iCs/>
        </w:rPr>
        <w:t>p</w:t>
      </w:r>
      <w:r w:rsidRPr="009E6B70">
        <w:rPr>
          <w:rFonts w:ascii="Times New Roman" w:hAnsi="Times New Roman" w:cs="Times New Roman"/>
        </w:rPr>
        <w:t xml:space="preserve"> = .03, rank-biserial correlation (</w:t>
      </w:r>
      <w:proofErr w:type="spellStart"/>
      <w:r w:rsidRPr="00504E04">
        <w:rPr>
          <w:rFonts w:asciiTheme="majorBidi" w:hAnsiTheme="majorBidi" w:cstheme="majorBidi"/>
          <w:i/>
          <w:iCs/>
        </w:rPr>
        <w:t>r</w:t>
      </w:r>
      <w:r w:rsidRPr="00504E04">
        <w:rPr>
          <w:rFonts w:asciiTheme="majorBidi" w:hAnsiTheme="majorBidi" w:cstheme="majorBidi"/>
          <w:vertAlign w:val="subscript"/>
        </w:rPr>
        <w:t>rb</w:t>
      </w:r>
      <w:proofErr w:type="spellEnd"/>
      <w:r w:rsidRPr="009E6B70">
        <w:rPr>
          <w:rFonts w:ascii="Times New Roman" w:hAnsi="Times New Roman" w:cs="Times New Roman"/>
        </w:rPr>
        <w:t>) = .21) and higher proportionate alcohol-free reinforcement (</w:t>
      </w:r>
      <w:r w:rsidRPr="009E6B70">
        <w:rPr>
          <w:rFonts w:ascii="Times New Roman" w:hAnsi="Times New Roman" w:cs="Times New Roman"/>
          <w:i/>
          <w:iCs/>
        </w:rPr>
        <w:t xml:space="preserve">p </w:t>
      </w:r>
      <w:r w:rsidRPr="009E6B70">
        <w:rPr>
          <w:rFonts w:ascii="Times New Roman" w:hAnsi="Times New Roman" w:cs="Times New Roman"/>
        </w:rPr>
        <w:t xml:space="preserve">&lt; .001, Cohen’s </w:t>
      </w:r>
      <w:r w:rsidRPr="009E6B70">
        <w:rPr>
          <w:rFonts w:ascii="Times New Roman" w:hAnsi="Times New Roman" w:cs="Times New Roman"/>
          <w:i/>
          <w:iCs/>
        </w:rPr>
        <w:t>d</w:t>
      </w:r>
      <w:r w:rsidRPr="009E6B70">
        <w:rPr>
          <w:rFonts w:ascii="Times New Roman" w:hAnsi="Times New Roman" w:cs="Times New Roman"/>
        </w:rPr>
        <w:t xml:space="preserve"> = .75). However, contrary to hypotheses, there were no robust between-group differences in VBDM parameters. </w:t>
      </w:r>
      <w:r w:rsidRPr="009E6B70">
        <w:rPr>
          <w:rFonts w:ascii="Times New Roman" w:hAnsi="Times New Roman" w:cs="Times New Roman"/>
          <w:b/>
          <w:bCs/>
        </w:rPr>
        <w:t>Conclusions:</w:t>
      </w:r>
      <w:r w:rsidRPr="009E6B70">
        <w:rPr>
          <w:rFonts w:ascii="Times New Roman" w:hAnsi="Times New Roman" w:cs="Times New Roman"/>
        </w:rPr>
        <w:t xml:space="preserve"> Self-report behavioural economic measures demonstrate that alcohol moderation without treatment is characterised by lowered alcohol demand, and greater behavioural allocation to alcohol-free reinforcement, in line with behavioural economic theory. However, a computerized VBDM measure yielded inconclusive findings.</w:t>
      </w:r>
    </w:p>
    <w:p w14:paraId="531781A5" w14:textId="40431C0F" w:rsidR="009E6B70" w:rsidRDefault="009E6B70" w:rsidP="009E6B70">
      <w:pPr>
        <w:pStyle w:val="NoSpacing"/>
        <w:spacing w:line="480" w:lineRule="auto"/>
        <w:ind w:left="720" w:hanging="720"/>
        <w:rPr>
          <w:rFonts w:ascii="Times New Roman" w:hAnsi="Times New Roman" w:cs="Times New Roman"/>
        </w:rPr>
      </w:pPr>
    </w:p>
    <w:p w14:paraId="67DB3678" w14:textId="212DE48B" w:rsidR="009E6B70" w:rsidRDefault="009E6B70" w:rsidP="009E6B70">
      <w:pPr>
        <w:pStyle w:val="NoSpacing"/>
        <w:spacing w:line="480" w:lineRule="auto"/>
        <w:rPr>
          <w:rFonts w:ascii="Times New Roman" w:hAnsi="Times New Roman" w:cs="Times New Roman"/>
        </w:rPr>
      </w:pPr>
    </w:p>
    <w:p w14:paraId="78A55D64" w14:textId="77777777" w:rsidR="009E6B70" w:rsidRPr="009E6B70" w:rsidRDefault="009E6B70" w:rsidP="009E6B70">
      <w:pPr>
        <w:pStyle w:val="NoSpacing"/>
        <w:spacing w:line="480" w:lineRule="auto"/>
        <w:rPr>
          <w:rFonts w:ascii="Times New Roman" w:hAnsi="Times New Roman" w:cs="Times New Roman"/>
        </w:rPr>
      </w:pPr>
    </w:p>
    <w:p w14:paraId="44053839" w14:textId="52CA1F93" w:rsidR="009E6B70" w:rsidRPr="009E6B70" w:rsidRDefault="009E6B70" w:rsidP="009E6B70">
      <w:pPr>
        <w:pStyle w:val="Heading4"/>
      </w:pPr>
      <w:bookmarkStart w:id="254" w:name="_Toc110629069"/>
      <w:bookmarkStart w:id="255" w:name="_Toc110870977"/>
      <w:r>
        <w:lastRenderedPageBreak/>
        <w:t>6.1. Introduction</w:t>
      </w:r>
      <w:bookmarkEnd w:id="254"/>
      <w:bookmarkEnd w:id="255"/>
    </w:p>
    <w:p w14:paraId="28A961EB" w14:textId="72DD438E" w:rsidR="009E6B70" w:rsidRPr="009E6B70" w:rsidRDefault="009E6B70" w:rsidP="00F907EE">
      <w:pPr>
        <w:pStyle w:val="NoSpacing"/>
        <w:spacing w:line="480" w:lineRule="auto"/>
        <w:rPr>
          <w:rFonts w:ascii="Times New Roman" w:hAnsi="Times New Roman" w:cs="Times New Roman"/>
        </w:rPr>
      </w:pPr>
      <w:r w:rsidRPr="009E6B70">
        <w:rPr>
          <w:rFonts w:ascii="Times New Roman" w:hAnsi="Times New Roman" w:cs="Times New Roman"/>
        </w:rPr>
        <w:t xml:space="preserve">Alcohol consumption increases the risk of ill health and premature death and is consequently a global public health concern </w:t>
      </w:r>
      <w:r w:rsidR="00F907EE">
        <w:rPr>
          <w:rFonts w:ascii="Times New Roman" w:hAnsi="Times New Roman" w:cs="Times New Roman"/>
        </w:rPr>
        <w:fldChar w:fldCharType="begin"/>
      </w:r>
      <w:r w:rsidR="00C5759B">
        <w:rPr>
          <w:rFonts w:ascii="Times New Roman" w:hAnsi="Times New Roman" w:cs="Times New Roman"/>
        </w:rPr>
        <w:instrText xml:space="preserve"> ADDIN ZOTERO_ITEM CSL_CITATION {"citationID":"GT7FsUUy","properties":{"formattedCitation":"(Degenhardt et al., 2018; Rehm et al., 2017)","plainCitation":"(Degenhardt et al., 2018; Rehm et al., 2017)","noteIndex":0},"citationItems":[{"id":986,"uris":["http://zotero.org/users/7873587/items/MEH7Y2NG"],"itemData":{"id":986,"type":"article-journal","container-title":"The Lancet Psychiatry","DOI":"10.1016/S2215-0366(18)30337-7","ISSN":"2215-0366, 2215-0374","issue":"12","journalAbbreviation":"The Lancet Psychiatry","language":"English","note":"publisher: Elsevier\nPMID: 30392731","page":"987-1012","source":"www.thelancet.com","title":"The global burden of disease attributable to alcohol and drug use in 195 countries and territories, 1990–2016: a systematic analysis for the Global Burden of Disease Study 2016","title-short":"The global burden of disease attributable to alcohol and drug use in 195 countries and territories, 1990–2016","volume":"5","author":[{"family":"Degenhardt","given":"Louisa"},{"family":"Charlson","given":"Fiona"},{"family":"Ferrari","given":"Alize"},{"family":"Santomauro","given":"Damian"},{"family":"Erskine","given":"Holly"},{"family":"Mantilla-Herrara","given":"Ana"},{"family":"Whiteford","given":"Harvey"},{"family":"Leung","given":"Janni"},{"family":"Naghavi","given":"Mohsen"},{"family":"Griswold","given":"Max"},{"family":"Rehm","given":"Jürgen"},{"family":"Hall","given":"Wayne"},{"family":"Sartorius","given":"Benn"},{"family":"Scott","given":"James"},{"family":"Vollset","given":"Stein Emil"},{"family":"Knudsen","given":"Ann Kristin"},{"family":"Haro","given":"Josep Maria"},{"family":"Patton","given":"George"},{"family":"Kopec","given":"Jacek"},{"family":"Malta","given":"Deborah Carvalho"},{"family":"Topor-Madry","given":"Roman"},{"family":"McGrath","given":"John"},{"family":"Haagsma","given":"Juanita"},{"family":"Allebeck","given":"Peter"},{"family":"Phillips","given":"Michael"},{"family":"Salomon","given":"Joshua"},{"family":"Hay","given":"Simon"},{"family":"Foreman","given":"Kyle"},{"family":"Lim","given":"Stephen"},{"family":"Mokdad","given":"Ali"},{"family":"Smith","given":"Mari"},{"family":"Gakidou","given":"Emmanuela"},{"family":"Murray","given":"Christopher"},{"family":"Vos","given":"Theo"}],"issued":{"date-parts":[["2018",12,1]]}},"label":"act"},{"id":94,"uris":["http://zotero.org/users/7873587/items/XUGA83YM"],"itemData":{"id":94,"type":"article-journal","abstract":"Background and aims Alcohol use is a major contributor to injuries, mortality and the burden of disease. This review updates knowledge on risk relations between dimensions of alcohol use and health outcomes to be used in global and national Comparative Risk Assessments (CRAs). Methods Systematic review of reviews and meta-analyses on alcohol consumption and health outcomes attributable to alcohol use. For dimensions of exposure: volume of alcohol use, blood alcohol concentration and patterns of drinking, in particular heavy drinking occasions were studied. For liver cirrhosis, quality of alcohol was additionally considered. For all outcomes (mortality and/or morbidity): cause of death and disease/injury categories based on International Classification of Diseases (ICD) codes used in global CRAs; harm to others. Results In total, 255 reviews and meta-analyses were identified. Alcohol use was found to be linked causally to many disease and injury categories, with more than 40 ICD-10 three-digit categories being fully attributable to alcohol. Most partially attributable disease categories showed monotonic relationships with volume of alcohol use: the more alcohol consumed, the higher the risk of disease or death. Exceptions were ischaemic diseases and diabetes, with curvilinear relationships, and with beneficial effects of light to moderate drinking in people without heavy irregular drinking occasions. Biological pathways suggest an impact of heavy drinking occasions on additional diseases; however, the lack of medical epidemiological studies measuring this dimension of alcohol use precluded an in-depth analysis. For injuries, except suicide, blood alcohol concentration was the most important dimension of alcohol use. Alcohol use caused marked harm to others, which has not yet been researched sufficiently. Conclusions Research since 2010 confirms the importance of alcohol use as a risk factor for disease and injuries; for some health outcomes, more than one dimension of use needs to be considered. Epidemiological studies should include measurement of heavy drinking occasions in line with biological knowledge.","container-title":"Addiction","DOI":"10.1111/add.13757","ISSN":"1360-0443","issue":"6","language":"en","license":"© 2017 The Authors. Addiction published by John Wiley &amp; Sons Ltd on behalf of Society for the Study of Addiction.","note":"_eprint: https://onlinelibrary.wiley.com/doi/pdf/10.1111/add.13757","page":"968-1001","source":"Wiley Online Library","title":"The relationship between different dimensions of alcohol use and the burden of disease—an update","volume":"112","author":[{"family":"Rehm","given":"Jürgen"},{"family":"Gmel","given":"Gerhard E."},{"family":"Gmel","given":"Gerrit"},{"family":"Hasan","given":"Omer S. M."},{"family":"Imtiaz","given":"Sameer"},{"family":"Popova","given":"Svetlana"},{"family":"Probst","given":"Charlotte"},{"family":"Roerecke","given":"Michael"},{"family":"Room","given":"Robin"},{"family":"Samokhvalov","given":"Andriy V."},{"family":"Shield","given":"Kevin D."},{"family":"Shuper","given":"Paul A."}],"issued":{"date-parts":[["2017"]]}},"label":"act"}],"schema":"https://github.com/citation-style-language/schema/raw/master/csl-citation.json"} </w:instrText>
      </w:r>
      <w:r w:rsidR="00F907EE">
        <w:rPr>
          <w:rFonts w:ascii="Times New Roman" w:hAnsi="Times New Roman" w:cs="Times New Roman"/>
        </w:rPr>
        <w:fldChar w:fldCharType="separate"/>
      </w:r>
      <w:r w:rsidR="00F907EE" w:rsidRPr="00F907EE">
        <w:rPr>
          <w:rFonts w:ascii="Times New Roman" w:hAnsi="Times New Roman" w:cs="Times New Roman"/>
        </w:rPr>
        <w:t>(Degenhardt et al., 2018; Rehm et al., 2017)</w:t>
      </w:r>
      <w:r w:rsidR="00F907EE">
        <w:rPr>
          <w:rFonts w:ascii="Times New Roman" w:hAnsi="Times New Roman" w:cs="Times New Roman"/>
        </w:rPr>
        <w:fldChar w:fldCharType="end"/>
      </w:r>
      <w:r w:rsidRPr="009E6B70">
        <w:rPr>
          <w:rFonts w:ascii="Times New Roman" w:hAnsi="Times New Roman" w:cs="Times New Roman"/>
        </w:rPr>
        <w:t xml:space="preserve">. People often experience declines in alcohol consumption with age (Britton et al., 2015) commonly referred to as “maturing-out” (O’Malley, 2004), and most people with alcohol problems and alcohol use disorder (AUD) eventually recover, largely without treatment </w:t>
      </w:r>
      <w:r w:rsidR="00F907EE">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{"citationID":"eAFAXx9g","properties":{"formattedCitation":"(Heyman, 2013; Tucker et al., 2020)","plainCitation":"(Heyman, 2013; Tucker et al., 2020)","noteIndex":0},"citationItems":[{"id":1194,"uris":["http://zotero.org/users/7873587/items/EVK5TMZB"],"itemData":{"id":1194,"type":"article-journal","abstract":"Addiction’s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M."}],"accessed":{"date-parts":[["2022",8,1]]},"issued":{"date-parts":[["2013"]]}},"label":"act"},{"id":1199,"uris":["http://zotero.org/users/7873587/items/7RDL44BJ"],"itemData":{"id":1199,"type":"article-journal","abstract":"Almost one-third of the U.S. population meets alcohol use disorder (AUD) criteria on a lifetime basis. This review provides an overview of recent research on the prevalence and patterns of alcohol-related improvement and selectively reviews nationally representative surveys and studies that followed risk groups longitudinally with a goal of informing patients with AUD and AUD researchers, clinicians, and policy-makers about patterns of improvement in the population. Based on the research, alcohol use increases during adolescence and early adulthood and then decreases beginning in the mid-20s across the adult life span. Approximately 70% of persons with AUD and alcohol problems improve without interventions (natural recovery), and fewer than 25% utilize alcohol-focused services. Low-risk drinking is a more common outcome in untreated samples, in part because seeking treatment is associated with higher problem severity. Sex differences are more apparent in help-seeking than recovery patterns, and women have lower help-seeking rates than men. Whites are proportionately more likely to utilize services than are Blacks and Hispanics. Improving recovery rates will likely require offering interventions outside of the health care sector to affected communities and utilizing social networks and public health tools to close the longstanding gap between need and utilization of AUD-focused services.","container-title":"Alcohol Research: Current Reviews","DOI":"10.35946/arcr.v40.3.02","ISSN":"2168-3492","issue":"3","journalAbbreviation":"Alcohol Res","note":"PMID: 33194507\nPMCID: PMC7643818","page":"02","source":"PubMed Central","title":"Epidemiology of recovery from alcohol use disorder","volume":"40","author":[{"family":"Tucker","given":"Jalie A."},{"family":"Chandler","given":"Susan D."},{"family":"Witkiewitz","given":"Katie"}],"issued":{"date-parts":[["2020",11,12]]}},"label":"act"}],"schema":"https://github.com/citation-style-language/schema/raw/master/csl-citation.json"} </w:instrText>
      </w:r>
      <w:r w:rsidR="00F907EE">
        <w:rPr>
          <w:rFonts w:ascii="Times New Roman" w:hAnsi="Times New Roman" w:cs="Times New Roman"/>
        </w:rPr>
        <w:fldChar w:fldCharType="separate"/>
      </w:r>
      <w:r w:rsidR="00F907EE" w:rsidRPr="00F907EE">
        <w:rPr>
          <w:rFonts w:ascii="Times New Roman" w:hAnsi="Times New Roman" w:cs="Times New Roman"/>
        </w:rPr>
        <w:t>(Heyman, 2013; Tucker et al., 2020)</w:t>
      </w:r>
      <w:r w:rsidR="00F907EE">
        <w:rPr>
          <w:rFonts w:ascii="Times New Roman" w:hAnsi="Times New Roman" w:cs="Times New Roman"/>
        </w:rPr>
        <w:fldChar w:fldCharType="end"/>
      </w:r>
      <w:r w:rsidR="00F907EE">
        <w:rPr>
          <w:rFonts w:ascii="Times New Roman" w:hAnsi="Times New Roman" w:cs="Times New Roman"/>
        </w:rPr>
        <w:t>.</w:t>
      </w:r>
      <w:r w:rsidRPr="009E6B70">
        <w:rPr>
          <w:rFonts w:ascii="Times New Roman" w:hAnsi="Times New Roman" w:cs="Times New Roman"/>
        </w:rPr>
        <w:t xml:space="preserve"> Dominating theoretical frameworks that conceptualise addiction as a chronic disease of the brain (Volkow et al., 2016) struggle to provide a coherent explanatory account for the frequent instances of behaviour change. Behavioural economic accounts posit that shifts in behavioural allocation away from alcohol and towards alcohol-free alternative reinforcers at least partially underlie changes in alcohol consumption </w:t>
      </w:r>
      <w:r w:rsidR="00A6749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{"citationID":"GYASVdDw","properties":{"formattedCitation":"(Bickel et al., 2014; Murphy, MacKillop, et al., 2012; Rachlin, 1997; Tucker et al., 2016; Vuchinich &amp; Heather, 2003)","plainCitation":"(Bickel et al., 2014; Murphy, MacKillop, et al., 2012; Rachlin, 1997; Tucker et al., 2016; Vuchinich &amp; Heather, 2003)","noteIndex":0},"citationItems":[{"id":816,"uris":["http://zotero.org/users/7873587/items/R9KVGRWU"],"itemData":{"id":816,"type":"article-journal","abstract":"The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T."},{"family":"Rotgers.","given":"Frederick"}],"issued":{"date-parts":[["2012"]]}},"label":"act"},{"id":776,"uris":["http://zotero.org/users/7873587/items/DBDAZ3FH"],"itemData":{"id":776,"type":"article-journal","abstract":"Presents 4 theories to account for addiction, defined as a high rate of consumption of a substance that is ultimately harmful to the organism. The theories are teleological and behavioral in the sense that the ultimate motivational forces they posit lie in the environmental context of behavior (in an economic utility function or a process of behavioral adjustment) rather than in an internal physiological or cognitive mechanism. A theory by the psychologists R. Herrnstein and D. Prelec (see record 93-029033-013) is discussed that shows how melioration (maximization of local, as opposed to overall, or global, utility) may lead down a \"primrose path\" to addiction. A theory by the economists G. Becker and K. Murphy (1990) shows how a primrose path may exist even when overall utility is maximized provided that utility of temporally distant events is discounted. Two other theories, 1 by G. Stigler and G. Becker (1997) and 1 introduced here, an elaboration of the Stigler-Becker theory called \"relative addiction,\" specify economic properties of addictive substances that would create the primrose path. A list of conditions of addiction is appended. (PsycINFO Database Record (c) 2018 APA, all rights reserved)","container-title":"Psychonomic Bulletin &amp; Review","DOI":"10.3758/BF03214335","ISSN":"1531-5320","issue":"4","note":"publisher-place: US\npublisher: Psychonomic Society","page":"462-473","source":"APA PsycNet","title":"Four teleological theories of addiction","volume":"4","author":[{"family":"Rachlin","given":"Howard"}],"issued":{"date-parts":[["1997"]]}},"label":"act"},{"id":456,"uris":["http://zotero.org/users/7873587/items/GHL5YU3Q"],"itemData":{"id":456,"type":"article-journal","abstract":"Background As interventions have expanded beyond clinical treatment to include brief interventions for persons with less severe alcohol problems, predicting who can achieve stable moderation drinking has gained importance. Recent behavioral economic (BE) research on natural recovery has shown that active problem drinkers who allocate their monetary expenditures on alcohol and saving for the future over longer time horizons tend to have better subsequent recovery outcomes, including maintenance of stable moderation drinking. This study compared the predictive utility of this money-based “Alcohol-Savings Discretionary Expenditure” (ASDE) index with multiple BE analogue measures of behavioral impulsivity and self-control, which have seldom been investigated together, to predict outcomes of natural recovery attempts. Methods Community-dwelling problem drinkers, enrolled shortly after stopping abusive drinking without treatment, were followed prospectively for up to a year (N = 175 [75.4% male], M age = 50.65 years). They completed baseline assessments of preresolution drinking practices and problems, analogue behavioral choice tasks (Delay Discounting, Melioration-Maximization, and Alcohol Purchase Tasks), and a Timeline Followback interview including expenditures on alcohol compared to voluntary savings (ASDE index) during the preresolution year. Results Multinomial logistic regression models showed that, among the BE measures, only the ASDE index predicted stable moderation drinking compared to stable abstinence or unstable resolutions involving relapse. As hypothesized, stable moderation was associated with more balanced preresolution allocations to drinking and savings (odds ratio = 1.77, 95% confidence interval = 1.02 to 3.08, p &lt; 0.05), suggesting it is associated with longer-term behavior regulation processes than abstinence. Conclusions The ASDE's unique predictive utility may rest on its comprehensive representation of contextual elements to support this patterning of behavioral allocation. Stable low-risk drinking, but not abstinence, requires such regulatory processes.","container-title":"Alcoholism: Clinical and Experimental Research","DOI":"10.1111/acer.13245","ISSN":"1530-0277","issue":"12","language":"en","page":"2676-2684","source":"Wiley Online Library","title":"Prospective analysis of behavioral economic predictors of stable moderation drinking among problem drinkers attempting natural recovery","volume":"40","author":[{"family":"Tucker","given":"Jalie A."},{"family":"Cheong","given":"JeeWon"},{"family":"Chandler","given":"Susan D."},{"family":"Lambert","given":"Brice H."},{"family":"Pietrzak","given":"Brittney"},{"family":"Kwok","given":"Heather"},{"family":"Davies","given":"Susan L."}],"issued":{"date-parts":[["2016"]]}},"label":"act"},{"id":768,"uris":["http://zotero.org/users/7873587/items/FGN5M8PS"],"itemData":{"id":768,"type":"book","abstract":"This book is based on the proceedings of an invitation-only conference entitled, Choice, Behavioural Economics and Addiction: Theory, Evidence and Applications, which was held at the University of Alabama at Birmingham (UAB) in March 2002. The conference was mainly concerned with applications to substance use and addiction of a confluence of theoretical and empirical developments in economic science and in behavioural economics within psychological science. The stated aims were as follows: (1) To articulate the shared and distinctive elements of the four major theories of addiction that have been developed in the area of economic science/behavioural economics (rational addiction, hyperbolic discounting, melioration, and relative addiction: called for convenience here behavioural choice theories). Either the originator or one of the major developers of each of these theories participated in the conference. This was intended to allow: (a) theoretical integration where that was possible; (b) the development of empirical interpretations of theoretical concepts that have not yet been empirically evaluated; and (c) the identification of issues that may provide empirical evaluations of the relative merits of the different theoretical perspectives. (2) To present and discuss the latest empirical work on substance use and addiction that is being conducted in this area. To that end, many of the most active basic and applied researchers with an interest in the theoretical perspectives under discussion agreed to participate in the conference. (3) To articulate a range of applied implications of the behavioural economics perspective on addiction for clinical, public health, and public policy initiatives. For this reason, leading clinical, public health, and public policy scientists in the addiction field were invited to attend. (4) To publish the conference proceedings in a book that will facilitate progress in this area by dissemination in the scholarly, research, and professional substance use and addiction communities. This resulted in the present volume. (PsycINFO Database Record (c) 2016 APA, all rights reserved)","collection-title":"Choice, behavioural economics and addiction","event-place":"Oxford, England","ISBN":"978-0-08-044056-9","publisher":"Elsevier","publisher-place":"Oxford, England","source":"APA PsycNet","title":"Choice, behavioural economics and addiction","editor":[{"family":"Vuchinich","given":"Rudy E."},{"family":"Heather","given":"Nick"}],"issued":{"date-parts":[["2003"]]}},"label":"act"}],"schema":"https://github.com/citation-style-language/schema/raw/master/csl-citation.json"} </w:instrText>
      </w:r>
      <w:r w:rsidR="00A6749D">
        <w:rPr>
          <w:rFonts w:ascii="Times New Roman" w:hAnsi="Times New Roman" w:cs="Times New Roman"/>
        </w:rPr>
        <w:fldChar w:fldCharType="separate"/>
      </w:r>
      <w:r w:rsidR="00A6749D" w:rsidRPr="00A6749D">
        <w:rPr>
          <w:rFonts w:ascii="Times New Roman" w:hAnsi="Times New Roman" w:cs="Times New Roman"/>
        </w:rPr>
        <w:t>(Bickel et al., 2014; Murphy, MacKillop, et al., 2012; Rachlin, 1997; Tucker et al., 2016; Vuchinich &amp; Heather, 2003)</w:t>
      </w:r>
      <w:r w:rsidR="00A6749D">
        <w:rPr>
          <w:rFonts w:ascii="Times New Roman" w:hAnsi="Times New Roman" w:cs="Times New Roman"/>
        </w:rPr>
        <w:fldChar w:fldCharType="end"/>
      </w:r>
      <w:r w:rsidR="00A6749D">
        <w:rPr>
          <w:rFonts w:ascii="Times New Roman" w:hAnsi="Times New Roman" w:cs="Times New Roman"/>
        </w:rPr>
        <w:t xml:space="preserve">. </w:t>
      </w:r>
      <w:r w:rsidRPr="009E6B70">
        <w:rPr>
          <w:rFonts w:ascii="Times New Roman" w:hAnsi="Times New Roman" w:cs="Times New Roman"/>
        </w:rPr>
        <w:t xml:space="preserve">The aim of this study is to apply a computational model of value-based decision-making (VBDM), alongside established self-report behavioural economic measures, in an attempt to characterise the moderation of alcohol consumption that many heavy drinkers experience in the absence of treatment </w:t>
      </w:r>
      <w:r>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{"citationID":"LG9c2Dl3","properties":{"formattedCitation":"(Field,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00A6749D" w:rsidRPr="00A6749D">
        <w:rPr>
          <w:rFonts w:ascii="Times New Roman" w:hAnsi="Times New Roman" w:cs="Times New Roman"/>
        </w:rPr>
        <w:t>(Field, Heather, et al., 2020)</w:t>
      </w:r>
      <w:r>
        <w:rPr>
          <w:rFonts w:ascii="Times New Roman" w:hAnsi="Times New Roman" w:cs="Times New Roman"/>
        </w:rPr>
        <w:fldChar w:fldCharType="end"/>
      </w:r>
      <w:r w:rsidRPr="009E6B70">
        <w:rPr>
          <w:rFonts w:ascii="Times New Roman" w:hAnsi="Times New Roman" w:cs="Times New Roman"/>
        </w:rPr>
        <w:t>.</w:t>
      </w:r>
    </w:p>
    <w:p w14:paraId="051E4A51" w14:textId="77777777" w:rsidR="009E6B70" w:rsidRPr="009E6B70" w:rsidRDefault="009E6B70" w:rsidP="009E6B70">
      <w:pPr>
        <w:pStyle w:val="NoSpacing"/>
        <w:spacing w:line="480" w:lineRule="auto"/>
        <w:rPr>
          <w:rFonts w:ascii="Times New Roman" w:hAnsi="Times New Roman" w:cs="Times New Roman"/>
        </w:rPr>
      </w:pPr>
    </w:p>
    <w:p w14:paraId="7615C603" w14:textId="4C19C253" w:rsidR="009E6B70" w:rsidRPr="009E6B70" w:rsidRDefault="009E6B70" w:rsidP="00F907EE">
      <w:pPr>
        <w:pStyle w:val="NoSpacing"/>
        <w:spacing w:line="480" w:lineRule="auto"/>
        <w:rPr>
          <w:rFonts w:ascii="Times New Roman" w:hAnsi="Times New Roman" w:cs="Times New Roman"/>
        </w:rPr>
      </w:pPr>
      <w:r w:rsidRPr="009E6B70">
        <w:rPr>
          <w:rFonts w:ascii="Times New Roman" w:hAnsi="Times New Roman" w:cs="Times New Roman"/>
        </w:rPr>
        <w:t xml:space="preserve">In behavioural economic models the primary approach to measuring strength of desire for alcohol, also referred to as alcohol reinforcing value or efficacy, is to construct an alcohol demand curve (Martínez-Loredo et al., 2021). Alcohol demand curves plot level of consumption and alcohol-related expenditures as a function of drink price and can be easily estimated with hypothetical alcohol purchase tasks (e.g., Murphy &amp; MacKillop, 2006). Concurrent choice tasks also measure alcohol reinforcing value (e.g., </w:t>
      </w:r>
      <w:r w:rsidR="00F907EE">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{"citationID":"VKtiI9wX","properties":{"formattedCitation":"(Hogarth &amp; Hardy, 2018b)","plainCitation":"(Hogarth &amp; Hardy, 2018b)","dontUpdate":true,"noteIndex":0},"citationItems":[{"id":1251,"uris":["http://zotero.org/users/7873587/items/GHJHI6BJ"],"itemData":{"id":1251,"type":"article-journal","abstract":"RATIONALE: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alcohol","volume":"235","author":[{"family":"Hogarth","given":"Lee"},{"family":"Hardy","given":"Lorna"}],"issued":{"date-parts":[["2018",8]]}}}],"schema":"https://github.com/citation-style-language/schema/raw/master/csl-citation.json"} </w:instrText>
      </w:r>
      <w:r w:rsidR="00F907EE">
        <w:rPr>
          <w:rFonts w:ascii="Times New Roman" w:hAnsi="Times New Roman" w:cs="Times New Roman"/>
        </w:rPr>
        <w:fldChar w:fldCharType="separate"/>
      </w:r>
      <w:r w:rsidR="00F907EE" w:rsidRPr="00F907EE">
        <w:rPr>
          <w:rFonts w:ascii="Times New Roman" w:hAnsi="Times New Roman" w:cs="Times New Roman"/>
        </w:rPr>
        <w:t>Hogarth &amp; Hardy, 2018b)</w:t>
      </w:r>
      <w:r w:rsidR="00F907EE">
        <w:rPr>
          <w:rFonts w:ascii="Times New Roman" w:hAnsi="Times New Roman" w:cs="Times New Roman"/>
        </w:rPr>
        <w:fldChar w:fldCharType="end"/>
      </w:r>
      <w:r w:rsidRPr="009E6B70">
        <w:rPr>
          <w:rFonts w:ascii="Times New Roman" w:hAnsi="Times New Roman" w:cs="Times New Roman"/>
        </w:rPr>
        <w:t xml:space="preserve"> via a series of choices between an alcohol and alcohol-free alternative reinforcer; the percentage choice of alcohol versus alcohol-free alternative is used to index alcohol value. </w:t>
      </w:r>
      <w:r w:rsidRPr="009E6B70">
        <w:rPr>
          <w:rFonts w:ascii="Times New Roman" w:hAnsi="Times New Roman" w:cs="Times New Roman"/>
        </w:rPr>
        <w:lastRenderedPageBreak/>
        <w:t>The value of (or demand for) alcohol is robustly positively associated with AUD symptom severity and consumption, and this has been demonstrated with both alcohol purchase tasks (Martínez-Loredo et al., 2021) and concurrent choice tasks (Hogarth &amp; Hardy, 2018</w:t>
      </w:r>
      <w:r w:rsidR="00F907EE">
        <w:rPr>
          <w:rFonts w:ascii="Times New Roman" w:hAnsi="Times New Roman" w:cs="Times New Roman"/>
        </w:rPr>
        <w:t>b</w:t>
      </w:r>
      <w:r w:rsidRPr="009E6B70">
        <w:rPr>
          <w:rFonts w:ascii="Times New Roman" w:hAnsi="Times New Roman" w:cs="Times New Roman"/>
        </w:rPr>
        <w:t xml:space="preserve">; Rose et al., 2018). Although methodologically different, both approaches capture a common construct of value as evidenced by observed correlations between the two measures </w:t>
      </w:r>
      <w:r w:rsidR="00F907EE">
        <w:rPr>
          <w:rFonts w:ascii="Times New Roman" w:hAnsi="Times New Roman" w:cs="Times New Roman"/>
        </w:rPr>
        <w:fldChar w:fldCharType="begin"/>
      </w:r>
      <w:r w:rsidR="00F907EE">
        <w:rPr>
          <w:rFonts w:ascii="Times New Roman" w:hAnsi="Times New Roman" w:cs="Times New Roman"/>
        </w:rPr>
        <w:instrText xml:space="preserve"> ADDIN ZOTERO_ITEM CSL_CITATION {"citationID":"32bnpJ7F","properties":{"formattedCitation":"(Chase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00F907EE">
        <w:rPr>
          <w:rFonts w:ascii="Times New Roman" w:hAnsi="Times New Roman" w:cs="Times New Roman"/>
        </w:rPr>
        <w:fldChar w:fldCharType="separate"/>
      </w:r>
      <w:r w:rsidR="00F907EE" w:rsidRPr="00F907EE">
        <w:rPr>
          <w:rFonts w:ascii="Times New Roman" w:hAnsi="Times New Roman" w:cs="Times New Roman"/>
        </w:rPr>
        <w:t>(Chase et al., 2013)</w:t>
      </w:r>
      <w:r w:rsidR="00F907EE">
        <w:rPr>
          <w:rFonts w:ascii="Times New Roman" w:hAnsi="Times New Roman" w:cs="Times New Roman"/>
        </w:rPr>
        <w:fldChar w:fldCharType="end"/>
      </w:r>
      <w:r w:rsidRPr="009E6B70">
        <w:rPr>
          <w:rFonts w:ascii="Times New Roman" w:hAnsi="Times New Roman" w:cs="Times New Roman"/>
        </w:rPr>
        <w:t xml:space="preserve">. </w:t>
      </w:r>
    </w:p>
    <w:p w14:paraId="3C5A50F5" w14:textId="77777777" w:rsidR="009E6B70" w:rsidRPr="009E6B70" w:rsidRDefault="009E6B70" w:rsidP="009E6B70">
      <w:pPr>
        <w:pStyle w:val="NoSpacing"/>
        <w:spacing w:line="480" w:lineRule="auto"/>
        <w:rPr>
          <w:rFonts w:ascii="Times New Roman" w:hAnsi="Times New Roman" w:cs="Times New Roman"/>
        </w:rPr>
      </w:pPr>
    </w:p>
    <w:p w14:paraId="6FE0A82F" w14:textId="589D5CEA" w:rsidR="009E6B70" w:rsidRPr="009E6B70" w:rsidRDefault="009E6B70" w:rsidP="00BA5D4A">
      <w:pPr>
        <w:pStyle w:val="NoSpacing"/>
        <w:spacing w:line="480" w:lineRule="auto"/>
        <w:rPr>
          <w:rFonts w:ascii="Times New Roman" w:hAnsi="Times New Roman" w:cs="Times New Roman"/>
        </w:rPr>
      </w:pPr>
      <w:r w:rsidRPr="009E6B70">
        <w:rPr>
          <w:rFonts w:ascii="Times New Roman" w:hAnsi="Times New Roman" w:cs="Times New Roman"/>
        </w:rPr>
        <w:t>These findings are consistent with molar behavioural economic accounts</w:t>
      </w:r>
      <w:r w:rsidR="00F907EE">
        <w:rPr>
          <w:rFonts w:ascii="Times New Roman" w:hAnsi="Times New Roman" w:cs="Times New Roman"/>
        </w:rPr>
        <w:t xml:space="preserve"> </w:t>
      </w:r>
      <w:r w:rsidR="00F907EE">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{"citationID":"kTwFUTzv","properties":{"formattedCitation":"(Bickel et al., 2014; MacKillop, 2016; Murphy, MacKillop, et al., 2012; Rachlin, 1997; Vuchinich &amp; Heather, 2003)","plainCitation":"(Bickel et al., 2014; MacKillop, 2016; Murphy, MacKillop, et al., 2012; Rachlin, 1997; Vuchinich &amp; Heather, 2003)","noteIndex":0},"citationItems":[{"id":816,"uris":["http://zotero.org/users/7873587/items/R9KVGRWU"],"itemData":{"id":816,"type":"article-journal","abstract":"The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G."}],"issued":{"date-parts":[["2014"]]}},"label":"act"},{"id":1381,"uris":["http://zotero.org/users/7873587/items/DZN7TQ43"],"itemData":{"id":1381,"type":"article-journal","abstract":"Background Behavioral economics and neuroeconomics bring together perspectives and methods from psychology, economics, and cognitive neuroscience to understand decision making and choice behavior. Extending an operant behavioral theoretical framework, these perspectives have increasingly been applied to understand the alcohol use disorders (AUDs), and this review surveys the theory, methods, and findings from this approach. The focus is on 3 key behavioral economic concepts: delay discounting (i.e., preferences for smaller immediate rewards relative to larger delayed rewards), alcohol demand (i.e., alcohol's reinforcing value), and proportionate alcohol-related reinforcement (i.e., relative amount of psychosocial reinforcement associated with alcohol use). Findings Delay discounting has been linked to AUDs in both cross-sectional and longitudinal studies and has been investigated cross-sectionally using neuroimaging. Alcohol demand and proportionate alcohol-related reinforcement have both been robustly associated with drinking and alcohol misuse cross-sectionally, but not over time. Both have also been found to predict treatment response to brief interventions. Alcohol demand has also been used to enhance the measurement of acute motivation for alcohol in laboratory studies. Interventions that focus on reducing the value of alcohol by increasing alternative reinforcement and response cost have been found to be efficacious, albeit in relatively small numbers of randomized controlled trials (RCTs). Mediators and moderators of response to these interventions have not been extensively investigated. Future directions The application of behavioral economics and neuroeconomics to AUDs has given rise to an extensive body of empirical work, although significant gaps in knowledge remain. In particular, there is a need for more longitudinal investigations to clarify the etiological roles of these behavioral economic processes, especially alcohol demand and proportionate alcohol reinforcement. Additional RCTs are needed to extend and generalize the findings for reinforcement-based interventions and to investigate mediators and moderators of treatment success for optimization. Applying neuroeconomics to AUDs remains at an early stage and has been primarily descriptive to date, but has high potential for important translational insights into the future. The same is true for using these behavioral economic indicators to understand genetic influences on AUDs.","container-title":"Alcoholism: Clinical and Experimental Research","DOI":"10.1111/acer.13004","ISSN":"1530-0277","issue":"4","language":"en","note":"_eprint: https://onlinelibrary.wiley.com/doi/pdf/10.1111/acer.13004","page":"672-685","source":"Wiley Online Library","title":"The behavioral economics and neuroeconomics of alcohol use disorders","volume":"40","author":[{"family":"MacKillop","given":"James"}],"issued":{"date-parts":[["2016"]]}},"label":"act"},{"id":1383,"uris":["http://zotero.org/users/7873587/items/3LEMY2LR"],"itemData":{"id":1383,"type":"chapter","abstract":"This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T."},{"family":"Rotgers.","given":"Frederick"}],"issued":{"date-parts":[["2012"]]}},"label":"act"},{"id":776,"uris":["http://zotero.org/users/7873587/items/DBDAZ3FH"],"itemData":{"id":776,"type":"article-journal","abstract":"Presents 4 theories to account for addiction, defined as a high rate of consumption of a substance that is ultimately harmful to the organism. The theories are teleological and behavioral in the sense that the ultimate motivational forces they posit lie in the environmental context of behavior (in an economic utility function or a process of behavioral adjustment) rather than in an internal physiological or cognitive mechanism. A theory by the psychologists R. Herrnstein and D. Prelec (see record 93-029033-013) is discussed that shows how melioration (maximization of local, as opposed to overall, or global, utility) may lead down a \"primrose path\" to addiction. A theory by the economists G. Becker and K. Murphy (1990) shows how a primrose path may exist even when overall utility is maximized provided that utility of temporally distant events is discounted. Two other theories, 1 by G. Stigler and G. Becker (1997) and 1 introduced here, an elaboration of the Stigler-Becker theory called \"relative addiction,\" specify economic properties of addictive substances that would create the primrose path. A list of conditions of addiction is appended. (PsycINFO Database Record (c) 2018 APA, all rights reserved)","container-title":"Psychonomic Bulletin &amp; Review","DOI":"10.3758/BF03214335","ISSN":"1531-5320","issue":"4","note":"publisher-place: US\npublisher: Psychonomic Society","page":"462-473","source":"APA PsycNet","title":"Four teleological theories of addiction","volume":"4","author":[{"family":"Rachlin","given":"Howard"}],"issued":{"date-parts":[["1997"]]}},"label":"act"},{"id":768,"uris":["http://zotero.org/users/7873587/items/FGN5M8PS"],"itemData":{"id":768,"type":"book","abstract":"This book is based on the proceedings of an invitation-only conference entitled, Choice, Behavioural Economics and Addiction: Theory, Evidence and Applications, which was held at the University of Alabama at Birmingham (UAB) in March 2002. The conference was mainly concerned with applications to substance use and addiction of a confluence of theoretical and empirical developments in economic science and in behavioural economics within psychological science. The stated aims were as follows: (1) To articulate the shared and distinctive elements of the four major theories of addiction that have been developed in the area of economic science/behavioural economics (rational addiction, hyperbolic discounting, melioration, and relative addiction: called for convenience here behavioural choice theories). Either the originator or one of the major developers of each of these theories participated in the conference. This was intended to allow: (a) theoretical integration where that was possible; (b) the development of empirical interpretations of theoretical concepts that have not yet been empirically evaluated; and (c) the identification of issues that may provide empirical evaluations of the relative merits of the different theoretical perspectives. (2) To present and discuss the latest empirical work on substance use and addiction that is being conducted in this area. To that end, many of the most active basic and applied researchers with an interest in the theoretical perspectives under discussion agreed to participate in the conference. (3) To articulate a range of applied implications of the behavioural economics perspective on addiction for clinical, public health, and public policy initiatives. For this reason, leading clinical, public health, and public policy scientists in the addiction field were invited to attend. (4) To publish the conference proceedings in a book that will facilitate progress in this area by dissemination in the scholarly, research, and professional substance use and addiction communities. This resulted in the present volume. (PsycINFO Database Record (c) 2016 APA, all rights reserved)","collection-title":"Choice, behavioural economics and addiction","event-place":"Oxford, England","ISBN":"978-0-08-044056-9","publisher":"Elsevier","publisher-place":"Oxford, England","source":"APA PsycNet","title":"Choice, behavioural economics and addiction","editor":[{"family":"Vuchinich","given":"Rudy E."},{"family":"Heather","given":"Nick"}],"issued":{"date-parts":[["2003"]]}},"label":"act"}],"schema":"https://github.com/citation-style-language/schema/raw/master/csl-citation.json"} </w:instrText>
      </w:r>
      <w:r w:rsidR="00F907EE">
        <w:rPr>
          <w:rFonts w:ascii="Times New Roman" w:hAnsi="Times New Roman" w:cs="Times New Roman"/>
        </w:rPr>
        <w:fldChar w:fldCharType="separate"/>
      </w:r>
      <w:r w:rsidR="00A50A60" w:rsidRPr="00A50A60">
        <w:rPr>
          <w:rFonts w:ascii="Times New Roman" w:hAnsi="Times New Roman" w:cs="Times New Roman"/>
        </w:rPr>
        <w:t>(Bickel et al., 2014; MacKillop, 2016; Murphy, MacKillop, et al., 2012; Rachlin, 1997; Vuchinich &amp; Heather, 2003)</w:t>
      </w:r>
      <w:r w:rsidR="00F907EE">
        <w:rPr>
          <w:rFonts w:ascii="Times New Roman" w:hAnsi="Times New Roman" w:cs="Times New Roman"/>
        </w:rPr>
        <w:fldChar w:fldCharType="end"/>
      </w:r>
      <w:r w:rsidR="00A50A60">
        <w:rPr>
          <w:rFonts w:ascii="Times New Roman" w:hAnsi="Times New Roman" w:cs="Times New Roman"/>
        </w:rPr>
        <w:t xml:space="preserve"> </w:t>
      </w:r>
      <w:r w:rsidRPr="009E6B70">
        <w:rPr>
          <w:rFonts w:ascii="Times New Roman" w:hAnsi="Times New Roman" w:cs="Times New Roman"/>
        </w:rPr>
        <w:t xml:space="preserve">which suggest that the relative degree of preference for alcohol over time is related to both the relative availability and price of alcohol as well as the relative availability and price of alcohol-free alternative reinforcers </w:t>
      </w:r>
      <w:r w:rsidR="00F907EE">
        <w:rPr>
          <w:rFonts w:ascii="Times New Roman" w:hAnsi="Times New Roman" w:cs="Times New Roman"/>
        </w:rPr>
        <w:fldChar w:fldCharType="begin"/>
      </w:r>
      <w:r w:rsidR="00F907EE">
        <w:rPr>
          <w:rFonts w:ascii="Times New Roman" w:hAnsi="Times New Roman" w:cs="Times New Roman"/>
        </w:rPr>
        <w:instrText xml:space="preserve"> ADDIN ZOTERO_ITEM CSL_CITATION {"citationID":"3gf5UQes","properties":{"formattedCitation":"(Rachlin et al., 2018)","plainCitation":"(Rachlin et al., 2018)","noteIndex":0},"citationItems":[{"id":498,"uris":["http://zotero.org/users/7873587/items/5EUVR4B7"],"itemData":{"id":498,"type":"chapter","abstract":"Behaviorism has a key role in the history of behavioral medicine, both through the development of models of biological and behavioral interaction, such as in the foundational work of Neil Miller, and through applied science, such as in the development of behavior therapy which led to much of the work of behavioral medicine in risk reduction and disease management. Focusing on operant psychology, the chapter counters views of behaviorism as looking only at “stimuli and responses” by articulating relationships among complex aspects of past experience and behaviors, emphasizing models of choice and behavioral economics. It extends those models to diverse behavioral medicine challenges, including cigarette smoking and “self-control.” It then describes the development of teleological behaviorism that emphasizes patterns of behavior and the patterns of consequences that influence them. It explores how this teleological perspective may provide new insights regarding obesity and weight loss. It closes with consideration of broad convergence between behavioral and ecological approaches with their shared emphases on contexts and how an ecological behaviorism might guide future work in behavioral medicine and public health.","container-title":"Principles and Concepts of Behavioral Medicine","event-place":"New York, NY.","ISBN":"978-0-387-93825-7","note":"DOI: 10.1007/978-0-387-93826-4_9","page":"241-275","publisher":"Springer","publisher-place":"New York, NY.","source":"ResearchGate","title":"Behavioral Medicine’s Roots in Behaviorism: Concepts and Applications","title-short":"Behavioral Medicine’s Roots in Behaviorism","author":[{"family":"Rachlin","given":"Howard"},{"family":"Green","given":"Leonard"},{"family":"Vanderveldt","given":"Ariana"},{"family":"Fisher","given":"Edwin B"}],"editor":[{"family":"Fisher","given":"Edwin B"},{"family":"Cameron","given":"Linda"},{"family":"Christensen","given":"Alan"},{"family":"Ehlert","given":"Ulrike"},{"family":"Guo","given":"Yan"},{"family":"Oldenburg","given":"Brian"},{"family":"Snoek","given":"Frank J"}],"issued":{"date-parts":[["2018",1,1]]}}}],"schema":"https://github.com/citation-style-language/schema/raw/master/csl-citation.json"} </w:instrText>
      </w:r>
      <w:r w:rsidR="00F907EE">
        <w:rPr>
          <w:rFonts w:ascii="Times New Roman" w:hAnsi="Times New Roman" w:cs="Times New Roman"/>
        </w:rPr>
        <w:fldChar w:fldCharType="separate"/>
      </w:r>
      <w:r w:rsidR="00F907EE" w:rsidRPr="00F907EE">
        <w:rPr>
          <w:rFonts w:ascii="Times New Roman" w:hAnsi="Times New Roman" w:cs="Times New Roman"/>
        </w:rPr>
        <w:t>(Rachlin et al., 2018)</w:t>
      </w:r>
      <w:r w:rsidR="00F907EE">
        <w:rPr>
          <w:rFonts w:ascii="Times New Roman" w:hAnsi="Times New Roman" w:cs="Times New Roman"/>
        </w:rPr>
        <w:fldChar w:fldCharType="end"/>
      </w:r>
      <w:r w:rsidRPr="009E6B70">
        <w:rPr>
          <w:rFonts w:ascii="Times New Roman" w:hAnsi="Times New Roman" w:cs="Times New Roman"/>
        </w:rPr>
        <w:t xml:space="preserve">. Originating from </w:t>
      </w:r>
      <w:r w:rsidR="00A50A60">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{"citationID":"KyVx98VG","properties":{"formattedCitation":"(Herrnstein, 1974)","plainCitation":"(Herrnstein, 1974)","dontUpdate":true,"noteIndex":0},"citationItems":[{"id":797,"uris":["http://zotero.org/users/7873587/items/7J6JWE9H"],"itemData":{"id":797,"type":"article-journal","abstract":"Considers that the matching law implies that any form of behavior approaches an asymptotic frequency as its reinforcement approaches 100% of the total reinforcement being obtained at a given time. It is demonstrated that this asymptote is formally independent of the kind or quantity of drive or reinforcement associated with the response in question or with any competing response. (PsycINFO Database Record (c) 2016 APA, all rights reserved)","container-title":"Journal of the Experimental Analysis of Behavior","DOI":"10.1901/jeab.1974.21-159","ISSN":"1938-3711","issue":"1","note":"publisher-place: US\npublisher: Journal of the Experimental Analysis of Behavior","page":"159-164","source":"APA PsycNet","title":"Formal properties of the matching law","volume":"21","author":[{"family":"Herrnstein","given":"R. J."}],"issued":{"date-parts":[["1974"]]}}}],"schema":"https://github.com/citation-style-language/schema/raw/master/csl-citation.json"} </w:instrText>
      </w:r>
      <w:r w:rsidR="00A50A60">
        <w:rPr>
          <w:rFonts w:ascii="Times New Roman" w:hAnsi="Times New Roman" w:cs="Times New Roman"/>
        </w:rPr>
        <w:fldChar w:fldCharType="separate"/>
      </w:r>
      <w:r w:rsidR="00A50A60" w:rsidRPr="00A50A60">
        <w:rPr>
          <w:rFonts w:ascii="Times New Roman" w:hAnsi="Times New Roman" w:cs="Times New Roman"/>
        </w:rPr>
        <w:t>Herrnstein</w:t>
      </w:r>
      <w:r w:rsidR="00A50A60">
        <w:rPr>
          <w:rFonts w:ascii="Times New Roman" w:hAnsi="Times New Roman" w:cs="Times New Roman"/>
        </w:rPr>
        <w:t xml:space="preserve">'s </w:t>
      </w:r>
      <w:r w:rsidR="00A50A60" w:rsidRPr="00A50A60">
        <w:rPr>
          <w:rFonts w:ascii="Times New Roman" w:hAnsi="Times New Roman" w:cs="Times New Roman"/>
        </w:rPr>
        <w:t xml:space="preserve"> </w:t>
      </w:r>
      <w:r w:rsidR="00A50A60">
        <w:rPr>
          <w:rFonts w:ascii="Times New Roman" w:hAnsi="Times New Roman" w:cs="Times New Roman"/>
        </w:rPr>
        <w:t>(</w:t>
      </w:r>
      <w:r w:rsidR="00A50A60" w:rsidRPr="00A50A60">
        <w:rPr>
          <w:rFonts w:ascii="Times New Roman" w:hAnsi="Times New Roman" w:cs="Times New Roman"/>
        </w:rPr>
        <w:t>1974)</w:t>
      </w:r>
      <w:r w:rsidR="00A50A60">
        <w:rPr>
          <w:rFonts w:ascii="Times New Roman" w:hAnsi="Times New Roman" w:cs="Times New Roman"/>
        </w:rPr>
        <w:fldChar w:fldCharType="end"/>
      </w:r>
      <w:r w:rsidRPr="009E6B70">
        <w:rPr>
          <w:rFonts w:ascii="Times New Roman" w:hAnsi="Times New Roman" w:cs="Times New Roman"/>
        </w:rPr>
        <w:t xml:space="preserve"> Matching Law, this is an important extension because it acknowledges, from a </w:t>
      </w:r>
      <w:r w:rsidRPr="00A50A60">
        <w:rPr>
          <w:rFonts w:ascii="Times New Roman" w:hAnsi="Times New Roman" w:cs="Times New Roman"/>
          <w:i/>
          <w:iCs/>
        </w:rPr>
        <w:t>final</w:t>
      </w:r>
      <w:r w:rsidRPr="009E6B70">
        <w:rPr>
          <w:rFonts w:ascii="Times New Roman" w:hAnsi="Times New Roman" w:cs="Times New Roman"/>
        </w:rPr>
        <w:t xml:space="preserve"> cause perspective </w:t>
      </w:r>
      <w:r w:rsidR="00A50A60">
        <w:rPr>
          <w:rFonts w:ascii="Times New Roman" w:hAnsi="Times New Roman" w:cs="Times New Roman"/>
        </w:rPr>
        <w:fldChar w:fldCharType="begin"/>
      </w:r>
      <w:r w:rsidR="00A50A60">
        <w:rPr>
          <w:rFonts w:ascii="Times New Roman" w:hAnsi="Times New Roman" w:cs="Times New Roman"/>
        </w:rPr>
        <w:instrText xml:space="preserve"> ADDIN ZOTERO_ITEM CSL_CITATION {"citationID":"VNCEfxCk","properties":{"formattedCitation":"(Rachlin, 1992)","plainCitation":"(Rachlin, 1992)","noteIndex":0},"citationItems":[{"id":497,"uris":["http://zotero.org/users/7873587/items/X82CDKKF"],"itemData":{"id":497,"type":"article-journal","abstract":"A psychological science of efficient causes, using internal mechanisms to explain overt behavior, is distinguished from another psychological science, based on Aristotelian final causes, using external objects and goals to explain overt behavior. Efficient-cause psychology is designed to answer the question of how a particular act is emitted; final-cause psychology is designed to answer the question of why a particular act is emitted. Physiological psychology, modern cognitive psychology, and some parts of behaviorism including Skinnerian behaviorism are efficient-cause psychologies; final-cause psychology, a development of Skinnerian behaviorism, is here called teleological behaviorism. Each of these two conceptions of causality in psychology implies a different view of the mind, hence a different meaning of mental terms.","container-title":"The American Psychologist","DOI":"10.1037//0003-066x.47.11.1371","ISSN":"0003-066X","issue":"11","journalAbbreviation":"Am Psychol","language":"eng","note":"PMID: 1482004","page":"1371-1382","source":"PubMed","title":"Teleological behaviorism","volume":"47","author":[{"family":"Rachlin","given":"H."}],"issued":{"date-parts":[["1992",11]]}}}],"schema":"https://github.com/citation-style-language/schema/raw/master/csl-citation.json"} </w:instrText>
      </w:r>
      <w:r w:rsidR="00A50A60">
        <w:rPr>
          <w:rFonts w:ascii="Times New Roman" w:hAnsi="Times New Roman" w:cs="Times New Roman"/>
        </w:rPr>
        <w:fldChar w:fldCharType="separate"/>
      </w:r>
      <w:r w:rsidR="00A50A60" w:rsidRPr="00A50A60">
        <w:rPr>
          <w:rFonts w:ascii="Times New Roman" w:hAnsi="Times New Roman" w:cs="Times New Roman"/>
        </w:rPr>
        <w:t>(Rachlin, 1992)</w:t>
      </w:r>
      <w:r w:rsidR="00A50A60">
        <w:rPr>
          <w:rFonts w:ascii="Times New Roman" w:hAnsi="Times New Roman" w:cs="Times New Roman"/>
        </w:rPr>
        <w:fldChar w:fldCharType="end"/>
      </w:r>
      <w:r w:rsidRPr="009E6B70">
        <w:rPr>
          <w:rFonts w:ascii="Times New Roman" w:hAnsi="Times New Roman" w:cs="Times New Roman"/>
        </w:rPr>
        <w:t>, that all behaviour derives from choice between engaging in a particular behaviour versus engaging in some other behaviour (</w:t>
      </w:r>
      <w:proofErr w:type="spellStart"/>
      <w:r w:rsidRPr="009E6B70">
        <w:rPr>
          <w:rFonts w:ascii="Times New Roman" w:hAnsi="Times New Roman" w:cs="Times New Roman"/>
        </w:rPr>
        <w:t>Rachlin</w:t>
      </w:r>
      <w:proofErr w:type="spellEnd"/>
      <w:r w:rsidRPr="009E6B70">
        <w:rPr>
          <w:rFonts w:ascii="Times New Roman" w:hAnsi="Times New Roman" w:cs="Times New Roman"/>
        </w:rPr>
        <w:t xml:space="preserve"> et al., 2018). More specifically, that behaviour must be understood by looking at temporal patterns over time within a dynamic environmental context </w:t>
      </w:r>
      <w:r w:rsidR="00A50A60">
        <w:rPr>
          <w:rFonts w:ascii="Times New Roman" w:hAnsi="Times New Roman" w:cs="Times New Roman"/>
        </w:rPr>
        <w:fldChar w:fldCharType="begin"/>
      </w:r>
      <w:r w:rsidR="00A50A60">
        <w:rPr>
          <w:rFonts w:ascii="Times New Roman" w:hAnsi="Times New Roman" w:cs="Times New Roman"/>
        </w:rPr>
        <w:instrText xml:space="preserve"> ADDIN ZOTERO_ITEM CSL_CITATION {"citationID":"2jXi86Jf","properties":{"formattedCitation":"(Tucker &amp; Vuchinich, 2015)","plainCitation":"(Tucker &amp; Vuchinich, 2015)","noteIndex":0},"citationItems":[{"id":1387,"uris":["http://zotero.org/users/7873587/items/SR6AQKE7"],"itemData":{"id":1387,"type":"article-journal","abstract":"Comments on an article by M. Amlung et al. (see record 2015-15671-001). Amlung et al. truncated the Alcohol Purchase Task (APT) by asking only one question for each of three demand curve measures. As with the k parameter in discounting research, the demand curve measures from the APT and from Amlung et al. can be given either an efficient cause or a final cause interpretation. The authors clearly favor the efficient cause interpretation that 'alcohol demand could represent an intermediate step between craving and consumption, such that dynamic increases in craving produce a corresponding increase in the relative value of alcohol that, in turn, influences drinking decisions.' This efficient cause interpretation of the demand curve measures is consistent with mainstream psychological science, but it is counter to the historical development and current status of BE. The authors also noted that: 'An advantage of behavioral economics is that it quantifies a construct such as alcohol motivation into externally relevant metrics such as number of drinks and money spent.' (PsycINFO Database Record (c) 2016 APA, all rights reserved)","container-title":"Addiction","DOI":"10.1111/add.12983","ISSN":"1360-0443","issue":"9","note":"publisher-place: United Kingdom\npublisher: Wiley-Blackwell Publishing Ltd.","page":"1429-1430","source":"APA PsycNet","title":"Efficient and final causes of alcohol consumption","volume":"110","author":[{"family":"Tucker","given":"Jalie A."},{"family":"Vuchinich","given":"Rudy E."}],"issued":{"date-parts":[["2015"]]}}}],"schema":"https://github.com/citation-style-language/schema/raw/master/csl-citation.json"} </w:instrText>
      </w:r>
      <w:r w:rsidR="00A50A60">
        <w:rPr>
          <w:rFonts w:ascii="Times New Roman" w:hAnsi="Times New Roman" w:cs="Times New Roman"/>
        </w:rPr>
        <w:fldChar w:fldCharType="separate"/>
      </w:r>
      <w:r w:rsidR="00A50A60" w:rsidRPr="00A50A60">
        <w:rPr>
          <w:rFonts w:ascii="Times New Roman" w:hAnsi="Times New Roman" w:cs="Times New Roman"/>
        </w:rPr>
        <w:t>(Tucker &amp; Vuchinich, 2015)</w:t>
      </w:r>
      <w:r w:rsidR="00A50A60">
        <w:rPr>
          <w:rFonts w:ascii="Times New Roman" w:hAnsi="Times New Roman" w:cs="Times New Roman"/>
        </w:rPr>
        <w:fldChar w:fldCharType="end"/>
      </w:r>
      <w:r w:rsidRPr="009E6B70">
        <w:rPr>
          <w:rFonts w:ascii="Times New Roman" w:hAnsi="Times New Roman" w:cs="Times New Roman"/>
        </w:rPr>
        <w:t xml:space="preserve">. Consequently, addiction is often understood to develop over time as a ‘reinforcer pathology’ comprising hyper and hypo valuation of alcohol and alcohol-free alternatives, respectively </w:t>
      </w:r>
      <w:r w:rsidR="00A50A6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{"citationID":"qLlGvKsV","properties":{"formattedCitation":"(Bickel et al., 2014; Tucker et al., 2016)","plainCitation":"(Bickel et al., 2014; Tucker et al., 2016)","noteIndex":0},"citationItems":[{"id":816,"uris":["http://zotero.org/users/7873587/items/R9KVGRWU"],"itemData":{"id":816,"type":"article-journal","abstract":"The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G."}],"issued":{"date-parts":[["2014"]]}},"label":"act"},{"id":456,"uris":["http://zotero.org/users/7873587/items/GHL5YU3Q"],"itemData":{"id":456,"type":"article-journal","abstract":"Background As interventions have expanded beyond clinical treatment to include brief interventions for persons with less severe alcohol problems, predicting who can achieve stable moderation drinking has gained importance. Recent behavioral economic (BE) research on natural recovery has shown that active problem drinkers who allocate their monetary expenditures on alcohol and saving for the future over longer time horizons tend to have better subsequent recovery outcomes, including maintenance of stable moderation drinking. This study compared the predictive utility of this money-based “Alcohol-Savings Discretionary Expenditure” (ASDE) index with multiple BE analogue measures of behavioral impulsivity and self-control, which have seldom been investigated together, to predict outcomes of natural recovery attempts. Methods Community-dwelling problem drinkers, enrolled shortly after stopping abusive drinking without treatment, were followed prospectively for up to a year (N = 175 [75.4% male], M age = 50.65 years). They completed baseline assessments of preresolution drinking practices and problems, analogue behavioral choice tasks (Delay Discounting, Melioration-Maximization, and Alcohol Purchase Tasks), and a Timeline Followback interview including expenditures on alcohol compared to voluntary savings (ASDE index) during the preresolution year. Results Multinomial logistic regression models showed that, among the BE measures, only the ASDE index predicted stable moderation drinking compared to stable abstinence or unstable resolutions involving relapse. As hypothesized, stable moderation was associated with more balanced preresolution allocations to drinking and savings (odds ratio = 1.77, 95% confidence interval = 1.02 to 3.08, p &lt; 0.05), suggesting it is associated with longer-term behavior regulation processes than abstinence. Conclusions The ASDE's unique predictive utility may rest on its comprehensive representation of contextual elements to support this patterning of behavioral allocation. Stable low-risk drinking, but not abstinence, requires such regulatory processes.","container-title":"Alcoholism: Clinical and Experimental Research","DOI":"10.1111/acer.13245","ISSN":"1530-0277","issue":"12","language":"en","page":"2676-2684","source":"Wiley Online Library","title":"Prospective analysis of behavioral economic predictors of stable moderation drinking among problem drinkers attempting natural recovery","volume":"40","author":[{"family":"Tucker","given":"Jalie A."},{"family":"Cheong","given":"JeeWon"},{"family":"Chandler","given":"Susan D."},{"family":"Lambert","given":"Brice H."},{"family":"Pietrzak","given":"Brittney"},{"family":"Kwok","given":"Heather"},{"family":"Davies","given":"Susan L."}],"issued":{"date-parts":[["2016"]]}},"label":"act"}],"schema":"https://github.com/citation-style-language/schema/raw/master/csl-citation.json"} </w:instrText>
      </w:r>
      <w:r w:rsidR="00A50A60">
        <w:rPr>
          <w:rFonts w:ascii="Times New Roman" w:hAnsi="Times New Roman" w:cs="Times New Roman"/>
        </w:rPr>
        <w:fldChar w:fldCharType="separate"/>
      </w:r>
      <w:r w:rsidR="00BA5D4A" w:rsidRPr="00BA5D4A">
        <w:rPr>
          <w:rFonts w:ascii="Times New Roman" w:hAnsi="Times New Roman" w:cs="Times New Roman"/>
        </w:rPr>
        <w:t>(Bickel et al., 2014; Tucker et al., 2016)</w:t>
      </w:r>
      <w:r w:rsidR="00A50A60">
        <w:rPr>
          <w:rFonts w:ascii="Times New Roman" w:hAnsi="Times New Roman" w:cs="Times New Roman"/>
        </w:rPr>
        <w:fldChar w:fldCharType="end"/>
      </w:r>
      <w:r w:rsidRPr="009E6B70">
        <w:rPr>
          <w:rFonts w:ascii="Times New Roman" w:hAnsi="Times New Roman" w:cs="Times New Roman"/>
        </w:rPr>
        <w:t>.</w:t>
      </w:r>
    </w:p>
    <w:p w14:paraId="18A10378" w14:textId="77777777" w:rsidR="009E6B70" w:rsidRPr="009E6B70" w:rsidRDefault="009E6B70" w:rsidP="009E6B70">
      <w:pPr>
        <w:pStyle w:val="NoSpacing"/>
        <w:spacing w:line="480" w:lineRule="auto"/>
        <w:rPr>
          <w:rFonts w:ascii="Times New Roman" w:hAnsi="Times New Roman" w:cs="Times New Roman"/>
        </w:rPr>
      </w:pPr>
    </w:p>
    <w:p w14:paraId="740ED7C0" w14:textId="25B7B57A" w:rsidR="009E6B70" w:rsidRPr="009E6B70" w:rsidRDefault="009E6B70" w:rsidP="000E30FC">
      <w:pPr>
        <w:pStyle w:val="NoSpacing"/>
        <w:spacing w:line="480" w:lineRule="auto"/>
        <w:rPr>
          <w:rFonts w:ascii="Times New Roman" w:hAnsi="Times New Roman" w:cs="Times New Roman"/>
        </w:rPr>
      </w:pPr>
      <w:r w:rsidRPr="009E6B70">
        <w:rPr>
          <w:rFonts w:ascii="Times New Roman" w:hAnsi="Times New Roman" w:cs="Times New Roman"/>
        </w:rPr>
        <w:t xml:space="preserve">An influential laboratory study by </w:t>
      </w:r>
      <w:r w:rsidR="00BA5D4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{"citationID":"LgmoyfOw","properties":{"formattedCitation":"(Vuchinich &amp; Tucker, 1983)","plainCitation":"(Vuchinich &amp; Tucker, 1983)","dontUpdate":true,"noteIndex":0},"citationItems":[{"id":493,"uris":["http://zotero.org/users/7873587/items/UCY43V3Z"],"itemData":{"id":493,"type":"article-journal","abstract":"54 male college students were placed in a choice situation with 2 behavioral alternatives: One produced access to alcohol consumption, and one produced access to money. Any alcohol chosen was available during the session, and constraints on access to it were held constant. Two independent variables involving constraints on access to money were manipulated in a 2 × 3 factorial design: (a) amount of money available (either 2 or 10 cents per unit or behavioral allocation) and (b) delay in receipt of the money (either no delay, a 2-wk delay, or an 8-wk delay). The primary dependent measures were the proportion of responses allocated to gain access to alcohol, response-outcome expectations, and mood state. Results show that Ss' preference for alcohol varied negatively with amount of money and positively with delay. Expectations and mood states were not related to Ss' choice behavior. Results support a formulation regarding the determinants of drinking that is developed from the perspective of behavioral theories of choice. (37 ref) (PsycINFO Database Record (c) 2016 APA, all rights reserved)","container-title":"Journal of Abnormal Psychology","DOI":"10.1037/0021-843X.92.4.408","ISSN":"1939-1846","issue":"4","page":"408-416","source":"APA PsycNet","title":"Behavioral theories of choice as a framework for studying drinking behavior","volume":"92","author":[{"family":"Vuchinich","given":"Rudy E."},{"family":"Tucker","given":"Jalie A."}],"issued":{"date-parts":[["1983"]]}}}],"schema":"https://github.com/citation-style-language/schema/raw/master/csl-citation.json"} </w:instrText>
      </w:r>
      <w:r w:rsidR="00BA5D4A">
        <w:rPr>
          <w:rFonts w:ascii="Times New Roman" w:hAnsi="Times New Roman" w:cs="Times New Roman"/>
        </w:rPr>
        <w:fldChar w:fldCharType="separate"/>
      </w:r>
      <w:r w:rsidR="00BA5D4A" w:rsidRPr="00BA5D4A">
        <w:rPr>
          <w:rFonts w:ascii="Times New Roman" w:hAnsi="Times New Roman" w:cs="Times New Roman"/>
        </w:rPr>
        <w:t xml:space="preserve">Vuchinich </w:t>
      </w:r>
      <w:r w:rsidR="00BA5D4A">
        <w:rPr>
          <w:rFonts w:ascii="Times New Roman" w:hAnsi="Times New Roman" w:cs="Times New Roman"/>
        </w:rPr>
        <w:t>and</w:t>
      </w:r>
      <w:r w:rsidR="00BA5D4A" w:rsidRPr="00BA5D4A">
        <w:rPr>
          <w:rFonts w:ascii="Times New Roman" w:hAnsi="Times New Roman" w:cs="Times New Roman"/>
        </w:rPr>
        <w:t xml:space="preserve"> Tucker </w:t>
      </w:r>
      <w:r w:rsidR="00BA5D4A">
        <w:rPr>
          <w:rFonts w:ascii="Times New Roman" w:hAnsi="Times New Roman" w:cs="Times New Roman"/>
        </w:rPr>
        <w:t>(</w:t>
      </w:r>
      <w:r w:rsidR="00BA5D4A" w:rsidRPr="00BA5D4A">
        <w:rPr>
          <w:rFonts w:ascii="Times New Roman" w:hAnsi="Times New Roman" w:cs="Times New Roman"/>
        </w:rPr>
        <w:t>1983)</w:t>
      </w:r>
      <w:r w:rsidR="00BA5D4A">
        <w:rPr>
          <w:rFonts w:ascii="Times New Roman" w:hAnsi="Times New Roman" w:cs="Times New Roman"/>
        </w:rPr>
        <w:fldChar w:fldCharType="end"/>
      </w:r>
      <w:r w:rsidRPr="009E6B70">
        <w:rPr>
          <w:rFonts w:ascii="Times New Roman" w:hAnsi="Times New Roman" w:cs="Times New Roman"/>
        </w:rPr>
        <w:t xml:space="preserve"> found that by raising the magnitude of alternative rewards (i.e., money), this directly influenced human preference for alcohol as captured by lowered alcohol choice. Since then, measures of proportional behavioural allocation and enjoyment have been commonly used to capture the reinforcing </w:t>
      </w:r>
      <w:r w:rsidRPr="009E6B70">
        <w:rPr>
          <w:rFonts w:ascii="Times New Roman" w:hAnsi="Times New Roman" w:cs="Times New Roman"/>
        </w:rPr>
        <w:lastRenderedPageBreak/>
        <w:t xml:space="preserve">value of alcohol relative to other reinforcers in the environment </w:t>
      </w:r>
      <w:r w:rsidR="00BA5D4A">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{"citationID":"BawwqQMv","properties":{"formattedCitation":"(Murphy et al., 2005)","plainCitation":"(Murphy et al., 2005)","noteIndex":0},"citationItems":[{"id":215,"uris":["http://zotero.org/users/7873587/items/IZDTDDSU"],"itemData":{"id":215,"type":"article-journal","abstract":"Behavioral theories of choice predict that substance use is partly a function of the relative value of drugs in relation to other available reinforcers. This study evaluated this hypothesis in the context of predicting drinking outcomes following an alcohol abuse intervention. Participants (N = 54, 69% female, 31% male) were college student heavy drinkers who completed a single-session motivational intervention. Students completed a baseline measure of substance-related and substance-free activity participation and enjoyment. Only women showed a significant reduction in drinking at the 6-month follow-up, and the ratio of substance-related to substance-free reinforcement accounted for unique variance in their drinking outcomes. Women who at baseline derived a smaller proportion of their total reinforcement from substance use showed lower levels of follow-up drinking, even after the authors controlled for baseline drinking level. Male and female participants who reduced their drinking showed increased proportional reinforcement from substance-free activities.","container-title":"Experimental and Clinical Psychopharmacology","DOI":"10.1037/1064-1297.13.2.93","ISSN":"1064-1297","issue":"2","journalAbbreviation":"Exp Clin Psychopharmacol","language":"eng","note":"PMID: 15943542","page":"93-101","source":"PubMed","title":"Using behavioral theories of choice to predict drinking outcomes following a brief intervention","volume":"13","author":[{"family":"Murphy","given":"James G."},{"family":"Correia","given":"Christopher J."},{"family":"Colby","given":"Suzanne M."},{"family":"Vuchinich","given":"Rudy E."}],"issued":{"date-parts":[["2005",5]]}}}],"schema":"https://github.com/citation-style-language/schema/raw/master/csl-citation.json"} </w:instrText>
      </w:r>
      <w:r w:rsidR="00BA5D4A">
        <w:rPr>
          <w:rFonts w:ascii="Times New Roman" w:hAnsi="Times New Roman" w:cs="Times New Roman"/>
        </w:rPr>
        <w:fldChar w:fldCharType="separate"/>
      </w:r>
      <w:r w:rsidR="00BA5D4A" w:rsidRPr="00BA5D4A">
        <w:rPr>
          <w:rFonts w:ascii="Times New Roman" w:hAnsi="Times New Roman" w:cs="Times New Roman"/>
        </w:rPr>
        <w:t>(Murphy et al., 2005)</w:t>
      </w:r>
      <w:r w:rsidR="00BA5D4A">
        <w:rPr>
          <w:rFonts w:ascii="Times New Roman" w:hAnsi="Times New Roman" w:cs="Times New Roman"/>
        </w:rPr>
        <w:fldChar w:fldCharType="end"/>
      </w:r>
      <w:r w:rsidRPr="009E6B70">
        <w:rPr>
          <w:rFonts w:ascii="Times New Roman" w:hAnsi="Times New Roman" w:cs="Times New Roman"/>
        </w:rPr>
        <w:t xml:space="preserve">. Indeed, across diverse samples and substance types (including alcohol), substance-free reinforcement is inversely related to substance use </w:t>
      </w:r>
      <w:r w:rsidR="00BA5D4A">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{"citationID":"v2yMtM9H","properties":{"formattedCitation":"(Acuff et al., 2019; Ginsburg &amp; Lamb, 2018)","plainCitation":"(Acuff et al., 2019; Ginsburg &amp; Lamb, 2018)","noteIndex":0},"citationItems":[{"id":1452,"uris":["http://zotero.org/users/7873587/items/2ENG4DDR"],"itemData":{"id":1452,"type":"article-journal","abstract":"A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G."}],"issued":{"date-parts":[["2019"]]}},"label":"act"},{"id":494,"uris":["http://zotero.org/users/7873587/items/XWF5I59S"],"itemData":{"id":494,"type":"article-journal","abstract":"PURPOSE: Engaging in alternative activities in the context where opioid use had occurred can constrain opioid use and helps to maintain recovery. However, \"frustration stress\" that occurs when contingencies on these alternative activities unexpectedly change (e.g., job loss or divorce) is thought to threaten recovery by prompting a return to drug use. Yet it remains unclear whether frustration stress can result in a return to drug use, and if so, whether it returns to prior levels or to even greater levels.\nPROCEDURES: We examine the impact of unsignaled extinction of alternative reinforcement on opioid use. Rats were trained to respond for an etonitazene solution (5μg/ml, p.o.), then for food in alternating daily sessions. Subsequently, food and etonitazene were made concurrently available. Under concurrent availability conditions, rats were exposed to 1, 2, or 4 sessions of unsignaled food extinction, and effects on responding for etonitazene and food measured.\nFINDINGS: When etonitazene was the only reinforcer available, rats earned 58.3±20.3μg/kg/session (mean±S.E.M.). When food was available in alternating sessions, etonitazene earned was unchanged (65.3±19.2μg/kg/session). Concurrent food availability decreased etonitazene earned (13.5±4.5μg/kg/session). Unsignaled food extinction returned etonitazene earnedto levels similar to (60.5±18.4μg/kg/session), but not greater than, those observed previously when etonitazene alone was available.\nCONCLUSIONS: Unsignaled extinction of alternative behavior controlling opioid use can result in increased opioid use, but this use does not rise beyond previous levels observed when opioid use is unconstrained by alternative reinforced behavior.","container-title":"Drug and Alcohol Dependence","DOI":"10.1016/j.drugalcdep.2017.09.016","ISSN":"1879-0046","journalAbbreviation":"Drug Alcohol Depend","language":"eng","note":"PMID: 29136564","page":"33-39","source":"PubMed","title":"Frustration stress (unexpected loss of alternative reinforcement) increases opioid self-administration in a model of recovery","volume":"182","author":[{"family":"Ginsburg","given":"Brett C."},{"family":"Lamb","given":"R. J."}],"issued":{"date-parts":[["2018",1,1]]}},"label":"act"}],"schema":"https://github.com/citation-style-language/schema/raw/master/csl-citation.json"} </w:instrText>
      </w:r>
      <w:r w:rsidR="00BA5D4A">
        <w:rPr>
          <w:rFonts w:ascii="Times New Roman" w:hAnsi="Times New Roman" w:cs="Times New Roman"/>
        </w:rPr>
        <w:fldChar w:fldCharType="separate"/>
      </w:r>
      <w:r w:rsidR="00BA5D4A" w:rsidRPr="00BA5D4A">
        <w:rPr>
          <w:rFonts w:ascii="Times New Roman" w:hAnsi="Times New Roman" w:cs="Times New Roman"/>
        </w:rPr>
        <w:t>(Acuff et al., 2019; Ginsburg &amp; Lamb, 2018)</w:t>
      </w:r>
      <w:r w:rsidR="00BA5D4A">
        <w:rPr>
          <w:rFonts w:ascii="Times New Roman" w:hAnsi="Times New Roman" w:cs="Times New Roman"/>
        </w:rPr>
        <w:fldChar w:fldCharType="end"/>
      </w:r>
      <w:r w:rsidRPr="009E6B70">
        <w:rPr>
          <w:rFonts w:ascii="Times New Roman" w:hAnsi="Times New Roman" w:cs="Times New Roman"/>
        </w:rPr>
        <w:t xml:space="preserve">. For example, a recent longitudinal study </w:t>
      </w:r>
      <w:r w:rsidR="00BA5D4A">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{"citationID":"vBnsgKeq","properties":{"formattedCitation":"(Murphy et al., 2021)","plainCitation":"(Murphy et al., 2021)","noteIndex":0},"citationItems":[{"id":491,"uris":["http://zotero.org/users/7873587/items/HW56HPH7"],"itemData":{"id":491,"type":"article-journal","abstract":"Background Behavioral economic theory predicts that low access to environmental reward is a risk factor for alcohol use disorder (AUD). The Substance-Free Activity Session (SFAS) is a behavioral economic supplement to standard brief alcohol interventions that attempts to increase environmental reward and may therefore have beneficial effects, particularly for individuals with low levels of environmental reward. Methods Participants were 393 college students who reported at least 2 heavy-drinking episodes in the past month. Participants were randomly assigned to 1 of 3 conditions following a baseline assessment: a standard alcohol-focused brief motivational intervention plus relaxation training session (BMI + RT), BMI plus Substance-Free Activity Session (BMI + SFAS), or an assessment-only control condition (AO). In a secondary analysis of the data from this study, we used person-centered statistical techniques to describe trajectories of alcohol severity and environmental reward over a 16-month follow-up and examined whether environmental reward levels moderated the effectiveness of the interventions. Results Piecewise growth mixture modeling identified 2 trajectories of reward availability: low increasing (LR; n = 120) and high stable (HR; n = 273). Depressive symptoms, cannabis use, sensation seeking, and low life satisfaction were associated with a greater probability of classification in the LR trajectory. Alcohol severity was greater in the LR trajectory than the HR trajectory. For students in the LR trajectory, at 1, 6, and 12 months, BMI + SFAS led to greater increases in reward availability and reduced levels of alcohol severity compared with the BMI + RT and AO conditions and at 16 months compared with AO. Conclusions Young adults with low levels of environmental reward are at heightened risk for greater alcohol severity and may show greater benefit from brief alcohol interventions that focus on increasing substance-free reward than individuals who are not deficient in reward availability.","container-title":"Alcoholism: Clinical and Experimental Research","DOI":"10.1111/acer.14681","ISSN":"1530-0277","issue":"10","language":"en","page":"2147-2159","source":"Wiley Online Library","title":"Trajectories of reward availability moderate the impact of brief alcohol interventions on alcohol severity in heavy-drinking young adults","volume":"45","author":[{"family":"Murphy","given":"James G."},{"family":"Campbell","given":"Kevin W."},{"family":"Joyner","given":"Keanan J."},{"family":"Dennhardt","given":"Ashley A."},{"family":"Martens","given":"Matthew P."},{"family":"Borsari","given":"Brian"}],"issued":{"date-parts":[["2021"]]}}}],"schema":"https://github.com/citation-style-language/schema/raw/master/csl-citation.json"} </w:instrText>
      </w:r>
      <w:r w:rsidR="00BA5D4A">
        <w:rPr>
          <w:rFonts w:ascii="Times New Roman" w:hAnsi="Times New Roman" w:cs="Times New Roman"/>
        </w:rPr>
        <w:fldChar w:fldCharType="separate"/>
      </w:r>
      <w:r w:rsidR="000E30FC" w:rsidRPr="000E30FC">
        <w:rPr>
          <w:rFonts w:ascii="Times New Roman" w:hAnsi="Times New Roman" w:cs="Times New Roman"/>
        </w:rPr>
        <w:t>(Murphy et al., 2021)</w:t>
      </w:r>
      <w:r w:rsidR="00BA5D4A">
        <w:rPr>
          <w:rFonts w:ascii="Times New Roman" w:hAnsi="Times New Roman" w:cs="Times New Roman"/>
        </w:rPr>
        <w:fldChar w:fldCharType="end"/>
      </w:r>
      <w:r w:rsidRPr="009E6B70">
        <w:rPr>
          <w:rFonts w:ascii="Times New Roman" w:hAnsi="Times New Roman" w:cs="Times New Roman"/>
        </w:rPr>
        <w:t xml:space="preserve"> found that deprivation of environmental reward is a significant risk factor for future alcohol consumption and AUD symptomatology in young adults. Another study found that reward deficits predicted smoking escalation longitudinally in young adults </w:t>
      </w:r>
      <w:r w:rsidR="000E30FC">
        <w:rPr>
          <w:rFonts w:ascii="Times New Roman" w:hAnsi="Times New Roman" w:cs="Times New Roman"/>
        </w:rPr>
        <w:fldChar w:fldCharType="begin"/>
      </w:r>
      <w:r w:rsidR="000E30FC">
        <w:rPr>
          <w:rFonts w:ascii="Times New Roman" w:hAnsi="Times New Roman" w:cs="Times New Roman"/>
        </w:rPr>
        <w:instrText xml:space="preserve"> ADDIN ZOTERO_ITEM CSL_CITATION {"citationID":"dF2gESha","properties":{"formattedCitation":"(Audrain-McGovern et al., 2011)","plainCitation":"(Audrain-McGovern et al., 2011)","noteIndex":0},"citationItems":[{"id":794,"uris":["http://zotero.org/users/7873587/items/LZF2KKRS"],"itemData":{"id":794,"type":"article-journal","abstract":"Aims\nYoung adulthood represents a period of continued smoking progression and the establishment of regular and long-term smoking practices. Our understanding of the psychological processes that facilitate and solidify regular smoking patterns in this developmental period is limited. We sought to evaluate the role of depression symptoms in young adult smoking uptake and to evaluate whether non-smoking related alternative reinforcers was a mechanism by which depression symptoms influence smoking.\n\nParticipants\nThe sample was composed of 834 young adults who participated in a longitudinal study of smoking adoption (age 18 – 22 years old).\n\nDesign and measurements\nIn this prospective cohort study, smoking, depression, alternative reinforcers and several covariates were measured annually via telephone from emerging adulthood (age 18) to young adulthood (age 22).\n\nFindings\nResults of a parallel processes latent growth curve model showed that depression symptoms level (baseline age 18) had a significant negative effect on substitute alternative reinforcers trend (β = −.01, z=−3.17, p=.002) and that substitute reinforcers trend had a significant negative effect on smoking trend (β = −.62, z= −2.99, p=.003). An assessment of indirect effects revealed that depression symptoms level had a significant positive indirect effect on smoking trend through substitute alternative reinforcers trend (B = .01, z = 2.09, p=.04, 99% CI = .001, .02), such that greater depression symptoms at baseline predicted decreases in substitute reinforcers across time which in turn predicted increases in smoking uptake/rate from emerging to young adulhood.\n\nConclusions\nDepression symptoms in emerging adulthood indirectly influence smoking and mitigating declines and/or promoting greater alternative reinforcers to smoking may prevent smoking uptake and further increases in smoking rate among young adults.","container-title":"Addiction","DOI":"10.1111/j.1360-0443.2010.03113.x","ISSN":"0965-2140","issue":"1","journalAbbreviation":"Addiction","note":"PMID: 20840206\nPMCID: PMC3006005","page":"178-187","source":"PubMed Central","title":"Declining alternative reinforcers link depression to young adult smoking","volume":"106","author":[{"family":"Audrain-McGovern","given":"Janet"},{"family":"Rodriguez","given":"Daniel"},{"family":"Rodgers","given":"Kelli"},{"family":"Cuevas","given":"Jocelyn"}],"issued":{"date-parts":[["2011",1]]}}}],"schema":"https://github.com/citation-style-language/schema/raw/master/csl-citation.json"} </w:instrText>
      </w:r>
      <w:r w:rsidR="000E30FC">
        <w:rPr>
          <w:rFonts w:ascii="Times New Roman" w:hAnsi="Times New Roman" w:cs="Times New Roman"/>
        </w:rPr>
        <w:fldChar w:fldCharType="separate"/>
      </w:r>
      <w:r w:rsidR="000E30FC" w:rsidRPr="000E30FC">
        <w:rPr>
          <w:rFonts w:ascii="Times New Roman" w:hAnsi="Times New Roman" w:cs="Times New Roman"/>
        </w:rPr>
        <w:t>(Audrain-McGovern et al., 2011)</w:t>
      </w:r>
      <w:r w:rsidR="000E30FC">
        <w:rPr>
          <w:rFonts w:ascii="Times New Roman" w:hAnsi="Times New Roman" w:cs="Times New Roman"/>
        </w:rPr>
        <w:fldChar w:fldCharType="end"/>
      </w:r>
      <w:r w:rsidRPr="009E6B70">
        <w:rPr>
          <w:rFonts w:ascii="Times New Roman" w:hAnsi="Times New Roman" w:cs="Times New Roman"/>
        </w:rPr>
        <w:t xml:space="preserve">. Both the development and maintenance of addiction may therefore be explained partially by an environmental absence of competing rewarding activities and/or some reduced capacity to derive reinforcement from alcohol-free activities </w:t>
      </w:r>
      <w:r w:rsidR="000E30FC">
        <w:rPr>
          <w:rFonts w:ascii="Times New Roman" w:hAnsi="Times New Roman" w:cs="Times New Roman"/>
        </w:rPr>
        <w:fldChar w:fldCharType="begin"/>
      </w:r>
      <w:r w:rsidR="000E30FC">
        <w:rPr>
          <w:rFonts w:ascii="Times New Roman" w:hAnsi="Times New Roman" w:cs="Times New Roman"/>
        </w:rPr>
        <w:instrText xml:space="preserve"> ADDIN ZOTERO_ITEM CSL_CITATION {"citationID":"zEgnyp96","properties":{"formattedCitation":"(Garfield et al., 2014; Higgins et al., 2004)","plainCitation":"(Garfield et al., 2014; Higgins et al., 2004)","noteIndex":0},"citationItems":[{"id":1360,"uris":["http://zotero.org/users/7873587/items/H5LFTCRX"],"itemData":{"id":1360,"type":"article-journal","abstract":"OBJECTIVE: There is growing evidence that anhedonia is a commonly experienced symptom among substance-using populations. This systematic review synthesises findings across a range of substances to address questions regarding the time course of anhedonia, how anhedonia relates to other symptoms of substance dependence and whether it is similarly prevalent across all addictive drugs.\nMETHOD: A literature search was conducted on PubMed, PsycINFO and MEDLINE, yielding 32 studies that used self-report measures of anhedonia among participants with a history of a substance abuse, dependence or long-term daily use of addictive substances.\nRESULTS: Findings from these studies indicate that anhedonia (1) is elevated in samples dependent on a range of substances; (2) typically appears as a consequence of substance abuse or dependence, and diminishes with abstinence; and (3) predicts increased drug cravings and the likelihood of relapse in those attempting abstinence.\nCONCLUSIONS: The common experience of anhedonia in substance-dependent populations, and its relationship to relapse, emphasises the importance of developing therapeutic interventions that specifically target anhedonia in the treatment of all substance use disorders.","container-title":"The Australian and New Zealand Journal of Psychiatry","DOI":"10.1177/0004867413508455","ISSN":"1440-1614","issue":"1","journalAbbreviation":"Aust N Z J Psychiatry","language":"eng","note":"PMID: 24270310","page":"36-51","source":"PubMed","title":"Anhedonia in substance use disorders: a systematic review of its nature, course and clinical correlates","title-short":"Anhedonia in substance use disorders","volume":"48","author":[{"family":"Garfield","given":"Joshua B. B."},{"family":"Lubman","given":"Dan I."},{"family":"Yücel","given":"Murat"}],"issued":{"date-parts":[["2014",1]]}},"label":"act"},{"id":488,"uris":["http://zotero.org/users/7873587/items/FW7DYWKN"],"itemData":{"id":488,"type":"article-journal","abstract":"Extensive scientific evidence indicates that reinforcement plays an important role in the genesis, maintenance, and recovery from substance use disorders. In this chapter, we review recent clinical research from laboratory, clinic, and naturalistic settings examining the role of reinforcement in substance use disorders. Well-controlled human laboratory studies are reviewed characterizing orderly interactions between the reinforcing effects of drugs and environmental context that have important implications for understanding risk factors for substance use disorders and for the development of efficacious interventions. Recent treatment-outcome studies on voucher-based contingency management and community reinforcement therapy are reviewed demonstrating how reinforcement and related principles can be used to improve outcomes across a wide range of different substance use disorders and populations. Overall, the chapter characterizes a vigorous area of clinical research that has much to contribute to a scientific analysis of substance use disorders.","container-title":"Annual Review of Psychology","DOI":"10.1146/annurev.psych.55.090902.142033","ISSN":"0066-4308","journalAbbreviation":"Annu Rev Psychol","language":"eng","note":"PMID: 14744222","page":"431-461","source":"PubMed","title":"Clinical implications of reinforcement as a determinant of substance use disorders","volume":"55","author":[{"family":"Higgins","given":"Stephen T."},{"family":"Heil","given":"Sarah H."},{"family":"Lussier","given":"Jennifer Plebani"}],"issued":{"date-parts":[["2004"]]}},"label":"act"}],"schema":"https://github.com/citation-style-language/schema/raw/master/csl-citation.json"} </w:instrText>
      </w:r>
      <w:r w:rsidR="000E30FC">
        <w:rPr>
          <w:rFonts w:ascii="Times New Roman" w:hAnsi="Times New Roman" w:cs="Times New Roman"/>
        </w:rPr>
        <w:fldChar w:fldCharType="separate"/>
      </w:r>
      <w:r w:rsidR="000E30FC" w:rsidRPr="000E30FC">
        <w:rPr>
          <w:rFonts w:ascii="Times New Roman" w:hAnsi="Times New Roman" w:cs="Times New Roman"/>
        </w:rPr>
        <w:t>(Garfield et al., 2014; Higgins et al., 2004)</w:t>
      </w:r>
      <w:r w:rsidR="000E30FC">
        <w:rPr>
          <w:rFonts w:ascii="Times New Roman" w:hAnsi="Times New Roman" w:cs="Times New Roman"/>
        </w:rPr>
        <w:fldChar w:fldCharType="end"/>
      </w:r>
      <w:r w:rsidR="000E30FC">
        <w:rPr>
          <w:rFonts w:ascii="Times New Roman" w:hAnsi="Times New Roman" w:cs="Times New Roman"/>
        </w:rPr>
        <w:t>.</w:t>
      </w:r>
    </w:p>
    <w:p w14:paraId="7877D3B0" w14:textId="77777777" w:rsidR="009E6B70" w:rsidRPr="009E6B70" w:rsidRDefault="009E6B70" w:rsidP="009E6B70">
      <w:pPr>
        <w:pStyle w:val="NoSpacing"/>
        <w:spacing w:line="480" w:lineRule="auto"/>
        <w:rPr>
          <w:rFonts w:ascii="Times New Roman" w:hAnsi="Times New Roman" w:cs="Times New Roman"/>
        </w:rPr>
      </w:pPr>
    </w:p>
    <w:p w14:paraId="2800F95B" w14:textId="59521F65" w:rsidR="009E6B70" w:rsidRPr="009E6B70" w:rsidRDefault="009E6B70" w:rsidP="006A20E7">
      <w:pPr>
        <w:pStyle w:val="NoSpacing"/>
        <w:spacing w:line="480" w:lineRule="auto"/>
        <w:rPr>
          <w:rFonts w:ascii="Times New Roman" w:hAnsi="Times New Roman" w:cs="Times New Roman"/>
        </w:rPr>
      </w:pPr>
      <w:r w:rsidRPr="009E6B70">
        <w:rPr>
          <w:rFonts w:ascii="Times New Roman" w:hAnsi="Times New Roman" w:cs="Times New Roman"/>
        </w:rPr>
        <w:t xml:space="preserve">It is common for people to reduce their consumption of alcohol without seeking treatment </w:t>
      </w:r>
      <w:r w:rsidR="000E30F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{"citationID":"2J5wx69f","properties":{"formattedCitation":"(Britton et al., 2015; Dawson et al., 2005, 2006; Heyman, 2013; Tucker et al., 2020)","plainCitation":"(Britton et al., 2015; Dawson et al., 2005, 2006; Heyman, 2013; Tucker et al., 2020)","noteIndex":0},"citationItems":[{"id":1286,"uris":["http://zotero.org/users/7873587/items/68UVERYX"],"itemData":{"id":1286,"type":"article-journal","abstract":"BACKGROUND: Alcohol consumption patterns change across life and this is not fully captured in cross-sectional series data. Analysis of longitudinal data, with repeat alcohol measures, is necessary to reveal changes within the same individuals as they age. Such data are scarce and few studies are able to capture multiple decades of the life course. Therefore, we examined alcohol consumption trajectories, reporting both average weekly volume and frequency, using data from cohorts with repeated measures that cover different and overlapping periods of life.\nMETHODS: Data were from nine UK-based prospective cohorts with at least three repeated alcohol consumption measures on individuals (combined sample size of 59,397 with 174,666 alcohol observations), with data spanning from adolescence to very old age (90 years plus). Information on volume and frequency of drinking were harmonised across the cohorts. Predicted volume of alcohol by age was estimated using random effect multilevel models fitted to each cohort. Quadratic and cubic polynomial terms were used to describe non-linear age trajectories. Changes in drinking frequency by age were calculated from observed data within each cohort and then smoothed using locally weighted scatterplot smoothing. Models were fitted for men and women separately.\nRESULTS: We found that, for men, mean consumption rose sharply during adolescence, peaked at around 25 years at 20 units per week, and then declined and plateaued during mid-life, before declining from around 60 years. A similar trajectory was seen for women, but with lower overall consumption (peak of around 7 to 8 units per week). Frequent drinking (daily or most days of the week) became more common during mid to older age, most notably among men, reaching above 50% of men.\nCONCLUSIONS: This is the first attempt to synthesise longitudinal data on alcohol consumption from several overlapping cohorts to represent the entire life course and illustrates the importance of recognising that this behaviour is dynamic. The aetiological findings from epidemiological studies using just one exposure measure of alcohol, as is typically done, should be treated with caution. Having a better understanding of how drinking changes with age may help design intervention strategies.","container-title":"BMC medicine","DOI":"10.1186/s12916-015-0273-z","ISSN":"1741-7015","journalAbbreviation":"BMC Med","language":"eng","note":"PMID: 25858476\nPMCID: PMC4351673","page":"47","source":"PubMed","title":"Life course trajectories of alcohol consumption in the United Kingdom using longitudinal data from nine cohort studies","volume":"13","author":[{"family":"Britton","given":"Annie"},{"family":"Ben-Shlomo","given":"Yoav"},{"family":"Benzeval","given":"Michaela"},{"family":"Kuh","given":"Diana"},{"family":"Bell","given":"Steven"}],"issued":{"date-parts":[["2015",3,6]]}},"label":"act"},{"id":1245,"uris":["http://zotero.org/users/7873587/items/6RCXBNU2"],"itemData":{"id":1245,"type":"article-journal","abstract":"Aims To investigate the prevalence and correlates of recovery from Diagnostic and Statistical Manual version IV (DSM-IV) alcohol dependence by examining the past-year status of individuals who met the criteria for prior-to-past-year (PPY) dependence. Design Cross-sectional, retrospective survey of a nationally representative sample of US adults 18 years of age and over (first wave of a planned longitudinal survey). Methods This analysis is based on data from the 2001–02 National Epidemiologic Survey on Alcohol and Related Conditions (NESARC), in which data were collected in personal interviews conducted with one randomly selected adult in each sample household. A subset of the NESARC sample (total n = 43 093), consisting of 4422 US adults 18 years of age and over classified with PPY DSM-IV alcohol dependence, were evaluated with respect to their past-year recovery status: past-year dependence, partial remission, full remission, asymptomatic risk drinking, abstinent recovery (AR) and non-abstinent recovery (NR). Correlates of past-year status were examined in bivariate analyses and using multivariate logistic regression models. Findings Of people classified with PPY alcohol dependence, 25.0% were still classified as dependent in the past year; 27.3% were classified as being in partial remission; 11.8% were asymptomatic risk drinkers who demonstrated a pattern of drinking that put them at risk of relapse; 17.7% were low-risk drinkers; and 18.2% were abstainers. Only 25.5% of people with PPY dependence ever received treatment. Being married was associated positively with the odds of both AR and NR, and ethanol intake was negatively associated with both. Severity of dependence increased the odds of AR but decreased the odds of NR. The odds of AR (but not NR) increased with age and female gender but were decreased by the presence of a personality disorder. Treatment history modified the effects of college attendance/graduation, age at onset and interval since onset on the odds of recovery. Conclusions There is a substantial level of recovery from alcohol dependence. Information on factors associated with recovery may be useful in targeting appropriate treatment modalities.","container-title":"Addiction","DOI":"10.1111/j.1360-0443.2004.00964.x","ISSN":"1360-0443","issue":"3","language":"en","note":"_eprint: https://onlinelibrary.wiley.com/doi/pdf/10.1111/j.1360-0443.2004.00964.x","page":"281-292","source":"Wiley Online Library","title":"Recovery from DSM-IV alcohol dependence: United States, 2001–2002","title-short":"Recovery from DSM-IV alcohol dependence","volume":"100","author":[{"family":"Dawson","given":"Deborah A."},{"family":"Grant","given":"Bridget F."},{"family":"Stinson","given":"Frederick S."},{"family":"Chou","given":"Patricia S."},{"family":"Huang","given":"Boji"},{"family":"Ruan","given":"W. June"}],"issued":{"date-parts":[["2005"]]}},"label":"act"},{"id":1192,"uris":["http://zotero.org/users/7873587/items/R9G3SK47"],"itemData":{"id":1192,"type":"article-journal","abstract":"OBJECTIVE: The purpose of this study was to investigate the effects of transitional life events related to education, employment, and family formation on the likelihood of recovery from alcohol dependence as defined by the Diagnostic and Statistical Manual of Mental Disorders, Fourth Edition (DSM-IV), distinguishing the short- and long-term effects of these events and potential effect modification by treatment history, gender, and severity of dependence.\nMETHOD: This analysis is based on data from the Wave 1 2001-2002 National Epidemiologic Survey on Alcohol and Related Conditions (NESARC), a cross-sectional, retrospective survey of a nationally representative sample of U.S. adults 18 years of age and older. The analytic sample consisted of 4,422 individuals with prior-to-past-year (PPY) onset of DSM-IV alcohol dependence. Time-dependent proportional hazards models were used to estimate the effects of completing school, starting full-time work, getting married, becoming separated/divorced/widowed, and becoming a parent on the outcomes of nonabstinent recovery (NR; e.g., low-risk asymptomatic drinking) and abstinent recovery (AR).\nRESULTS: Entry into and exit from a first marriage each increased the likelihood of NR during the first 3 years after those events occurred (hazard rate ratio [HRR] = 1.37 and 1.76, respectively). However, individuals who were still dependent 3 or more years after those events occurred had a decreased likelihood of subsequent NR (HRR = 0.70 for both events), as did those who were still dependent 3 or more years after completing schooling (HRR = 0.54). The likelihood of AR was more than doubled in the 3 years after first becoming a parent (HRR = 2.22) but was decreased among individuals still dependent 3 or more years after starting full-time work. For the outcome of NR, all of the negative effects associated with still being dependent 3 or more years after the occurrence of key life events were more strongly negative among individuals with less severe cases of dependence.\nCONCLUSIONS: Transitional life events demonstrate many effects on recovery, including both direct effects consistent with role socialization and associations more reflective of selectivity than causation. Taken as a whole, these events appear to contribute to (but by no means fully explain) the high rates of recovery from alcohol dependence that have been observed even in the absence of treatment.","container-title":"Journal of Studies on Alcohol","DOI":"10.15288/jsa.2006.67.195","ISSN":"0096-882X","issue":"2","journalAbbreviation":"J Stud Alcohol","language":"eng","note":"PMID: 16568565","page":"195-203","source":"PubMed","title":"Maturing out of alcohol dependence: the impact of transitional life events","title-short":"Maturing out of alcohol dependence","volume":"67","author":[{"family":"Dawson","given":"Deborah A."},{"family":"Grant","given":"Bridget F."},{"family":"Stinson","given":"Frederick S."},{"family":"Chou","given":"Patricia S."}],"issued":{"date-parts":[["2006",3]]}},"label":"act"},{"id":1194,"uris":["http://zotero.org/users/7873587/items/EVK5TMZB"],"itemData":{"id":1194,"type":"article-journal","abstract":"Addiction’s biological basis has been the focus of much research. The findings have persuaded experts and the public that drug use in addicts is compulsive. But the word “compulsive” identifies patterns of behavior, and all behavior has a biological basis, including voluntary actions. Thus, the question is not whether addiction has a biology, which it must, but whether it is sensible to say that addicts use drugs compulsively. The relevant research shows most of those who meet the American Psychiatric Association’s criteria for addiction quit using illegal drugs by about age 30, that they usually quit without professional help, and that the correlates of quitting include legal concerns, economic pressures, and the desire for respect, particularly from family members. That is, the correlates of quitting are the correlates of choice not compulsion. However, addiction is, by definition, a disorder, and thereby not beneficial in the long run. This is precisely the pattern of choices predicted by quantitative choice principles, such as the matching law, melioration, and hyperbolic discounting. Although the brain disease model of addiction is perceived by many as received knowledge it is not supported by research or logic. In contrast, well established, quantitative choice principles predict both the possibility and the details of addiction.","container-title":"Frontiers in Psychiatry","ISSN":"1664-0640","source":"Frontiers","title":"Addiction and Choice: Theory and New Data","title-short":"Addiction and Choice","URL":"https://www.frontiersin.org/articles/10.3389/fpsyt.2013.00031","volume":"4","author":[{"family":"Heyman","given":"Gene M."}],"accessed":{"date-parts":[["2022",8,1]]},"issued":{"date-parts":[["2013"]]}},"label":"act"},{"id":1199,"uris":["http://zotero.org/users/7873587/items/7RDL44BJ"],"itemData":{"id":1199,"type":"article-journal","abstract":"Almost one-third of the U.S. population meets alcohol use disorder (AUD) criteria on a lifetime basis. This review provides an overview of recent research on the prevalence and patterns of alcohol-related improvement and selectively reviews nationally representative surveys and studies that followed risk groups longitudinally with a goal of informing patients with AUD and AUD researchers, clinicians, and policy-makers about patterns of improvement in the population. Based on the research, alcohol use increases during adolescence and early adulthood and then decreases beginning in the mid-20s across the adult life span. Approximately 70% of persons with AUD and alcohol problems improve without interventions (natural recovery), and fewer than 25% utilize alcohol-focused services. Low-risk drinking is a more common outcome in untreated samples, in part because seeking treatment is associated with higher problem severity. Sex differences are more apparent in help-seeking than recovery patterns, and women have lower help-seeking rates than men. Whites are proportionately more likely to utilize services than are Blacks and Hispanics. Improving recovery rates will likely require offering interventions outside of the health care sector to affected communities and utilizing social networks and public health tools to close the longstanding gap between need and utilization of AUD-focused services.","container-title":"Alcohol Research: Current Reviews","DOI":"10.35946/arcr.v40.3.02","ISSN":"2168-3492","issue":"3","journalAbbreviation":"Alcohol Res","note":"PMID: 33194507\nPMCID: PMC7643818","page":"02","source":"PubMed Central","title":"Epidemiology of recovery from alcohol use disorder","volume":"40","author":[{"family":"Tucker","given":"Jalie A."},{"family":"Chandler","given":"Susan D."},{"family":"Witkiewitz","given":"Katie"}],"issued":{"date-parts":[["2020",11,12]]}},"label":"act"}],"schema":"https://github.com/citation-style-language/schema/raw/master/csl-citation.json"} </w:instrText>
      </w:r>
      <w:r w:rsidR="000E30FC">
        <w:rPr>
          <w:rFonts w:ascii="Times New Roman" w:hAnsi="Times New Roman" w:cs="Times New Roman"/>
        </w:rPr>
        <w:fldChar w:fldCharType="separate"/>
      </w:r>
      <w:r w:rsidR="006A20E7" w:rsidRPr="006A20E7">
        <w:rPr>
          <w:rFonts w:ascii="Times New Roman" w:hAnsi="Times New Roman" w:cs="Times New Roman"/>
        </w:rPr>
        <w:t>(Britton et al., 2015; Dawson et al., 2005, 2006; Heyman, 2013; Tucker et al., 2020)</w:t>
      </w:r>
      <w:r w:rsidR="000E30FC">
        <w:rPr>
          <w:rFonts w:ascii="Times New Roman" w:hAnsi="Times New Roman" w:cs="Times New Roman"/>
        </w:rPr>
        <w:fldChar w:fldCharType="end"/>
      </w:r>
      <w:r w:rsidRPr="009E6B70">
        <w:rPr>
          <w:rFonts w:ascii="Times New Roman" w:hAnsi="Times New Roman" w:cs="Times New Roman"/>
        </w:rPr>
        <w:t xml:space="preserve"> and overall there are likely several different pathways to alcohol moderation. For example, a study using data from a national monthly survey in England identified that approximately 20% of high-risk drinkers were attempting to moderate or reduce their consumption </w:t>
      </w:r>
      <w:r w:rsidR="006A20E7">
        <w:rPr>
          <w:rFonts w:ascii="Times New Roman" w:hAnsi="Times New Roman" w:cs="Times New Roman"/>
        </w:rPr>
        <w:fldChar w:fldCharType="begin"/>
      </w:r>
      <w:r w:rsidR="006A20E7">
        <w:rPr>
          <w:rFonts w:ascii="Times New Roman" w:hAnsi="Times New Roman" w:cs="Times New Roman"/>
        </w:rPr>
        <w:instrText xml:space="preserve"> ADDIN ZOTERO_ITEM CSL_CITATION {"citationID":"rxFiuHrO","properties":{"formattedCitation":"(Beard et al., 2017)","plainCitation":"(Beard et al., 2017)","noteIndex":0},"citationItems":[{"id":734,"uris":["http://zotero.org/users/7873587/items/5ZM3ZZF5"],"itemData":{"id":734,"type":"article-journal","abstract":"Objective This study aimed to assess the predictors among high-risk drinkers in England of attempts to reduce alcohol consumption, the reasons given for these attempts and the association between the various reasons and alcohol consumption. Method Data came from 2,800 high-risk drinkers taking part in the Alcohol Toolkit Study (ATS) between March 2014 and November 2016 who were attempting to reduce their alcohol consumption. Participants completed the Alcohol Use Disorders Identification Test (AUDIT) and were asked questions regarding their socio-demographic characteristics, attempts to cut down and reasons for doing so. Results Those cutting down were significantly older (OR 1.01, p&lt;0.001), were more likely to be female (OR 1.32, p&lt;0.05), had higher AUDIT-C scores (OR 1.12, p&lt;0. 001), were less likely to be of white ethnicity (OR 0.64, p&lt;0. 001), and were more likely to reside in the South of England (OR 1.34, p&lt;0. 001). They were also more likely to be of higher occupationally-based social-grades (p&lt;0. 001). The main reported reasons for reducing consumption were: fitness (22.5%), weight loss (20.4%), future health (20.4%), advice from a health-care professional (7.9%) and cost (7.6%). Those reporting the followings reasons for cutting down had higher AUDIT-C scores than those who did not report these reasons: a concern about further health problems (β 0.20, p&lt;0.05), advice from a doctor/health worker (β 0.38, p&lt;0.05), that drinking was too expensive (β 0.42, p&lt;0.01) and detoxification (β 0.42, p&lt;0.01). Lower AUDIT-C scores were noted among those who reported that they knew someone who was cutting down (β -0.67, p&lt;0.05), that there was no reason (β -0.36, p&lt;0.05), or they didn’t know why they were cutting down (β -0.25, p&lt;0.05). Conclusions Around a fifth of high-risk drinkers in England report trying to reduce their drinking, particularly older, high-socioeconomic female drinkers from the south of England. Attempts to cut down appear to be driven by a desire to improve health, advice from others and cutting down on the cost of drinking.","container-title":"PLOS ONE","DOI":"10.1371/journal.pone.0173458","ISSN":"1932-6203","issue":"3","journalAbbreviation":"PLOS ONE","language":"en","note":"publisher: Public Library of Science","page":"e0173458","source":"PLoS Journals","title":"Predictors of and reasons for attempts to reduce alcohol intake: A population survey of adults in England","title-short":"Predictors of and reasons for attempts to reduce alcohol intake","volume":"12","author":[{"family":"Beard","given":"Emma"},{"family":"Brown","given":"Jamie"},{"family":"Kaner","given":"Eileen"},{"family":"West","given":"Robert"},{"family":"Michie","given":"Susan"}],"issued":{"date-parts":[["2017",3,9]]}}}],"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(Beard et al., 2017)</w:t>
      </w:r>
      <w:r w:rsidR="006A20E7">
        <w:rPr>
          <w:rFonts w:ascii="Times New Roman" w:hAnsi="Times New Roman" w:cs="Times New Roman"/>
        </w:rPr>
        <w:fldChar w:fldCharType="end"/>
      </w:r>
      <w:r w:rsidRPr="009E6B70">
        <w:rPr>
          <w:rFonts w:ascii="Times New Roman" w:hAnsi="Times New Roman" w:cs="Times New Roman"/>
        </w:rPr>
        <w:t xml:space="preserve"> and that core motivations were health, concern from others, and financial costs (Beard et al., 2017). Motivation to reduce drinking has been found to prospectively predict attempts to cut down </w:t>
      </w:r>
      <w:r w:rsidR="006A20E7">
        <w:rPr>
          <w:rFonts w:ascii="Times New Roman" w:hAnsi="Times New Roman" w:cs="Times New Roman"/>
        </w:rPr>
        <w:fldChar w:fldCharType="begin"/>
      </w:r>
      <w:r w:rsidR="006A20E7">
        <w:rPr>
          <w:rFonts w:ascii="Times New Roman" w:hAnsi="Times New Roman" w:cs="Times New Roman"/>
        </w:rPr>
        <w:instrText xml:space="preserve"> ADDIN ZOTERO_ITEM CSL_CITATION {"citationID":"XatqIkNY","properties":{"formattedCitation":"(de Vocht et al., 2018)","plainCitation":"(de Vocht et al., 2018)","noteIndex":0},"citationItems":[{"id":737,"uris":["http://zotero.org/users/7873587/items/YNL9ZG2E"],"itemData":{"id":737,"type":"article-journal","abstract":"AIMS: To assess how far motivation to reduce alcohol consumption in increasing and higher-risk drinkers in England predicts self-reported attempts to reduce alcohol consumption and changes in alcohol intake during the following 6 months.\nMETHODS: This study used self-reported data from 2928 higher-risk drinkers in the Alcohol Toolkit Study (ATS): a series of monthly cross-sectional household surveys of adults aged 16+ years of age in England. Alcohol consumption was measured in an initial survey and in a 6-month telephone follow-up interview using the Alcohol Use Disorders Identification Test (AUDIT)-C questionnaire. Motivation was measured in the initial survey using the Motivation to Reduce Alcohol Consumption (MRAC) scale. Attempts to reduce alcohol consumption during the past 6 months were recorded at follow-up. Data were analysed using repeated-measures difference-in-differences and logistic regression models.\nRESULTS: Participants with higher initial motivation to reduce alcohol consumption were more likely to report that they had made an attempt to reduce consumption at follow-up [adjusted odds ratio (ORadj ) = 2.39, 95% confidence interval (CI) = 1.75-3.29]. There was an overall reduction in alcohol consumption between initial survey and follow-up (ORadj  = 0.72, 95% CI = 0.65-0.79), but there was insufficient evidence of an additional effect of motivation to reduce consumption on subsequent changes in alcohol consumption, with the difference-in-differences effect instead suggesting an average increase (ORadj  = 1.37, 95% CI = 1.00-1.88).\nCONCLUSIONS: Increasing and higher-risk drinkers in England who report greater motivation to reduce their consumption are more likely to report making an attempt to reduce during the next 6 months, but this may not be associated with a reduction in alcohol consumption.","container-title":"Addiction","DOI":"10.1111/add.14132","ISSN":"1360-0443","issue":"5","journalAbbreviation":"Addiction","language":"eng","note":"PMID: 29368391\nPMCID: PMC5947299","page":"817-827","source":"PubMed","title":"Motivation to reduce alcohol consumption and subsequent attempts at reduction and changes in consumption in increasing and higher-risk drinkers in England: a prospective population survey","title-short":"Motivation to reduce alcohol consumption and subsequent attempts at reduction and changes in consumption in increasing and higher-risk drinkers in England","volume":"113","author":[{"family":"Vocht","given":"Frank","non-dropping-particle":"de"},{"family":"Brown","given":"Jamie"},{"family":"Beard","given":"Emma"},{"family":"West","given":"Robert"},{"family":"Michie","given":"Susan"},{"family":"Campbell","given":"Rona"},{"family":"Hickman","given":"Matthew"}],"issued":{"date-parts":[["2018",5]]}}}],"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(de Vocht et al., 2018)</w:t>
      </w:r>
      <w:r w:rsidR="006A20E7">
        <w:rPr>
          <w:rFonts w:ascii="Times New Roman" w:hAnsi="Times New Roman" w:cs="Times New Roman"/>
        </w:rPr>
        <w:fldChar w:fldCharType="end"/>
      </w:r>
      <w:r w:rsidRPr="009E6B70">
        <w:rPr>
          <w:rFonts w:ascii="Times New Roman" w:hAnsi="Times New Roman" w:cs="Times New Roman"/>
        </w:rPr>
        <w:t>, although this did not translate into reductions in actual alcohol consumption at a 6-month follow-up.</w:t>
      </w:r>
    </w:p>
    <w:p w14:paraId="486AD99F" w14:textId="77777777" w:rsidR="009E6B70" w:rsidRPr="009E6B70" w:rsidRDefault="009E6B70" w:rsidP="009E6B70">
      <w:pPr>
        <w:pStyle w:val="NoSpacing"/>
        <w:spacing w:line="480" w:lineRule="auto"/>
        <w:rPr>
          <w:rFonts w:ascii="Times New Roman" w:hAnsi="Times New Roman" w:cs="Times New Roman"/>
        </w:rPr>
      </w:pPr>
    </w:p>
    <w:p w14:paraId="462B8021" w14:textId="0ECDF6CF" w:rsidR="009E6B70" w:rsidRPr="009E6B70" w:rsidRDefault="009E6B70" w:rsidP="00687B11">
      <w:pPr>
        <w:pStyle w:val="NoSpacing"/>
        <w:spacing w:line="480" w:lineRule="auto"/>
        <w:rPr>
          <w:rFonts w:ascii="Times New Roman" w:hAnsi="Times New Roman" w:cs="Times New Roman"/>
        </w:rPr>
      </w:pPr>
      <w:r w:rsidRPr="009E6B70">
        <w:rPr>
          <w:rFonts w:ascii="Times New Roman" w:hAnsi="Times New Roman" w:cs="Times New Roman"/>
        </w:rPr>
        <w:t xml:space="preserve">Behavioural economic accounts (Bickel et al., 2014; Tucker et al., 2021) posit that for such behaviour change to occur, the distortions in valuation processes that leave people vulnerable to addiction must be reversed such that alcohol is no longer excessively valued relative to alcohol-free alternative reinforcers. Indeed, research conducted in treatment settings </w:t>
      </w:r>
      <w:r w:rsidR="006A20E7">
        <w:rPr>
          <w:rFonts w:ascii="Times New Roman" w:hAnsi="Times New Roman" w:cs="Times New Roman"/>
        </w:rPr>
        <w:fldChar w:fldCharType="begin"/>
      </w:r>
      <w:r w:rsidR="006A20E7">
        <w:rPr>
          <w:rFonts w:ascii="Times New Roman" w:hAnsi="Times New Roman" w:cs="Times New Roman"/>
        </w:rPr>
        <w:instrText xml:space="preserve"> ADDIN ZOTERO_ITEM CSL_CITATION {"citationID":"xyTwCBA2","properties":{"formattedCitation":"(Hardy et al., 2018)","plainCitation":"(Hardy et al., 2018)","noteIndex":0},"citationItems":[{"id":830,"uris":["http://zotero.org/users/7873587/items/NPLX5NWL"],"itemData":{"id":830,"type":"article-journal","abstract":"Concurrent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 xml:space="preserve">(Hardy </w:t>
      </w:r>
      <w:r w:rsidR="006A20E7" w:rsidRPr="006A20E7">
        <w:rPr>
          <w:rFonts w:ascii="Times New Roman" w:hAnsi="Times New Roman" w:cs="Times New Roman"/>
        </w:rPr>
        <w:lastRenderedPageBreak/>
        <w:t>et al., 2018)</w:t>
      </w:r>
      <w:r w:rsidR="006A20E7">
        <w:rPr>
          <w:rFonts w:ascii="Times New Roman" w:hAnsi="Times New Roman" w:cs="Times New Roman"/>
        </w:rPr>
        <w:fldChar w:fldCharType="end"/>
      </w:r>
      <w:r w:rsidRPr="009E6B70">
        <w:rPr>
          <w:rFonts w:ascii="Times New Roman" w:hAnsi="Times New Roman" w:cs="Times New Roman"/>
        </w:rPr>
        <w:t xml:space="preserve"> found that compared to people who self-reported current alcohol consumption, self-report alcohol abstinence was characterised by lowered alcohol value (indexed by lower percentage of alcohol relative to alcohol-free choice). Furthermore, prospective studies support the notion that shifts in behavioural allocation away from alcohol and towards alcohol-free alternative reinforcers underlie natural recovery</w:t>
      </w:r>
      <w:r w:rsidRPr="004B73B2">
        <w:rPr>
          <w:rStyle w:val="FootnoteReference"/>
        </w:rPr>
        <w:footnoteReference w:id="17"/>
      </w:r>
      <w:r w:rsidRPr="009E6B70">
        <w:rPr>
          <w:rFonts w:ascii="Times New Roman" w:hAnsi="Times New Roman" w:cs="Times New Roman"/>
        </w:rPr>
        <w:t xml:space="preserve"> from AUD </w:t>
      </w:r>
      <w:r w:rsidR="006A20E7">
        <w:rPr>
          <w:rFonts w:ascii="Times New Roman" w:hAnsi="Times New Roman" w:cs="Times New Roman"/>
        </w:rPr>
        <w:fldChar w:fldCharType="begin"/>
      </w:r>
      <w:r w:rsidR="006A20E7">
        <w:rPr>
          <w:rFonts w:ascii="Times New Roman" w:hAnsi="Times New Roman" w:cs="Times New Roman"/>
        </w:rPr>
        <w:instrText xml:space="preserve"> ADDIN ZOTERO_ITEM CSL_CITATION {"citationID":"95rvTSXd","properties":{"formattedCitation":"(Tucker et al., 2016, 2021)","plainCitation":"(Tucker et al., 2016, 2021)","noteIndex":0},"citationItems":[{"id":456,"uris":["http://zotero.org/users/7873587/items/GHL5YU3Q"],"itemData":{"id":456,"type":"article-journal","abstract":"Background As interventions have expanded beyond clinical treatment to include brief interventions for persons with less severe alcohol problems, predicting who can achieve stable moderation drinking has gained importance. Recent behavioral economic (BE) research on natural recovery has shown that active problem drinkers who allocate their monetary expenditures on alcohol and saving for the future over longer time horizons tend to have better subsequent recovery outcomes, including maintenance of stable moderation drinking. This study compared the predictive utility of this money-based “Alcohol-Savings Discretionary Expenditure” (ASDE) index with multiple BE analogue measures of behavioral impulsivity and self-control, which have seldom been investigated together, to predict outcomes of natural recovery attempts. Methods Community-dwelling problem drinkers, enrolled shortly after stopping abusive drinking without treatment, were followed prospectively for up to a year (N = 175 [75.4% male], M age = 50.65 years). They completed baseline assessments of preresolution drinking practices and problems, analogue behavioral choice tasks (Delay Discounting, Melioration-Maximization, and Alcohol Purchase Tasks), and a Timeline Followback interview including expenditures on alcohol compared to voluntary savings (ASDE index) during the preresolution year. Results Multinomial logistic regression models showed that, among the BE measures, only the ASDE index predicted stable moderation drinking compared to stable abstinence or unstable resolutions involving relapse. As hypothesized, stable moderation was associated with more balanced preresolution allocations to drinking and savings (odds ratio = 1.77, 95% confidence interval = 1.02 to 3.08, p &lt; 0.05), suggesting it is associated with longer-term behavior regulation processes than abstinence. Conclusions The ASDE's unique predictive utility may rest on its comprehensive representation of contextual elements to support this patterning of behavioral allocation. Stable low-risk drinking, but not abstinence, requires such regulatory processes.","container-title":"Alcoholism: Clinical and Experimental Research","DOI":"10.1111/acer.13245","ISSN":"1530-0277","issue":"12","language":"en","page":"2676-2684","source":"Wiley Online Library","title":"Prospective analysis of behavioral economic predictors of stable moderation drinking among problem drinkers attempting natural recovery","volume":"40","author":[{"family":"Tucker","given":"Jalie A."},{"family":"Cheong","given":"JeeWon"},{"family":"Chandler","given":"Susan D."},{"family":"Lambert","given":"Brice H."},{"family":"Pietrzak","given":"Brittney"},{"family":"Kwok","given":"Heather"},{"family":"Davies","given":"Susan L."}],"issued":{"date-parts":[["2016"]]}},"label":"act"},{"id":1450,"uris":["http://zotero.org/users/7873587/items/86V94KBV"],"itemData":{"id":1450,"type":"article-journal","abstract":"Background Behavioral economics predicts that recovery from Alcohol Use Disorder involves shifts in resource allocation away from drinking, toward valuable nondrinking rewards that reinforce and stabilize recovery behavior patterns. Further, these shifts should distinguish nonproblem drinking (moderation) outcomes from outcomes involving abstinence or relapse. To evaluate these hypotheses, 5 prospective studies of recent natural recovery attempts were integrated to examine changes in monetary spending during the year following the initial cessation of heavy drinking as a function of 1-year drinking outcomes. Methods Problem drinkers from Southeastern U.S. communities (N = 493, 67% male, 65% white, mean age = 46.5 years) were enrolled soon after stopping heavy drinking without treatment and followed prospectively for a year. An expanded Timeline Followback interview assessed daily drinking and monetary spending on alcohol and nondrinking commodities during the year before and after recovery initiation. Results Longitudinal associations between postresolution drinking and spending were evaluated using MPlus v.8. Initial models evaluated whether changes in spending at 4-month intervals predicted drinking outcomes at 1 year and showed significant associations in 6 commodity categories (alcohol, consumable goods, gifts, entertainment, financial/legal affairs, housing/durable goods/insurance; ps &lt; 0.05). Cross-lagged models showed that the moderation outcome group shifted spending mid-year to obtain large rewards with enduring benefits (e.g., housing), whereas the abstinent and relapsed groups spent less overall and purchased smaller rewards (e.g., consumable goods, entertainment, and gifts) throughout the year. Conclusions Dynamic changes in monetary allocation occurred during the postresolution year. As hypothesized, compared to the groups who abstained or relapsed, the moderation group shifted spending in ways that, overall, yielded higher value alcohol-free reinforcement that should reinforce recovery while they enjoyed some limited nonproblem drinking below heavy drinking thresholds. These findings add to evidence that moderation entails different behavioral regulation processes than abstinent and relapse outcomes, which were more similar to one another.","container-title":"Alcoholism: Clinical and Experimental Research","DOI":"10.1111/acer.14620","ISSN":"1530-0277","issue":"6","language":"en","note":"_eprint: https://onlinelibrary.wiley.com/doi/pdf/10.1111/acer.14620","page":"1304-1316","source":"Wiley Online Library","title":"Shifts in behavioral allocation patterns as a natural recovery mechanism: Postresolution expenditure patterns","title-short":"Shifts in behavioral allocation patterns as a natural recovery mechanism","volume":"45","author":[{"family":"Tucker","given":"Jalie A."},{"family":"Cheong","given":"JeeWon"},{"family":"Chandler","given":"Susan D."}],"issued":{"date-parts":[["2021"]]}},"label":"act"}],"schema":"https://github.com/citation-style-language/schema/raw/master/csl-citation.json"}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(Tucker et al., 2016, 2021)</w:t>
      </w:r>
      <w:r w:rsidR="006A20E7">
        <w:rPr>
          <w:rFonts w:ascii="Times New Roman" w:hAnsi="Times New Roman" w:cs="Times New Roman"/>
        </w:rPr>
        <w:fldChar w:fldCharType="end"/>
      </w:r>
      <w:r w:rsidRPr="009E6B70">
        <w:rPr>
          <w:rFonts w:ascii="Times New Roman" w:hAnsi="Times New Roman" w:cs="Times New Roman"/>
        </w:rPr>
        <w:t xml:space="preserve">. In line with being recognised as a core target </w:t>
      </w:r>
      <w:r w:rsidR="006A20E7">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{"citationID":"ivbwxb6M","properties":{"formattedCitation":"(McKay, 2017)","plainCitation":"(McKay, 2017)","noteIndex":0},"citationItems":[{"id":1461,"uris":["http://zotero.org/users/7873587/items/9C4JF8KC"],"itemData":{"id":1461,"type":"article-journal","abstract":"Background\nResearch has led to improvements in the effectiveness of interventions for substance use disorders (SUD), but for the most part progress has been modest, particularly with regard to longer-term outcomes. Moreover, most individuals with SUD do not seek out treatment.\n\nArgument/analysis\nThis paper presents two recommendations on how to improve treatment engagement and long-term outcomes for those with SUD. First, treatments should go beyond a focus on reducing or eliminating substance use to target greater access to and more time spent in experiences that will be enjoyable or otherwise rewarding to clients. Second, there must be sufficient incentives in the environment to justify the effort needed to sustain long-term abstinence for individuals who often have limited access to such incentives.\n\nConclusions\nTo increase rates of long-term recovery from substance misuse, treatments should link clients to reinforcers that will make continued abstinence more appealing. This work needs to extend beyond interventions focused on the individual or family to include the local community and national policy in an effort to more strongly incentivize longer-term recoveries.","container-title":"Addiction","DOI":"10.1111/add.13502","ISSN":"0965-2140","issue":"5","journalAbbreviation":"Addiction","note":"PMID: 27535787\nPMCID: PMC5315690","page":"751-757","source":"PubMed Central","title":"Making the hard work of recovery more attractive for those with substance use disorders","volume":"112","author":[{"family":"McKay","given":"James R."}],"issued":{"date-parts":[["2017",5]]}}}],"schema":"https://github.com/citation-style-language/schema/raw/master/csl-citation.json"}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(McKay, 2017)</w:t>
      </w:r>
      <w:r w:rsidR="006A20E7">
        <w:rPr>
          <w:rFonts w:ascii="Times New Roman" w:hAnsi="Times New Roman" w:cs="Times New Roman"/>
        </w:rPr>
        <w:fldChar w:fldCharType="end"/>
      </w:r>
      <w:r w:rsidRPr="009E6B70">
        <w:rPr>
          <w:rFonts w:ascii="Times New Roman" w:hAnsi="Times New Roman" w:cs="Times New Roman"/>
        </w:rPr>
        <w:t xml:space="preserve">, many efficacious treatment and brief interventions are based upon behavioural economic principles and aim to reinforce patterns of behaviour that offset distortions in valuation processes </w:t>
      </w:r>
      <w:r w:rsidR="006A20E7">
        <w:rPr>
          <w:rFonts w:ascii="Times New Roman" w:hAnsi="Times New Roman" w:cs="Times New Roman"/>
        </w:rPr>
        <w:fldChar w:fldCharType="begin"/>
      </w:r>
      <w:r w:rsidR="006A20E7">
        <w:rPr>
          <w:rFonts w:ascii="Times New Roman" w:hAnsi="Times New Roman" w:cs="Times New Roman"/>
        </w:rPr>
        <w:instrText xml:space="preserve"> ADDIN ZOTERO_ITEM CSL_CITATION {"citationID":"ifZMA18M","properties":{"formattedCitation":"(Fazzino et al., 2019)","plainCitation":"(Fazzino et al., 2019)","noteIndex":0},"citationItems":[{"id":1467,"uris":["http://zotero.org/users/7873587/items/6LVEFWZW"],"itemData":{"id":1467,"type":"article-journal","abstract":"BACKGROUND: Brief reinforcement-based psychosocial interventions such as behavioral activation (BA) and behavioral economics (BE) address imbalances in the reinforcement system that are strongly implicated in substance use. The present study reviewed a growing body of intervention studies that tested the efficacy of BA or BE in addressing substance use outcomes. The study also reviewed a smaller body of evidence exploring mechanisms of action and moderators of treatment efficacy for substance use outcomes.\nMETHOD: A comprehensive literature search of four databases was conducted to identify studies that tested either BA or BE interventions targeting outcomes and/or mechanisms of action specific to substance use. The search yielded 12 studies that met these criteria. Ten studies reported main outcomes of BA/BE interventions targeting substance use outcomes (N = 7 BA; N = 3 BE). Two additional studies addressed mechanisms of change by conducting secondary analyses of data from one of the other ten studies. Eight of the twelve studies tested mechanisms of change and/or moderators related to substance use.\nRESULTS: Among all ten outcome studies, 100% provided evidence suggesting efficacy of BA/BE in targeting substance use and/or use-related problems. In 90% (9/10) of studies, the BA/BE intervention condition evidenced significantly higher abstinence rates compared to controls and/or significant decreases in substance use from baseline. Most studies that assessed substance use-related problems (83%; 5/6) reported significant decreases in use-related problems. The majority of studies (80%; 8/10) reported medium to large effect sizes. The pattern of findings was similar for BA and BE interventions. Eight studies assessed change in mechanism of action and 38% (3/8) identified mechanisms of action, however, only two conducted a formal test of whether this variable mediated the relationship between condition and outcome. Two studies tested and identified significant moderators of treatment efficacy.\nCONCLUSIONS: Preliminary evidence supports the efficacy of reinforcement-based interventions in targeting substance use outcomes. The mechanisms driving BA/BE efficacy and factors that may moderate treatment effects are not sufficiently clear from the studies available and require further examination, although existing data does suggest promise and provides clues for next steps.","container-title":"Journal of Substance Abuse Treatment","DOI":"10.1016/j.jsat.2019.06.016","ISSN":"1873-6483","journalAbbreviation":"J Subst Abuse Treat","language":"eng","note":"PMID: 31370989","page":"83-96","source":"PubMed","title":"A systematic review of reinforcement-based interventions for substance use: Efficacy, mechanisms of action, and moderators of treatment effects","title-short":"A systematic review of reinforcement-based interventions for substance use","volume":"104","author":[{"family":"Fazzino","given":"Tera L."},{"family":"Bjorlie","given":"Kayla"},{"family":"Lejuez","given":"C. W."}],"issued":{"date-parts":[["2019",9]]}}}],"schema":"https://github.com/citation-style-language/schema/raw/master/csl-citation.json"}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(Fazzino et al., 2019)</w:t>
      </w:r>
      <w:r w:rsidR="006A20E7">
        <w:rPr>
          <w:rFonts w:ascii="Times New Roman" w:hAnsi="Times New Roman" w:cs="Times New Roman"/>
        </w:rPr>
        <w:fldChar w:fldCharType="end"/>
      </w:r>
      <w:r w:rsidRPr="009E6B70">
        <w:rPr>
          <w:rFonts w:ascii="Times New Roman" w:hAnsi="Times New Roman" w:cs="Times New Roman"/>
        </w:rPr>
        <w:t xml:space="preserve">. These include contingency management </w:t>
      </w:r>
      <w:r w:rsidR="006A20E7">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{"citationID":"UVfg40A7","properties":{"formattedCitation":"(Petry et al., 2017)","plainCitation":"(Petry et al., 2017)","noteIndex":0},"citationItems":[{"id":1471,"uris":["http://zotero.org/users/7873587/items/8ABIP8TW"],"itemData":{"id":1471,"type":"article-journal","abstract":"Contingency management (CM) interventions consistently improve substance abuse treatment outcomes, yet CM remains a highly controversial intervention and is rarely implemented in practice settings. This paper briefly outlines the evidence base of CM and then describes four of the most often cited concerns about it: philosophical, motivational, durability, and economic. Data supporting and refuting each of these issues are reviewed. The paper concludes with suggestions to address these matters and other important areas for CM research and implementation, with the aims of improving uptake of this efficacious intervention in practice settings and outcomes of patients with substance use disorders.","container-title":"Psychology of addictive behaviors","DOI":"10.1037/adb0000287","ISSN":"0893-164X","issue":"8","journalAbbreviation":"Psychol Addict Behav","note":"PMID: 28639812\nPMCID: PMC5714694","page":"897-906","source":"PubMed Central","title":"Contingency management treatment for substance use disorders: How far has it come, and where does it need to go?","title-short":"Contingency management treatment for substance use disorders","volume":"31","author":[{"family":"Petry","given":"Nancy M."},{"family":"Alessi","given":"Sheila M."},{"family":"Olmstead","given":"Todd A."},{"family":"Rash","given":"Carla J."},{"family":"Zajac","given":"Kristyn"}],"issued":{"date-parts":[["2017",12]]}}}],"schema":"https://github.com/citation-style-language/schema/raw/master/csl-citation.json"} </w:instrText>
      </w:r>
      <w:r w:rsidR="006A20E7">
        <w:rPr>
          <w:rFonts w:ascii="Times New Roman" w:hAnsi="Times New Roman" w:cs="Times New Roman"/>
        </w:rPr>
        <w:fldChar w:fldCharType="separate"/>
      </w:r>
      <w:r w:rsidR="006A20E7" w:rsidRPr="006A20E7">
        <w:rPr>
          <w:rFonts w:ascii="Times New Roman" w:hAnsi="Times New Roman" w:cs="Times New Roman"/>
        </w:rPr>
        <w:t>(Petry et al., 2017)</w:t>
      </w:r>
      <w:r w:rsidR="006A20E7">
        <w:rPr>
          <w:rFonts w:ascii="Times New Roman" w:hAnsi="Times New Roman" w:cs="Times New Roman"/>
        </w:rPr>
        <w:fldChar w:fldCharType="end"/>
      </w:r>
      <w:r w:rsidRPr="009E6B70">
        <w:rPr>
          <w:rFonts w:ascii="Times New Roman" w:hAnsi="Times New Roman" w:cs="Times New Roman"/>
        </w:rPr>
        <w:t xml:space="preserve">, behavioural activation (Daughters et al., 2018), and substance-free activity sessions </w:t>
      </w:r>
      <w:r w:rsidR="006A20E7">
        <w:rPr>
          <w:rFonts w:ascii="Times New Roman" w:hAnsi="Times New Roman" w:cs="Times New Roman"/>
        </w:rPr>
        <w:fldChar w:fldCharType="begin"/>
      </w:r>
      <w:r w:rsidR="00687B11">
        <w:rPr>
          <w:rFonts w:ascii="Times New Roman" w:hAnsi="Times New Roman" w:cs="Times New Roman"/>
        </w:rPr>
        <w:instrText xml:space="preserve"> ADDIN ZOTERO_ITEM CSL_CITATION {"citationID":"TixC5xhy","properties":{"formattedCitation":"(Murphy, Dennhardt, et al., 2012)","plainCitation":"(Murphy, Dennhardt, et al., 2012)","noteIndex":0},"citationItems":[{"id":1507,"uris":["http://zotero.org/users/7873587/items/WTDNLQ6L"],"itemData":{"id":1507,"type":"article-journal","abstract":"OBJECTIVE: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P."}],"issued":{"date-parts":[["2012",10]]}}}],"schema":"https://github.com/citation-style-language/schema/raw/master/csl-citation.json"} </w:instrText>
      </w:r>
      <w:r w:rsidR="006A20E7">
        <w:rPr>
          <w:rFonts w:ascii="Times New Roman" w:hAnsi="Times New Roman" w:cs="Times New Roman"/>
        </w:rPr>
        <w:fldChar w:fldCharType="separate"/>
      </w:r>
      <w:r w:rsidR="00687B11" w:rsidRPr="00687B11">
        <w:rPr>
          <w:rFonts w:ascii="Times New Roman" w:hAnsi="Times New Roman" w:cs="Times New Roman"/>
        </w:rPr>
        <w:t>(Murphy, Dennhardt, et al., 2012)</w:t>
      </w:r>
      <w:r w:rsidR="006A20E7">
        <w:rPr>
          <w:rFonts w:ascii="Times New Roman" w:hAnsi="Times New Roman" w:cs="Times New Roman"/>
        </w:rPr>
        <w:fldChar w:fldCharType="end"/>
      </w:r>
      <w:r w:rsidRPr="009E6B70">
        <w:rPr>
          <w:rFonts w:ascii="Times New Roman" w:hAnsi="Times New Roman" w:cs="Times New Roman"/>
        </w:rPr>
        <w:t>, for example. However, less is known about how valuation processes change as people who consume alcohol heavily (but who are not dependent) moderate their drinking. This study aimed to address this research question by characterizing alcohol moderation in heavy drinkers</w:t>
      </w:r>
      <w:r w:rsidRPr="004B73B2">
        <w:rPr>
          <w:rStyle w:val="FootnoteReference"/>
        </w:rPr>
        <w:footnoteReference w:id="18"/>
      </w:r>
      <w:r w:rsidRPr="009E6B70">
        <w:rPr>
          <w:rFonts w:ascii="Times New Roman" w:hAnsi="Times New Roman" w:cs="Times New Roman"/>
        </w:rPr>
        <w:t>.</w:t>
      </w:r>
    </w:p>
    <w:p w14:paraId="0DDF43E3" w14:textId="77777777" w:rsidR="009E6B70" w:rsidRPr="009E6B70" w:rsidRDefault="009E6B70" w:rsidP="009E6B70">
      <w:pPr>
        <w:pStyle w:val="NoSpacing"/>
        <w:spacing w:line="480" w:lineRule="auto"/>
        <w:rPr>
          <w:rFonts w:ascii="Times New Roman" w:hAnsi="Times New Roman" w:cs="Times New Roman"/>
        </w:rPr>
      </w:pPr>
    </w:p>
    <w:p w14:paraId="493C2365" w14:textId="4F2691BB" w:rsidR="009E6B70" w:rsidRPr="009E6B70" w:rsidRDefault="009E6B70" w:rsidP="00687B11">
      <w:pPr>
        <w:pStyle w:val="NoSpacing"/>
        <w:spacing w:line="480" w:lineRule="auto"/>
        <w:rPr>
          <w:rFonts w:ascii="Times New Roman" w:hAnsi="Times New Roman" w:cs="Times New Roman"/>
        </w:rPr>
      </w:pPr>
      <w:r w:rsidRPr="009E6B70">
        <w:rPr>
          <w:rFonts w:ascii="Times New Roman" w:hAnsi="Times New Roman" w:cs="Times New Roman"/>
        </w:rPr>
        <w:t xml:space="preserve">A further aim of this study was to apply recent advances in the measurement of value-based choice, specifically computational work on VBDM, to this research question. VBDM provides a framework and experimental procedure that can be used to model the internal processes that may precede observable behavioural choices, postulating that on average, people make momentary decisions guided by things that they value </w:t>
      </w:r>
      <w:r w:rsidR="00687B1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{"citationID":"79Ecgdpn","properties":{"formattedCitation":"(Berkman et al., 2017; Levy &amp; Glimcher, 2012; Rangel et al., 2008)","plainCitation":"(Berkman et al., 2017; Levy &amp; Glimcher, 2012; Rangel et al., 2008)","noteIndex":0},"citationItems":[{"id":1528,"uris":["http://zotero.org/users/7873587/items/BGCGUKYV"],"itemData":{"id":1528,"type":"article-journal","abstract":"Self-control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E."},{"family":"Inzlicht","given":"Michael"}],"issued":{"date-parts":[["2017"]]}},"label":"act"},{"id":1531,"uris":["http://zotero.org/users/7873587/items/882JVBYM"],"itemData":{"id":1531,"type":"article-journal","abstract":"How do humans make choices between different types of rewards? Economists have long argued on theoretical grounds that humans typically make these choices as if the values of the options they consider have been mapped to a single common scale for comparison. Neuroimaging studies in humans have recently begun to suggest the existence of a small group of specific brain sites that appear to encode the subjective values of different types of rewards on a neural common scale, almost exactly as predicted by theory. We have conducted a meta analysis using data from thirteen different functional magnetic resonance imaging studies published in recent years and we show that the principle brain area associated with this common representation is a subregion of the ventromedial prefrontal cortex (vmPFC)/orbitofrontal cortex (OFC). The data available today suggest that this common valuation path is a core system that participates in day-to-day decision making suggesting both a neurobiological foundation for standard economic theory and a tool for measuring preferences neurobiologically. Perhaps even more exciting is the possibility that our emerging understanding of the neural mechanisms for valuation and choice may provide fundamental insights into pathological choice behaviors like addiction, obesity and gambling.","collection-title":"Decision making","container-title":"Current Opinion in Neurobiology","DOI":"10.1016/j.conb.2012.06.001","ISSN":"0959-4388","issue":"6","journalAbbreviation":"Current Opinion in Neurobiology","language":"en","page":"1027-1038","source":"ScienceDirect","title":"The root of all value: a neural common currency for choice","title-short":"The root of all value","volume":"22","author":[{"family":"Levy","given":"Dino J"},{"family":"Glimcher","given":"Paul W"}],"issued":{"date-parts":[["2012",12,1]]}},"label":"act"},{"id":1536,"uris":["http://zotero.org/users/7873587/items/WLVILFCS"],"itemData":{"id":1536,"type":"article-journal","abstract":"Most behavioural and computational models of decision making assume that the following five processes are carried out at the time the decision is made: representation, action valuation, action selection, outcome valuation, and learning.On the basis of a sizeable body of animal and human behavioural evidence, several groups have proposed the existence of three different types of valuation systems: Pavlovian, habitual and goal-directed systems.Pavlovian systems assign value to only a small set of 'prepared' behaviours and thus have a limited behavioural repertoire. Nevertheless, they might be the driving force behind behaviours with important economic consequences (for example, overeating). Examples include preparatory behaviours, such as approaching a cue that predicts food, and consummatory behaviours, such as ingesting available food.Habit valuation systems learn to assign values to stimulus–response associations on the basis of previous experience through a process of trial-and-error. Examples of habits include a smoker's desire to have a cigarette at particular times of day (for example, after a meal) and a rat's tendency to forage in a cue-dependent location after sufficient training.Goal-directed systems assign values to actions by computing action–outcome associations and then evaluating the rewards that are associated with the different outcomes. An example of a goal-directed behaviour is the decision what to eat at a new restaurant.An important difference between habitual and goal-directed systems has to do with how they respond to changes in the environment. The goal-directed system updates the value of an action as soon as the value of its outcome changes, whereas the habit system only learns with repeated experience.The values computed by the three systems can be modulated by factors such as the risk that is associated with the decision, the time delay to the outcomes, and social considerations.The quality of the decisions made by an animal depend on how its brain assigns control to the different valuation systems in situations in which it has to make a choice between several potential actions that are assigned conflicting values.The learning properties of the habit system seem to be well-described by simple reinforcement algorithms, such as Q-learning. Some of the key computations that are predicted by these models are instantiated in the dopamine system.","container-title":"Nature Reviews Neuroscience","DOI":"10.1038/nrn2357","ISSN":"1471-0048","issue":"7","journalAbbreviation":"Nat Rev Neurosci","language":"en","license":"2008 Nature Publishing Group","note":"number: 7\npublisher: Nature Publishing Group","page":"545-556","source":"www.nature.com","title":"A framework for studying the neurobiology of value-based decision making","volume":"9","author":[{"family":"Rangel","given":"Antonio"},{"family":"Camerer","given":"Colin"},{"family":"Montague","given":"P. Read"}],"issued":{"date-parts":[["2008",7]]}},"label":"act"}],"schema":"https://github.com/citation-style-language/schema/raw/master/csl-citation.json"} </w:instrText>
      </w:r>
      <w:r w:rsidR="00687B11">
        <w:rPr>
          <w:rFonts w:ascii="Times New Roman" w:hAnsi="Times New Roman" w:cs="Times New Roman"/>
        </w:rPr>
        <w:fldChar w:fldCharType="separate"/>
      </w:r>
      <w:r w:rsidR="00687B11" w:rsidRPr="00687B11">
        <w:rPr>
          <w:rFonts w:ascii="Times New Roman" w:hAnsi="Times New Roman" w:cs="Times New Roman"/>
        </w:rPr>
        <w:t>(Berkman et al., 2017; Levy &amp; Glimcher, 2012; Rangel et al., 2008)</w:t>
      </w:r>
      <w:r w:rsidR="00687B11">
        <w:rPr>
          <w:rFonts w:ascii="Times New Roman" w:hAnsi="Times New Roman" w:cs="Times New Roman"/>
        </w:rPr>
        <w:fldChar w:fldCharType="end"/>
      </w:r>
      <w:r w:rsidRPr="009E6B70">
        <w:rPr>
          <w:rFonts w:ascii="Times New Roman" w:hAnsi="Times New Roman" w:cs="Times New Roman"/>
        </w:rPr>
        <w:t xml:space="preserve">. Contemporary VBDM accounts (e.g., Berkman et al., 2017) posit that once possible response options have been identified (e.g., whether to </w:t>
      </w:r>
      <w:r w:rsidRPr="009E6B70">
        <w:rPr>
          <w:rFonts w:ascii="Times New Roman" w:hAnsi="Times New Roman" w:cs="Times New Roman"/>
        </w:rPr>
        <w:lastRenderedPageBreak/>
        <w:t xml:space="preserve">consume alcohol, or whether to do something else), an overall value for each is computed as the weighted sum of diverse value input signals comprising the anticipated gains (e.g., social approval) and costs (e.g., effort). This is essential because it enables a person to compare and subsequently choose the response option with higher value (Berkman et al., 2017). Core parameters that are hypothesized to underlie value-based choice can be recovered through the application of the drift-diffusion model (DDM; Ratcliff &amp; </w:t>
      </w:r>
      <w:proofErr w:type="spellStart"/>
      <w:r w:rsidRPr="009E6B70">
        <w:rPr>
          <w:rFonts w:ascii="Times New Roman" w:hAnsi="Times New Roman" w:cs="Times New Roman"/>
        </w:rPr>
        <w:t>McKoon</w:t>
      </w:r>
      <w:proofErr w:type="spellEnd"/>
      <w:r w:rsidRPr="009E6B70">
        <w:rPr>
          <w:rFonts w:ascii="Times New Roman" w:hAnsi="Times New Roman" w:cs="Times New Roman"/>
        </w:rPr>
        <w:t>, 2008) to behavioural data (reaction time (RT) and accuracy) from two-alternative forced choice tasks. More specifically, the rate at which momentary value evidence is accumulated (EA rate) and how much evidence needs to be accumulated to trigger a response (response threshold) (Stafford et al., 2020). The following assumption underlies the DDM: evidence accumulates noisily until it reaches some threshold for responding, at which point that the decision is acted upon (for a review, see Ratcliff et al., 2016).</w:t>
      </w:r>
    </w:p>
    <w:p w14:paraId="2326C1EB" w14:textId="77777777" w:rsidR="009E6B70" w:rsidRPr="009E6B70" w:rsidRDefault="009E6B70" w:rsidP="009E6B70">
      <w:pPr>
        <w:pStyle w:val="NoSpacing"/>
        <w:spacing w:line="480" w:lineRule="auto"/>
        <w:rPr>
          <w:rFonts w:ascii="Times New Roman" w:hAnsi="Times New Roman" w:cs="Times New Roman"/>
        </w:rPr>
      </w:pPr>
    </w:p>
    <w:p w14:paraId="20EA2140" w14:textId="6CB9E405" w:rsidR="009E6B70" w:rsidRPr="009E6B70" w:rsidRDefault="009E6B70" w:rsidP="00AE41A7">
      <w:pPr>
        <w:pStyle w:val="NoSpacing"/>
        <w:spacing w:line="480" w:lineRule="auto"/>
        <w:rPr>
          <w:rFonts w:ascii="Times New Roman" w:hAnsi="Times New Roman" w:cs="Times New Roman"/>
        </w:rPr>
      </w:pPr>
      <w:r w:rsidRPr="009E6B70">
        <w:rPr>
          <w:rFonts w:ascii="Times New Roman" w:hAnsi="Times New Roman" w:cs="Times New Roman"/>
        </w:rPr>
        <w:t xml:space="preserve">VBDM has been tentatively extended to recovery from addiction (Copeland et al., 2021; Field, Heather, et al., 2020). According to this account, behaviour change occurs when distortions in valuation processes (i.e., </w:t>
      </w:r>
      <w:proofErr w:type="spellStart"/>
      <w:r w:rsidRPr="009E6B70">
        <w:rPr>
          <w:rFonts w:ascii="Times New Roman" w:hAnsi="Times New Roman" w:cs="Times New Roman"/>
        </w:rPr>
        <w:t>hypervaluation</w:t>
      </w:r>
      <w:proofErr w:type="spellEnd"/>
      <w:r w:rsidRPr="009E6B70">
        <w:rPr>
          <w:rFonts w:ascii="Times New Roman" w:hAnsi="Times New Roman" w:cs="Times New Roman"/>
        </w:rPr>
        <w:t xml:space="preserve"> of alcohol and </w:t>
      </w:r>
      <w:proofErr w:type="spellStart"/>
      <w:r w:rsidRPr="009E6B70">
        <w:rPr>
          <w:rFonts w:ascii="Times New Roman" w:hAnsi="Times New Roman" w:cs="Times New Roman"/>
        </w:rPr>
        <w:t>hypovaluation</w:t>
      </w:r>
      <w:proofErr w:type="spellEnd"/>
      <w:r w:rsidRPr="009E6B70">
        <w:rPr>
          <w:rFonts w:ascii="Times New Roman" w:hAnsi="Times New Roman" w:cs="Times New Roman"/>
        </w:rPr>
        <w:t xml:space="preserve"> of alcohol-free alternative rewards) are reversed, and this process can be attributed to alterations in the internal processes that precede discrete behavioural choices. More specifically, either in combination or isolation: suppressed EA rates for alcohol, amplified EA rates for alcohol-free alternatives, and upwards shifts in alcohol-related response thresholds. This neuroscientific account offers a molecular perspective that aligns with identification of </w:t>
      </w:r>
      <w:r w:rsidRPr="003E3170">
        <w:rPr>
          <w:rFonts w:ascii="Times New Roman" w:hAnsi="Times New Roman" w:cs="Times New Roman"/>
          <w:i/>
          <w:iCs/>
        </w:rPr>
        <w:t xml:space="preserve">efficient </w:t>
      </w:r>
      <w:r w:rsidRPr="009E6B70">
        <w:rPr>
          <w:rFonts w:ascii="Times New Roman" w:hAnsi="Times New Roman" w:cs="Times New Roman"/>
        </w:rPr>
        <w:t xml:space="preserve">causes </w:t>
      </w:r>
      <w:r w:rsidR="003E3170">
        <w:rPr>
          <w:rFonts w:ascii="Times New Roman" w:hAnsi="Times New Roman" w:cs="Times New Roman"/>
        </w:rPr>
        <w:fldChar w:fldCharType="begin"/>
      </w:r>
      <w:r w:rsidR="003E3170">
        <w:rPr>
          <w:rFonts w:ascii="Times New Roman" w:hAnsi="Times New Roman" w:cs="Times New Roman"/>
        </w:rPr>
        <w:instrText xml:space="preserve"> ADDIN ZOTERO_ITEM CSL_CITATION {"citationID":"AivOnIat","properties":{"formattedCitation":"(Rachlin, 1992)","plainCitation":"(Rachlin, 1992)","noteIndex":0},"citationItems":[{"id":497,"uris":["http://zotero.org/users/7873587/items/X82CDKKF"],"itemData":{"id":497,"type":"article-journal","abstract":"A psychological science of efficient causes, using internal mechanisms to explain overt behavior, is distinguished from another psychological science, based on Aristotelian final causes, using external objects and goals to explain overt behavior. Efficient-cause psychology is designed to answer the question of how a particular act is emitted; final-cause psychology is designed to answer the question of why a particular act is emitted. Physiological psychology, modern cognitive psychology, and some parts of behaviorism including Skinnerian behaviorism are efficient-cause psychologies; final-cause psychology, a development of Skinnerian behaviorism, is here called teleological behaviorism. Each of these two conceptions of causality in psychology implies a different view of the mind, hence a different meaning of mental terms.","container-title":"The American Psychologist","DOI":"10.1037//0003-066x.47.11.1371","ISSN":"0003-066X","issue":"11","journalAbbreviation":"Am Psychol","language":"eng","note":"PMID: 1482004","page":"1371-1382","source":"PubMed","title":"Teleological behaviorism","volume":"47","author":[{"family":"Rachlin","given":"H."}],"issued":{"date-parts":[["1992",11]]}}}],"schema":"https://github.com/citation-style-language/schema/raw/master/csl-citation.json"} </w:instrText>
      </w:r>
      <w:r w:rsidR="003E3170">
        <w:rPr>
          <w:rFonts w:ascii="Times New Roman" w:hAnsi="Times New Roman" w:cs="Times New Roman"/>
        </w:rPr>
        <w:fldChar w:fldCharType="separate"/>
      </w:r>
      <w:r w:rsidR="003E3170" w:rsidRPr="003E3170">
        <w:rPr>
          <w:rFonts w:ascii="Times New Roman" w:hAnsi="Times New Roman" w:cs="Times New Roman"/>
        </w:rPr>
        <w:t>(Rachlin, 1992)</w:t>
      </w:r>
      <w:r w:rsidR="003E3170">
        <w:rPr>
          <w:rFonts w:ascii="Times New Roman" w:hAnsi="Times New Roman" w:cs="Times New Roman"/>
        </w:rPr>
        <w:fldChar w:fldCharType="end"/>
      </w:r>
      <w:r w:rsidRPr="009E6B70">
        <w:rPr>
          <w:rFonts w:ascii="Times New Roman" w:hAnsi="Times New Roman" w:cs="Times New Roman"/>
        </w:rPr>
        <w:t xml:space="preserve">, but that is independent of the assumption of irrationality: choices are driven by valuation processes and reflect decision-making that may, in the moment, be contextually rational (e.g., consuming alcohol after interpersonal conflict to elevate mood or become intoxicated might maximize utility over a short temporal horizon), </w:t>
      </w:r>
      <w:r w:rsidRPr="009E6B70">
        <w:rPr>
          <w:rFonts w:ascii="Times New Roman" w:hAnsi="Times New Roman" w:cs="Times New Roman"/>
        </w:rPr>
        <w:lastRenderedPageBreak/>
        <w:t xml:space="preserve">even if such choice is regretted subsequently and deemed irrational due to its effect of lowering utility over a longer temporal horizon (e.g., the next day). Interestingly, this introduces a solid parallel between behavioural economics and VBDM despite their respective molar and molecular perspectives: both recognize that behaviour depends on the context within which it occurs. Furthermore, this approach may offer an efficient-causal explanation that can serve as the basis for observed final cause patterns of behaviour over time </w:t>
      </w:r>
      <w:r w:rsidR="00AE41A7">
        <w:rPr>
          <w:rFonts w:ascii="Times New Roman" w:hAnsi="Times New Roman" w:cs="Times New Roman"/>
        </w:rPr>
        <w:fldChar w:fldCharType="begin"/>
      </w:r>
      <w:r w:rsidR="00AE41A7">
        <w:rPr>
          <w:rFonts w:ascii="Times New Roman" w:hAnsi="Times New Roman" w:cs="Times New Roman"/>
        </w:rPr>
        <w:instrText xml:space="preserve"> ADDIN ZOTERO_ITEM CSL_CITATION {"citationID":"mzEiiL2W","properties":{"formattedCitation":"(Rachlin, 2017)","plainCitation":"(Rachlin, 2017)","noteIndex":0},"citationItems":[{"id":808,"uris":["http://zotero.org/users/7873587/items/DD5ZEGT8"],"itemData":{"id":808,"type":"article-journal","abstract":"Teleological behaviorism (TEB) is a behavioral identity theory that denies what seems to be the intuitively obvious notion that our minds are contained in our bodies—more specifically, in our brains. TEB holds, instead, that our minds are identical with abstract, temporally, and socially extended patterns in our overt behavior. TEB depends not on efficient causes but on a wide (or inclusive) version of final causes. This article illustrates how TEB accounts for mental acts and defends it against other theories of mind such as neural identity theory and double-aspect theories. (PsycINFO Database Record (c) 2017 APA, all rights reserved)","container-title":"Journal of Theoretical and Philosophical Psychology","DOI":"10.1037/teo0000060","ISSN":"2151-3341","issue":"2","note":"publisher-place: US\npublisher: Educational Publishing Foundation","page":"65-76","source":"APA PsycNet","title":"In defense of teleological behaviorism","volume":"37","author":[{"family":"Rachlin","given":"Howard"}],"issued":{"date-parts":[["2017"]]}}}],"schema":"https://github.com/citation-style-language/schema/raw/master/csl-citation.json"} </w:instrText>
      </w:r>
      <w:r w:rsidR="00AE41A7">
        <w:rPr>
          <w:rFonts w:ascii="Times New Roman" w:hAnsi="Times New Roman" w:cs="Times New Roman"/>
        </w:rPr>
        <w:fldChar w:fldCharType="separate"/>
      </w:r>
      <w:r w:rsidR="00AE41A7" w:rsidRPr="00AE41A7">
        <w:rPr>
          <w:rFonts w:ascii="Times New Roman" w:hAnsi="Times New Roman" w:cs="Times New Roman"/>
        </w:rPr>
        <w:t>(Rachlin, 2017)</w:t>
      </w:r>
      <w:r w:rsidR="00AE41A7">
        <w:rPr>
          <w:rFonts w:ascii="Times New Roman" w:hAnsi="Times New Roman" w:cs="Times New Roman"/>
        </w:rPr>
        <w:fldChar w:fldCharType="end"/>
      </w:r>
      <w:r w:rsidRPr="009E6B70">
        <w:rPr>
          <w:rFonts w:ascii="Times New Roman" w:hAnsi="Times New Roman" w:cs="Times New Roman"/>
        </w:rPr>
        <w:t xml:space="preserve">. VBDM therefore offers a complementary neuroscientific extension to behavioural economics which aligns with emerging enthusiasm for interdisciplinary collaborations in the field (Acuff et al., 2022; </w:t>
      </w:r>
      <w:proofErr w:type="spellStart"/>
      <w:r w:rsidRPr="009E6B70">
        <w:rPr>
          <w:rFonts w:ascii="Times New Roman" w:hAnsi="Times New Roman" w:cs="Times New Roman"/>
        </w:rPr>
        <w:t>Amlung</w:t>
      </w:r>
      <w:proofErr w:type="spellEnd"/>
      <w:r w:rsidRPr="009E6B70">
        <w:rPr>
          <w:rFonts w:ascii="Times New Roman" w:hAnsi="Times New Roman" w:cs="Times New Roman"/>
        </w:rPr>
        <w:t xml:space="preserve"> et al., 2015) including the application of computational modelling (Bickel &amp; </w:t>
      </w:r>
      <w:proofErr w:type="spellStart"/>
      <w:r w:rsidRPr="009E6B70">
        <w:rPr>
          <w:rFonts w:ascii="Times New Roman" w:hAnsi="Times New Roman" w:cs="Times New Roman"/>
        </w:rPr>
        <w:t>Athamneh</w:t>
      </w:r>
      <w:proofErr w:type="spellEnd"/>
      <w:r w:rsidRPr="009E6B70">
        <w:rPr>
          <w:rFonts w:ascii="Times New Roman" w:hAnsi="Times New Roman" w:cs="Times New Roman"/>
        </w:rPr>
        <w:t>, 2020).</w:t>
      </w:r>
    </w:p>
    <w:p w14:paraId="5C5CF37F" w14:textId="77777777" w:rsidR="00107EBB" w:rsidRPr="009E6B70" w:rsidRDefault="00107EBB" w:rsidP="009E6B70">
      <w:pPr>
        <w:pStyle w:val="NoSpacing"/>
        <w:spacing w:line="480" w:lineRule="auto"/>
        <w:rPr>
          <w:rFonts w:ascii="Times New Roman" w:hAnsi="Times New Roman" w:cs="Times New Roman"/>
        </w:rPr>
      </w:pPr>
    </w:p>
    <w:p w14:paraId="2A4E5D70" w14:textId="3B7A5FB7" w:rsidR="00093B56" w:rsidRPr="00342E7D" w:rsidRDefault="009E6B70" w:rsidP="00AE41A7">
      <w:pPr>
        <w:pStyle w:val="NoSpacing"/>
        <w:spacing w:line="480" w:lineRule="auto"/>
        <w:rPr>
          <w:rFonts w:ascii="Times New Roman" w:hAnsi="Times New Roman" w:cs="Times New Roman"/>
        </w:rPr>
      </w:pPr>
      <w:r w:rsidRPr="009E6B70">
        <w:rPr>
          <w:rFonts w:ascii="Times New Roman" w:hAnsi="Times New Roman" w:cs="Times New Roman"/>
        </w:rPr>
        <w:t xml:space="preserve">This study applied a computational model VBDM, alongside established self-report behavioural economic measures, in an attempt to characterise the moderation of alcohol consumption that many heavy drinkers experience in the absence of treatment </w:t>
      </w:r>
      <w:r w:rsidR="00AE41A7">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{"citationID":"zImHdlT7","properties":{"formattedCitation":"(Field,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AE41A7">
        <w:rPr>
          <w:rFonts w:ascii="Times New Roman" w:hAnsi="Times New Roman" w:cs="Times New Roman"/>
        </w:rPr>
        <w:fldChar w:fldCharType="separate"/>
      </w:r>
      <w:r w:rsidR="00AE41A7" w:rsidRPr="00AE41A7">
        <w:rPr>
          <w:rFonts w:ascii="Times New Roman" w:hAnsi="Times New Roman" w:cs="Times New Roman"/>
        </w:rPr>
        <w:t>(Field, Heather, et al., 2020)</w:t>
      </w:r>
      <w:r w:rsidR="00AE41A7">
        <w:rPr>
          <w:rFonts w:ascii="Times New Roman" w:hAnsi="Times New Roman" w:cs="Times New Roman"/>
        </w:rPr>
        <w:fldChar w:fldCharType="end"/>
      </w:r>
      <w:r w:rsidRPr="009E6B70">
        <w:rPr>
          <w:rFonts w:ascii="Times New Roman" w:hAnsi="Times New Roman" w:cs="Times New Roman"/>
        </w:rPr>
        <w:t xml:space="preserve">. To achieve this, we used the DDM to provide a principled reconciliation of the RT and accuracy of VBDM in two drinker groups: heavy drinkers and moderated (former heavy) drinkers. </w:t>
      </w:r>
      <w:r w:rsidRPr="00342E7D">
        <w:rPr>
          <w:rFonts w:ascii="Times New Roman" w:hAnsi="Times New Roman" w:cs="Times New Roman"/>
        </w:rPr>
        <w:t>Design, hypotheses, and analysis strategy were pre-registered</w:t>
      </w:r>
      <w:r w:rsidR="00107EBB" w:rsidRPr="00342E7D">
        <w:t xml:space="preserve"> </w:t>
      </w:r>
      <w:r w:rsidRPr="00342E7D">
        <w:rPr>
          <w:rFonts w:ascii="Times New Roman" w:hAnsi="Times New Roman" w:cs="Times New Roman"/>
        </w:rPr>
        <w:t>before data collection commenced (</w:t>
      </w:r>
      <w:hyperlink r:id="rId54" w:history="1">
        <w:r w:rsidR="00AE41A7" w:rsidRPr="00342E7D">
          <w:rPr>
            <w:rStyle w:val="Hyperlink"/>
            <w:rFonts w:ascii="Times New Roman" w:hAnsi="Times New Roman" w:cs="Times New Roman"/>
          </w:rPr>
          <w:t>https://aspredicted.org/dh7vp.pdf</w:t>
        </w:r>
      </w:hyperlink>
      <w:r w:rsidR="00AE41A7" w:rsidRPr="00342E7D">
        <w:rPr>
          <w:rFonts w:ascii="Times New Roman" w:hAnsi="Times New Roman" w:cs="Times New Roman"/>
        </w:rPr>
        <w:t>)</w:t>
      </w:r>
      <w:r w:rsidRPr="00342E7D">
        <w:rPr>
          <w:rFonts w:ascii="Times New Roman" w:hAnsi="Times New Roman" w:cs="Times New Roman"/>
        </w:rPr>
        <w:t xml:space="preserve">. </w:t>
      </w:r>
      <w:r w:rsidR="00AE41A7" w:rsidRPr="00342E7D">
        <w:rPr>
          <w:rFonts w:ascii="Times New Roman" w:hAnsi="Times New Roman" w:cs="Times New Roman"/>
        </w:rPr>
        <w:t xml:space="preserve">It was hypothesised </w:t>
      </w:r>
      <w:r w:rsidRPr="00342E7D">
        <w:rPr>
          <w:rFonts w:ascii="Times New Roman" w:hAnsi="Times New Roman" w:cs="Times New Roman"/>
        </w:rPr>
        <w:t>that compared to heavy drinkers, moderated drinkers will have: 1) lower EA rates for alcohol, 2) greater EA rates for soft</w:t>
      </w:r>
      <w:r w:rsidR="0000382A" w:rsidRPr="00342E7D">
        <w:rPr>
          <w:rFonts w:ascii="Times New Roman" w:hAnsi="Times New Roman" w:cs="Times New Roman"/>
        </w:rPr>
        <w:t xml:space="preserve"> </w:t>
      </w:r>
      <w:r w:rsidRPr="00342E7D">
        <w:rPr>
          <w:rFonts w:ascii="Times New Roman" w:hAnsi="Times New Roman" w:cs="Times New Roman"/>
        </w:rPr>
        <w:t>drinks, 3) lower behavioural economic alcohol demand, 4) greater proportional alcohol-free reinforcement.</w:t>
      </w:r>
    </w:p>
    <w:p w14:paraId="3EA6FA3F" w14:textId="60B6CE57" w:rsidR="00107EBB" w:rsidRPr="00342E7D" w:rsidRDefault="00107EBB" w:rsidP="00AE41A7">
      <w:pPr>
        <w:pStyle w:val="NoSpacing"/>
        <w:spacing w:line="480" w:lineRule="auto"/>
        <w:rPr>
          <w:rFonts w:ascii="Times New Roman" w:hAnsi="Times New Roman" w:cs="Times New Roman"/>
        </w:rPr>
      </w:pPr>
    </w:p>
    <w:p w14:paraId="4C2490EA" w14:textId="5BD37D31" w:rsidR="00107EBB" w:rsidRDefault="00107EBB" w:rsidP="00AE41A7">
      <w:pPr>
        <w:pStyle w:val="NoSpacing"/>
        <w:spacing w:line="480" w:lineRule="auto"/>
        <w:rPr>
          <w:rFonts w:ascii="Times New Roman" w:hAnsi="Times New Roman" w:cs="Times New Roman"/>
        </w:rPr>
      </w:pPr>
      <w:r w:rsidRPr="00342E7D">
        <w:rPr>
          <w:rFonts w:ascii="Times New Roman" w:hAnsi="Times New Roman" w:cs="Times New Roman"/>
        </w:rPr>
        <w:t xml:space="preserve">Additional hypotheses were formulated in the study protocol, however we forgot to include these in our pre-registration. We still present these hypotheses as pre-registered but would like to ensure that we are transparent about this researcher error. These hypotheses were that </w:t>
      </w:r>
      <w:r w:rsidRPr="00342E7D">
        <w:rPr>
          <w:rFonts w:ascii="Times New Roman" w:hAnsi="Times New Roman" w:cs="Times New Roman"/>
        </w:rPr>
        <w:lastRenderedPageBreak/>
        <w:t>compared to heavy drinkers, moderated drinkers will have higher response thresholds for alcohol, and lower response thresholds for soft drinks.</w:t>
      </w:r>
    </w:p>
    <w:p w14:paraId="4E971D6F" w14:textId="170B5C63" w:rsidR="00093B56" w:rsidRDefault="00093B56" w:rsidP="00093B56">
      <w:pPr>
        <w:pStyle w:val="NoSpacing"/>
      </w:pPr>
    </w:p>
    <w:p w14:paraId="29E3F1D8" w14:textId="2D03EA39" w:rsidR="00A06C43" w:rsidRDefault="00A06C43" w:rsidP="00A06C43">
      <w:pPr>
        <w:pStyle w:val="Heading4"/>
      </w:pPr>
      <w:bookmarkStart w:id="256" w:name="_Toc110629070"/>
      <w:bookmarkStart w:id="257" w:name="_Toc110870978"/>
      <w:r>
        <w:t>6.2. Method</w:t>
      </w:r>
      <w:bookmarkEnd w:id="256"/>
      <w:bookmarkEnd w:id="257"/>
    </w:p>
    <w:p w14:paraId="75A06008" w14:textId="77777777" w:rsidR="00A06C43" w:rsidRPr="00A06C43" w:rsidRDefault="00A06C43" w:rsidP="00A06C43">
      <w:pPr>
        <w:pStyle w:val="NoSpacing"/>
        <w:spacing w:line="480" w:lineRule="auto"/>
        <w:rPr>
          <w:rFonts w:ascii="Times New Roman" w:hAnsi="Times New Roman" w:cs="Times New Roman"/>
          <w:b/>
          <w:bCs/>
        </w:rPr>
      </w:pPr>
      <w:r w:rsidRPr="00A06C43">
        <w:rPr>
          <w:rFonts w:ascii="Times New Roman" w:hAnsi="Times New Roman" w:cs="Times New Roman"/>
          <w:b/>
          <w:bCs/>
        </w:rPr>
        <w:t>Design</w:t>
      </w:r>
    </w:p>
    <w:p w14:paraId="0A3D626E" w14:textId="26E6471D" w:rsidR="00A06C43" w:rsidRDefault="00A06C43" w:rsidP="00A06C43">
      <w:pPr>
        <w:pStyle w:val="NoSpacing"/>
        <w:spacing w:line="480" w:lineRule="auto"/>
        <w:rPr>
          <w:rFonts w:ascii="Times New Roman" w:hAnsi="Times New Roman" w:cs="Times New Roman"/>
        </w:rPr>
      </w:pPr>
      <w:r w:rsidRPr="00A06C43">
        <w:rPr>
          <w:rFonts w:ascii="Times New Roman" w:hAnsi="Times New Roman" w:cs="Times New Roman"/>
        </w:rPr>
        <w:t>Between-subject design. Our behavioural dependent variables were EA rates and response thresholds for alcohol and soft</w:t>
      </w:r>
      <w:r w:rsidR="0000382A">
        <w:rPr>
          <w:rFonts w:ascii="Times New Roman" w:hAnsi="Times New Roman" w:cs="Times New Roman"/>
        </w:rPr>
        <w:t xml:space="preserve"> </w:t>
      </w:r>
      <w:r w:rsidRPr="00A06C43">
        <w:rPr>
          <w:rFonts w:ascii="Times New Roman" w:hAnsi="Times New Roman" w:cs="Times New Roman"/>
        </w:rPr>
        <w:t>drinks (estimated by fitting the DDM to reaction time and accuracy data during the VBDM task). Our self-report dependent variables were alcohol demand and alcohol-free reinforcement. Independent variables were group membership (heavy drinker or moderated (former heavy) drinker</w:t>
      </w:r>
      <w:r w:rsidRPr="004B73B2">
        <w:rPr>
          <w:rStyle w:val="FootnoteReference"/>
        </w:rPr>
        <w:footnoteReference w:id="19"/>
      </w:r>
      <w:r w:rsidRPr="00A06C43">
        <w:rPr>
          <w:rFonts w:ascii="Times New Roman" w:hAnsi="Times New Roman" w:cs="Times New Roman"/>
        </w:rPr>
        <w:t>) and drink type (alcohol and soft</w:t>
      </w:r>
      <w:r w:rsidR="0000382A">
        <w:rPr>
          <w:rFonts w:ascii="Times New Roman" w:hAnsi="Times New Roman" w:cs="Times New Roman"/>
        </w:rPr>
        <w:t xml:space="preserve"> </w:t>
      </w:r>
      <w:r w:rsidRPr="00A06C43">
        <w:rPr>
          <w:rFonts w:ascii="Times New Roman" w:hAnsi="Times New Roman" w:cs="Times New Roman"/>
        </w:rPr>
        <w:t>drink images).  An a priori power analysis conducted on G*power (</w:t>
      </w:r>
      <w:proofErr w:type="spellStart"/>
      <w:r w:rsidRPr="00A06C43">
        <w:rPr>
          <w:rFonts w:ascii="Times New Roman" w:hAnsi="Times New Roman" w:cs="Times New Roman"/>
        </w:rPr>
        <w:t>Faul</w:t>
      </w:r>
      <w:proofErr w:type="spellEnd"/>
      <w:r w:rsidRPr="00A06C43">
        <w:rPr>
          <w:rFonts w:ascii="Times New Roman" w:hAnsi="Times New Roman" w:cs="Times New Roman"/>
        </w:rPr>
        <w:t xml:space="preserve"> et al., 2007) revealed that to detect a difference between two independent groups with a medium effect (</w:t>
      </w:r>
      <w:r w:rsidRPr="00A06C43">
        <w:rPr>
          <w:rFonts w:ascii="Times New Roman" w:hAnsi="Times New Roman" w:cs="Times New Roman"/>
          <w:i/>
          <w:iCs/>
        </w:rPr>
        <w:t>d</w:t>
      </w:r>
      <w:r w:rsidRPr="00A06C43">
        <w:rPr>
          <w:rFonts w:ascii="Times New Roman" w:hAnsi="Times New Roman" w:cs="Times New Roman"/>
        </w:rPr>
        <w:t xml:space="preserve"> = 0.5; Cohen, 1988), at 80% power with an alpha of 0.05, a sample size of at least 51 per group was required. We oversampled by recruiting 120 (60 heavy and 60 moderated) drinkers to accommodate for potential dropouts that may occur with online testing.</w:t>
      </w:r>
    </w:p>
    <w:p w14:paraId="595085AA" w14:textId="01249D55" w:rsidR="00A06C43" w:rsidRDefault="00A06C43" w:rsidP="00A06C43">
      <w:pPr>
        <w:pStyle w:val="NoSpacing"/>
        <w:spacing w:line="480" w:lineRule="auto"/>
        <w:rPr>
          <w:rFonts w:ascii="Times New Roman" w:hAnsi="Times New Roman" w:cs="Times New Roman"/>
        </w:rPr>
      </w:pPr>
    </w:p>
    <w:p w14:paraId="167C6B85" w14:textId="77777777" w:rsidR="00A06C43" w:rsidRPr="00A06C43" w:rsidRDefault="00A06C43" w:rsidP="00A06C43">
      <w:pPr>
        <w:pStyle w:val="NoSpacing"/>
        <w:spacing w:line="480" w:lineRule="auto"/>
        <w:rPr>
          <w:rFonts w:ascii="Times New Roman" w:hAnsi="Times New Roman" w:cs="Times New Roman"/>
          <w:b/>
          <w:bCs/>
        </w:rPr>
      </w:pPr>
      <w:r w:rsidRPr="00A06C43">
        <w:rPr>
          <w:rFonts w:ascii="Times New Roman" w:hAnsi="Times New Roman" w:cs="Times New Roman"/>
          <w:b/>
          <w:bCs/>
        </w:rPr>
        <w:t>Participants</w:t>
      </w:r>
    </w:p>
    <w:p w14:paraId="74B47FCC" w14:textId="76953DAD" w:rsidR="00A06C43" w:rsidRDefault="00A06C43" w:rsidP="003D0247">
      <w:pPr>
        <w:pStyle w:val="NoSpacing"/>
        <w:spacing w:line="480" w:lineRule="auto"/>
        <w:rPr>
          <w:rFonts w:ascii="Times New Roman" w:hAnsi="Times New Roman" w:cs="Times New Roman"/>
        </w:rPr>
      </w:pPr>
      <w:r w:rsidRPr="00A06C43">
        <w:rPr>
          <w:rFonts w:ascii="Times New Roman" w:hAnsi="Times New Roman" w:cs="Times New Roman"/>
        </w:rPr>
        <w:t>We recruited 120 participants through Prolific (</w:t>
      </w:r>
      <w:hyperlink r:id="rId55" w:history="1">
        <w:r w:rsidRPr="00471589">
          <w:rPr>
            <w:rStyle w:val="Hyperlink"/>
            <w:rFonts w:ascii="Times New Roman" w:hAnsi="Times New Roman" w:cs="Times New Roman"/>
          </w:rPr>
          <w:t>https://www.prolific.co/</w:t>
        </w:r>
      </w:hyperlink>
      <w:r>
        <w:rPr>
          <w:rFonts w:ascii="Times New Roman" w:hAnsi="Times New Roman" w:cs="Times New Roman"/>
        </w:rPr>
        <w:t>)</w:t>
      </w:r>
      <w:r w:rsidRPr="00A06C43">
        <w:rPr>
          <w:rFonts w:ascii="Times New Roman" w:hAnsi="Times New Roman" w:cs="Times New Roman"/>
        </w:rPr>
        <w:t xml:space="preserve">, who were aged between 18 and 72 years old (mean age = 36.56, SD = 13.05). Sixty participants were male and 59 were female (one did not disclose their gender). Inclusion criteria were age ≥18 years old, current residence in the United Kingdom (UK), and self-reporting either current consumption of at least 28 units of alcohol per week (to take part as a heavy drinker) or under 14 units per week but having previously consumed at least 28 units per week in the past (to take part as a moderated drinker). Importantly, participants were eligible to take part only if </w:t>
      </w:r>
      <w:r w:rsidRPr="00A06C43">
        <w:rPr>
          <w:rFonts w:ascii="Times New Roman" w:hAnsi="Times New Roman" w:cs="Times New Roman"/>
        </w:rPr>
        <w:lastRenderedPageBreak/>
        <w:t xml:space="preserve">they self-report consuming 28 or more units of alcohol per week for a minimum of 3 months (for heavy drinkers this refers to currently; for moderated drinkers this refers to retrospectively, before they reduced their drinking). The 28-unit threshold was chosen because it represents a doubling of the “low-risk” weekly drinking guideline of 14 units or less recommended by the UK Government </w:t>
      </w:r>
      <w:r w:rsidR="003D0247">
        <w:rPr>
          <w:rFonts w:ascii="Times New Roman" w:hAnsi="Times New Roman" w:cs="Times New Roman"/>
        </w:rPr>
        <w:fldChar w:fldCharType="begin"/>
      </w:r>
      <w:r w:rsidR="00946E33">
        <w:rPr>
          <w:rFonts w:ascii="Times New Roman" w:hAnsi="Times New Roman" w:cs="Times New Roman"/>
        </w:rPr>
        <w:instrText xml:space="preserve"> ADDIN ZOTERO_ITEM CSL_CITATION {"citationID":"V1DBDblp","properties":{"formattedCitation":"(Department of Health, 2016)","plainCitation":"(Department of Health, 2016)","noteIndex":0},"citationItems":[{"id":763,"uris":["http://zotero.org/users/7873587/items/L6NXVYHD"],"itemData":{"id":763,"type":"report","event-place":"London","publisher":"Department of Health","publisher-place":"London","title":"UK Chief Medical Officers' Low Risk Drinking Guidelines.","URL":"https:// assets.publishing.service.gov.uk/government/uploads/system/uploads/ attachment_data/file/602132/Communicating_2016_CMO_guidelines_Mar_17.pdf","author":[{"literal":"Department of Health"}],"issued":{"date-parts":[["2016"]]}}}],"schema":"https://github.com/citation-style-language/schema/raw/master/csl-citation.json"} </w:instrText>
      </w:r>
      <w:r w:rsidR="003D0247">
        <w:rPr>
          <w:rFonts w:ascii="Times New Roman" w:hAnsi="Times New Roman" w:cs="Times New Roman"/>
        </w:rPr>
        <w:fldChar w:fldCharType="separate"/>
      </w:r>
      <w:r w:rsidR="003D0247" w:rsidRPr="003D0247">
        <w:rPr>
          <w:rFonts w:ascii="Times New Roman" w:hAnsi="Times New Roman" w:cs="Times New Roman"/>
        </w:rPr>
        <w:t>(Department of Health, 2016)</w:t>
      </w:r>
      <w:r w:rsidR="003D0247">
        <w:rPr>
          <w:rFonts w:ascii="Times New Roman" w:hAnsi="Times New Roman" w:cs="Times New Roman"/>
        </w:rPr>
        <w:fldChar w:fldCharType="end"/>
      </w:r>
      <w:r w:rsidRPr="00A06C43">
        <w:rPr>
          <w:rFonts w:ascii="Times New Roman" w:hAnsi="Times New Roman" w:cs="Times New Roman"/>
        </w:rPr>
        <w:t>. We also required that participants had a high level of approval from previous participation on Prolific (&gt;95% approval) to ensure good data quality. Exclusion criteria consisted of any history of treatment for AUD. The study was approved by the University of Sheffield research ethics committee, and all participants gave informed consent. Recruitment took place in December 2020. Participants were reimbursed with £10 Prolific credit for their time.</w:t>
      </w:r>
    </w:p>
    <w:p w14:paraId="154DA381" w14:textId="77777777" w:rsidR="003D0247" w:rsidRDefault="003D0247" w:rsidP="003D0247">
      <w:pPr>
        <w:pStyle w:val="NoSpacing"/>
        <w:spacing w:line="480" w:lineRule="auto"/>
        <w:rPr>
          <w:rFonts w:ascii="Times New Roman" w:hAnsi="Times New Roman" w:cs="Times New Roman"/>
        </w:rPr>
      </w:pPr>
    </w:p>
    <w:p w14:paraId="448ECE39" w14:textId="70B686A8" w:rsidR="003D0247" w:rsidRPr="003D0247" w:rsidRDefault="003D0247" w:rsidP="003D0247">
      <w:pPr>
        <w:pStyle w:val="NoSpacing"/>
        <w:spacing w:line="480" w:lineRule="auto"/>
        <w:rPr>
          <w:rFonts w:ascii="Times New Roman" w:hAnsi="Times New Roman" w:cs="Times New Roman"/>
          <w:b/>
          <w:bCs/>
        </w:rPr>
      </w:pPr>
      <w:r w:rsidRPr="003D0247">
        <w:rPr>
          <w:rFonts w:ascii="Times New Roman" w:hAnsi="Times New Roman" w:cs="Times New Roman"/>
          <w:b/>
          <w:bCs/>
        </w:rPr>
        <w:t>Materials</w:t>
      </w:r>
    </w:p>
    <w:p w14:paraId="29E039D7" w14:textId="77777777" w:rsidR="003D0247" w:rsidRPr="003D0247" w:rsidRDefault="003D0247" w:rsidP="003D0247">
      <w:pPr>
        <w:pStyle w:val="NoSpacing"/>
        <w:spacing w:line="480" w:lineRule="auto"/>
        <w:rPr>
          <w:rFonts w:ascii="Times New Roman" w:hAnsi="Times New Roman" w:cs="Times New Roman"/>
          <w:i/>
          <w:iCs/>
        </w:rPr>
      </w:pPr>
      <w:bookmarkStart w:id="258" w:name="_Hlk110525123"/>
      <w:r w:rsidRPr="003D0247">
        <w:rPr>
          <w:rFonts w:ascii="Times New Roman" w:hAnsi="Times New Roman" w:cs="Times New Roman"/>
          <w:i/>
          <w:iCs/>
        </w:rPr>
        <w:t>Pictorial stimuli for the VBDM task</w:t>
      </w:r>
    </w:p>
    <w:bookmarkEnd w:id="258"/>
    <w:p w14:paraId="1A17C7EC" w14:textId="775B082D" w:rsidR="003D0247" w:rsidRPr="003D0247" w:rsidRDefault="003D0247" w:rsidP="003D0247">
      <w:pPr>
        <w:pStyle w:val="NoSpacing"/>
        <w:spacing w:line="480" w:lineRule="auto"/>
        <w:rPr>
          <w:rFonts w:ascii="Times New Roman" w:hAnsi="Times New Roman" w:cs="Times New Roman"/>
        </w:rPr>
      </w:pPr>
      <w:r w:rsidRPr="003D0247">
        <w:rPr>
          <w:rFonts w:ascii="Times New Roman" w:hAnsi="Times New Roman" w:cs="Times New Roman"/>
        </w:rPr>
        <w:t>The 30 alcohol and 30 soft</w:t>
      </w:r>
      <w:r w:rsidR="0000382A">
        <w:rPr>
          <w:rFonts w:ascii="Times New Roman" w:hAnsi="Times New Roman" w:cs="Times New Roman"/>
        </w:rPr>
        <w:t xml:space="preserve"> </w:t>
      </w:r>
      <w:r w:rsidRPr="003D0247">
        <w:rPr>
          <w:rFonts w:ascii="Times New Roman" w:hAnsi="Times New Roman" w:cs="Times New Roman"/>
        </w:rPr>
        <w:t>drink images were taken from the Amsterdam Beverage Picture Set (ABPS; Pronk et al., 2015) and Google. We selected a subsection of images from the ABPS and compiled these with additional images from Google that portrayed English brands of drinks on a white background. This was done to ensure variability in the perceived value of images by increasing the number of recognizable alcohol (e.g., spirit, beer, wine) and soft</w:t>
      </w:r>
      <w:r w:rsidR="0000382A">
        <w:rPr>
          <w:rFonts w:ascii="Times New Roman" w:hAnsi="Times New Roman" w:cs="Times New Roman"/>
        </w:rPr>
        <w:t xml:space="preserve"> </w:t>
      </w:r>
      <w:r w:rsidRPr="003D0247">
        <w:rPr>
          <w:rFonts w:ascii="Times New Roman" w:hAnsi="Times New Roman" w:cs="Times New Roman"/>
        </w:rPr>
        <w:t>drink (e.g., hot drink, fizzy drink, smoothie) options (for more detail, see Appendix E).</w:t>
      </w:r>
    </w:p>
    <w:p w14:paraId="1D5D61E8" w14:textId="77777777" w:rsidR="003D0247" w:rsidRPr="003D0247" w:rsidRDefault="003D0247" w:rsidP="003D0247">
      <w:pPr>
        <w:pStyle w:val="NoSpacing"/>
        <w:spacing w:line="480" w:lineRule="auto"/>
        <w:rPr>
          <w:rFonts w:ascii="Times New Roman" w:hAnsi="Times New Roman" w:cs="Times New Roman"/>
        </w:rPr>
      </w:pPr>
    </w:p>
    <w:p w14:paraId="2281CB76" w14:textId="77777777" w:rsidR="003D0247" w:rsidRPr="003D0247" w:rsidRDefault="003D0247" w:rsidP="003D0247">
      <w:pPr>
        <w:pStyle w:val="NoSpacing"/>
        <w:spacing w:line="480" w:lineRule="auto"/>
        <w:rPr>
          <w:rFonts w:ascii="Times New Roman" w:hAnsi="Times New Roman" w:cs="Times New Roman"/>
          <w:i/>
          <w:iCs/>
        </w:rPr>
      </w:pPr>
      <w:r w:rsidRPr="003D0247">
        <w:rPr>
          <w:rFonts w:ascii="Times New Roman" w:hAnsi="Times New Roman" w:cs="Times New Roman"/>
          <w:i/>
          <w:iCs/>
        </w:rPr>
        <w:t>Questionnaire measures</w:t>
      </w:r>
    </w:p>
    <w:p w14:paraId="686740F6" w14:textId="77777777" w:rsidR="003D0247" w:rsidRPr="003D0247" w:rsidRDefault="003D0247" w:rsidP="003D0247">
      <w:pPr>
        <w:pStyle w:val="NoSpacing"/>
        <w:spacing w:line="480" w:lineRule="auto"/>
        <w:rPr>
          <w:rFonts w:ascii="Times New Roman" w:hAnsi="Times New Roman" w:cs="Times New Roman"/>
        </w:rPr>
      </w:pPr>
      <w:r w:rsidRPr="003D0247">
        <w:rPr>
          <w:rFonts w:ascii="Times New Roman" w:hAnsi="Times New Roman" w:cs="Times New Roman"/>
          <w:i/>
          <w:iCs/>
        </w:rPr>
        <w:t>Alcohol Use Disorders Identification Test</w:t>
      </w:r>
      <w:r w:rsidRPr="003D0247">
        <w:rPr>
          <w:rFonts w:ascii="Times New Roman" w:hAnsi="Times New Roman" w:cs="Times New Roman"/>
        </w:rPr>
        <w:t xml:space="preserve"> (AUDIT; Saunders et al., 1993): The full 10-item AUDIT was used to detect patterns of alcohol consumption that are hazardous to health. Total scores range between 0 and 40, with scores &gt; 7 indicating hazardous consumption. The </w:t>
      </w:r>
      <w:r w:rsidRPr="003D0247">
        <w:rPr>
          <w:rFonts w:ascii="Times New Roman" w:hAnsi="Times New Roman" w:cs="Times New Roman"/>
        </w:rPr>
        <w:lastRenderedPageBreak/>
        <w:t>AUDIT had good internal reliability in this study, McDonald’s ω = .83 (McDonald, 1970, 1999).</w:t>
      </w:r>
    </w:p>
    <w:p w14:paraId="5C340810" w14:textId="77777777" w:rsidR="003D0247" w:rsidRPr="003D0247" w:rsidRDefault="003D0247" w:rsidP="003D0247">
      <w:pPr>
        <w:pStyle w:val="NoSpacing"/>
        <w:spacing w:line="480" w:lineRule="auto"/>
        <w:rPr>
          <w:rFonts w:ascii="Times New Roman" w:hAnsi="Times New Roman" w:cs="Times New Roman"/>
        </w:rPr>
      </w:pPr>
    </w:p>
    <w:p w14:paraId="532640D4" w14:textId="52BB1B6F" w:rsidR="003D0247" w:rsidRPr="003D0247" w:rsidRDefault="003D0247" w:rsidP="003D0247">
      <w:pPr>
        <w:pStyle w:val="NoSpacing"/>
        <w:spacing w:line="480" w:lineRule="auto"/>
        <w:rPr>
          <w:rFonts w:ascii="Times New Roman" w:hAnsi="Times New Roman" w:cs="Times New Roman"/>
        </w:rPr>
      </w:pPr>
      <w:r w:rsidRPr="003D0247">
        <w:rPr>
          <w:rFonts w:ascii="Times New Roman" w:hAnsi="Times New Roman" w:cs="Times New Roman"/>
          <w:i/>
          <w:iCs/>
        </w:rPr>
        <w:t>Brief self-control scale</w:t>
      </w:r>
      <w:r w:rsidRPr="003D0247">
        <w:rPr>
          <w:rFonts w:ascii="Times New Roman" w:hAnsi="Times New Roman" w:cs="Times New Roman"/>
        </w:rPr>
        <w:t xml:space="preserve"> (BSCS; Tangney et al., 2004): This 13-item was used to capture the extent to which people feel that they can resist external influences and control their behaviour, for example “I am able to work effectively toward long-term goals”. Participants responded on a 1 (not at all like me) to 5 (very much like me) scale with higher scores indicating higher levels of self-control. In the current sample, the BSCS had unacceptable internal reliability, ω = .55.</w:t>
      </w:r>
    </w:p>
    <w:p w14:paraId="7D91D7E2" w14:textId="77777777" w:rsidR="003D0247" w:rsidRPr="003D0247" w:rsidRDefault="003D0247" w:rsidP="003D0247">
      <w:pPr>
        <w:pStyle w:val="NoSpacing"/>
        <w:spacing w:line="480" w:lineRule="auto"/>
        <w:rPr>
          <w:rFonts w:ascii="Times New Roman" w:hAnsi="Times New Roman" w:cs="Times New Roman"/>
        </w:rPr>
      </w:pPr>
    </w:p>
    <w:p w14:paraId="5F13F542" w14:textId="77777777" w:rsidR="003D0247" w:rsidRPr="003D0247" w:rsidRDefault="003D0247" w:rsidP="003D0247">
      <w:pPr>
        <w:pStyle w:val="NoSpacing"/>
        <w:spacing w:line="480" w:lineRule="auto"/>
        <w:rPr>
          <w:rFonts w:ascii="Times New Roman" w:hAnsi="Times New Roman" w:cs="Times New Roman"/>
        </w:rPr>
      </w:pPr>
      <w:r w:rsidRPr="0000382A">
        <w:rPr>
          <w:rFonts w:ascii="Times New Roman" w:hAnsi="Times New Roman" w:cs="Times New Roman"/>
          <w:i/>
          <w:iCs/>
        </w:rPr>
        <w:t>The Meaning in Life Questionnaire</w:t>
      </w:r>
      <w:r w:rsidRPr="003D0247">
        <w:rPr>
          <w:rFonts w:ascii="Times New Roman" w:hAnsi="Times New Roman" w:cs="Times New Roman"/>
        </w:rPr>
        <w:t xml:space="preserve"> (MLQ; Steger et al., 2006): This 10-item scale was used to measure two dimensions: presence of meaning (how much respondents feel their lives have meaning), and search for meaning (how much respondents are striving to find meaning in their lives). Questions included “I have discovered a satisfying life purpose” and “I am looking for something that makes my life feel meaningful”. Participants responded on a scale ranging from 1 (absolutely untrue) to 7 (absolutely true). Higher scores indicate higher presence of meaning or search for meaning. In the current study, each subscale had excellent internal reliability; presence, ω = .93, search ω = .92.</w:t>
      </w:r>
    </w:p>
    <w:p w14:paraId="1BB4BE12" w14:textId="77777777" w:rsidR="003D0247" w:rsidRPr="003D0247" w:rsidRDefault="003D0247" w:rsidP="003D0247">
      <w:pPr>
        <w:pStyle w:val="NoSpacing"/>
        <w:spacing w:line="480" w:lineRule="auto"/>
        <w:rPr>
          <w:rFonts w:ascii="Times New Roman" w:hAnsi="Times New Roman" w:cs="Times New Roman"/>
        </w:rPr>
      </w:pPr>
    </w:p>
    <w:p w14:paraId="7FEC6AE3" w14:textId="03CD147A" w:rsidR="003D0247" w:rsidRPr="003D0247" w:rsidRDefault="003D0247" w:rsidP="0000382A">
      <w:pPr>
        <w:pStyle w:val="NoSpacing"/>
        <w:spacing w:line="480" w:lineRule="auto"/>
        <w:rPr>
          <w:rFonts w:ascii="Times New Roman" w:hAnsi="Times New Roman" w:cs="Times New Roman"/>
        </w:rPr>
      </w:pPr>
      <w:r w:rsidRPr="0000382A">
        <w:rPr>
          <w:rFonts w:ascii="Times New Roman" w:hAnsi="Times New Roman" w:cs="Times New Roman"/>
          <w:i/>
          <w:iCs/>
        </w:rPr>
        <w:t>Alcohol Purchase Task</w:t>
      </w:r>
      <w:r w:rsidRPr="003D0247">
        <w:rPr>
          <w:rFonts w:ascii="Times New Roman" w:hAnsi="Times New Roman" w:cs="Times New Roman"/>
        </w:rPr>
        <w:t xml:space="preserve"> (APT; Murphy &amp; MacKillop, 2006): An adapted brief 8-item version of the APT was used to capture alcohol demand. Participants were instructed to report the number of standard alcoholic drinks they would purchase and consume in a typical drinking scenario across a range of escalating price points (for exact wording of the scenario, see Appendix E). Importantly, moderated drinkers completed the APT in relation to their current desire to purchase (i.e., not a retrospective estimate of what they would have done prior to </w:t>
      </w:r>
      <w:r w:rsidRPr="003D0247">
        <w:rPr>
          <w:rFonts w:ascii="Times New Roman" w:hAnsi="Times New Roman" w:cs="Times New Roman"/>
        </w:rPr>
        <w:lastRenderedPageBreak/>
        <w:t xml:space="preserve">reducing their consumption). The APT consisted of the following eight price points: free, 50p, £1, £2, £4, £6, £9, £15. Before completing the APT, participants were required to correctly respond to two comprehension check items to ensure that participants read and understood the hypothetical scenario. The use of comprehension checks has also been implemented in other purchase task research </w:t>
      </w:r>
      <w:r>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{"citationID":"exMYNyMw","properties":{"formattedCitation":"(Kaplan &amp; Reed, 2018)","plainCitation":"(Kaplan &amp; Reed, 2018)","noteIndex":0},"citationItems":[{"id":989,"uris":["http://zotero.org/users/7873587/items/7JJKW2X3"],"itemData":{"id":989,"type":"article-journal","abstract":"There is strong evidence to suggest that happy hour drink specials are associated with undesirable outcomes such as increased amount of drinking, increased likelihood of being highly intoxicated, and increased likelihood of experiencing negative outcomes related to drinking (e.g., getting into fights). Public policy efforts have been made to ban or at least restrict alcohol drink specials. Research in behavioral economics—primarily demand curve analyses—has yielded valuable insights into the role of environmental effects on reinforcer consumption, especially within the context of alcohol reinforcement. The use of the Alcohol Purchase Task (APT), which asks respondents to report how many alcoholic drinks they would be willing to purchase at various prices, has contributed greatly to these efforts. The purpose of the current experiment was to determine whether self-reported consumption of alcohol on an APT changes when participants imagine a hypothetical “happy hour” scenario, akin to drink specials encountered in the real world. Results from the current experiment extend previous literature on APT vignette manipulations and provide implications for efforts to reduce problematic drinking. (PsycINFO Database Record (c) 2018 APA, all rights reserved)","container-title":"Experimental and Clinical Psychopharmacology","DOI":"10.1037/pha0000174","ISSN":"1936-2293","issue":"2","note":"publisher-place: US\npublisher: American Psychological Association","page":"156-167","source":"APA PsycNet","title":"Happy hour drink specials in the Alcohol Purchase Task","volume":"26","author":[{"family":"Kaplan","given":"Brent A."},{"family":"Reed","given":"Derek D."}],"issued":{"date-parts":[["2018"]]}}}],"schema":"https://github.com/citation-style-language/schema/raw/master/csl-citation.json"} </w:instrText>
      </w:r>
      <w:r>
        <w:rPr>
          <w:rFonts w:ascii="Times New Roman" w:hAnsi="Times New Roman" w:cs="Times New Roman"/>
        </w:rPr>
        <w:fldChar w:fldCharType="separate"/>
      </w:r>
      <w:r w:rsidR="0000382A" w:rsidRPr="0000382A">
        <w:rPr>
          <w:rFonts w:ascii="Times New Roman" w:hAnsi="Times New Roman" w:cs="Times New Roman"/>
        </w:rPr>
        <w:t>(Kaplan &amp; Reed, 2018)</w:t>
      </w:r>
      <w:r>
        <w:rPr>
          <w:rFonts w:ascii="Times New Roman" w:hAnsi="Times New Roman" w:cs="Times New Roman"/>
        </w:rPr>
        <w:fldChar w:fldCharType="end"/>
      </w:r>
      <w:r w:rsidRPr="003D0247">
        <w:rPr>
          <w:rFonts w:ascii="Times New Roman" w:hAnsi="Times New Roman" w:cs="Times New Roman"/>
        </w:rPr>
        <w:t xml:space="preserve">. Several demand indices can be reliably calculated using the APT, which are: intensity (consumption when price is at zero), </w:t>
      </w:r>
      <w:proofErr w:type="spellStart"/>
      <w:r w:rsidRPr="003D0247">
        <w:rPr>
          <w:rFonts w:ascii="Times New Roman" w:hAnsi="Times New Roman" w:cs="Times New Roman"/>
        </w:rPr>
        <w:t>O</w:t>
      </w:r>
      <w:r w:rsidRPr="0000382A">
        <w:rPr>
          <w:rFonts w:ascii="Times New Roman" w:hAnsi="Times New Roman" w:cs="Times New Roman"/>
          <w:vertAlign w:val="subscript"/>
        </w:rPr>
        <w:t>max</w:t>
      </w:r>
      <w:proofErr w:type="spellEnd"/>
      <w:r w:rsidRPr="003D0247">
        <w:rPr>
          <w:rFonts w:ascii="Times New Roman" w:hAnsi="Times New Roman" w:cs="Times New Roman"/>
        </w:rPr>
        <w:t xml:space="preserve"> (maximum expenditure across prices), P</w:t>
      </w:r>
      <w:r w:rsidRPr="0000382A">
        <w:rPr>
          <w:rFonts w:ascii="Times New Roman" w:hAnsi="Times New Roman" w:cs="Times New Roman"/>
          <w:vertAlign w:val="subscript"/>
        </w:rPr>
        <w:t xml:space="preserve">max </w:t>
      </w:r>
      <w:r w:rsidRPr="003D0247">
        <w:rPr>
          <w:rFonts w:ascii="Times New Roman" w:hAnsi="Times New Roman" w:cs="Times New Roman"/>
        </w:rPr>
        <w:t xml:space="preserve">(the price by which demand becomes elastic), breakpoint (first price that suppresses consumption to zero), and elasticity (rate at which consumption becomes dependent upon price) </w:t>
      </w:r>
      <w:r w:rsidR="0000382A">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{"citationID":"0YQJEuCY","properties":{"formattedCitation":"(Acuff &amp; Murphy, 2017)","plainCitation":"(Acuff &amp; Murphy, 2017)","noteIndex":0},"citationItems":[{"id":681,"uris":["http://zotero.org/users/7873587/items/IRC8TBB3"],"itemData":{"id":681,"type":"article-journal","abstract":"Demand, or the amount of a substance consumed as a function of price, is a central dependent measure in behavioral economic research and represents the relative valuation of a substance. Although demand is often utilized as an index of substance use severity and is assumed to be relatively stable, recent experimental and clinical research has identified conditions in which demand can be manipulated, such as through craving and stress inductions, and treatment. Our study examines the 1-month reliability of the alcohol purchase task in a sample of heavy drinking college students. We also analyzed reliability in subgroup of individuals whose consumption decreased, increased, or stayed the same over the 1-month period, and in individuals with moderate/severe Alcohol Use Disorder (AUD) vs. those with no/mild AUD. Reliability was moderate in the full sample, high in the group with stable consumption, and did not differ appreciably between AUD groups. Observed indices and indices derived from an exponentiated equation (Koffarnus et al., 2015) were generally comparable, although Pmax observed had very low reliability. Area under the curve, Omax derived, and essential value showed the greatest reliability in the full sample (rs=0.75-0.77). These results provide evidence for the relative stability over time of demand and across AUD groups, particularly in those whose consumption remains stable.","container-title":"Behavioural Processes","DOI":"10.1016/j.beproc.2017.03.020","ISSN":"1872-8308","issue":"1","journalAbbreviation":"Behav Processes","language":"eng","note":"PMID: 28373056\nPMCID: PMC5524147","page":"33-41","source":"PubMed","title":"Further examination of the temporal stability of alcohol demand","volume":"141","author":[{"family":"Acuff","given":"Samuel F."},{"family":"Murphy","given":"James G."}],"issued":{"date-parts":[["2017",8]]}}}],"schema":"https://github.com/citation-style-language/schema/raw/master/csl-citation.json"} </w:instrText>
      </w:r>
      <w:r w:rsidR="0000382A">
        <w:rPr>
          <w:rFonts w:ascii="Times New Roman" w:hAnsi="Times New Roman" w:cs="Times New Roman"/>
        </w:rPr>
        <w:fldChar w:fldCharType="separate"/>
      </w:r>
      <w:r w:rsidR="0000382A" w:rsidRPr="0000382A">
        <w:rPr>
          <w:rFonts w:ascii="Times New Roman" w:hAnsi="Times New Roman" w:cs="Times New Roman"/>
        </w:rPr>
        <w:t>(Acuff &amp; Murphy, 2017)</w:t>
      </w:r>
      <w:r w:rsidR="0000382A">
        <w:rPr>
          <w:rFonts w:ascii="Times New Roman" w:hAnsi="Times New Roman" w:cs="Times New Roman"/>
        </w:rPr>
        <w:fldChar w:fldCharType="end"/>
      </w:r>
      <w:r w:rsidR="0000382A">
        <w:rPr>
          <w:rFonts w:ascii="Times New Roman" w:hAnsi="Times New Roman" w:cs="Times New Roman"/>
        </w:rPr>
        <w:t>.</w:t>
      </w:r>
      <w:r w:rsidRPr="003D0247">
        <w:rPr>
          <w:rFonts w:ascii="Times New Roman" w:hAnsi="Times New Roman" w:cs="Times New Roman"/>
        </w:rPr>
        <w:t xml:space="preserve"> </w:t>
      </w:r>
    </w:p>
    <w:p w14:paraId="2BCD8911" w14:textId="77777777" w:rsidR="003D0247" w:rsidRPr="003D0247" w:rsidRDefault="003D0247" w:rsidP="003D0247">
      <w:pPr>
        <w:pStyle w:val="NoSpacing"/>
        <w:spacing w:line="480" w:lineRule="auto"/>
        <w:rPr>
          <w:rFonts w:ascii="Times New Roman" w:hAnsi="Times New Roman" w:cs="Times New Roman"/>
        </w:rPr>
      </w:pPr>
    </w:p>
    <w:p w14:paraId="07101BBC" w14:textId="77777777" w:rsidR="003D0247" w:rsidRPr="003D0247" w:rsidRDefault="003D0247" w:rsidP="003D0247">
      <w:pPr>
        <w:pStyle w:val="NoSpacing"/>
        <w:spacing w:line="480" w:lineRule="auto"/>
        <w:rPr>
          <w:rFonts w:ascii="Times New Roman" w:hAnsi="Times New Roman" w:cs="Times New Roman"/>
        </w:rPr>
      </w:pPr>
      <w:r w:rsidRPr="0000382A">
        <w:rPr>
          <w:rFonts w:ascii="Times New Roman" w:hAnsi="Times New Roman" w:cs="Times New Roman"/>
          <w:i/>
          <w:iCs/>
        </w:rPr>
        <w:t>Activity Level Questionnaire</w:t>
      </w:r>
      <w:r w:rsidRPr="003D0247">
        <w:rPr>
          <w:rFonts w:ascii="Times New Roman" w:hAnsi="Times New Roman" w:cs="Times New Roman"/>
        </w:rPr>
        <w:t xml:space="preserve"> (ALQ; based on </w:t>
      </w:r>
      <w:proofErr w:type="spellStart"/>
      <w:r w:rsidRPr="003D0247">
        <w:rPr>
          <w:rFonts w:ascii="Times New Roman" w:hAnsi="Times New Roman" w:cs="Times New Roman"/>
        </w:rPr>
        <w:t>Meshesha</w:t>
      </w:r>
      <w:proofErr w:type="spellEnd"/>
      <w:r w:rsidRPr="003D0247">
        <w:rPr>
          <w:rFonts w:ascii="Times New Roman" w:hAnsi="Times New Roman" w:cs="Times New Roman"/>
        </w:rPr>
        <w:t xml:space="preserve"> et al., 2020): This measure was used to measure behaviour allocation and enjoyment across alcohol-related and alcohol-free activities. Past month ratings of activity engagement frequency were made on a 7-point scale (0 = 0 times in the past month to 6 = several times per day) and enjoyment on a 5-point scale (0 = unpleasant or neutral to 4 = extremely pleasant). We modified this measure by extending the range of responses for frequency, reducing the number of items, and updating content to include more currently common activities (e.g., asking about virtual socializing instead of writing letters and sending emails). For exploratory purposes (see Appendix E), we also added an additional question on a 5-point scale about whether frequency of engagement in each activity has changed since the national COVID-19 lockdowns commenced in the UK in March 2020 (0 = much less often to 4 = much more often). The frequency and enjoyment ratings were multiplied to obtain cross-product scores (range = 0 – 24) which were then averaged across all activities to calculate total alcohol-free and alcohol-related reinforcement scores for each participant. We then computed a reinforcement ratio (range = 0 – 1) by dividing the mean alcohol-free reinforcement by the mean of all available reinforcements </w:t>
      </w:r>
      <w:r w:rsidRPr="003D0247">
        <w:rPr>
          <w:rFonts w:ascii="Times New Roman" w:hAnsi="Times New Roman" w:cs="Times New Roman"/>
        </w:rPr>
        <w:lastRenderedPageBreak/>
        <w:t>(alcohol-free + alcohol-related). Our reinforcement ratio therefore reflects proportionate alcohol-free, rather than alcohol-related, reinforcement because this is the pre-registered outcome of interest.</w:t>
      </w:r>
    </w:p>
    <w:p w14:paraId="1004A483" w14:textId="77777777" w:rsidR="003D0247" w:rsidRPr="003D0247" w:rsidRDefault="003D0247" w:rsidP="003D0247">
      <w:pPr>
        <w:pStyle w:val="NoSpacing"/>
        <w:spacing w:line="480" w:lineRule="auto"/>
        <w:rPr>
          <w:rFonts w:ascii="Times New Roman" w:hAnsi="Times New Roman" w:cs="Times New Roman"/>
        </w:rPr>
      </w:pPr>
    </w:p>
    <w:p w14:paraId="1D27E552" w14:textId="76E84366" w:rsidR="003D0247" w:rsidRPr="003D0247" w:rsidRDefault="003D0247" w:rsidP="0000382A">
      <w:pPr>
        <w:pStyle w:val="NoSpacing"/>
        <w:spacing w:line="480" w:lineRule="auto"/>
        <w:rPr>
          <w:rFonts w:ascii="Times New Roman" w:hAnsi="Times New Roman" w:cs="Times New Roman"/>
        </w:rPr>
      </w:pPr>
      <w:r w:rsidRPr="0000382A">
        <w:rPr>
          <w:rFonts w:ascii="Times New Roman" w:hAnsi="Times New Roman" w:cs="Times New Roman"/>
          <w:i/>
          <w:iCs/>
        </w:rPr>
        <w:t>Stages of Change Readiness and Treatment Eagerness Scale</w:t>
      </w:r>
      <w:r w:rsidRPr="003D0247">
        <w:rPr>
          <w:rFonts w:ascii="Times New Roman" w:hAnsi="Times New Roman" w:cs="Times New Roman"/>
        </w:rPr>
        <w:t xml:space="preserve"> (SOCRATES; </w:t>
      </w:r>
      <w:r w:rsidR="0000382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{"citationID":"VZrhkbHg","properties":{"formattedCitation":"(Miller &amp; Tonigan, 1996)","plainCitation":"(Miller &amp; Tonigan, 1996)","dontUpdate":true,"noteIndex":0},"citationItems":[{"id":21,"uris":["http://zotero.org/users/7873587/items/ENMB7DTK"],"itemData":{"id":21,"type":"article-journal","abstract":"The Stages of Change Readiness and Treatment Eagerness Scale (SOCRATES) is an instrument designed to assess motivation for change in problem drinkers. Data from a multisite clinical sample (N = 1,672) and a test-retest study (N = 82) provided support for the reliability of SOCRATES scales. Factor analyses yielded 3 relatively unrelated factors that were stable across rotations: Recognition, Ambivalence, and Taking Steps. Recognition scores at baseline were found to be mildly related to intensity of alcohol consumption and problems. Comparable scale scores resulted from short (19-item) and longer (39-item) forms of the instrument. Normative data are provided for the short form. (PsycINFO Database Record (c) 2020 APA, all rights reserved)","container-title":"Psychology of Addictive Behaviors","DOI":"10.1037/0893-164X.10.2.81","ISSN":"1939-1501(Electronic),0893-164X(Print)","issue":"2","note":"publisher-place: US\npublisher: Educational Publishing Foundation","page":"81-89","source":"APA PsycNET","title":"Assessing drinkers' motivation for change: The Stages of Change Readiness and Treatment Eagerness Scale (SOCRATES)","title-short":"Assessing drinkers' motivation for change","volume":"10","author":[{"family":"Miller","given":"William R."},{"family":"Tonigan","given":"J. Scott"}],"issued":{"date-parts":[["1996"]]}}}],"schema":"https://github.com/citation-style-language/schema/raw/master/csl-citation.json"} </w:instrText>
      </w:r>
      <w:r w:rsidR="0000382A">
        <w:rPr>
          <w:rFonts w:ascii="Times New Roman" w:hAnsi="Times New Roman" w:cs="Times New Roman"/>
        </w:rPr>
        <w:fldChar w:fldCharType="separate"/>
      </w:r>
      <w:r w:rsidR="0000382A" w:rsidRPr="0000382A">
        <w:rPr>
          <w:rFonts w:ascii="Times New Roman" w:hAnsi="Times New Roman" w:cs="Times New Roman"/>
        </w:rPr>
        <w:t>Miller &amp; Tonigan, 1996)</w:t>
      </w:r>
      <w:r w:rsidR="0000382A">
        <w:rPr>
          <w:rFonts w:ascii="Times New Roman" w:hAnsi="Times New Roman" w:cs="Times New Roman"/>
        </w:rPr>
        <w:fldChar w:fldCharType="end"/>
      </w:r>
      <w:r w:rsidRPr="003D0247">
        <w:rPr>
          <w:rFonts w:ascii="Times New Roman" w:hAnsi="Times New Roman" w:cs="Times New Roman"/>
        </w:rPr>
        <w:t xml:space="preserve">: we administered 4-items from the original SOCRATES to assess problem recognition, which has also been used in previous research </w:t>
      </w:r>
      <w:r w:rsidR="0000382A">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{"citationID":"lExytqfy","properties":{"formattedCitation":"(Morris et al., 2020, 2021)","plainCitation":"(Morris et al., 2020, 2021)","noteIndex":0},"citationItems":[{"id":27,"uris":["http://zotero.org/users/7873587/items/M3EM6KV9"],"itemData":{"id":27,"type":"article-journal","abstract":"Low problem recognition may be an important barrier to opportunities for self-change or help-seeking in harmful drinkers. Little is known about how the beliefs harmful drinkers hold about the nature and causes of alcohol problems affect problem recognition and subsequent behaviour change processes. Participants (n = 597) recruited online were randomised to one of two conditions designed to promote beliefs according to (a) a continuum model of alcohol problems or (b) a binary disease model, or (c) a control condition. Participants completed measures of alcohol problem beliefs, problem recognition and other indices including the Alcohol Use Disorder Identification Test (AUDIT), addiction beliefs, addiction experience and demographics. Results showed that harmful drinkers without addiction experience exposed to the continuum condition had significantly higher problem recognition than those in binary disease model or control conditions. Continuum beliefs appear to offer self-evaluative benefits for harmful drinkers with low alcohol problem recognition, thus potentially facilitating help-seeking or self-change regarding alcohol use. Further research to understand the mechanisms by which continuum beliefs may promote more accurate drinking self-evaluation and its potential for behaviour change is warranted. The role of continuum beliefs may have important consequences for alcohol-related messaging and interventions seeking to promote self-change or help-seeking.","container-title":"Addictive Behaviors","DOI":"10.1016/j.addbeh.2020.106292","ISSN":"0306-4603","journalAbbreviation":"Addictive Behaviors","language":"en","page":"106292","source":"ScienceDirect","title":"Continuum beliefs are associated with higher problem recognition than binary beliefs among harmful drinkers without addiction experience","volume":"105","author":[{"family":"Morris","given":"J."},{"family":"Albery","given":"I. P."},{"family":"Heather","given":"N."},{"family":"Moss","given":"A. C."}],"issued":{"date-parts":[["2020"]]}},"label":"act"},{"id":440,"uris":["http://zotero.org/users/7873587/items/BN6FZZKA"],"itemData":{"id":440,"type":"article-journal","abstract":"Objective\nHarmful drinkers represent an important Alcohol Use Disorder (AUD) group in public health terms, accounting for significant health and social costs. However, harmful drinkers are characterized by low problem recognition; they tend to construct their drinking identity as positive and problem-free, actively setting themselves apart from the stigmatised ‘alcoholic other’. As such, harmful drinkers rarely engage in treatment and represent an important opportunity for lower threshold interventions and self-change. The present study sought to explore AUD problem framing and stigma effects on problem recognition. Methods: Harmful drinkers without perceived addiction experience recruited online (n = 244, 54% male, 46% female, 96% British) were randomised to one of six conditions comprising beliefs about alcohol problems (control, continuum, binary disease model) and stigma (stigma, non-stigma), and completed measures relating to problem recognition. Results: As predicted, results found that harmful drinkers exposed to binary disease model beliefs and stigmatising language had significantly lower problem recognition than those in other conditions. However, no support was found for the prediction that continuum beliefs would be associated with higher problem recognition. Results suggest that the interaction of binary disease model beliefs and stigma prompted alcoholic label avoidance. Conclusion: These findings suggest that problem framing has important consequences for harmful drinkers. Implications for behaviour change amongst harmful drinkers through mechanisms of problem framing and identity are discussed.","container-title":"Addictive Behaviors","DOI":"10.1016/j.addbeh.2021.107093","journalAbbreviation":"Addictive Behaviors","page":"107093","source":"ResearchGate","title":"The “alcoholic other”: Harmful drinkers resist problem recognition to manage identity threat","title-short":"The “alcoholic other”","volume":"124","author":[{"family":"Morris","given":"James"},{"family":"Moss","given":"A.C."},{"family":"Albery","given":"Ian"},{"family":"Heather","given":"Nick"}],"issued":{"date-parts":[["2021",8,1]]}},"label":"act"}],"schema":"https://github.com/citation-style-language/schema/raw/master/csl-citation.json"} </w:instrText>
      </w:r>
      <w:r w:rsidR="0000382A">
        <w:rPr>
          <w:rFonts w:ascii="Times New Roman" w:hAnsi="Times New Roman" w:cs="Times New Roman"/>
        </w:rPr>
        <w:fldChar w:fldCharType="separate"/>
      </w:r>
      <w:r w:rsidR="0000382A" w:rsidRPr="0000382A">
        <w:rPr>
          <w:rFonts w:ascii="Times New Roman" w:hAnsi="Times New Roman" w:cs="Times New Roman"/>
        </w:rPr>
        <w:t>(Morris et al., 2020, 202</w:t>
      </w:r>
      <w:r w:rsidR="00DF4465">
        <w:rPr>
          <w:rFonts w:ascii="Times New Roman" w:hAnsi="Times New Roman" w:cs="Times New Roman"/>
        </w:rPr>
        <w:t>2</w:t>
      </w:r>
      <w:r w:rsidR="0000382A" w:rsidRPr="0000382A">
        <w:rPr>
          <w:rFonts w:ascii="Times New Roman" w:hAnsi="Times New Roman" w:cs="Times New Roman"/>
        </w:rPr>
        <w:t>)</w:t>
      </w:r>
      <w:r w:rsidR="0000382A">
        <w:rPr>
          <w:rFonts w:ascii="Times New Roman" w:hAnsi="Times New Roman" w:cs="Times New Roman"/>
        </w:rPr>
        <w:fldChar w:fldCharType="end"/>
      </w:r>
      <w:r w:rsidR="0000382A">
        <w:rPr>
          <w:rFonts w:ascii="Times New Roman" w:hAnsi="Times New Roman" w:cs="Times New Roman"/>
        </w:rPr>
        <w:t xml:space="preserve">. </w:t>
      </w:r>
      <w:r w:rsidRPr="003D0247">
        <w:rPr>
          <w:rFonts w:ascii="Times New Roman" w:hAnsi="Times New Roman" w:cs="Times New Roman"/>
        </w:rPr>
        <w:t>Two items relate to the Ambivalence Scale within the original SOCRATES (“There are times when I wonder if I drink too much” and “Sometimes I wonder if I am in control of my drinking”) and two items relate to the Recognition Scale (“If I don’t change my drinking soon, my problems are going to get worse” and “My drinking is causing a lot of harm”). Participants responded on a 5-point Likert scale, rating each item from 1 (strongly disagree) to 5 (strongly agree). Scores range from 4 to 20, with higher scores indicating a higher level of problem recognition. The present study indicated this measure had good internal reliability (ω = .88).</w:t>
      </w:r>
    </w:p>
    <w:p w14:paraId="1E954951" w14:textId="77777777" w:rsidR="003D0247" w:rsidRPr="003D0247" w:rsidRDefault="003D0247" w:rsidP="003D0247">
      <w:pPr>
        <w:pStyle w:val="NoSpacing"/>
        <w:spacing w:line="480" w:lineRule="auto"/>
        <w:rPr>
          <w:rFonts w:ascii="Times New Roman" w:hAnsi="Times New Roman" w:cs="Times New Roman"/>
        </w:rPr>
      </w:pPr>
    </w:p>
    <w:p w14:paraId="602A69B0" w14:textId="73E36E26" w:rsidR="003D0247" w:rsidRPr="003D0247" w:rsidRDefault="003D0247" w:rsidP="0000382A">
      <w:pPr>
        <w:pStyle w:val="NoSpacing"/>
        <w:spacing w:line="480" w:lineRule="auto"/>
        <w:rPr>
          <w:rFonts w:ascii="Times New Roman" w:hAnsi="Times New Roman" w:cs="Times New Roman"/>
        </w:rPr>
      </w:pPr>
      <w:r w:rsidRPr="0000382A">
        <w:rPr>
          <w:rFonts w:ascii="Times New Roman" w:hAnsi="Times New Roman" w:cs="Times New Roman"/>
          <w:i/>
          <w:iCs/>
        </w:rPr>
        <w:t>Drinking Refusal Self-Efficacy Questionnaire</w:t>
      </w:r>
      <w:r w:rsidRPr="003D0247">
        <w:rPr>
          <w:rFonts w:ascii="Times New Roman" w:hAnsi="Times New Roman" w:cs="Times New Roman"/>
        </w:rPr>
        <w:t xml:space="preserve"> </w:t>
      </w:r>
      <w:r w:rsidR="0000382A">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{"citationID":"BVXt5v0Q","properties":{"formattedCitation":"(Young et al., 1991)","plainCitation":"(Young et al., 1991)","noteIndex":0},"citationItems":[{"id":35,"uris":["http://zotero.org/users/7873587/items/TNBTBRYL"],"itemData":{"id":35,"type":"article-journal","abstract":"Self-efficacy has been postulated as a construct of central importance in the acquisition, maintenance, and treatment of addictive behavior. To date research has largely examined the role of outcome expectancies but literature on the relationship of self-efficacy and drinking is still unclear. This paper describes the development and psychometric properties of a Drinking Self-Efficacy Questionnaire (DSEQ). In Study I, 251 students were used to test the factor structure of the DSEQ. Factor analysis of the DSEQ showed three clear factors accounting for 60% of the common variance. These factors can be summarized as self-efficacy in situations characterized by social pressure, opportunistic drinking, and emotional relief. Study II used 138 people from a general community sample and discriminant analyses showed that the DSEQ has good discriminant validity. The findings suggest that the DSEQ has potential for use in research examining the role of drinking self-efficacy in problem drinkers.","container-title":"Journal of Psychopathology and Behavioral Assessment","DOI":"10.1007/BF00960735","ISSN":"1573-3505","issue":"1","journalAbbreviation":"J Psychopathol Behav Assess","language":"en","page":"1-15","source":"Springer Link","title":"Development of a drinking self-efficacy questionnaire","volume":"13","author":[{"family":"Young","given":"R. McD"},{"family":"Oei","given":"Tian P. S."},{"family":"Crook","given":"G. M."}],"issued":{"date-parts":[["1991"]]}}}],"schema":"https://github.com/citation-style-language/schema/raw/master/csl-citation.json"} </w:instrText>
      </w:r>
      <w:r w:rsidR="0000382A">
        <w:rPr>
          <w:rFonts w:ascii="Times New Roman" w:hAnsi="Times New Roman" w:cs="Times New Roman"/>
        </w:rPr>
        <w:fldChar w:fldCharType="separate"/>
      </w:r>
      <w:r w:rsidR="0000382A" w:rsidRPr="0000382A">
        <w:rPr>
          <w:rFonts w:ascii="Times New Roman" w:hAnsi="Times New Roman" w:cs="Times New Roman"/>
        </w:rPr>
        <w:t>(Young et al., 1991)</w:t>
      </w:r>
      <w:r w:rsidR="0000382A">
        <w:rPr>
          <w:rFonts w:ascii="Times New Roman" w:hAnsi="Times New Roman" w:cs="Times New Roman"/>
        </w:rPr>
        <w:fldChar w:fldCharType="end"/>
      </w:r>
      <w:r w:rsidRPr="003D0247">
        <w:rPr>
          <w:rFonts w:ascii="Times New Roman" w:hAnsi="Times New Roman" w:cs="Times New Roman"/>
        </w:rPr>
        <w:t xml:space="preserve">: In line with previous research </w:t>
      </w:r>
      <w:r w:rsidR="0000382A">
        <w:rPr>
          <w:rFonts w:ascii="Times New Roman" w:hAnsi="Times New Roman" w:cs="Times New Roman"/>
        </w:rPr>
        <w:fldChar w:fldCharType="begin"/>
      </w:r>
      <w:r w:rsidR="0000382A">
        <w:rPr>
          <w:rFonts w:ascii="Times New Roman" w:hAnsi="Times New Roman" w:cs="Times New Roman"/>
        </w:rPr>
        <w:instrText xml:space="preserve"> ADDIN ZOTERO_ITEM CSL_CITATION {"citationID":"aVKdlfaE","properties":{"formattedCitation":"(Field, Puddephatt, et al., 2020)","plainCitation":"(Field, Puddephatt, et al., 2020)","noteIndex":0},"citationItems":[{"id":1156,"uris":["http://zotero.org/users/7873587/items/HI7FA5AR"],"itemData":{"id":1156,"type":"article-journal","abstract":"Participation in temporary alcohol abstinence campaigns such as ‘Dry January’ may prompt enduring reductions in alcohol consumption. A randomized controlled trial (RCT) is required to establish any long-term benefits or negative consequences of temporary abstinence. In the present study, we randomized heavy drinkers to complete or intermittent alcohol abstinence for 4 weeks, in order to evaluate the feasibility of conducting a large-scale RCT.","container-title":"Pilot and Feasibility Studies","DOI":"10.1186/s40814-020-0554-y","ISSN":"2055-5784","issue":"1","journalAbbreviation":"Pilot and Feasibility Studies","page":"9","source":"BioMed Central","title":"Benefits of temporary alcohol restriction: a feasibility randomized trial","title-short":"Benefits of temporary alcohol restriction","volume":"6","author":[{"family":"Field","given":"Matt"},{"family":"Puddephatt","given":"Jo-Anne"},{"family":"Goodwin","given":"Laura"},{"family":"Owens","given":"Lynn"},{"family":"Reaves","given":"Danielle"},{"family":"Holmes","given":"John"}],"issued":{"date-parts":[["2020",1,31]]}}}],"schema":"https://github.com/citation-style-language/schema/raw/master/csl-citation.json"} </w:instrText>
      </w:r>
      <w:r w:rsidR="0000382A">
        <w:rPr>
          <w:rFonts w:ascii="Times New Roman" w:hAnsi="Times New Roman" w:cs="Times New Roman"/>
        </w:rPr>
        <w:fldChar w:fldCharType="separate"/>
      </w:r>
      <w:r w:rsidR="0000382A" w:rsidRPr="0000382A">
        <w:rPr>
          <w:rFonts w:ascii="Times New Roman" w:hAnsi="Times New Roman" w:cs="Times New Roman"/>
        </w:rPr>
        <w:t>(Field, Puddephatt, et al., 2020)</w:t>
      </w:r>
      <w:r w:rsidR="0000382A">
        <w:rPr>
          <w:rFonts w:ascii="Times New Roman" w:hAnsi="Times New Roman" w:cs="Times New Roman"/>
        </w:rPr>
        <w:fldChar w:fldCharType="end"/>
      </w:r>
      <w:r w:rsidRPr="003D0247">
        <w:rPr>
          <w:rFonts w:ascii="Times New Roman" w:hAnsi="Times New Roman" w:cs="Times New Roman"/>
        </w:rPr>
        <w:t xml:space="preserve">, we used a 9-item version of the original 31-item measure to assess participants' belief in their ability to resist alcohol. This measures self-efficacy across three subscales: social pressure (e.g., “When I am with friends”), emotional relief (e.g., “When I am worried”), and opportunistic (e.g., “When I am watching TV”). Participants responded on a 7-item scale ranging from 1 (very difficult to refuse) to 7 (very easy to refuse). Higher scores indicate higher drinking refusal self-efficacy. The measure had good internal reliability for all three subscales (all </w:t>
      </w:r>
      <w:proofErr w:type="spellStart"/>
      <w:r w:rsidRPr="003D0247">
        <w:rPr>
          <w:rFonts w:ascii="Times New Roman" w:hAnsi="Times New Roman" w:cs="Times New Roman"/>
        </w:rPr>
        <w:t>ωs</w:t>
      </w:r>
      <w:proofErr w:type="spellEnd"/>
      <w:r w:rsidRPr="003D0247">
        <w:rPr>
          <w:rFonts w:ascii="Times New Roman" w:hAnsi="Times New Roman" w:cs="Times New Roman"/>
        </w:rPr>
        <w:t xml:space="preserve"> &gt; .84). Specifically: social pressure (ω = .84), emotional relief (ω = .91), and opportunistic (ω = .85).  </w:t>
      </w:r>
    </w:p>
    <w:p w14:paraId="562566CB" w14:textId="77777777" w:rsidR="003D0247" w:rsidRPr="003D0247" w:rsidRDefault="003D0247" w:rsidP="003D0247">
      <w:pPr>
        <w:pStyle w:val="NoSpacing"/>
        <w:spacing w:line="480" w:lineRule="auto"/>
        <w:rPr>
          <w:rFonts w:ascii="Times New Roman" w:hAnsi="Times New Roman" w:cs="Times New Roman"/>
        </w:rPr>
      </w:pPr>
    </w:p>
    <w:p w14:paraId="73E55C20" w14:textId="77777777" w:rsidR="003D0247" w:rsidRPr="003D0247" w:rsidRDefault="003D0247" w:rsidP="003D0247">
      <w:pPr>
        <w:pStyle w:val="NoSpacing"/>
        <w:spacing w:line="480" w:lineRule="auto"/>
        <w:rPr>
          <w:rFonts w:ascii="Times New Roman" w:hAnsi="Times New Roman" w:cs="Times New Roman"/>
        </w:rPr>
      </w:pPr>
      <w:r w:rsidRPr="0000382A">
        <w:rPr>
          <w:rFonts w:ascii="Times New Roman" w:hAnsi="Times New Roman" w:cs="Times New Roman"/>
          <w:i/>
          <w:iCs/>
        </w:rPr>
        <w:t>Questions about COVID-19</w:t>
      </w:r>
      <w:r w:rsidRPr="003D0247">
        <w:rPr>
          <w:rFonts w:ascii="Times New Roman" w:hAnsi="Times New Roman" w:cs="Times New Roman"/>
        </w:rPr>
        <w:t xml:space="preserve">: We asked exploratory questions about COVID. Participants were presented with the following text: “The global COVID-19 pandemic has changed many aspects of people’s lives, such as their alcohol consumption and mental health. Please answer the following questions about your own experience since the lockdowns started in March 2020”. They were then asked to indicate using a 5-point scale whether they felt they were drinking 1 (much less) or 5 (much more) and whether their mental health was 1 (much better) or 5 (much worse). </w:t>
      </w:r>
    </w:p>
    <w:p w14:paraId="410C246C" w14:textId="77777777" w:rsidR="003D0247" w:rsidRPr="003D0247" w:rsidRDefault="003D0247" w:rsidP="003D0247">
      <w:pPr>
        <w:pStyle w:val="NoSpacing"/>
        <w:spacing w:line="480" w:lineRule="auto"/>
        <w:rPr>
          <w:rFonts w:ascii="Times New Roman" w:hAnsi="Times New Roman" w:cs="Times New Roman"/>
        </w:rPr>
      </w:pPr>
    </w:p>
    <w:p w14:paraId="1E68F2BD" w14:textId="5E000556" w:rsidR="0000382A" w:rsidRDefault="003D0247" w:rsidP="0000382A">
      <w:pPr>
        <w:pStyle w:val="NoSpacing"/>
        <w:spacing w:line="480" w:lineRule="auto"/>
        <w:rPr>
          <w:rFonts w:ascii="Times New Roman" w:hAnsi="Times New Roman" w:cs="Times New Roman"/>
        </w:rPr>
      </w:pPr>
      <w:r w:rsidRPr="0000382A">
        <w:rPr>
          <w:rFonts w:ascii="Times New Roman" w:hAnsi="Times New Roman" w:cs="Times New Roman"/>
          <w:i/>
          <w:iCs/>
        </w:rPr>
        <w:t>Demographic questions:</w:t>
      </w:r>
      <w:r w:rsidRPr="003D0247">
        <w:rPr>
          <w:rFonts w:ascii="Times New Roman" w:hAnsi="Times New Roman" w:cs="Times New Roman"/>
        </w:rPr>
        <w:t xml:space="preserve"> Participants answered questions about their age, gender, duration of current and previous (prior to moderation) level of alcohol consumption, highest educational attainment, student status, employment status (and whether COVID-19 has impacted this), household income, relationship status, whether they have any children, and cohabitation (whether they live with partner and / or children). See </w:t>
      </w:r>
      <w:r w:rsidR="0000382A" w:rsidRPr="0000382A">
        <w:rPr>
          <w:rFonts w:ascii="Times New Roman" w:hAnsi="Times New Roman" w:cs="Times New Roman"/>
        </w:rPr>
        <w:t xml:space="preserve">Appendix </w:t>
      </w:r>
      <w:r w:rsidR="0000382A">
        <w:rPr>
          <w:rFonts w:ascii="Times New Roman" w:hAnsi="Times New Roman" w:cs="Times New Roman"/>
        </w:rPr>
        <w:t xml:space="preserve">E </w:t>
      </w:r>
      <w:r w:rsidRPr="003D0247">
        <w:rPr>
          <w:rFonts w:ascii="Times New Roman" w:hAnsi="Times New Roman" w:cs="Times New Roman"/>
        </w:rPr>
        <w:t xml:space="preserve">for detail on participant demographics in the </w:t>
      </w:r>
      <w:r w:rsidR="0000382A">
        <w:rPr>
          <w:rFonts w:ascii="Times New Roman" w:hAnsi="Times New Roman" w:cs="Times New Roman"/>
        </w:rPr>
        <w:t xml:space="preserve">present </w:t>
      </w:r>
      <w:r w:rsidRPr="003D0247">
        <w:rPr>
          <w:rFonts w:ascii="Times New Roman" w:hAnsi="Times New Roman" w:cs="Times New Roman"/>
        </w:rPr>
        <w:t>study</w:t>
      </w:r>
      <w:r w:rsidR="0000382A">
        <w:rPr>
          <w:rFonts w:ascii="Times New Roman" w:hAnsi="Times New Roman" w:cs="Times New Roman"/>
        </w:rPr>
        <w:t>.</w:t>
      </w:r>
    </w:p>
    <w:p w14:paraId="41D994AD" w14:textId="77777777" w:rsidR="0000382A" w:rsidRPr="0000382A" w:rsidRDefault="0000382A" w:rsidP="0000382A">
      <w:pPr>
        <w:pStyle w:val="NoSpacing"/>
        <w:spacing w:line="480" w:lineRule="auto"/>
        <w:rPr>
          <w:rFonts w:ascii="Times New Roman" w:hAnsi="Times New Roman" w:cs="Times New Roman"/>
        </w:rPr>
      </w:pPr>
    </w:p>
    <w:p w14:paraId="19E013CC" w14:textId="3B351168" w:rsidR="0000382A" w:rsidRPr="0000382A" w:rsidRDefault="0000382A" w:rsidP="0000382A">
      <w:pPr>
        <w:pStyle w:val="NoSpacing"/>
        <w:spacing w:line="480" w:lineRule="auto"/>
        <w:rPr>
          <w:rFonts w:ascii="Times New Roman" w:hAnsi="Times New Roman" w:cs="Times New Roman"/>
          <w:b/>
          <w:bCs/>
        </w:rPr>
      </w:pPr>
      <w:r w:rsidRPr="0000382A">
        <w:rPr>
          <w:rFonts w:ascii="Times New Roman" w:hAnsi="Times New Roman" w:cs="Times New Roman"/>
          <w:b/>
          <w:bCs/>
        </w:rPr>
        <w:t>Procedure</w:t>
      </w:r>
    </w:p>
    <w:p w14:paraId="25FB2D65" w14:textId="77777777" w:rsidR="0000382A" w:rsidRPr="0000382A" w:rsidRDefault="0000382A" w:rsidP="0000382A">
      <w:pPr>
        <w:pStyle w:val="NoSpacing"/>
        <w:spacing w:line="480" w:lineRule="auto"/>
        <w:rPr>
          <w:rFonts w:ascii="Times New Roman" w:hAnsi="Times New Roman" w:cs="Times New Roman"/>
        </w:rPr>
      </w:pPr>
      <w:r w:rsidRPr="0000382A">
        <w:rPr>
          <w:rFonts w:ascii="Times New Roman" w:hAnsi="Times New Roman" w:cs="Times New Roman"/>
        </w:rPr>
        <w:t xml:space="preserve">The study was completed online and took on average 46.92 minutes (SD = 22.78). After providing informed consent, participants initially completed the AUDIT before completing an image-rating phase and VBDM task (both programmed in </w:t>
      </w:r>
      <w:proofErr w:type="spellStart"/>
      <w:r w:rsidRPr="0000382A">
        <w:rPr>
          <w:rFonts w:ascii="Times New Roman" w:hAnsi="Times New Roman" w:cs="Times New Roman"/>
        </w:rPr>
        <w:t>PsychoPy</w:t>
      </w:r>
      <w:proofErr w:type="spellEnd"/>
      <w:r w:rsidRPr="0000382A">
        <w:rPr>
          <w:rFonts w:ascii="Times New Roman" w:hAnsi="Times New Roman" w:cs="Times New Roman"/>
        </w:rPr>
        <w:t xml:space="preserve"> and hosted on </w:t>
      </w:r>
      <w:proofErr w:type="spellStart"/>
      <w:r w:rsidRPr="0000382A">
        <w:rPr>
          <w:rFonts w:ascii="Times New Roman" w:hAnsi="Times New Roman" w:cs="Times New Roman"/>
        </w:rPr>
        <w:t>Pavlovia</w:t>
      </w:r>
      <w:proofErr w:type="spellEnd"/>
      <w:r w:rsidRPr="0000382A">
        <w:rPr>
          <w:rFonts w:ascii="Times New Roman" w:hAnsi="Times New Roman" w:cs="Times New Roman"/>
        </w:rPr>
        <w:t>; Peirce et al., 2019). Subsequently, they completed the remaining questionnaires listed above (randomised order).</w:t>
      </w:r>
    </w:p>
    <w:p w14:paraId="300936F6" w14:textId="77777777" w:rsidR="0000382A" w:rsidRPr="0000382A" w:rsidRDefault="0000382A" w:rsidP="0000382A">
      <w:pPr>
        <w:pStyle w:val="NoSpacing"/>
        <w:spacing w:line="480" w:lineRule="auto"/>
        <w:rPr>
          <w:rFonts w:ascii="Times New Roman" w:hAnsi="Times New Roman" w:cs="Times New Roman"/>
        </w:rPr>
      </w:pPr>
    </w:p>
    <w:p w14:paraId="6C8E48D7" w14:textId="77777777" w:rsidR="0000382A" w:rsidRPr="0000382A" w:rsidRDefault="0000382A" w:rsidP="0000382A">
      <w:pPr>
        <w:pStyle w:val="NoSpacing"/>
        <w:spacing w:line="480" w:lineRule="auto"/>
        <w:rPr>
          <w:rFonts w:ascii="Times New Roman" w:hAnsi="Times New Roman" w:cs="Times New Roman"/>
          <w:i/>
          <w:iCs/>
        </w:rPr>
      </w:pPr>
      <w:r w:rsidRPr="0000382A">
        <w:rPr>
          <w:rFonts w:ascii="Times New Roman" w:hAnsi="Times New Roman" w:cs="Times New Roman"/>
          <w:i/>
          <w:iCs/>
        </w:rPr>
        <w:t>Image-rating phase</w:t>
      </w:r>
    </w:p>
    <w:p w14:paraId="298D5944" w14:textId="43A6B82D" w:rsidR="0000382A" w:rsidRPr="0000382A" w:rsidRDefault="0000382A" w:rsidP="0000382A">
      <w:pPr>
        <w:pStyle w:val="NoSpacing"/>
        <w:spacing w:line="480" w:lineRule="auto"/>
        <w:rPr>
          <w:rFonts w:ascii="Times New Roman" w:hAnsi="Times New Roman" w:cs="Times New Roman"/>
        </w:rPr>
      </w:pPr>
      <w:r w:rsidRPr="0000382A">
        <w:rPr>
          <w:rFonts w:ascii="Times New Roman" w:hAnsi="Times New Roman" w:cs="Times New Roman"/>
        </w:rPr>
        <w:lastRenderedPageBreak/>
        <w:t>We instructed participants to make value judgements about two separate sets of images (30 soft</w:t>
      </w:r>
      <w:r>
        <w:rPr>
          <w:rFonts w:ascii="Times New Roman" w:hAnsi="Times New Roman" w:cs="Times New Roman"/>
        </w:rPr>
        <w:t xml:space="preserve"> </w:t>
      </w:r>
      <w:r w:rsidRPr="0000382A">
        <w:rPr>
          <w:rFonts w:ascii="Times New Roman" w:hAnsi="Times New Roman" w:cs="Times New Roman"/>
        </w:rPr>
        <w:t>drink and then 30 alcohol). Participants used a computer mouse to place each of the images into 1 of 4 boxes to indicate how much they would like to consume the drink depicted right now: ‘A lot’, ‘A little bit, ‘Not really’, and ‘Not at all’. For both image sets, five images from each value category were randomly selected for use in the task and these were displayed in the centre of the screen for 3 seconds each, followed by a 500ms fixation cross.</w:t>
      </w:r>
    </w:p>
    <w:p w14:paraId="2EA6549B" w14:textId="77777777" w:rsidR="0000382A" w:rsidRPr="0000382A" w:rsidRDefault="0000382A" w:rsidP="0000382A">
      <w:pPr>
        <w:pStyle w:val="NoSpacing"/>
        <w:spacing w:line="480" w:lineRule="auto"/>
        <w:rPr>
          <w:rFonts w:ascii="Times New Roman" w:hAnsi="Times New Roman" w:cs="Times New Roman"/>
        </w:rPr>
      </w:pPr>
    </w:p>
    <w:p w14:paraId="3E087C0D" w14:textId="77777777" w:rsidR="0000382A" w:rsidRPr="0000382A" w:rsidRDefault="0000382A" w:rsidP="0000382A">
      <w:pPr>
        <w:pStyle w:val="NoSpacing"/>
        <w:spacing w:line="480" w:lineRule="auto"/>
        <w:rPr>
          <w:rFonts w:ascii="Times New Roman" w:hAnsi="Times New Roman" w:cs="Times New Roman"/>
          <w:i/>
          <w:iCs/>
        </w:rPr>
      </w:pPr>
      <w:r w:rsidRPr="0000382A">
        <w:rPr>
          <w:rFonts w:ascii="Times New Roman" w:hAnsi="Times New Roman" w:cs="Times New Roman"/>
          <w:i/>
          <w:iCs/>
        </w:rPr>
        <w:t xml:space="preserve">Value-based decision-making (VBDM) task </w:t>
      </w:r>
    </w:p>
    <w:p w14:paraId="7DE986F6" w14:textId="54BD3BE7" w:rsidR="0000382A" w:rsidRDefault="0000382A" w:rsidP="0000382A">
      <w:pPr>
        <w:pStyle w:val="NoSpacing"/>
        <w:spacing w:line="480" w:lineRule="auto"/>
        <w:rPr>
          <w:rFonts w:ascii="Times New Roman" w:hAnsi="Times New Roman" w:cs="Times New Roman"/>
        </w:rPr>
      </w:pPr>
      <w:r w:rsidRPr="0000382A">
        <w:rPr>
          <w:rFonts w:ascii="Times New Roman" w:hAnsi="Times New Roman" w:cs="Times New Roman"/>
        </w:rPr>
        <w:t>On each trial, two images appeared in the centre of the screen (one on the left and one on the right), and participants were instructed to press one of two keys (‘Z’ for left and ‘M’ for right) to choose the image that depicts the drink that they would rather consume, as quickly as possible (see Figure 6.1). After some practice trials, participants completed two blocks (one soft</w:t>
      </w:r>
      <w:r>
        <w:rPr>
          <w:rFonts w:ascii="Times New Roman" w:hAnsi="Times New Roman" w:cs="Times New Roman"/>
        </w:rPr>
        <w:t xml:space="preserve"> </w:t>
      </w:r>
      <w:r w:rsidRPr="0000382A">
        <w:rPr>
          <w:rFonts w:ascii="Times New Roman" w:hAnsi="Times New Roman" w:cs="Times New Roman"/>
        </w:rPr>
        <w:t>drink block and one alcohol block; order randomised) of 150 trials (300 trials in total with short, embedded breaks after every 50 trials). On each trial, one of the images was of higher value than the other image as determined by the initial value judgements, and the (relatively) high value image appeared on the left or right of the screen with equal frequency. Participants were given 4 seconds to respond per trial, responses outside of this response window were classed as “miss trials” as commonly used in VBDM tasks (</w:t>
      </w:r>
      <w:proofErr w:type="spellStart"/>
      <w:r w:rsidRPr="0000382A">
        <w:rPr>
          <w:rFonts w:ascii="Times New Roman" w:hAnsi="Times New Roman" w:cs="Times New Roman"/>
        </w:rPr>
        <w:t>Polanía</w:t>
      </w:r>
      <w:proofErr w:type="spellEnd"/>
      <w:r w:rsidRPr="0000382A">
        <w:rPr>
          <w:rFonts w:ascii="Times New Roman" w:hAnsi="Times New Roman" w:cs="Times New Roman"/>
        </w:rPr>
        <w:t xml:space="preserve"> et al., 2014).</w:t>
      </w:r>
    </w:p>
    <w:p w14:paraId="6A07A6D5" w14:textId="77777777" w:rsidR="0000382A" w:rsidRPr="0000382A" w:rsidRDefault="0000382A" w:rsidP="0000382A">
      <w:pPr>
        <w:pStyle w:val="NoSpacing"/>
        <w:spacing w:line="480" w:lineRule="auto"/>
        <w:rPr>
          <w:rFonts w:ascii="Times New Roman" w:hAnsi="Times New Roman" w:cs="Times New Roman"/>
        </w:rPr>
      </w:pPr>
    </w:p>
    <w:p w14:paraId="29D42DC2" w14:textId="77777777" w:rsidR="0000382A" w:rsidRPr="0000382A" w:rsidRDefault="0000382A" w:rsidP="0000382A">
      <w:pPr>
        <w:pStyle w:val="NoSpacing"/>
        <w:spacing w:line="480" w:lineRule="auto"/>
        <w:rPr>
          <w:rFonts w:ascii="Times New Roman" w:hAnsi="Times New Roman" w:cs="Times New Roman"/>
          <w:b/>
          <w:bCs/>
        </w:rPr>
      </w:pPr>
      <w:bookmarkStart w:id="259" w:name="_Hlk110614839"/>
      <w:r w:rsidRPr="0000382A">
        <w:rPr>
          <w:rFonts w:ascii="Times New Roman" w:hAnsi="Times New Roman" w:cs="Times New Roman"/>
          <w:b/>
          <w:bCs/>
        </w:rPr>
        <w:t>Figure 6.1</w:t>
      </w:r>
    </w:p>
    <w:p w14:paraId="3B8DE175" w14:textId="6F62ACEE" w:rsidR="00093B56" w:rsidRPr="0000382A" w:rsidRDefault="0000382A" w:rsidP="0000382A">
      <w:pPr>
        <w:pStyle w:val="NoSpacing"/>
        <w:spacing w:line="480" w:lineRule="auto"/>
        <w:rPr>
          <w:rFonts w:ascii="Times New Roman" w:hAnsi="Times New Roman" w:cs="Times New Roman"/>
          <w:i/>
          <w:iCs/>
        </w:rPr>
      </w:pPr>
      <w:r w:rsidRPr="0000382A">
        <w:rPr>
          <w:rFonts w:ascii="Times New Roman" w:hAnsi="Times New Roman" w:cs="Times New Roman"/>
          <w:i/>
          <w:iCs/>
        </w:rPr>
        <w:t>Example of typical trials (in the soft</w:t>
      </w:r>
      <w:r>
        <w:rPr>
          <w:rFonts w:ascii="Times New Roman" w:hAnsi="Times New Roman" w:cs="Times New Roman"/>
          <w:i/>
          <w:iCs/>
        </w:rPr>
        <w:t xml:space="preserve"> </w:t>
      </w:r>
      <w:r w:rsidRPr="0000382A">
        <w:rPr>
          <w:rFonts w:ascii="Times New Roman" w:hAnsi="Times New Roman" w:cs="Times New Roman"/>
          <w:i/>
          <w:iCs/>
        </w:rPr>
        <w:t>drink block)</w:t>
      </w:r>
    </w:p>
    <w:bookmarkEnd w:id="259"/>
    <w:p w14:paraId="5965D6CD" w14:textId="3EEA0D81" w:rsidR="00093B56" w:rsidRPr="0000382A" w:rsidRDefault="0000382A" w:rsidP="0000382A">
      <w:pPr>
        <w:pStyle w:val="NoSpacing"/>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31191B75" wp14:editId="0C8AABB6">
            <wp:extent cx="3335020" cy="23228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35020" cy="2322830"/>
                    </a:xfrm>
                    <a:prstGeom prst="rect">
                      <a:avLst/>
                    </a:prstGeom>
                    <a:noFill/>
                  </pic:spPr>
                </pic:pic>
              </a:graphicData>
            </a:graphic>
          </wp:inline>
        </w:drawing>
      </w:r>
    </w:p>
    <w:p w14:paraId="7E631E03" w14:textId="65CD8C44" w:rsidR="00093B56" w:rsidRDefault="0000382A" w:rsidP="0000382A">
      <w:pPr>
        <w:pStyle w:val="NoSpacing"/>
        <w:spacing w:line="480" w:lineRule="auto"/>
        <w:rPr>
          <w:rFonts w:ascii="Times New Roman" w:hAnsi="Times New Roman" w:cs="Times New Roman"/>
        </w:rPr>
      </w:pPr>
      <w:r w:rsidRPr="0000382A">
        <w:rPr>
          <w:rFonts w:ascii="Times New Roman" w:hAnsi="Times New Roman" w:cs="Times New Roman"/>
          <w:i/>
          <w:iCs/>
        </w:rPr>
        <w:t>Note.</w:t>
      </w:r>
      <w:r w:rsidRPr="0000382A">
        <w:rPr>
          <w:rFonts w:ascii="Times New Roman" w:hAnsi="Times New Roman" w:cs="Times New Roman"/>
        </w:rPr>
        <w:t xml:space="preserve"> Trial wording was “which would you rather consume?” and participants were instructed to press a key to select either of the images (‘Z’ for left, ‘M’ for right). Participants had 4 seconds to make a decision per trial, and each trial was followed by a 500ms fixation cross located in the centre of the screen. Images are taken from the Amsterdam Beverage Picture Set (Pronk et al., 2015).</w:t>
      </w:r>
    </w:p>
    <w:p w14:paraId="198B0C75" w14:textId="77777777" w:rsidR="0000382A" w:rsidRPr="0000382A" w:rsidRDefault="0000382A" w:rsidP="0000382A">
      <w:pPr>
        <w:pStyle w:val="NoSpacing"/>
        <w:spacing w:line="480" w:lineRule="auto"/>
        <w:rPr>
          <w:rFonts w:ascii="Times New Roman" w:hAnsi="Times New Roman" w:cs="Times New Roman"/>
        </w:rPr>
      </w:pPr>
    </w:p>
    <w:p w14:paraId="3CF96D8A" w14:textId="77777777" w:rsidR="0000382A" w:rsidRPr="0000382A" w:rsidRDefault="0000382A" w:rsidP="0000382A">
      <w:pPr>
        <w:pStyle w:val="NoSpacing"/>
        <w:spacing w:line="480" w:lineRule="auto"/>
        <w:rPr>
          <w:rFonts w:ascii="Times New Roman" w:hAnsi="Times New Roman" w:cs="Times New Roman"/>
          <w:b/>
          <w:bCs/>
        </w:rPr>
      </w:pPr>
      <w:r w:rsidRPr="0000382A">
        <w:rPr>
          <w:rFonts w:ascii="Times New Roman" w:hAnsi="Times New Roman" w:cs="Times New Roman"/>
          <w:b/>
          <w:bCs/>
        </w:rPr>
        <w:t>Data preparation and analysis</w:t>
      </w:r>
    </w:p>
    <w:p w14:paraId="47EC2CF6" w14:textId="2A78931B" w:rsidR="0000382A" w:rsidRPr="0000382A" w:rsidRDefault="0000382A" w:rsidP="00E1701A">
      <w:pPr>
        <w:pStyle w:val="NoSpacing"/>
        <w:spacing w:line="480" w:lineRule="auto"/>
        <w:rPr>
          <w:rFonts w:ascii="Times New Roman" w:hAnsi="Times New Roman" w:cs="Times New Roman"/>
        </w:rPr>
      </w:pPr>
      <w:r w:rsidRPr="0000382A">
        <w:rPr>
          <w:rFonts w:ascii="Times New Roman" w:hAnsi="Times New Roman" w:cs="Times New Roman"/>
        </w:rPr>
        <w:t xml:space="preserve">On the VBDM task, “miss trials” (responses exceeding 4 seconds) were removed (0.43%) in addition to trials that were under 300ms (1.23%) as these are likely to be fast guesses </w:t>
      </w:r>
      <w:r>
        <w:rPr>
          <w:rFonts w:ascii="Times New Roman" w:hAnsi="Times New Roman" w:cs="Times New Roman"/>
        </w:rPr>
        <w:fldChar w:fldCharType="begin"/>
      </w:r>
      <w:r w:rsidR="00E1701A">
        <w:rPr>
          <w:rFonts w:ascii="Times New Roman" w:hAnsi="Times New Roman" w:cs="Times New Roman"/>
        </w:rPr>
        <w:instrText xml:space="preserve"> ADDIN ZOTERO_ITEM CSL_CITATION {"citationID":"WdP6qHTj","properties":{"formattedCitation":"(Ratcliff et al., 2006b)","plainCitation":"(Ratcliff et al., 2006b)","noteIndex":0},"citationItems":[{"id":658,"uris":["http://zotero.org/users/7873587/items/GVYLJ39Z"],"itemData":{"id":658,"type":"article-journal","abstract":"Practice effects were examined in a masked letter discrimination task and a masked brightness discrimination task for college-age and 60- to 75-year-old subjects. The diffusion model (Ratcliff, 1978) was fit to the response time and accuracy data and used to extract estimates of components of processing from the data. Relative to young subjects, the older subjects began the experiments with slower and less accurate performance; however, across sessions their accuracy improved because the quality of the information on which their decisions were based improved, and this, along with reduced decision criteria, led to shorter response times. For the brightness, but not the letter, discrimination task, the older subjects' performance matched that of the younger group by the end of 4 sessions, except that their nondecision components of processing were slightly slower. These analyses illustrate how a well-specified model can provide a unified view of multiple aspects of data that are often interpreted separately.","container-title":"Psychology and Aging","DOI":"10.1037/0882-7974.21.2.353","ISSN":"0882-7974","issue":"2","journalAbbreviation":"Psychol Aging","language":"eng","note":"PMID: 16768580\nPMCID: PMC2386252","page":"353-371","source":"PubMed","title":"Aging, practice, and perceptual tasks: a diffusion model analysis","title-short":"Aging, practice, and perceptual tasks","volume":"21","author":[{"family":"Ratcliff","given":"Roger"},{"family":"Thapar","given":"Anjali"},{"family":"McKoon","given":"Gail"}],"issued":{"date-parts":[["2006",6]]}}}],"schema":"https://github.com/citation-style-language/schema/raw/master/csl-citation.json"} </w:instrText>
      </w:r>
      <w:r>
        <w:rPr>
          <w:rFonts w:ascii="Times New Roman" w:hAnsi="Times New Roman" w:cs="Times New Roman"/>
        </w:rPr>
        <w:fldChar w:fldCharType="separate"/>
      </w:r>
      <w:r w:rsidR="00E1701A" w:rsidRPr="00E1701A">
        <w:rPr>
          <w:rFonts w:ascii="Times New Roman" w:hAnsi="Times New Roman" w:cs="Times New Roman"/>
        </w:rPr>
        <w:t>(Ratcliff et al., 2006b)</w:t>
      </w:r>
      <w:r>
        <w:rPr>
          <w:rFonts w:ascii="Times New Roman" w:hAnsi="Times New Roman" w:cs="Times New Roman"/>
        </w:rPr>
        <w:fldChar w:fldCharType="end"/>
      </w:r>
      <w:r w:rsidRPr="0000382A">
        <w:rPr>
          <w:rFonts w:ascii="Times New Roman" w:hAnsi="Times New Roman" w:cs="Times New Roman"/>
        </w:rPr>
        <w:t xml:space="preserve"> which resulted in the overall removal of 1.66% of trials. We then fitted the DDM (Ratcliff &amp; </w:t>
      </w:r>
      <w:proofErr w:type="spellStart"/>
      <w:r w:rsidRPr="0000382A">
        <w:rPr>
          <w:rFonts w:ascii="Times New Roman" w:hAnsi="Times New Roman" w:cs="Times New Roman"/>
        </w:rPr>
        <w:t>McKoon</w:t>
      </w:r>
      <w:proofErr w:type="spellEnd"/>
      <w:r w:rsidRPr="0000382A">
        <w:rPr>
          <w:rFonts w:ascii="Times New Roman" w:hAnsi="Times New Roman" w:cs="Times New Roman"/>
        </w:rPr>
        <w:t>, 2008) using the EZ method (</w:t>
      </w:r>
      <w:proofErr w:type="spellStart"/>
      <w:r w:rsidRPr="0000382A">
        <w:rPr>
          <w:rFonts w:ascii="Times New Roman" w:hAnsi="Times New Roman" w:cs="Times New Roman"/>
        </w:rPr>
        <w:t>Wagenmakers</w:t>
      </w:r>
      <w:proofErr w:type="spellEnd"/>
      <w:r w:rsidRPr="0000382A">
        <w:rPr>
          <w:rFonts w:ascii="Times New Roman" w:hAnsi="Times New Roman" w:cs="Times New Roman"/>
        </w:rPr>
        <w:t xml:space="preserve"> et al., 2007) which takes response accuracy, mean correct RT, and variance of correct RT as input to produce three key parameters which are: EA rate (also termed ‘drift rate’; </w:t>
      </w:r>
      <w:r w:rsidRPr="00E1701A">
        <w:rPr>
          <w:rFonts w:ascii="Times New Roman" w:hAnsi="Times New Roman" w:cs="Times New Roman"/>
          <w:i/>
          <w:iCs/>
        </w:rPr>
        <w:t>v</w:t>
      </w:r>
      <w:r w:rsidRPr="0000382A">
        <w:rPr>
          <w:rFonts w:ascii="Times New Roman" w:hAnsi="Times New Roman" w:cs="Times New Roman"/>
        </w:rPr>
        <w:t xml:space="preserve">), response threshold (also termed ‘boundary separation’; </w:t>
      </w:r>
      <w:r w:rsidRPr="00E1701A">
        <w:rPr>
          <w:rFonts w:ascii="Times New Roman" w:hAnsi="Times New Roman" w:cs="Times New Roman"/>
          <w:i/>
          <w:iCs/>
        </w:rPr>
        <w:t>a</w:t>
      </w:r>
      <w:r w:rsidRPr="0000382A">
        <w:rPr>
          <w:rFonts w:ascii="Times New Roman" w:hAnsi="Times New Roman" w:cs="Times New Roman"/>
        </w:rPr>
        <w:t xml:space="preserve">), and non-decision time (encoding of stimuli and motor execution; </w:t>
      </w:r>
      <w:r w:rsidRPr="00E1701A">
        <w:rPr>
          <w:rFonts w:ascii="Times New Roman" w:hAnsi="Times New Roman" w:cs="Times New Roman"/>
          <w:i/>
          <w:iCs/>
        </w:rPr>
        <w:t>T</w:t>
      </w:r>
      <w:r w:rsidRPr="00E1701A">
        <w:rPr>
          <w:rFonts w:ascii="Times New Roman" w:hAnsi="Times New Roman" w:cs="Times New Roman"/>
          <w:i/>
          <w:iCs/>
          <w:vertAlign w:val="subscript"/>
        </w:rPr>
        <w:t>er</w:t>
      </w:r>
      <w:r w:rsidRPr="0000382A">
        <w:rPr>
          <w:rFonts w:ascii="Times New Roman" w:hAnsi="Times New Roman" w:cs="Times New Roman"/>
        </w:rPr>
        <w:t>).  We estimated parameters for each participant, difficulty level, and drink type separately (for analyses on difficulty levels in isolation, see Appendix E).</w:t>
      </w:r>
    </w:p>
    <w:p w14:paraId="4A85AD70" w14:textId="77777777" w:rsidR="0000382A" w:rsidRPr="0000382A" w:rsidRDefault="0000382A" w:rsidP="0000382A">
      <w:pPr>
        <w:pStyle w:val="NoSpacing"/>
        <w:spacing w:line="480" w:lineRule="auto"/>
        <w:rPr>
          <w:rFonts w:ascii="Times New Roman" w:hAnsi="Times New Roman" w:cs="Times New Roman"/>
        </w:rPr>
      </w:pPr>
    </w:p>
    <w:p w14:paraId="71860405" w14:textId="079DC69E" w:rsidR="0000382A" w:rsidRPr="0000382A" w:rsidRDefault="0000382A" w:rsidP="00996995">
      <w:pPr>
        <w:pStyle w:val="NoSpacing"/>
        <w:spacing w:line="480" w:lineRule="auto"/>
        <w:rPr>
          <w:rFonts w:ascii="Times New Roman" w:hAnsi="Times New Roman" w:cs="Times New Roman"/>
        </w:rPr>
      </w:pPr>
      <w:r w:rsidRPr="0000382A">
        <w:rPr>
          <w:rFonts w:ascii="Times New Roman" w:hAnsi="Times New Roman" w:cs="Times New Roman"/>
        </w:rPr>
        <w:lastRenderedPageBreak/>
        <w:t xml:space="preserve">For the APT, non-systematic data were firstly identified and removed using an established algorithm </w:t>
      </w:r>
      <w:r w:rsidR="0099699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{"citationID":"XPSQV3gn","properties":{"formattedCitation":"(J. S. Stein et al., 2015)","plainCitation":"(J. S. Stein et al., 2015)","dontUpdate":true,"noteIndex":0},"citationItems":[{"id":1802,"uris":["http://zotero.org/users/7873587/items/WUGD24WX"],"itemData":{"id":1802,"type":"article-journal","abstract":"Experimental assessments of demand allow the examination of economic phenomena relevant to the etiology, maintenance, and treatment of addiction and other pathologies (e.g., obesity). Although such assessments have historically been resource-intensive, development and use of purchase tasks—in which participants purchase one or more hypothetical or real commodities across a range of prices—have made data collection more practical and increased the rate of scientific discovery. However, extraneous sources of variability occasionally produce nonsystematic demand data, in which price exerts either no, or inconsistent, effects on purchasing of individual participants. Such data increase measurement error, can often not be interpreted in light of research aims, and likely obscure effects of the variable(s) under investigation. Using data from 494 participants, we introduce and evaluate an algorithm (derived from prior methods) for identifying nonsystematic demand data, wherein individual participants’ demand functions are judged against two general, empirically based assumptions: (1) global, price-dependent reduction in consumption, and (2) consistency in purchasing across prices. We also introduce guidelines for handling nonsystematic data, noting some conditions in which excluding such data from primary analyses may be appropriate and others in which doing so may bias conclusions. Adoption of the methods presented here may serve to unify the research literature and facilitate discovery.","container-title":"Experimental and clinical psychopharmacology","DOI":"10.1037/pha0000020","ISSN":"1064-1297","issue":"5","journalAbbreviation":"Exp Clin Psychopharmacol","note":"PMID: 26147181\nPMCID: PMC4579007","page":"377-386","source":"PubMed Central","title":"Identification and management of nonsystematic purchase-task data: Towards best practice","title-short":"Identification and Management of Nonsystematic Purchase-Task Data","volume":"23","author":[{"family":"Stein","given":"Jeffrey S."},{"family":"Koffarnus","given":"Mikhail N."},{"family":"Snider","given":"Sarah E."},{"family":"Quisenberry","given":"Amanda J."},{"family":"Bickel","given":"Warren K."}],"issued":{"date-parts":[["2015",10]]}}}],"schema":"https://github.com/citation-style-language/schema/raw/master/csl-citation.json"} </w:instrText>
      </w:r>
      <w:r w:rsidR="00996995">
        <w:rPr>
          <w:rFonts w:ascii="Times New Roman" w:hAnsi="Times New Roman" w:cs="Times New Roman"/>
        </w:rPr>
        <w:fldChar w:fldCharType="separate"/>
      </w:r>
      <w:r w:rsidR="00996995" w:rsidRPr="00996995">
        <w:rPr>
          <w:rFonts w:ascii="Times New Roman" w:hAnsi="Times New Roman" w:cs="Times New Roman"/>
        </w:rPr>
        <w:t>(Stein et al., 2015)</w:t>
      </w:r>
      <w:r w:rsidR="00996995">
        <w:rPr>
          <w:rFonts w:ascii="Times New Roman" w:hAnsi="Times New Roman" w:cs="Times New Roman"/>
        </w:rPr>
        <w:fldChar w:fldCharType="end"/>
      </w:r>
      <w:r w:rsidRPr="0000382A">
        <w:rPr>
          <w:rFonts w:ascii="Times New Roman" w:hAnsi="Times New Roman" w:cs="Times New Roman"/>
        </w:rPr>
        <w:t xml:space="preserve"> as cases that violate any of the following criteria: trend, bounce, and reversals from zero. This was achieved using the R package “</w:t>
      </w:r>
      <w:proofErr w:type="spellStart"/>
      <w:r w:rsidRPr="00E1701A">
        <w:rPr>
          <w:rFonts w:ascii="Times New Roman" w:hAnsi="Times New Roman" w:cs="Times New Roman"/>
          <w:i/>
          <w:iCs/>
        </w:rPr>
        <w:t>beezdemand</w:t>
      </w:r>
      <w:proofErr w:type="spellEnd"/>
      <w:r w:rsidRPr="0000382A">
        <w:rPr>
          <w:rFonts w:ascii="Times New Roman" w:hAnsi="Times New Roman" w:cs="Times New Roman"/>
        </w:rPr>
        <w:t xml:space="preserve">” (see Kaplan et al., 2019 for more detail). Both observed (intensity, breakpoint, </w:t>
      </w:r>
      <w:proofErr w:type="spellStart"/>
      <w:r w:rsidRPr="0000382A">
        <w:rPr>
          <w:rFonts w:ascii="Times New Roman" w:hAnsi="Times New Roman" w:cs="Times New Roman"/>
        </w:rPr>
        <w:t>O</w:t>
      </w:r>
      <w:r w:rsidRPr="00E1701A">
        <w:rPr>
          <w:rFonts w:ascii="Times New Roman" w:hAnsi="Times New Roman" w:cs="Times New Roman"/>
          <w:vertAlign w:val="subscript"/>
        </w:rPr>
        <w:t>max</w:t>
      </w:r>
      <w:proofErr w:type="spellEnd"/>
      <w:r w:rsidRPr="0000382A">
        <w:rPr>
          <w:rFonts w:ascii="Times New Roman" w:hAnsi="Times New Roman" w:cs="Times New Roman"/>
        </w:rPr>
        <w:t>, P</w:t>
      </w:r>
      <w:r w:rsidRPr="00E1701A">
        <w:rPr>
          <w:rFonts w:ascii="Times New Roman" w:hAnsi="Times New Roman" w:cs="Times New Roman"/>
          <w:vertAlign w:val="subscript"/>
        </w:rPr>
        <w:t>max</w:t>
      </w:r>
      <w:r w:rsidRPr="0000382A">
        <w:rPr>
          <w:rFonts w:ascii="Times New Roman" w:hAnsi="Times New Roman" w:cs="Times New Roman"/>
        </w:rPr>
        <w:t>) and derived (elasticity) values were subsequently estimated using the exponentiated demand equation (</w:t>
      </w:r>
      <w:r w:rsidR="00E1701A">
        <w:rPr>
          <w:rFonts w:ascii="Times New Roman" w:hAnsi="Times New Roman" w:cs="Times New Roman"/>
        </w:rPr>
        <w:t xml:space="preserve">see </w:t>
      </w:r>
      <w:proofErr w:type="spellStart"/>
      <w:r w:rsidRPr="0000382A">
        <w:rPr>
          <w:rFonts w:ascii="Times New Roman" w:hAnsi="Times New Roman" w:cs="Times New Roman"/>
        </w:rPr>
        <w:t>Koffarnus</w:t>
      </w:r>
      <w:proofErr w:type="spellEnd"/>
      <w:r w:rsidRPr="0000382A">
        <w:rPr>
          <w:rFonts w:ascii="Times New Roman" w:hAnsi="Times New Roman" w:cs="Times New Roman"/>
        </w:rPr>
        <w:t xml:space="preserve"> et al., 2015)</w:t>
      </w:r>
      <w:r w:rsidR="00E1701A">
        <w:rPr>
          <w:rFonts w:ascii="Times New Roman" w:hAnsi="Times New Roman" w:cs="Times New Roman"/>
        </w:rPr>
        <w:t xml:space="preserve">. </w:t>
      </w:r>
      <w:r w:rsidRPr="0000382A">
        <w:rPr>
          <w:rFonts w:ascii="Times New Roman" w:hAnsi="Times New Roman" w:cs="Times New Roman"/>
        </w:rPr>
        <w:t xml:space="preserve">The exponentiated equation provided a good fit for participant-level data (mean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0.87; median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0.91), including when split into heavy (mean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0.87; median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0.91) and moderated (mean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0.88; median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0.92) drinkers. The aggregated data provided an excellent fit (</w:t>
      </w:r>
      <w:r w:rsidRPr="00E1701A">
        <w:rPr>
          <w:rFonts w:ascii="Times New Roman" w:hAnsi="Times New Roman" w:cs="Times New Roman"/>
          <w:i/>
          <w:iCs/>
        </w:rPr>
        <w:t>R</w:t>
      </w:r>
      <w:r w:rsidRPr="00E1701A">
        <w:rPr>
          <w:rFonts w:ascii="Times New Roman" w:hAnsi="Times New Roman" w:cs="Times New Roman"/>
          <w:vertAlign w:val="superscript"/>
        </w:rPr>
        <w:t>2</w:t>
      </w:r>
      <w:r w:rsidRPr="0000382A">
        <w:rPr>
          <w:rFonts w:ascii="Times New Roman" w:hAnsi="Times New Roman" w:cs="Times New Roman"/>
        </w:rPr>
        <w:t xml:space="preserve"> = 0.97 for all participants).</w:t>
      </w:r>
    </w:p>
    <w:p w14:paraId="3D55288E" w14:textId="77777777" w:rsidR="0000382A" w:rsidRPr="0000382A" w:rsidRDefault="0000382A" w:rsidP="0000382A">
      <w:pPr>
        <w:pStyle w:val="NoSpacing"/>
        <w:spacing w:line="480" w:lineRule="auto"/>
        <w:rPr>
          <w:rFonts w:ascii="Times New Roman" w:hAnsi="Times New Roman" w:cs="Times New Roman"/>
        </w:rPr>
      </w:pPr>
    </w:p>
    <w:p w14:paraId="75D9F939" w14:textId="2EA50FF6" w:rsidR="00996995" w:rsidRDefault="0000382A" w:rsidP="0000382A">
      <w:pPr>
        <w:pStyle w:val="NoSpacing"/>
        <w:spacing w:line="480" w:lineRule="auto"/>
        <w:rPr>
          <w:rFonts w:ascii="Times New Roman" w:hAnsi="Times New Roman" w:cs="Times New Roman"/>
        </w:rPr>
      </w:pPr>
      <w:r w:rsidRPr="0000382A">
        <w:rPr>
          <w:rFonts w:ascii="Times New Roman" w:hAnsi="Times New Roman" w:cs="Times New Roman"/>
        </w:rPr>
        <w:t xml:space="preserve">Statistical analyses were conducted in RStudio version 4.0.2 (R Core Team, 2020). Independent samples </w:t>
      </w:r>
      <w:r w:rsidRPr="00107EBB">
        <w:rPr>
          <w:rFonts w:ascii="Times New Roman" w:hAnsi="Times New Roman" w:cs="Times New Roman"/>
          <w:i/>
          <w:iCs/>
        </w:rPr>
        <w:t>t</w:t>
      </w:r>
      <w:r w:rsidRPr="0000382A">
        <w:rPr>
          <w:rFonts w:ascii="Times New Roman" w:hAnsi="Times New Roman" w:cs="Times New Roman"/>
        </w:rPr>
        <w:t>-tests (one-tailed) were used to analyse the data for the pre-registered hypotheses, supplemented by mixed-design ANOVAs to establish the robustness of any group differences in the VBDM task. Non-parametric tests were used for data that are not approximately normally distributed</w:t>
      </w:r>
      <w:r w:rsidR="00996995" w:rsidRPr="004B73B2">
        <w:rPr>
          <w:rStyle w:val="FootnoteReference"/>
        </w:rPr>
        <w:footnoteReference w:id="20"/>
      </w:r>
      <w:r w:rsidRPr="0000382A">
        <w:rPr>
          <w:rFonts w:ascii="Times New Roman" w:hAnsi="Times New Roman" w:cs="Times New Roman"/>
        </w:rPr>
        <w:t xml:space="preserve">. All participants passed at least 6 out of 8 (75%) of the embedded attention checks which was our pre-registered minimum requirement for attentive responding. Six participants had non-systematic demand data on the APT and so were not retained within the analyses that included alcohol demand. Twelve participants misunderstood instructions in the ALQ and so were not retained within the analyses that included proportionate alcohol-free reinforcement (for detail, see Appendix E). Data and scripts are available and can be found on </w:t>
      </w:r>
      <w:proofErr w:type="spellStart"/>
      <w:r w:rsidRPr="0000382A">
        <w:rPr>
          <w:rFonts w:ascii="Times New Roman" w:hAnsi="Times New Roman" w:cs="Times New Roman"/>
        </w:rPr>
        <w:t>ResearchBox</w:t>
      </w:r>
      <w:proofErr w:type="spellEnd"/>
      <w:r w:rsidRPr="0000382A">
        <w:rPr>
          <w:rFonts w:ascii="Times New Roman" w:hAnsi="Times New Roman" w:cs="Times New Roman"/>
        </w:rPr>
        <w:t xml:space="preserve">: </w:t>
      </w:r>
      <w:hyperlink r:id="rId57" w:history="1">
        <w:r w:rsidR="00996995" w:rsidRPr="00471589">
          <w:rPr>
            <w:rStyle w:val="Hyperlink"/>
            <w:rFonts w:ascii="Times New Roman" w:hAnsi="Times New Roman" w:cs="Times New Roman"/>
          </w:rPr>
          <w:t>https://researchbox.org/597</w:t>
        </w:r>
      </w:hyperlink>
      <w:r w:rsidR="00996995">
        <w:rPr>
          <w:rFonts w:ascii="Times New Roman" w:hAnsi="Times New Roman" w:cs="Times New Roman"/>
        </w:rPr>
        <w:t>.</w:t>
      </w:r>
    </w:p>
    <w:p w14:paraId="0D6215E7" w14:textId="77777777" w:rsidR="008A10EC" w:rsidRDefault="008A10EC" w:rsidP="0000382A">
      <w:pPr>
        <w:pStyle w:val="NoSpacing"/>
        <w:spacing w:line="480" w:lineRule="auto"/>
        <w:rPr>
          <w:rFonts w:ascii="Times New Roman" w:hAnsi="Times New Roman" w:cs="Times New Roman"/>
        </w:rPr>
      </w:pPr>
    </w:p>
    <w:p w14:paraId="4ABA1666" w14:textId="1BB84CC0" w:rsidR="007337CC" w:rsidRPr="007337CC" w:rsidRDefault="008A10EC" w:rsidP="007337CC">
      <w:pPr>
        <w:pStyle w:val="Heading4"/>
      </w:pPr>
      <w:bookmarkStart w:id="260" w:name="_Toc110629071"/>
      <w:bookmarkStart w:id="261" w:name="_Toc110870979"/>
      <w:r>
        <w:lastRenderedPageBreak/>
        <w:t>6.3. Results</w:t>
      </w:r>
      <w:bookmarkEnd w:id="260"/>
      <w:bookmarkEnd w:id="261"/>
    </w:p>
    <w:p w14:paraId="0BA7ACE8" w14:textId="45094603" w:rsidR="007337CC" w:rsidRDefault="007337CC" w:rsidP="007337CC">
      <w:pPr>
        <w:pStyle w:val="NoSpacing"/>
        <w:spacing w:line="480" w:lineRule="auto"/>
        <w:rPr>
          <w:rFonts w:ascii="Times New Roman" w:hAnsi="Times New Roman" w:cs="Times New Roman"/>
        </w:rPr>
      </w:pPr>
      <w:r w:rsidRPr="007337CC">
        <w:rPr>
          <w:rFonts w:ascii="Times New Roman" w:hAnsi="Times New Roman" w:cs="Times New Roman"/>
        </w:rPr>
        <w:t xml:space="preserve">See Table </w:t>
      </w:r>
      <w:r>
        <w:rPr>
          <w:rFonts w:ascii="Times New Roman" w:hAnsi="Times New Roman" w:cs="Times New Roman"/>
        </w:rPr>
        <w:t>6.</w:t>
      </w:r>
      <w:r w:rsidRPr="007337CC">
        <w:rPr>
          <w:rFonts w:ascii="Times New Roman" w:hAnsi="Times New Roman" w:cs="Times New Roman"/>
        </w:rPr>
        <w:t>1 for descriptive statistics of questionnaire measures.</w:t>
      </w:r>
    </w:p>
    <w:p w14:paraId="2C7B5ABF" w14:textId="77777777" w:rsidR="007337CC" w:rsidRPr="007337CC" w:rsidRDefault="007337CC" w:rsidP="007337CC">
      <w:pPr>
        <w:pStyle w:val="NoSpacing"/>
        <w:spacing w:line="480" w:lineRule="auto"/>
        <w:rPr>
          <w:rFonts w:ascii="Times New Roman" w:hAnsi="Times New Roman" w:cs="Times New Roman"/>
        </w:rPr>
      </w:pPr>
    </w:p>
    <w:p w14:paraId="6FE5A982" w14:textId="4AD4C808" w:rsidR="005E4A4D" w:rsidRPr="005E4A4D" w:rsidRDefault="005E4A4D" w:rsidP="005E4A4D">
      <w:pPr>
        <w:pStyle w:val="NoSpacing"/>
        <w:spacing w:line="480" w:lineRule="auto"/>
        <w:rPr>
          <w:rFonts w:ascii="Times New Roman" w:hAnsi="Times New Roman" w:cs="Times New Roman"/>
          <w:b/>
          <w:bCs/>
        </w:rPr>
      </w:pPr>
      <w:bookmarkStart w:id="262" w:name="_Hlk110614851"/>
      <w:r w:rsidRPr="005E4A4D">
        <w:rPr>
          <w:rFonts w:ascii="Times New Roman" w:hAnsi="Times New Roman" w:cs="Times New Roman"/>
          <w:b/>
          <w:bCs/>
        </w:rPr>
        <w:t>Table 6.1</w:t>
      </w:r>
    </w:p>
    <w:p w14:paraId="562FC7C7" w14:textId="6F58C4D1" w:rsidR="00093B56" w:rsidRPr="005E4A4D" w:rsidRDefault="005E4A4D" w:rsidP="005E4A4D">
      <w:pPr>
        <w:pStyle w:val="NoSpacing"/>
        <w:spacing w:line="480" w:lineRule="auto"/>
        <w:rPr>
          <w:rFonts w:ascii="Times New Roman" w:hAnsi="Times New Roman" w:cs="Times New Roman"/>
          <w:i/>
          <w:iCs/>
        </w:rPr>
      </w:pPr>
      <w:r w:rsidRPr="005E4A4D">
        <w:rPr>
          <w:rFonts w:ascii="Times New Roman" w:hAnsi="Times New Roman" w:cs="Times New Roman"/>
          <w:i/>
          <w:iCs/>
        </w:rPr>
        <w:t>Descriptive statistics split by drinker status (values are means and standard deviations)</w:t>
      </w:r>
    </w:p>
    <w:tbl>
      <w:tblPr>
        <w:tblW w:w="9026" w:type="dxa"/>
        <w:tblLook w:val="0400" w:firstRow="0" w:lastRow="0" w:firstColumn="0" w:lastColumn="0" w:noHBand="0" w:noVBand="1"/>
      </w:tblPr>
      <w:tblGrid>
        <w:gridCol w:w="3262"/>
        <w:gridCol w:w="1808"/>
        <w:gridCol w:w="1876"/>
        <w:gridCol w:w="2080"/>
      </w:tblGrid>
      <w:tr w:rsidR="008A10EC" w:rsidRPr="008A10EC" w14:paraId="12639164" w14:textId="77777777" w:rsidTr="002A1E63">
        <w:trPr>
          <w:trHeight w:val="828"/>
        </w:trPr>
        <w:tc>
          <w:tcPr>
            <w:tcW w:w="3262" w:type="dxa"/>
            <w:tcBorders>
              <w:top w:val="single" w:sz="18" w:space="0" w:color="000000"/>
              <w:bottom w:val="single" w:sz="12" w:space="0" w:color="000000"/>
            </w:tcBorders>
          </w:tcPr>
          <w:bookmarkEnd w:id="262"/>
          <w:p w14:paraId="57F11FE3" w14:textId="35715A2A" w:rsidR="008A10EC" w:rsidRPr="008A10EC" w:rsidRDefault="007337CC" w:rsidP="008A10EC">
            <w:pPr>
              <w:pStyle w:val="NoSpacing"/>
              <w:rPr>
                <w:rFonts w:ascii="Times New Roman" w:hAnsi="Times New Roman" w:cs="Times New Roman"/>
              </w:rPr>
            </w:pPr>
            <w:r>
              <w:rPr>
                <w:rFonts w:ascii="Times New Roman" w:hAnsi="Times New Roman" w:cs="Times New Roman"/>
              </w:rPr>
              <w:t>Variable</w:t>
            </w:r>
          </w:p>
        </w:tc>
        <w:tc>
          <w:tcPr>
            <w:tcW w:w="1808" w:type="dxa"/>
            <w:tcBorders>
              <w:top w:val="single" w:sz="18" w:space="0" w:color="000000"/>
              <w:bottom w:val="single" w:sz="12" w:space="0" w:color="000000"/>
            </w:tcBorders>
          </w:tcPr>
          <w:p w14:paraId="586138AE"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Heavy drinkers (</w:t>
            </w:r>
            <w:r w:rsidRPr="008A10EC">
              <w:rPr>
                <w:rFonts w:ascii="Times New Roman" w:hAnsi="Times New Roman" w:cs="Times New Roman"/>
                <w:i/>
              </w:rPr>
              <w:t>n</w:t>
            </w:r>
            <w:r w:rsidRPr="008A10EC">
              <w:rPr>
                <w:rFonts w:ascii="Times New Roman" w:hAnsi="Times New Roman" w:cs="Times New Roman"/>
              </w:rPr>
              <w:t xml:space="preserve"> = 60)</w:t>
            </w:r>
          </w:p>
        </w:tc>
        <w:tc>
          <w:tcPr>
            <w:tcW w:w="1876" w:type="dxa"/>
            <w:tcBorders>
              <w:top w:val="single" w:sz="18" w:space="0" w:color="000000"/>
              <w:bottom w:val="single" w:sz="12" w:space="0" w:color="000000"/>
            </w:tcBorders>
          </w:tcPr>
          <w:p w14:paraId="24C856A9"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Moderated drinkers (</w:t>
            </w:r>
            <w:r w:rsidRPr="008A10EC">
              <w:rPr>
                <w:rFonts w:ascii="Times New Roman" w:hAnsi="Times New Roman" w:cs="Times New Roman"/>
                <w:i/>
              </w:rPr>
              <w:t>n</w:t>
            </w:r>
            <w:r w:rsidRPr="008A10EC">
              <w:rPr>
                <w:rFonts w:ascii="Times New Roman" w:hAnsi="Times New Roman" w:cs="Times New Roman"/>
              </w:rPr>
              <w:t xml:space="preserve"> = 60)</w:t>
            </w:r>
          </w:p>
        </w:tc>
        <w:tc>
          <w:tcPr>
            <w:tcW w:w="2080" w:type="dxa"/>
            <w:tcBorders>
              <w:top w:val="single" w:sz="18" w:space="0" w:color="000000"/>
              <w:bottom w:val="single" w:sz="12" w:space="0" w:color="000000"/>
            </w:tcBorders>
          </w:tcPr>
          <w:p w14:paraId="34B15701"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p</w:t>
            </w:r>
            <w:r w:rsidRPr="008A10EC">
              <w:rPr>
                <w:rFonts w:ascii="Times New Roman" w:hAnsi="Times New Roman" w:cs="Times New Roman"/>
              </w:rPr>
              <w:t>-value and effect size</w:t>
            </w:r>
          </w:p>
        </w:tc>
      </w:tr>
      <w:tr w:rsidR="008A10EC" w:rsidRPr="008A10EC" w14:paraId="19AD3AA9" w14:textId="77777777" w:rsidTr="002A1E63">
        <w:trPr>
          <w:trHeight w:val="591"/>
        </w:trPr>
        <w:tc>
          <w:tcPr>
            <w:tcW w:w="3262" w:type="dxa"/>
            <w:tcBorders>
              <w:top w:val="single" w:sz="12" w:space="0" w:color="000000"/>
            </w:tcBorders>
          </w:tcPr>
          <w:p w14:paraId="10CD5C82" w14:textId="77777777" w:rsidR="008A10EC" w:rsidRPr="008A10EC" w:rsidRDefault="008A10EC" w:rsidP="008A10EC">
            <w:pPr>
              <w:pStyle w:val="NoSpacing"/>
              <w:rPr>
                <w:rFonts w:ascii="Times New Roman" w:hAnsi="Times New Roman" w:cs="Times New Roman"/>
              </w:rPr>
            </w:pPr>
          </w:p>
          <w:p w14:paraId="31629D07"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Age (years)</w:t>
            </w:r>
          </w:p>
        </w:tc>
        <w:tc>
          <w:tcPr>
            <w:tcW w:w="1808" w:type="dxa"/>
            <w:tcBorders>
              <w:top w:val="single" w:sz="12" w:space="0" w:color="000000"/>
            </w:tcBorders>
          </w:tcPr>
          <w:p w14:paraId="2F2ED90E" w14:textId="77777777" w:rsidR="008A10EC" w:rsidRPr="008A10EC" w:rsidRDefault="008A10EC" w:rsidP="008A10EC">
            <w:pPr>
              <w:pStyle w:val="NoSpacing"/>
              <w:rPr>
                <w:rFonts w:ascii="Times New Roman" w:hAnsi="Times New Roman" w:cs="Times New Roman"/>
              </w:rPr>
            </w:pPr>
          </w:p>
          <w:p w14:paraId="3349BAD0"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40.48 (13.35)</w:t>
            </w:r>
          </w:p>
        </w:tc>
        <w:tc>
          <w:tcPr>
            <w:tcW w:w="1876" w:type="dxa"/>
            <w:tcBorders>
              <w:top w:val="single" w:sz="12" w:space="0" w:color="000000"/>
            </w:tcBorders>
          </w:tcPr>
          <w:p w14:paraId="2E909767" w14:textId="77777777" w:rsidR="008A10EC" w:rsidRPr="008A10EC" w:rsidRDefault="008A10EC" w:rsidP="008A10EC">
            <w:pPr>
              <w:pStyle w:val="NoSpacing"/>
              <w:rPr>
                <w:rFonts w:ascii="Times New Roman" w:hAnsi="Times New Roman" w:cs="Times New Roman"/>
              </w:rPr>
            </w:pPr>
          </w:p>
          <w:p w14:paraId="7C0D1C1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32.63 (11.56)</w:t>
            </w:r>
          </w:p>
        </w:tc>
        <w:tc>
          <w:tcPr>
            <w:tcW w:w="2080" w:type="dxa"/>
            <w:tcBorders>
              <w:top w:val="single" w:sz="12" w:space="0" w:color="000000"/>
            </w:tcBorders>
          </w:tcPr>
          <w:p w14:paraId="1DFB77BF" w14:textId="77777777" w:rsidR="008A10EC" w:rsidRPr="008A10EC" w:rsidRDefault="008A10EC" w:rsidP="008A10EC">
            <w:pPr>
              <w:pStyle w:val="NoSpacing"/>
              <w:rPr>
                <w:rFonts w:ascii="Times New Roman" w:hAnsi="Times New Roman" w:cs="Times New Roman"/>
                <w:i/>
              </w:rPr>
            </w:pPr>
          </w:p>
          <w:p w14:paraId="532DA8B0"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&lt; .001, </w:t>
            </w:r>
            <w:r w:rsidRPr="008A10EC">
              <w:rPr>
                <w:rFonts w:ascii="Times New Roman" w:hAnsi="Times New Roman" w:cs="Times New Roman"/>
                <w:i/>
                <w:iCs/>
              </w:rPr>
              <w:t>d</w:t>
            </w:r>
            <w:r w:rsidRPr="008A10EC">
              <w:rPr>
                <w:rFonts w:ascii="Times New Roman" w:hAnsi="Times New Roman" w:cs="Times New Roman"/>
              </w:rPr>
              <w:t xml:space="preserve"> = .63</w:t>
            </w:r>
          </w:p>
        </w:tc>
      </w:tr>
      <w:tr w:rsidR="008A10EC" w:rsidRPr="008A10EC" w14:paraId="086DBC55" w14:textId="77777777" w:rsidTr="002A1E63">
        <w:trPr>
          <w:trHeight w:val="618"/>
        </w:trPr>
        <w:tc>
          <w:tcPr>
            <w:tcW w:w="3262" w:type="dxa"/>
          </w:tcPr>
          <w:p w14:paraId="25B02D41" w14:textId="77777777" w:rsidR="008A10EC" w:rsidRPr="008A10EC" w:rsidRDefault="008A10EC" w:rsidP="008A10EC">
            <w:pPr>
              <w:pStyle w:val="NoSpacing"/>
              <w:rPr>
                <w:rFonts w:ascii="Times New Roman" w:hAnsi="Times New Roman" w:cs="Times New Roman"/>
              </w:rPr>
            </w:pPr>
          </w:p>
          <w:p w14:paraId="72C4D181"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AUDIT score</w:t>
            </w:r>
          </w:p>
        </w:tc>
        <w:tc>
          <w:tcPr>
            <w:tcW w:w="1808" w:type="dxa"/>
          </w:tcPr>
          <w:p w14:paraId="03A6393A" w14:textId="77777777" w:rsidR="008A10EC" w:rsidRPr="008A10EC" w:rsidRDefault="008A10EC" w:rsidP="008A10EC">
            <w:pPr>
              <w:pStyle w:val="NoSpacing"/>
              <w:rPr>
                <w:rFonts w:ascii="Times New Roman" w:hAnsi="Times New Roman" w:cs="Times New Roman"/>
              </w:rPr>
            </w:pPr>
          </w:p>
          <w:p w14:paraId="1AEE2730"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18.77 (6.59)</w:t>
            </w:r>
          </w:p>
        </w:tc>
        <w:tc>
          <w:tcPr>
            <w:tcW w:w="1876" w:type="dxa"/>
          </w:tcPr>
          <w:p w14:paraId="3D6209FF" w14:textId="77777777" w:rsidR="008A10EC" w:rsidRPr="008A10EC" w:rsidRDefault="008A10EC" w:rsidP="008A10EC">
            <w:pPr>
              <w:pStyle w:val="NoSpacing"/>
              <w:rPr>
                <w:rFonts w:ascii="Times New Roman" w:hAnsi="Times New Roman" w:cs="Times New Roman"/>
              </w:rPr>
            </w:pPr>
          </w:p>
          <w:p w14:paraId="75263FE5"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11.25 (4.69)</w:t>
            </w:r>
          </w:p>
        </w:tc>
        <w:tc>
          <w:tcPr>
            <w:tcW w:w="2080" w:type="dxa"/>
          </w:tcPr>
          <w:p w14:paraId="576E203D" w14:textId="77777777" w:rsidR="008A10EC" w:rsidRPr="008A10EC" w:rsidRDefault="008A10EC" w:rsidP="008A10EC">
            <w:pPr>
              <w:pStyle w:val="NoSpacing"/>
              <w:rPr>
                <w:rFonts w:ascii="Times New Roman" w:hAnsi="Times New Roman" w:cs="Times New Roman"/>
                <w:i/>
              </w:rPr>
            </w:pPr>
          </w:p>
          <w:p w14:paraId="36D79B4D"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&lt; .001, </w:t>
            </w:r>
            <w:r w:rsidRPr="008A10EC">
              <w:rPr>
                <w:rFonts w:ascii="Times New Roman" w:hAnsi="Times New Roman" w:cs="Times New Roman"/>
                <w:i/>
                <w:iCs/>
              </w:rPr>
              <w:t>d</w:t>
            </w:r>
            <w:r w:rsidRPr="008A10EC">
              <w:rPr>
                <w:rFonts w:ascii="Times New Roman" w:hAnsi="Times New Roman" w:cs="Times New Roman"/>
              </w:rPr>
              <w:t xml:space="preserve"> = 1.32</w:t>
            </w:r>
          </w:p>
        </w:tc>
      </w:tr>
      <w:tr w:rsidR="008A10EC" w:rsidRPr="008A10EC" w14:paraId="3CA31723" w14:textId="77777777" w:rsidTr="002A1E63">
        <w:trPr>
          <w:trHeight w:val="614"/>
        </w:trPr>
        <w:tc>
          <w:tcPr>
            <w:tcW w:w="3262" w:type="dxa"/>
          </w:tcPr>
          <w:p w14:paraId="74DEB6CF" w14:textId="77777777" w:rsidR="008A10EC" w:rsidRPr="008A10EC" w:rsidRDefault="008A10EC" w:rsidP="008A10EC">
            <w:pPr>
              <w:pStyle w:val="NoSpacing"/>
              <w:rPr>
                <w:rFonts w:ascii="Times New Roman" w:hAnsi="Times New Roman" w:cs="Times New Roman"/>
              </w:rPr>
            </w:pPr>
          </w:p>
          <w:p w14:paraId="1F180A4E"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AUDIT-C score</w:t>
            </w:r>
          </w:p>
        </w:tc>
        <w:tc>
          <w:tcPr>
            <w:tcW w:w="1808" w:type="dxa"/>
          </w:tcPr>
          <w:p w14:paraId="78500369" w14:textId="77777777" w:rsidR="008A10EC" w:rsidRPr="008A10EC" w:rsidRDefault="008A10EC" w:rsidP="008A10EC">
            <w:pPr>
              <w:pStyle w:val="NoSpacing"/>
              <w:rPr>
                <w:rFonts w:ascii="Times New Roman" w:hAnsi="Times New Roman" w:cs="Times New Roman"/>
              </w:rPr>
            </w:pPr>
          </w:p>
          <w:p w14:paraId="309FD260"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10.18 (1.56)</w:t>
            </w:r>
          </w:p>
        </w:tc>
        <w:tc>
          <w:tcPr>
            <w:tcW w:w="1876" w:type="dxa"/>
          </w:tcPr>
          <w:p w14:paraId="7E5670D5" w14:textId="77777777" w:rsidR="008A10EC" w:rsidRPr="008A10EC" w:rsidRDefault="008A10EC" w:rsidP="008A10EC">
            <w:pPr>
              <w:pStyle w:val="NoSpacing"/>
              <w:rPr>
                <w:rFonts w:ascii="Times New Roman" w:hAnsi="Times New Roman" w:cs="Times New Roman"/>
              </w:rPr>
            </w:pPr>
          </w:p>
          <w:p w14:paraId="553391EA"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6.20 (2.09)</w:t>
            </w:r>
          </w:p>
        </w:tc>
        <w:tc>
          <w:tcPr>
            <w:tcW w:w="2080" w:type="dxa"/>
          </w:tcPr>
          <w:p w14:paraId="3671A5A2" w14:textId="77777777" w:rsidR="008A10EC" w:rsidRPr="008A10EC" w:rsidRDefault="008A10EC" w:rsidP="008A10EC">
            <w:pPr>
              <w:pStyle w:val="NoSpacing"/>
              <w:rPr>
                <w:rFonts w:ascii="Times New Roman" w:hAnsi="Times New Roman" w:cs="Times New Roman"/>
                <w:i/>
              </w:rPr>
            </w:pPr>
          </w:p>
          <w:p w14:paraId="40EC19B5" w14:textId="77777777" w:rsidR="008A10EC" w:rsidRPr="008A10EC" w:rsidRDefault="008A10EC" w:rsidP="008A10EC">
            <w:pPr>
              <w:pStyle w:val="NoSpacing"/>
              <w:rPr>
                <w:rFonts w:ascii="Times New Roman" w:hAnsi="Times New Roman" w:cs="Times New Roman"/>
                <w:i/>
              </w:rPr>
            </w:pPr>
            <w:r w:rsidRPr="008A10EC">
              <w:rPr>
                <w:rFonts w:ascii="Times New Roman" w:hAnsi="Times New Roman" w:cs="Times New Roman"/>
                <w:i/>
              </w:rPr>
              <w:t xml:space="preserve">p </w:t>
            </w:r>
            <w:r w:rsidRPr="008A10EC">
              <w:rPr>
                <w:rFonts w:ascii="Times New Roman" w:hAnsi="Times New Roman" w:cs="Times New Roman"/>
              </w:rPr>
              <w:t>&lt; .001,</w:t>
            </w:r>
            <w:r w:rsidRPr="008A10EC">
              <w:rPr>
                <w:rFonts w:ascii="Times New Roman" w:hAnsi="Times New Roman" w:cs="Times New Roman"/>
                <w:i/>
                <w:iCs/>
              </w:rPr>
              <w:t xml:space="preserve"> </w:t>
            </w:r>
            <w:proofErr w:type="spellStart"/>
            <w:r w:rsidRPr="008A10EC">
              <w:rPr>
                <w:rFonts w:ascii="Times New Roman" w:hAnsi="Times New Roman" w:cs="Times New Roman"/>
                <w:i/>
                <w:iCs/>
              </w:rPr>
              <w:t>r</w:t>
            </w:r>
            <w:r w:rsidRPr="008A10EC">
              <w:rPr>
                <w:rFonts w:ascii="Times New Roman" w:hAnsi="Times New Roman" w:cs="Times New Roman"/>
                <w:vertAlign w:val="subscript"/>
              </w:rPr>
              <w:t>rb</w:t>
            </w:r>
            <w:proofErr w:type="spellEnd"/>
            <w:r w:rsidRPr="008A10EC">
              <w:rPr>
                <w:rFonts w:ascii="Times New Roman" w:hAnsi="Times New Roman" w:cs="Times New Roman"/>
              </w:rPr>
              <w:t xml:space="preserve"> = .88</w:t>
            </w:r>
          </w:p>
        </w:tc>
      </w:tr>
      <w:tr w:rsidR="008A10EC" w:rsidRPr="008A10EC" w14:paraId="6B162CFB" w14:textId="77777777" w:rsidTr="002A1E63">
        <w:trPr>
          <w:trHeight w:val="609"/>
        </w:trPr>
        <w:tc>
          <w:tcPr>
            <w:tcW w:w="3262" w:type="dxa"/>
          </w:tcPr>
          <w:p w14:paraId="57BB6025" w14:textId="77777777" w:rsidR="008A10EC" w:rsidRPr="008A10EC" w:rsidRDefault="008A10EC" w:rsidP="008A10EC">
            <w:pPr>
              <w:pStyle w:val="NoSpacing"/>
              <w:rPr>
                <w:rFonts w:ascii="Times New Roman" w:hAnsi="Times New Roman" w:cs="Times New Roman"/>
              </w:rPr>
            </w:pPr>
          </w:p>
          <w:p w14:paraId="4A6461C1"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AUDIT-C score (retrospective)</w:t>
            </w:r>
          </w:p>
        </w:tc>
        <w:tc>
          <w:tcPr>
            <w:tcW w:w="1808" w:type="dxa"/>
          </w:tcPr>
          <w:p w14:paraId="0806FBB0" w14:textId="77777777" w:rsidR="008A10EC" w:rsidRPr="008A10EC" w:rsidRDefault="008A10EC" w:rsidP="008A10EC">
            <w:pPr>
              <w:pStyle w:val="NoSpacing"/>
              <w:rPr>
                <w:rFonts w:ascii="Times New Roman" w:hAnsi="Times New Roman" w:cs="Times New Roman"/>
              </w:rPr>
            </w:pPr>
          </w:p>
          <w:p w14:paraId="0EF248DC" w14:textId="77777777" w:rsidR="008A10EC" w:rsidRPr="008A10EC" w:rsidRDefault="008A10EC" w:rsidP="00A078ED">
            <w:pPr>
              <w:pStyle w:val="NoSpacing"/>
              <w:jc w:val="center"/>
              <w:rPr>
                <w:rFonts w:ascii="Times New Roman" w:hAnsi="Times New Roman" w:cs="Times New Roman"/>
              </w:rPr>
            </w:pPr>
            <w:r w:rsidRPr="008A10EC">
              <w:rPr>
                <w:rFonts w:ascii="Times New Roman" w:hAnsi="Times New Roman" w:cs="Times New Roman"/>
              </w:rPr>
              <w:t>-</w:t>
            </w:r>
          </w:p>
        </w:tc>
        <w:tc>
          <w:tcPr>
            <w:tcW w:w="1876" w:type="dxa"/>
          </w:tcPr>
          <w:p w14:paraId="7FE1E30E" w14:textId="77777777" w:rsidR="008A10EC" w:rsidRPr="008A10EC" w:rsidRDefault="008A10EC" w:rsidP="008A10EC">
            <w:pPr>
              <w:pStyle w:val="NoSpacing"/>
              <w:rPr>
                <w:rFonts w:ascii="Times New Roman" w:hAnsi="Times New Roman" w:cs="Times New Roman"/>
              </w:rPr>
            </w:pPr>
          </w:p>
          <w:p w14:paraId="17D086B3"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8.52 (1.81)</w:t>
            </w:r>
          </w:p>
        </w:tc>
        <w:tc>
          <w:tcPr>
            <w:tcW w:w="2080" w:type="dxa"/>
          </w:tcPr>
          <w:p w14:paraId="35CC492F" w14:textId="77777777" w:rsidR="008A10EC" w:rsidRPr="008A10EC" w:rsidRDefault="008A10EC" w:rsidP="008A10EC">
            <w:pPr>
              <w:pStyle w:val="NoSpacing"/>
              <w:rPr>
                <w:rFonts w:ascii="Times New Roman" w:hAnsi="Times New Roman" w:cs="Times New Roman"/>
                <w:i/>
              </w:rPr>
            </w:pPr>
          </w:p>
          <w:p w14:paraId="792066D7" w14:textId="77777777" w:rsidR="008A10EC" w:rsidRPr="008A10EC" w:rsidRDefault="008A10EC" w:rsidP="00A078ED">
            <w:pPr>
              <w:pStyle w:val="NoSpacing"/>
              <w:jc w:val="center"/>
              <w:rPr>
                <w:rFonts w:ascii="Times New Roman" w:hAnsi="Times New Roman" w:cs="Times New Roman"/>
              </w:rPr>
            </w:pPr>
            <w:r w:rsidRPr="008A10EC">
              <w:rPr>
                <w:rFonts w:ascii="Times New Roman" w:hAnsi="Times New Roman" w:cs="Times New Roman"/>
              </w:rPr>
              <w:t>-</w:t>
            </w:r>
          </w:p>
        </w:tc>
      </w:tr>
      <w:tr w:rsidR="008A10EC" w:rsidRPr="008A10EC" w14:paraId="149B424A" w14:textId="77777777" w:rsidTr="002A1E63">
        <w:trPr>
          <w:trHeight w:val="405"/>
        </w:trPr>
        <w:tc>
          <w:tcPr>
            <w:tcW w:w="3262" w:type="dxa"/>
          </w:tcPr>
          <w:p w14:paraId="4CC88228" w14:textId="77777777" w:rsidR="008A10EC" w:rsidRPr="008A10EC" w:rsidRDefault="008A10EC" w:rsidP="008A10EC">
            <w:pPr>
              <w:pStyle w:val="NoSpacing"/>
              <w:rPr>
                <w:rFonts w:ascii="Times New Roman" w:hAnsi="Times New Roman" w:cs="Times New Roman"/>
              </w:rPr>
            </w:pPr>
          </w:p>
          <w:p w14:paraId="433624CE"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Self-control</w:t>
            </w:r>
          </w:p>
        </w:tc>
        <w:tc>
          <w:tcPr>
            <w:tcW w:w="1808" w:type="dxa"/>
          </w:tcPr>
          <w:p w14:paraId="0F2EB85F" w14:textId="77777777" w:rsidR="008A10EC" w:rsidRPr="008A10EC" w:rsidRDefault="008A10EC" w:rsidP="008A10EC">
            <w:pPr>
              <w:pStyle w:val="NoSpacing"/>
              <w:rPr>
                <w:rFonts w:ascii="Times New Roman" w:hAnsi="Times New Roman" w:cs="Times New Roman"/>
              </w:rPr>
            </w:pPr>
          </w:p>
          <w:p w14:paraId="0E63DD92"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2.71 (.61)</w:t>
            </w:r>
          </w:p>
        </w:tc>
        <w:tc>
          <w:tcPr>
            <w:tcW w:w="1876" w:type="dxa"/>
          </w:tcPr>
          <w:p w14:paraId="2837E157" w14:textId="77777777" w:rsidR="008A10EC" w:rsidRPr="008A10EC" w:rsidRDefault="008A10EC" w:rsidP="008A10EC">
            <w:pPr>
              <w:pStyle w:val="NoSpacing"/>
              <w:rPr>
                <w:rFonts w:ascii="Times New Roman" w:hAnsi="Times New Roman" w:cs="Times New Roman"/>
              </w:rPr>
            </w:pPr>
          </w:p>
          <w:p w14:paraId="02CC7C09"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2.80 (.67)</w:t>
            </w:r>
          </w:p>
        </w:tc>
        <w:tc>
          <w:tcPr>
            <w:tcW w:w="2080" w:type="dxa"/>
          </w:tcPr>
          <w:p w14:paraId="79BF05EF" w14:textId="77777777" w:rsidR="008A10EC" w:rsidRPr="008A10EC" w:rsidRDefault="008A10EC" w:rsidP="008A10EC">
            <w:pPr>
              <w:pStyle w:val="NoSpacing"/>
              <w:rPr>
                <w:rFonts w:ascii="Times New Roman" w:hAnsi="Times New Roman" w:cs="Times New Roman"/>
                <w:i/>
              </w:rPr>
            </w:pPr>
          </w:p>
          <w:p w14:paraId="3053A98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 .42, </w:t>
            </w:r>
            <w:r w:rsidRPr="008A10EC">
              <w:rPr>
                <w:rFonts w:ascii="Times New Roman" w:hAnsi="Times New Roman" w:cs="Times New Roman"/>
                <w:i/>
                <w:iCs/>
              </w:rPr>
              <w:t>d</w:t>
            </w:r>
            <w:r w:rsidRPr="008A10EC">
              <w:rPr>
                <w:rFonts w:ascii="Times New Roman" w:hAnsi="Times New Roman" w:cs="Times New Roman"/>
              </w:rPr>
              <w:t xml:space="preserve"> = .15</w:t>
            </w:r>
          </w:p>
        </w:tc>
      </w:tr>
      <w:tr w:rsidR="008A10EC" w:rsidRPr="008A10EC" w14:paraId="199CB76A" w14:textId="77777777" w:rsidTr="002A1E63">
        <w:trPr>
          <w:trHeight w:val="676"/>
        </w:trPr>
        <w:tc>
          <w:tcPr>
            <w:tcW w:w="3262" w:type="dxa"/>
          </w:tcPr>
          <w:p w14:paraId="234AC4BC" w14:textId="77777777" w:rsidR="008A10EC" w:rsidRPr="008A10EC" w:rsidRDefault="008A10EC" w:rsidP="008A10EC">
            <w:pPr>
              <w:pStyle w:val="NoSpacing"/>
              <w:rPr>
                <w:rFonts w:ascii="Times New Roman" w:hAnsi="Times New Roman" w:cs="Times New Roman"/>
              </w:rPr>
            </w:pPr>
          </w:p>
          <w:p w14:paraId="066A2E73"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Presence of meaning in life</w:t>
            </w:r>
          </w:p>
        </w:tc>
        <w:tc>
          <w:tcPr>
            <w:tcW w:w="1808" w:type="dxa"/>
          </w:tcPr>
          <w:p w14:paraId="3284B690" w14:textId="77777777" w:rsidR="008A10EC" w:rsidRPr="008A10EC" w:rsidRDefault="008A10EC" w:rsidP="008A10EC">
            <w:pPr>
              <w:pStyle w:val="NoSpacing"/>
              <w:rPr>
                <w:rFonts w:ascii="Times New Roman" w:hAnsi="Times New Roman" w:cs="Times New Roman"/>
              </w:rPr>
            </w:pPr>
          </w:p>
          <w:p w14:paraId="285C826A"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20.57 (7.05)</w:t>
            </w:r>
          </w:p>
        </w:tc>
        <w:tc>
          <w:tcPr>
            <w:tcW w:w="1876" w:type="dxa"/>
          </w:tcPr>
          <w:p w14:paraId="0003D6A8" w14:textId="77777777" w:rsidR="008A10EC" w:rsidRPr="008A10EC" w:rsidRDefault="008A10EC" w:rsidP="008A10EC">
            <w:pPr>
              <w:pStyle w:val="NoSpacing"/>
              <w:rPr>
                <w:rFonts w:ascii="Times New Roman" w:hAnsi="Times New Roman" w:cs="Times New Roman"/>
              </w:rPr>
            </w:pPr>
          </w:p>
          <w:p w14:paraId="2E4E9CB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20.15 (7.34)</w:t>
            </w:r>
          </w:p>
        </w:tc>
        <w:tc>
          <w:tcPr>
            <w:tcW w:w="2080" w:type="dxa"/>
          </w:tcPr>
          <w:p w14:paraId="18DEB602" w14:textId="77777777" w:rsidR="008A10EC" w:rsidRPr="008A10EC" w:rsidRDefault="008A10EC" w:rsidP="008A10EC">
            <w:pPr>
              <w:pStyle w:val="NoSpacing"/>
              <w:rPr>
                <w:rFonts w:ascii="Times New Roman" w:hAnsi="Times New Roman" w:cs="Times New Roman"/>
                <w:i/>
              </w:rPr>
            </w:pPr>
          </w:p>
          <w:p w14:paraId="32F91B65"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 .75, </w:t>
            </w:r>
            <w:r w:rsidRPr="008A10EC">
              <w:rPr>
                <w:rFonts w:ascii="Times New Roman" w:hAnsi="Times New Roman" w:cs="Times New Roman"/>
                <w:i/>
                <w:iCs/>
              </w:rPr>
              <w:t>d</w:t>
            </w:r>
            <w:r w:rsidRPr="008A10EC">
              <w:rPr>
                <w:rFonts w:ascii="Times New Roman" w:hAnsi="Times New Roman" w:cs="Times New Roman"/>
              </w:rPr>
              <w:t xml:space="preserve"> = .06</w:t>
            </w:r>
          </w:p>
        </w:tc>
      </w:tr>
      <w:tr w:rsidR="008A10EC" w:rsidRPr="008A10EC" w14:paraId="1CA6EC1F" w14:textId="77777777" w:rsidTr="002A1E63">
        <w:trPr>
          <w:trHeight w:val="676"/>
        </w:trPr>
        <w:tc>
          <w:tcPr>
            <w:tcW w:w="3262" w:type="dxa"/>
          </w:tcPr>
          <w:p w14:paraId="2C3524CE" w14:textId="77777777" w:rsidR="008A10EC" w:rsidRPr="008A10EC" w:rsidRDefault="008A10EC" w:rsidP="008A10EC">
            <w:pPr>
              <w:pStyle w:val="NoSpacing"/>
              <w:rPr>
                <w:rFonts w:ascii="Times New Roman" w:hAnsi="Times New Roman" w:cs="Times New Roman"/>
              </w:rPr>
            </w:pPr>
          </w:p>
          <w:p w14:paraId="0DD1B304"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Search for meaning in life</w:t>
            </w:r>
          </w:p>
        </w:tc>
        <w:tc>
          <w:tcPr>
            <w:tcW w:w="1808" w:type="dxa"/>
          </w:tcPr>
          <w:p w14:paraId="40CD56D0" w14:textId="77777777" w:rsidR="008A10EC" w:rsidRPr="008A10EC" w:rsidRDefault="008A10EC" w:rsidP="008A10EC">
            <w:pPr>
              <w:pStyle w:val="NoSpacing"/>
              <w:rPr>
                <w:rFonts w:ascii="Times New Roman" w:hAnsi="Times New Roman" w:cs="Times New Roman"/>
              </w:rPr>
            </w:pPr>
          </w:p>
          <w:p w14:paraId="20884E28"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22.57 (7.48)</w:t>
            </w:r>
          </w:p>
        </w:tc>
        <w:tc>
          <w:tcPr>
            <w:tcW w:w="1876" w:type="dxa"/>
          </w:tcPr>
          <w:p w14:paraId="282B1592" w14:textId="77777777" w:rsidR="008A10EC" w:rsidRPr="008A10EC" w:rsidRDefault="008A10EC" w:rsidP="008A10EC">
            <w:pPr>
              <w:pStyle w:val="NoSpacing"/>
              <w:rPr>
                <w:rFonts w:ascii="Times New Roman" w:hAnsi="Times New Roman" w:cs="Times New Roman"/>
              </w:rPr>
            </w:pPr>
          </w:p>
          <w:p w14:paraId="17E74EFE"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23.68 (6.27)</w:t>
            </w:r>
          </w:p>
        </w:tc>
        <w:tc>
          <w:tcPr>
            <w:tcW w:w="2080" w:type="dxa"/>
          </w:tcPr>
          <w:p w14:paraId="1FCE2EA8" w14:textId="77777777" w:rsidR="008A10EC" w:rsidRPr="008A10EC" w:rsidRDefault="008A10EC" w:rsidP="008A10EC">
            <w:pPr>
              <w:pStyle w:val="NoSpacing"/>
              <w:rPr>
                <w:rFonts w:ascii="Times New Roman" w:hAnsi="Times New Roman" w:cs="Times New Roman"/>
                <w:i/>
              </w:rPr>
            </w:pPr>
          </w:p>
          <w:p w14:paraId="43E0A857"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 .38, </w:t>
            </w:r>
            <w:r w:rsidRPr="008A10EC">
              <w:rPr>
                <w:rFonts w:ascii="Times New Roman" w:hAnsi="Times New Roman" w:cs="Times New Roman"/>
                <w:i/>
                <w:iCs/>
              </w:rPr>
              <w:t>d</w:t>
            </w:r>
            <w:r w:rsidRPr="008A10EC">
              <w:rPr>
                <w:rFonts w:ascii="Times New Roman" w:hAnsi="Times New Roman" w:cs="Times New Roman"/>
              </w:rPr>
              <w:t xml:space="preserve"> = .16</w:t>
            </w:r>
          </w:p>
        </w:tc>
      </w:tr>
      <w:tr w:rsidR="008A10EC" w:rsidRPr="008A10EC" w14:paraId="7C17FF66" w14:textId="77777777" w:rsidTr="002A1E63">
        <w:trPr>
          <w:trHeight w:val="676"/>
        </w:trPr>
        <w:tc>
          <w:tcPr>
            <w:tcW w:w="3262" w:type="dxa"/>
          </w:tcPr>
          <w:p w14:paraId="4ABD24EC" w14:textId="77777777" w:rsidR="008A10EC" w:rsidRPr="008A10EC" w:rsidRDefault="008A10EC" w:rsidP="008A10EC">
            <w:pPr>
              <w:pStyle w:val="NoSpacing"/>
              <w:rPr>
                <w:rFonts w:ascii="Times New Roman" w:hAnsi="Times New Roman" w:cs="Times New Roman"/>
              </w:rPr>
            </w:pPr>
          </w:p>
          <w:p w14:paraId="553E4C6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Drinking problem recognition</w:t>
            </w:r>
          </w:p>
        </w:tc>
        <w:tc>
          <w:tcPr>
            <w:tcW w:w="1808" w:type="dxa"/>
          </w:tcPr>
          <w:p w14:paraId="5205B6A7" w14:textId="77777777" w:rsidR="008A10EC" w:rsidRPr="008A10EC" w:rsidRDefault="008A10EC" w:rsidP="008A10EC">
            <w:pPr>
              <w:pStyle w:val="NoSpacing"/>
              <w:rPr>
                <w:rFonts w:ascii="Times New Roman" w:hAnsi="Times New Roman" w:cs="Times New Roman"/>
              </w:rPr>
            </w:pPr>
          </w:p>
          <w:p w14:paraId="403CF717"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12.62 (4.57)</w:t>
            </w:r>
          </w:p>
        </w:tc>
        <w:tc>
          <w:tcPr>
            <w:tcW w:w="1876" w:type="dxa"/>
          </w:tcPr>
          <w:p w14:paraId="7DDFFFB3" w14:textId="77777777" w:rsidR="008A10EC" w:rsidRPr="008A10EC" w:rsidRDefault="008A10EC" w:rsidP="008A10EC">
            <w:pPr>
              <w:pStyle w:val="NoSpacing"/>
              <w:rPr>
                <w:rFonts w:ascii="Times New Roman" w:hAnsi="Times New Roman" w:cs="Times New Roman"/>
              </w:rPr>
            </w:pPr>
          </w:p>
          <w:p w14:paraId="156167C5"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9.13 (3.37)</w:t>
            </w:r>
          </w:p>
        </w:tc>
        <w:tc>
          <w:tcPr>
            <w:tcW w:w="2080" w:type="dxa"/>
          </w:tcPr>
          <w:p w14:paraId="54D6C037" w14:textId="77777777" w:rsidR="008A10EC" w:rsidRPr="008A10EC" w:rsidRDefault="008A10EC" w:rsidP="008A10EC">
            <w:pPr>
              <w:pStyle w:val="NoSpacing"/>
              <w:rPr>
                <w:rFonts w:ascii="Times New Roman" w:hAnsi="Times New Roman" w:cs="Times New Roman"/>
                <w:i/>
              </w:rPr>
            </w:pPr>
          </w:p>
          <w:p w14:paraId="4D98DB0A"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rPr>
              <w:t xml:space="preserve">p </w:t>
            </w:r>
            <w:r w:rsidRPr="008A10EC">
              <w:rPr>
                <w:rFonts w:ascii="Times New Roman" w:hAnsi="Times New Roman" w:cs="Times New Roman"/>
              </w:rPr>
              <w:t xml:space="preserve">&lt; .001, </w:t>
            </w:r>
            <w:r w:rsidRPr="008A10EC">
              <w:rPr>
                <w:rFonts w:ascii="Times New Roman" w:hAnsi="Times New Roman" w:cs="Times New Roman"/>
                <w:i/>
                <w:iCs/>
              </w:rPr>
              <w:t>d</w:t>
            </w:r>
            <w:r w:rsidRPr="008A10EC">
              <w:rPr>
                <w:rFonts w:ascii="Times New Roman" w:hAnsi="Times New Roman" w:cs="Times New Roman"/>
              </w:rPr>
              <w:t xml:space="preserve"> = .87</w:t>
            </w:r>
          </w:p>
        </w:tc>
      </w:tr>
      <w:tr w:rsidR="008A10EC" w:rsidRPr="008A10EC" w14:paraId="1D80193C" w14:textId="77777777" w:rsidTr="002A1E63">
        <w:trPr>
          <w:trHeight w:val="682"/>
        </w:trPr>
        <w:tc>
          <w:tcPr>
            <w:tcW w:w="3262" w:type="dxa"/>
          </w:tcPr>
          <w:p w14:paraId="3FADD40E" w14:textId="77777777" w:rsidR="008A10EC" w:rsidRPr="008A10EC" w:rsidRDefault="008A10EC" w:rsidP="008A10EC">
            <w:pPr>
              <w:pStyle w:val="NoSpacing"/>
              <w:rPr>
                <w:rFonts w:ascii="Times New Roman" w:hAnsi="Times New Roman" w:cs="Times New Roman"/>
              </w:rPr>
            </w:pPr>
          </w:p>
          <w:p w14:paraId="0AACFB6D" w14:textId="5DC88D5D"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Drinking refusal self-efficacy (</w:t>
            </w:r>
            <w:r w:rsidRPr="008A10EC">
              <w:rPr>
                <w:rFonts w:ascii="Times New Roman" w:hAnsi="Times New Roman" w:cs="Times New Roman"/>
                <w:i/>
                <w:iCs/>
              </w:rPr>
              <w:t>social pressure</w:t>
            </w:r>
            <w:r w:rsidR="005E4A4D">
              <w:rPr>
                <w:rFonts w:ascii="Times New Roman" w:hAnsi="Times New Roman" w:cs="Times New Roman"/>
                <w:i/>
                <w:iCs/>
              </w:rPr>
              <w:t xml:space="preserve"> subscale</w:t>
            </w:r>
            <w:r w:rsidRPr="008A10EC">
              <w:rPr>
                <w:rFonts w:ascii="Times New Roman" w:hAnsi="Times New Roman" w:cs="Times New Roman"/>
              </w:rPr>
              <w:t>)</w:t>
            </w:r>
          </w:p>
        </w:tc>
        <w:tc>
          <w:tcPr>
            <w:tcW w:w="1808" w:type="dxa"/>
          </w:tcPr>
          <w:p w14:paraId="29362C03" w14:textId="77777777" w:rsidR="008A10EC" w:rsidRPr="008A10EC" w:rsidRDefault="008A10EC" w:rsidP="008A10EC">
            <w:pPr>
              <w:pStyle w:val="NoSpacing"/>
              <w:rPr>
                <w:rFonts w:ascii="Times New Roman" w:hAnsi="Times New Roman" w:cs="Times New Roman"/>
              </w:rPr>
            </w:pPr>
          </w:p>
          <w:p w14:paraId="1E43376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2.41 (1.37)</w:t>
            </w:r>
          </w:p>
        </w:tc>
        <w:tc>
          <w:tcPr>
            <w:tcW w:w="1876" w:type="dxa"/>
          </w:tcPr>
          <w:p w14:paraId="13B10266" w14:textId="77777777" w:rsidR="008A10EC" w:rsidRPr="008A10EC" w:rsidRDefault="008A10EC" w:rsidP="008A10EC">
            <w:pPr>
              <w:pStyle w:val="NoSpacing"/>
              <w:rPr>
                <w:rFonts w:ascii="Times New Roman" w:hAnsi="Times New Roman" w:cs="Times New Roman"/>
              </w:rPr>
            </w:pPr>
          </w:p>
          <w:p w14:paraId="08B5BB54"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3.28 (1.38)</w:t>
            </w:r>
          </w:p>
        </w:tc>
        <w:tc>
          <w:tcPr>
            <w:tcW w:w="2080" w:type="dxa"/>
          </w:tcPr>
          <w:p w14:paraId="3EE048CD" w14:textId="77777777" w:rsidR="008A10EC" w:rsidRPr="008A10EC" w:rsidRDefault="008A10EC" w:rsidP="008A10EC">
            <w:pPr>
              <w:pStyle w:val="NoSpacing"/>
              <w:rPr>
                <w:rFonts w:ascii="Times New Roman" w:hAnsi="Times New Roman" w:cs="Times New Roman"/>
              </w:rPr>
            </w:pPr>
          </w:p>
          <w:p w14:paraId="3D55BEA8"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iCs/>
              </w:rPr>
              <w:t xml:space="preserve">p </w:t>
            </w:r>
            <w:r w:rsidRPr="008A10EC">
              <w:rPr>
                <w:rFonts w:ascii="Times New Roman" w:hAnsi="Times New Roman" w:cs="Times New Roman"/>
              </w:rPr>
              <w:t xml:space="preserve">&lt; .001, </w:t>
            </w:r>
            <w:r w:rsidRPr="008A10EC">
              <w:rPr>
                <w:rFonts w:ascii="Times New Roman" w:hAnsi="Times New Roman" w:cs="Times New Roman"/>
                <w:i/>
                <w:iCs/>
              </w:rPr>
              <w:t xml:space="preserve">d </w:t>
            </w:r>
            <w:r w:rsidRPr="008A10EC">
              <w:rPr>
                <w:rFonts w:ascii="Times New Roman" w:hAnsi="Times New Roman" w:cs="Times New Roman"/>
              </w:rPr>
              <w:t>= .64</w:t>
            </w:r>
          </w:p>
        </w:tc>
      </w:tr>
      <w:tr w:rsidR="008A10EC" w:rsidRPr="008A10EC" w14:paraId="19152036" w14:textId="77777777" w:rsidTr="002A1E63">
        <w:trPr>
          <w:trHeight w:val="676"/>
        </w:trPr>
        <w:tc>
          <w:tcPr>
            <w:tcW w:w="3262" w:type="dxa"/>
          </w:tcPr>
          <w:p w14:paraId="5654E358" w14:textId="77777777" w:rsidR="008A10EC" w:rsidRPr="008A10EC" w:rsidRDefault="008A10EC" w:rsidP="008A10EC">
            <w:pPr>
              <w:pStyle w:val="NoSpacing"/>
              <w:rPr>
                <w:rFonts w:ascii="Times New Roman" w:hAnsi="Times New Roman" w:cs="Times New Roman"/>
              </w:rPr>
            </w:pPr>
          </w:p>
          <w:p w14:paraId="11A28AED" w14:textId="7C278D91"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Drinking refusal self-efficacy (</w:t>
            </w:r>
            <w:r w:rsidRPr="008A10EC">
              <w:rPr>
                <w:rFonts w:ascii="Times New Roman" w:hAnsi="Times New Roman" w:cs="Times New Roman"/>
                <w:i/>
                <w:iCs/>
              </w:rPr>
              <w:t>emotional relie</w:t>
            </w:r>
            <w:r w:rsidR="005E4A4D">
              <w:rPr>
                <w:rFonts w:ascii="Times New Roman" w:hAnsi="Times New Roman" w:cs="Times New Roman"/>
                <w:i/>
                <w:iCs/>
              </w:rPr>
              <w:t>f subscale</w:t>
            </w:r>
            <w:r w:rsidRPr="008A10EC">
              <w:rPr>
                <w:rFonts w:ascii="Times New Roman" w:hAnsi="Times New Roman" w:cs="Times New Roman"/>
              </w:rPr>
              <w:t>)</w:t>
            </w:r>
          </w:p>
        </w:tc>
        <w:tc>
          <w:tcPr>
            <w:tcW w:w="1808" w:type="dxa"/>
          </w:tcPr>
          <w:p w14:paraId="23B8656A" w14:textId="77777777" w:rsidR="008A10EC" w:rsidRPr="008A10EC" w:rsidRDefault="008A10EC" w:rsidP="008A10EC">
            <w:pPr>
              <w:pStyle w:val="NoSpacing"/>
              <w:rPr>
                <w:rFonts w:ascii="Times New Roman" w:hAnsi="Times New Roman" w:cs="Times New Roman"/>
              </w:rPr>
            </w:pPr>
          </w:p>
          <w:p w14:paraId="741759A3"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3.53 (1.77)</w:t>
            </w:r>
          </w:p>
        </w:tc>
        <w:tc>
          <w:tcPr>
            <w:tcW w:w="1876" w:type="dxa"/>
          </w:tcPr>
          <w:p w14:paraId="3ED6C304" w14:textId="77777777" w:rsidR="008A10EC" w:rsidRPr="008A10EC" w:rsidRDefault="008A10EC" w:rsidP="008A10EC">
            <w:pPr>
              <w:pStyle w:val="NoSpacing"/>
              <w:rPr>
                <w:rFonts w:ascii="Times New Roman" w:hAnsi="Times New Roman" w:cs="Times New Roman"/>
              </w:rPr>
            </w:pPr>
          </w:p>
          <w:p w14:paraId="50045395"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4.64 (1.63)</w:t>
            </w:r>
          </w:p>
        </w:tc>
        <w:tc>
          <w:tcPr>
            <w:tcW w:w="2080" w:type="dxa"/>
          </w:tcPr>
          <w:p w14:paraId="510760E1" w14:textId="77777777" w:rsidR="008A10EC" w:rsidRPr="008A10EC" w:rsidRDefault="008A10EC" w:rsidP="008A10EC">
            <w:pPr>
              <w:pStyle w:val="NoSpacing"/>
              <w:rPr>
                <w:rFonts w:ascii="Times New Roman" w:hAnsi="Times New Roman" w:cs="Times New Roman"/>
              </w:rPr>
            </w:pPr>
          </w:p>
          <w:p w14:paraId="231C8B34"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iCs/>
              </w:rPr>
              <w:t xml:space="preserve">p </w:t>
            </w:r>
            <w:r w:rsidRPr="008A10EC">
              <w:rPr>
                <w:rFonts w:ascii="Times New Roman" w:hAnsi="Times New Roman" w:cs="Times New Roman"/>
              </w:rPr>
              <w:t xml:space="preserve">&lt; .001, </w:t>
            </w:r>
            <w:r w:rsidRPr="008A10EC">
              <w:rPr>
                <w:rFonts w:ascii="Times New Roman" w:hAnsi="Times New Roman" w:cs="Times New Roman"/>
                <w:i/>
                <w:iCs/>
              </w:rPr>
              <w:t>d</w:t>
            </w:r>
            <w:r w:rsidRPr="008A10EC">
              <w:rPr>
                <w:rFonts w:ascii="Times New Roman" w:hAnsi="Times New Roman" w:cs="Times New Roman"/>
              </w:rPr>
              <w:t xml:space="preserve"> = .65</w:t>
            </w:r>
          </w:p>
        </w:tc>
      </w:tr>
      <w:tr w:rsidR="008A10EC" w:rsidRPr="008A10EC" w14:paraId="5D9644A3" w14:textId="77777777" w:rsidTr="002A1E63">
        <w:trPr>
          <w:trHeight w:val="676"/>
        </w:trPr>
        <w:tc>
          <w:tcPr>
            <w:tcW w:w="3262" w:type="dxa"/>
          </w:tcPr>
          <w:p w14:paraId="5A8174AF" w14:textId="77777777" w:rsidR="008A10EC" w:rsidRPr="008A10EC" w:rsidRDefault="008A10EC" w:rsidP="008A10EC">
            <w:pPr>
              <w:pStyle w:val="NoSpacing"/>
              <w:rPr>
                <w:rFonts w:ascii="Times New Roman" w:hAnsi="Times New Roman" w:cs="Times New Roman"/>
              </w:rPr>
            </w:pPr>
          </w:p>
          <w:p w14:paraId="336638D7" w14:textId="1DD96941"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Drinking refusal self-efficacy (</w:t>
            </w:r>
            <w:r w:rsidRPr="008A10EC">
              <w:rPr>
                <w:rFonts w:ascii="Times New Roman" w:hAnsi="Times New Roman" w:cs="Times New Roman"/>
                <w:i/>
                <w:iCs/>
              </w:rPr>
              <w:t>opportunistic</w:t>
            </w:r>
            <w:r w:rsidR="005E4A4D">
              <w:rPr>
                <w:rFonts w:ascii="Times New Roman" w:hAnsi="Times New Roman" w:cs="Times New Roman"/>
                <w:i/>
                <w:iCs/>
              </w:rPr>
              <w:t xml:space="preserve"> subscale</w:t>
            </w:r>
            <w:r w:rsidRPr="008A10EC">
              <w:rPr>
                <w:rFonts w:ascii="Times New Roman" w:hAnsi="Times New Roman" w:cs="Times New Roman"/>
              </w:rPr>
              <w:t>)</w:t>
            </w:r>
          </w:p>
        </w:tc>
        <w:tc>
          <w:tcPr>
            <w:tcW w:w="1808" w:type="dxa"/>
          </w:tcPr>
          <w:p w14:paraId="739F4CB8" w14:textId="77777777" w:rsidR="008A10EC" w:rsidRPr="008A10EC" w:rsidRDefault="008A10EC" w:rsidP="008A10EC">
            <w:pPr>
              <w:pStyle w:val="NoSpacing"/>
              <w:rPr>
                <w:rFonts w:ascii="Times New Roman" w:hAnsi="Times New Roman" w:cs="Times New Roman"/>
              </w:rPr>
            </w:pPr>
          </w:p>
          <w:p w14:paraId="414F2D06"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4.45 (1.39)</w:t>
            </w:r>
          </w:p>
        </w:tc>
        <w:tc>
          <w:tcPr>
            <w:tcW w:w="1876" w:type="dxa"/>
          </w:tcPr>
          <w:p w14:paraId="157F1487" w14:textId="77777777" w:rsidR="008A10EC" w:rsidRPr="008A10EC" w:rsidRDefault="008A10EC" w:rsidP="008A10EC">
            <w:pPr>
              <w:pStyle w:val="NoSpacing"/>
              <w:rPr>
                <w:rFonts w:ascii="Times New Roman" w:hAnsi="Times New Roman" w:cs="Times New Roman"/>
              </w:rPr>
            </w:pPr>
          </w:p>
          <w:p w14:paraId="47432E3F"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5.86 (1.15)</w:t>
            </w:r>
          </w:p>
        </w:tc>
        <w:tc>
          <w:tcPr>
            <w:tcW w:w="2080" w:type="dxa"/>
          </w:tcPr>
          <w:p w14:paraId="7752115B" w14:textId="77777777" w:rsidR="008A10EC" w:rsidRPr="008A10EC" w:rsidRDefault="008A10EC" w:rsidP="008A10EC">
            <w:pPr>
              <w:pStyle w:val="NoSpacing"/>
              <w:rPr>
                <w:rFonts w:ascii="Times New Roman" w:hAnsi="Times New Roman" w:cs="Times New Roman"/>
              </w:rPr>
            </w:pPr>
          </w:p>
          <w:p w14:paraId="2270D489"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iCs/>
              </w:rPr>
              <w:t xml:space="preserve">p </w:t>
            </w:r>
            <w:r w:rsidRPr="008A10EC">
              <w:rPr>
                <w:rFonts w:ascii="Times New Roman" w:hAnsi="Times New Roman" w:cs="Times New Roman"/>
              </w:rPr>
              <w:t xml:space="preserve">&lt; .001, </w:t>
            </w:r>
            <w:r w:rsidRPr="008A10EC">
              <w:rPr>
                <w:rFonts w:ascii="Times New Roman" w:hAnsi="Times New Roman" w:cs="Times New Roman"/>
                <w:i/>
                <w:iCs/>
              </w:rPr>
              <w:t>d</w:t>
            </w:r>
            <w:r w:rsidRPr="008A10EC">
              <w:rPr>
                <w:rFonts w:ascii="Times New Roman" w:hAnsi="Times New Roman" w:cs="Times New Roman"/>
              </w:rPr>
              <w:t xml:space="preserve"> = 1.11</w:t>
            </w:r>
            <w:bookmarkStart w:id="263" w:name="_Hlk85113010"/>
            <w:bookmarkEnd w:id="263"/>
          </w:p>
        </w:tc>
      </w:tr>
      <w:tr w:rsidR="008A10EC" w:rsidRPr="008A10EC" w14:paraId="59CF20AA" w14:textId="77777777" w:rsidTr="002A1E63">
        <w:trPr>
          <w:trHeight w:val="617"/>
        </w:trPr>
        <w:tc>
          <w:tcPr>
            <w:tcW w:w="3262" w:type="dxa"/>
          </w:tcPr>
          <w:p w14:paraId="68D41C3F" w14:textId="77777777" w:rsidR="008A10EC" w:rsidRPr="008A10EC" w:rsidRDefault="008A10EC" w:rsidP="008A10EC">
            <w:pPr>
              <w:pStyle w:val="NoSpacing"/>
              <w:rPr>
                <w:rFonts w:ascii="Times New Roman" w:hAnsi="Times New Roman" w:cs="Times New Roman"/>
              </w:rPr>
            </w:pPr>
          </w:p>
          <w:p w14:paraId="2C4C8078" w14:textId="77777777" w:rsidR="008A10EC" w:rsidRPr="008A10EC" w:rsidRDefault="008A10EC" w:rsidP="008A10EC">
            <w:pPr>
              <w:pStyle w:val="NoSpacing"/>
              <w:rPr>
                <w:rFonts w:ascii="Times New Roman" w:hAnsi="Times New Roman" w:cs="Times New Roman"/>
              </w:rPr>
            </w:pPr>
            <w:bookmarkStart w:id="264" w:name="_Hlk89595538"/>
            <w:r w:rsidRPr="008A10EC">
              <w:rPr>
                <w:rFonts w:ascii="Times New Roman" w:hAnsi="Times New Roman" w:cs="Times New Roman"/>
              </w:rPr>
              <w:t>Duration of current pattern of consumption (years)</w:t>
            </w:r>
            <w:bookmarkEnd w:id="264"/>
          </w:p>
        </w:tc>
        <w:tc>
          <w:tcPr>
            <w:tcW w:w="1808" w:type="dxa"/>
          </w:tcPr>
          <w:p w14:paraId="0DE93E6F" w14:textId="77777777" w:rsidR="008A10EC" w:rsidRPr="008A10EC" w:rsidRDefault="008A10EC" w:rsidP="008A10EC">
            <w:pPr>
              <w:pStyle w:val="NoSpacing"/>
              <w:rPr>
                <w:rFonts w:ascii="Times New Roman" w:hAnsi="Times New Roman" w:cs="Times New Roman"/>
              </w:rPr>
            </w:pPr>
          </w:p>
          <w:p w14:paraId="480CDCB3"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8.61 (8.88)</w:t>
            </w:r>
          </w:p>
        </w:tc>
        <w:tc>
          <w:tcPr>
            <w:tcW w:w="1876" w:type="dxa"/>
          </w:tcPr>
          <w:p w14:paraId="307B9798" w14:textId="77777777" w:rsidR="008A10EC" w:rsidRPr="008A10EC" w:rsidRDefault="008A10EC" w:rsidP="008A10EC">
            <w:pPr>
              <w:pStyle w:val="NoSpacing"/>
              <w:rPr>
                <w:rFonts w:ascii="Times New Roman" w:hAnsi="Times New Roman" w:cs="Times New Roman"/>
              </w:rPr>
            </w:pPr>
          </w:p>
          <w:p w14:paraId="10737086" w14:textId="77777777" w:rsidR="008A10EC" w:rsidRPr="008A10EC" w:rsidRDefault="008A10EC" w:rsidP="008A10EC">
            <w:pPr>
              <w:pStyle w:val="NoSpacing"/>
              <w:rPr>
                <w:rFonts w:ascii="Times New Roman" w:hAnsi="Times New Roman" w:cs="Times New Roman"/>
              </w:rPr>
            </w:pPr>
            <w:bookmarkStart w:id="265" w:name="_Hlk103245969"/>
            <w:r w:rsidRPr="008A10EC">
              <w:rPr>
                <w:rFonts w:ascii="Times New Roman" w:hAnsi="Times New Roman" w:cs="Times New Roman"/>
              </w:rPr>
              <w:t>5.10 (6.35)</w:t>
            </w:r>
            <w:bookmarkEnd w:id="265"/>
          </w:p>
        </w:tc>
        <w:tc>
          <w:tcPr>
            <w:tcW w:w="2080" w:type="dxa"/>
          </w:tcPr>
          <w:p w14:paraId="37B0710A" w14:textId="77777777" w:rsidR="008A10EC" w:rsidRPr="008A10EC" w:rsidRDefault="008A10EC" w:rsidP="008A10EC">
            <w:pPr>
              <w:pStyle w:val="NoSpacing"/>
              <w:rPr>
                <w:rFonts w:ascii="Times New Roman" w:hAnsi="Times New Roman" w:cs="Times New Roman"/>
              </w:rPr>
            </w:pPr>
          </w:p>
          <w:p w14:paraId="06ED547E"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i/>
                <w:iCs/>
              </w:rPr>
              <w:t>p</w:t>
            </w:r>
            <w:r w:rsidRPr="008A10EC">
              <w:rPr>
                <w:rFonts w:ascii="Times New Roman" w:hAnsi="Times New Roman" w:cs="Times New Roman"/>
              </w:rPr>
              <w:t xml:space="preserve"> = .01, </w:t>
            </w:r>
            <w:proofErr w:type="spellStart"/>
            <w:r w:rsidRPr="008A10EC">
              <w:rPr>
                <w:rFonts w:ascii="Times New Roman" w:hAnsi="Times New Roman" w:cs="Times New Roman"/>
                <w:i/>
                <w:iCs/>
              </w:rPr>
              <w:t>r</w:t>
            </w:r>
            <w:r w:rsidRPr="008A10EC">
              <w:rPr>
                <w:rFonts w:ascii="Times New Roman" w:hAnsi="Times New Roman" w:cs="Times New Roman"/>
                <w:vertAlign w:val="subscript"/>
              </w:rPr>
              <w:t>rb</w:t>
            </w:r>
            <w:proofErr w:type="spellEnd"/>
            <w:r w:rsidRPr="008A10EC">
              <w:rPr>
                <w:rFonts w:ascii="Times New Roman" w:hAnsi="Times New Roman" w:cs="Times New Roman"/>
              </w:rPr>
              <w:t xml:space="preserve"> = .27</w:t>
            </w:r>
          </w:p>
        </w:tc>
      </w:tr>
      <w:tr w:rsidR="008A10EC" w:rsidRPr="008A10EC" w14:paraId="3056B110" w14:textId="77777777" w:rsidTr="002A1E63">
        <w:trPr>
          <w:trHeight w:val="907"/>
        </w:trPr>
        <w:tc>
          <w:tcPr>
            <w:tcW w:w="3262" w:type="dxa"/>
            <w:tcBorders>
              <w:bottom w:val="single" w:sz="18" w:space="0" w:color="000000"/>
            </w:tcBorders>
          </w:tcPr>
          <w:p w14:paraId="7A25111E" w14:textId="77777777" w:rsidR="008A10EC" w:rsidRPr="008A10EC" w:rsidRDefault="008A10EC" w:rsidP="008A10EC">
            <w:pPr>
              <w:pStyle w:val="NoSpacing"/>
              <w:rPr>
                <w:rFonts w:ascii="Times New Roman" w:hAnsi="Times New Roman" w:cs="Times New Roman"/>
              </w:rPr>
            </w:pPr>
          </w:p>
          <w:p w14:paraId="7B0E934C"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Duration of consumption pattern before cutting down (years)</w:t>
            </w:r>
          </w:p>
          <w:p w14:paraId="7935BDEC" w14:textId="77777777" w:rsidR="008A10EC" w:rsidRPr="008A10EC" w:rsidRDefault="008A10EC" w:rsidP="008A10EC">
            <w:pPr>
              <w:pStyle w:val="NoSpacing"/>
              <w:rPr>
                <w:rFonts w:ascii="Times New Roman" w:hAnsi="Times New Roman" w:cs="Times New Roman"/>
              </w:rPr>
            </w:pPr>
          </w:p>
        </w:tc>
        <w:tc>
          <w:tcPr>
            <w:tcW w:w="1808" w:type="dxa"/>
            <w:tcBorders>
              <w:bottom w:val="single" w:sz="18" w:space="0" w:color="000000"/>
            </w:tcBorders>
          </w:tcPr>
          <w:p w14:paraId="1DC3F58E" w14:textId="77777777" w:rsidR="008A10EC" w:rsidRPr="008A10EC" w:rsidRDefault="008A10EC" w:rsidP="008A10EC">
            <w:pPr>
              <w:pStyle w:val="NoSpacing"/>
              <w:rPr>
                <w:rFonts w:ascii="Times New Roman" w:hAnsi="Times New Roman" w:cs="Times New Roman"/>
              </w:rPr>
            </w:pPr>
          </w:p>
          <w:p w14:paraId="01B014F1" w14:textId="77777777" w:rsidR="008A10EC" w:rsidRPr="008A10EC" w:rsidRDefault="008A10EC" w:rsidP="00A078ED">
            <w:pPr>
              <w:pStyle w:val="NoSpacing"/>
              <w:jc w:val="center"/>
              <w:rPr>
                <w:rFonts w:ascii="Times New Roman" w:hAnsi="Times New Roman" w:cs="Times New Roman"/>
              </w:rPr>
            </w:pPr>
            <w:r w:rsidRPr="008A10EC">
              <w:rPr>
                <w:rFonts w:ascii="Times New Roman" w:hAnsi="Times New Roman" w:cs="Times New Roman"/>
              </w:rPr>
              <w:t>-</w:t>
            </w:r>
          </w:p>
        </w:tc>
        <w:tc>
          <w:tcPr>
            <w:tcW w:w="1876" w:type="dxa"/>
            <w:tcBorders>
              <w:bottom w:val="single" w:sz="18" w:space="0" w:color="000000"/>
            </w:tcBorders>
          </w:tcPr>
          <w:p w14:paraId="5B20188C" w14:textId="77777777" w:rsidR="008A10EC" w:rsidRPr="008A10EC" w:rsidRDefault="008A10EC" w:rsidP="008A10EC">
            <w:pPr>
              <w:pStyle w:val="NoSpacing"/>
              <w:rPr>
                <w:rFonts w:ascii="Times New Roman" w:hAnsi="Times New Roman" w:cs="Times New Roman"/>
              </w:rPr>
            </w:pPr>
          </w:p>
          <w:p w14:paraId="795A9923" w14:textId="77777777" w:rsidR="008A10EC" w:rsidRPr="008A10EC" w:rsidRDefault="008A10EC" w:rsidP="008A10EC">
            <w:pPr>
              <w:pStyle w:val="NoSpacing"/>
              <w:rPr>
                <w:rFonts w:ascii="Times New Roman" w:hAnsi="Times New Roman" w:cs="Times New Roman"/>
              </w:rPr>
            </w:pPr>
            <w:r w:rsidRPr="008A10EC">
              <w:rPr>
                <w:rFonts w:ascii="Times New Roman" w:hAnsi="Times New Roman" w:cs="Times New Roman"/>
              </w:rPr>
              <w:t>5.21 (6.18)</w:t>
            </w:r>
          </w:p>
        </w:tc>
        <w:tc>
          <w:tcPr>
            <w:tcW w:w="2080" w:type="dxa"/>
            <w:tcBorders>
              <w:bottom w:val="single" w:sz="18" w:space="0" w:color="000000"/>
            </w:tcBorders>
          </w:tcPr>
          <w:p w14:paraId="23B1C23C" w14:textId="77777777" w:rsidR="008A10EC" w:rsidRPr="008A10EC" w:rsidRDefault="008A10EC" w:rsidP="008A10EC">
            <w:pPr>
              <w:pStyle w:val="NoSpacing"/>
              <w:rPr>
                <w:rFonts w:ascii="Times New Roman" w:hAnsi="Times New Roman" w:cs="Times New Roman"/>
              </w:rPr>
            </w:pPr>
          </w:p>
          <w:p w14:paraId="75754EA3" w14:textId="77777777" w:rsidR="008A10EC" w:rsidRPr="008A10EC" w:rsidRDefault="008A10EC" w:rsidP="00A078ED">
            <w:pPr>
              <w:pStyle w:val="NoSpacing"/>
              <w:jc w:val="center"/>
              <w:rPr>
                <w:rFonts w:ascii="Times New Roman" w:hAnsi="Times New Roman" w:cs="Times New Roman"/>
              </w:rPr>
            </w:pPr>
            <w:r w:rsidRPr="008A10EC">
              <w:rPr>
                <w:rFonts w:ascii="Times New Roman" w:hAnsi="Times New Roman" w:cs="Times New Roman"/>
              </w:rPr>
              <w:t>-</w:t>
            </w:r>
          </w:p>
        </w:tc>
      </w:tr>
    </w:tbl>
    <w:p w14:paraId="7E072827" w14:textId="143F6865" w:rsidR="008A10EC" w:rsidRDefault="005E4A4D" w:rsidP="005E4A4D">
      <w:pPr>
        <w:pStyle w:val="NoSpacing"/>
        <w:spacing w:line="480" w:lineRule="auto"/>
        <w:rPr>
          <w:rFonts w:ascii="Times New Roman" w:hAnsi="Times New Roman" w:cs="Times New Roman"/>
        </w:rPr>
      </w:pPr>
      <w:r w:rsidRPr="005E4A4D">
        <w:rPr>
          <w:rFonts w:ascii="Times New Roman" w:hAnsi="Times New Roman" w:cs="Times New Roman"/>
          <w:i/>
          <w:iCs/>
        </w:rPr>
        <w:lastRenderedPageBreak/>
        <w:t>Note.</w:t>
      </w:r>
      <w:r w:rsidRPr="005E4A4D">
        <w:rPr>
          <w:rFonts w:ascii="Times New Roman" w:hAnsi="Times New Roman" w:cs="Times New Roman"/>
        </w:rPr>
        <w:t xml:space="preserve"> Effect sizes are Cohen’s </w:t>
      </w:r>
      <w:r w:rsidRPr="005E4A4D">
        <w:rPr>
          <w:rFonts w:ascii="Times New Roman" w:hAnsi="Times New Roman" w:cs="Times New Roman"/>
          <w:i/>
          <w:iCs/>
        </w:rPr>
        <w:t>d</w:t>
      </w:r>
      <w:r w:rsidRPr="005E4A4D">
        <w:rPr>
          <w:rFonts w:ascii="Times New Roman" w:hAnsi="Times New Roman" w:cs="Times New Roman"/>
        </w:rPr>
        <w:t xml:space="preserve"> (for data that are approximately normally distributed) or rank-biserial correlations (</w:t>
      </w:r>
      <w:proofErr w:type="spellStart"/>
      <w:r w:rsidRPr="008A10EC">
        <w:rPr>
          <w:rFonts w:ascii="Times New Roman" w:hAnsi="Times New Roman" w:cs="Times New Roman"/>
          <w:i/>
          <w:iCs/>
        </w:rPr>
        <w:t>r</w:t>
      </w:r>
      <w:r w:rsidRPr="008A10EC">
        <w:rPr>
          <w:rFonts w:ascii="Times New Roman" w:hAnsi="Times New Roman" w:cs="Times New Roman"/>
          <w:vertAlign w:val="subscript"/>
        </w:rPr>
        <w:t>rb</w:t>
      </w:r>
      <w:proofErr w:type="spellEnd"/>
      <w:r w:rsidRPr="005E4A4D">
        <w:rPr>
          <w:rFonts w:ascii="Times New Roman" w:hAnsi="Times New Roman" w:cs="Times New Roman"/>
        </w:rPr>
        <w:t>) (for data that are not approximately normally distributed). AUDIT scores reflect alcohol use and related problems, whilst AUDIT-C scores reflect hazardous or harmful alcohol consumption (retrospective AUDIT-C refers to the period before cutting down for moderated drinkers). Current pattern of consumption duration (years) reflects how long participants have been consuming alcohol at their current level (i.e., over 28 units for heavy drinkers and under 14 units for moderated drinkers, per week). Consumption pattern before cutting down duration (years) reflects how long moderated drinkers consumed over 28 units of alcohol (per week) prior to cutting down.</w:t>
      </w:r>
    </w:p>
    <w:p w14:paraId="5F94A5A9" w14:textId="77777777" w:rsidR="007337CC" w:rsidRPr="005E4A4D" w:rsidRDefault="007337CC" w:rsidP="005E4A4D">
      <w:pPr>
        <w:pStyle w:val="NoSpacing"/>
        <w:spacing w:line="480" w:lineRule="auto"/>
        <w:rPr>
          <w:rFonts w:ascii="Times New Roman" w:hAnsi="Times New Roman" w:cs="Times New Roman"/>
        </w:rPr>
      </w:pPr>
    </w:p>
    <w:p w14:paraId="4E66CE12" w14:textId="28DB4F8D" w:rsidR="008A10EC" w:rsidRPr="005662D6" w:rsidRDefault="005E4A4D" w:rsidP="005662D6">
      <w:pPr>
        <w:pStyle w:val="NoSpacing"/>
        <w:spacing w:line="480" w:lineRule="auto"/>
        <w:rPr>
          <w:rFonts w:ascii="Times New Roman" w:hAnsi="Times New Roman" w:cs="Times New Roman"/>
          <w:b/>
          <w:bCs/>
        </w:rPr>
      </w:pPr>
      <w:r w:rsidRPr="005662D6">
        <w:rPr>
          <w:rFonts w:ascii="Times New Roman" w:hAnsi="Times New Roman" w:cs="Times New Roman"/>
          <w:b/>
          <w:bCs/>
        </w:rPr>
        <w:t>Pre-registered analyses</w:t>
      </w:r>
    </w:p>
    <w:p w14:paraId="047B9CBA" w14:textId="1FB9604F" w:rsidR="005662D6" w:rsidRPr="005662D6" w:rsidRDefault="005662D6" w:rsidP="005662D6">
      <w:pPr>
        <w:pStyle w:val="NoSpacing"/>
        <w:spacing w:line="480" w:lineRule="auto"/>
        <w:rPr>
          <w:rFonts w:ascii="Times New Roman" w:hAnsi="Times New Roman" w:cs="Times New Roman"/>
        </w:rPr>
      </w:pPr>
    </w:p>
    <w:p w14:paraId="44B5F2DC" w14:textId="349CEEAF" w:rsidR="005662D6" w:rsidRPr="005662D6" w:rsidRDefault="005662D6" w:rsidP="005662D6">
      <w:pPr>
        <w:pStyle w:val="NoSpacing"/>
        <w:spacing w:line="480" w:lineRule="auto"/>
        <w:rPr>
          <w:rFonts w:ascii="Times New Roman" w:hAnsi="Times New Roman" w:cs="Times New Roman"/>
        </w:rPr>
      </w:pPr>
      <w:bookmarkStart w:id="266" w:name="_Hlk109228644"/>
      <w:r w:rsidRPr="005662D6">
        <w:rPr>
          <w:rFonts w:ascii="Times New Roman" w:hAnsi="Times New Roman" w:cs="Times New Roman"/>
          <w:i/>
          <w:iCs/>
        </w:rPr>
        <w:t>Hypothesis 1</w:t>
      </w:r>
      <w:r w:rsidRPr="005662D6">
        <w:rPr>
          <w:rFonts w:ascii="Times New Roman" w:hAnsi="Times New Roman" w:cs="Times New Roman"/>
        </w:rPr>
        <w:t>: Compared to heavy drinkers, moderated drinkers will have lower EA rates and higher response thresholds for alcohol.</w:t>
      </w:r>
    </w:p>
    <w:p w14:paraId="037D7E2E" w14:textId="77777777" w:rsidR="005662D6" w:rsidRPr="005662D6" w:rsidRDefault="005662D6" w:rsidP="005662D6">
      <w:pPr>
        <w:pStyle w:val="NoSpacing"/>
        <w:spacing w:line="480" w:lineRule="auto"/>
        <w:rPr>
          <w:rFonts w:ascii="Times New Roman" w:hAnsi="Times New Roman" w:cs="Times New Roman"/>
        </w:rPr>
      </w:pPr>
    </w:p>
    <w:bookmarkEnd w:id="266"/>
    <w:p w14:paraId="49BCB2C2" w14:textId="77777777" w:rsidR="005662D6" w:rsidRPr="005662D6" w:rsidRDefault="005662D6" w:rsidP="005662D6">
      <w:pPr>
        <w:pStyle w:val="NoSpacing"/>
        <w:spacing w:line="480" w:lineRule="auto"/>
        <w:rPr>
          <w:rFonts w:ascii="Times New Roman" w:hAnsi="Times New Roman" w:cs="Times New Roman"/>
        </w:rPr>
      </w:pPr>
      <w:r w:rsidRPr="005662D6">
        <w:rPr>
          <w:rFonts w:ascii="Times New Roman" w:hAnsi="Times New Roman" w:cs="Times New Roman"/>
        </w:rPr>
        <w:t xml:space="preserve">When making alcohol decisions, moderated drinkers (M = 1.62, SD = .47) did not have significantly lower EA rates compared to heavy drinkers (M = 1.65, SD = .50; </w:t>
      </w:r>
      <w:proofErr w:type="gramStart"/>
      <w:r w:rsidRPr="005662D6">
        <w:rPr>
          <w:rFonts w:ascii="Times New Roman" w:hAnsi="Times New Roman" w:cs="Times New Roman"/>
          <w:i/>
          <w:iCs/>
        </w:rPr>
        <w:t>t</w:t>
      </w:r>
      <w:r w:rsidRPr="005662D6">
        <w:rPr>
          <w:rFonts w:ascii="Times New Roman" w:hAnsi="Times New Roman" w:cs="Times New Roman"/>
        </w:rPr>
        <w:t>(</w:t>
      </w:r>
      <w:proofErr w:type="gramEnd"/>
      <w:r w:rsidRPr="005662D6">
        <w:rPr>
          <w:rFonts w:ascii="Times New Roman" w:hAnsi="Times New Roman" w:cs="Times New Roman"/>
        </w:rPr>
        <w:t xml:space="preserve">118) = .28, </w:t>
      </w:r>
      <w:r w:rsidRPr="005662D6">
        <w:rPr>
          <w:rFonts w:ascii="Times New Roman" w:hAnsi="Times New Roman" w:cs="Times New Roman"/>
          <w:i/>
          <w:iCs/>
        </w:rPr>
        <w:t>p</w:t>
      </w:r>
      <w:r w:rsidRPr="005662D6">
        <w:rPr>
          <w:rFonts w:ascii="Times New Roman" w:hAnsi="Times New Roman" w:cs="Times New Roman"/>
        </w:rPr>
        <w:t xml:space="preserve"> = .39, </w:t>
      </w:r>
      <w:r w:rsidRPr="005662D6">
        <w:rPr>
          <w:rFonts w:ascii="Times New Roman" w:hAnsi="Times New Roman" w:cs="Times New Roman"/>
          <w:i/>
          <w:iCs/>
        </w:rPr>
        <w:t>d</w:t>
      </w:r>
      <w:r w:rsidRPr="005662D6">
        <w:rPr>
          <w:rFonts w:ascii="Times New Roman" w:hAnsi="Times New Roman" w:cs="Times New Roman"/>
        </w:rPr>
        <w:t xml:space="preserve"> = .05). Furthermore, moderated drinkers (M = 1.57, SD = .28) did not have significantly higher response thresholds compared to heavy drinkers (M = 1.66, SD = .27; </w:t>
      </w:r>
      <w:proofErr w:type="gramStart"/>
      <w:r w:rsidRPr="005662D6">
        <w:rPr>
          <w:rFonts w:ascii="Times New Roman" w:hAnsi="Times New Roman" w:cs="Times New Roman"/>
          <w:i/>
          <w:iCs/>
        </w:rPr>
        <w:t>t</w:t>
      </w:r>
      <w:r w:rsidRPr="005662D6">
        <w:rPr>
          <w:rFonts w:ascii="Times New Roman" w:hAnsi="Times New Roman" w:cs="Times New Roman"/>
        </w:rPr>
        <w:t>(</w:t>
      </w:r>
      <w:proofErr w:type="gramEnd"/>
      <w:r w:rsidRPr="005662D6">
        <w:rPr>
          <w:rFonts w:ascii="Times New Roman" w:hAnsi="Times New Roman" w:cs="Times New Roman"/>
        </w:rPr>
        <w:t xml:space="preserve">118) = 1.93, </w:t>
      </w:r>
      <w:r w:rsidRPr="005662D6">
        <w:rPr>
          <w:rFonts w:ascii="Times New Roman" w:hAnsi="Times New Roman" w:cs="Times New Roman"/>
          <w:i/>
          <w:iCs/>
        </w:rPr>
        <w:t>p</w:t>
      </w:r>
      <w:r w:rsidRPr="005662D6">
        <w:rPr>
          <w:rFonts w:ascii="Times New Roman" w:hAnsi="Times New Roman" w:cs="Times New Roman"/>
        </w:rPr>
        <w:t xml:space="preserve"> = .97, </w:t>
      </w:r>
      <w:r w:rsidRPr="005662D6">
        <w:rPr>
          <w:rFonts w:ascii="Times New Roman" w:hAnsi="Times New Roman" w:cs="Times New Roman"/>
          <w:i/>
          <w:iCs/>
        </w:rPr>
        <w:t>d</w:t>
      </w:r>
      <w:r w:rsidRPr="005662D6">
        <w:rPr>
          <w:rFonts w:ascii="Times New Roman" w:hAnsi="Times New Roman" w:cs="Times New Roman"/>
        </w:rPr>
        <w:t xml:space="preserve"> = .35).</w:t>
      </w:r>
    </w:p>
    <w:p w14:paraId="25B080A8" w14:textId="2FC6B758" w:rsidR="005662D6" w:rsidRPr="005662D6" w:rsidRDefault="005662D6" w:rsidP="005662D6">
      <w:pPr>
        <w:pStyle w:val="NoSpacing"/>
        <w:spacing w:line="480" w:lineRule="auto"/>
        <w:rPr>
          <w:rFonts w:ascii="Times New Roman" w:hAnsi="Times New Roman" w:cs="Times New Roman"/>
        </w:rPr>
      </w:pPr>
    </w:p>
    <w:p w14:paraId="65408C03" w14:textId="710682A0" w:rsidR="005662D6" w:rsidRPr="005662D6" w:rsidRDefault="005662D6" w:rsidP="005662D6">
      <w:pPr>
        <w:pStyle w:val="NoSpacing"/>
        <w:spacing w:line="480" w:lineRule="auto"/>
        <w:rPr>
          <w:rFonts w:ascii="Times New Roman" w:hAnsi="Times New Roman" w:cs="Times New Roman"/>
        </w:rPr>
      </w:pPr>
      <w:bookmarkStart w:id="267" w:name="_Hlk109228703"/>
      <w:r w:rsidRPr="005662D6">
        <w:rPr>
          <w:rFonts w:ascii="Times New Roman" w:hAnsi="Times New Roman" w:cs="Times New Roman"/>
          <w:i/>
          <w:iCs/>
        </w:rPr>
        <w:t>Hypothesis 2</w:t>
      </w:r>
      <w:r w:rsidRPr="005662D6">
        <w:rPr>
          <w:rFonts w:ascii="Times New Roman" w:hAnsi="Times New Roman" w:cs="Times New Roman"/>
        </w:rPr>
        <w:t>: Compared to heavy drinkers, moderated drinkers will have greater EA rates and lower response thresholds for soft</w:t>
      </w:r>
      <w:r w:rsidR="0067750A">
        <w:rPr>
          <w:rFonts w:ascii="Times New Roman" w:hAnsi="Times New Roman" w:cs="Times New Roman"/>
        </w:rPr>
        <w:t xml:space="preserve"> </w:t>
      </w:r>
      <w:r w:rsidRPr="005662D6">
        <w:rPr>
          <w:rFonts w:ascii="Times New Roman" w:hAnsi="Times New Roman" w:cs="Times New Roman"/>
        </w:rPr>
        <w:t>drinks.</w:t>
      </w:r>
    </w:p>
    <w:p w14:paraId="43907E6B" w14:textId="77777777" w:rsidR="005662D6" w:rsidRPr="005662D6" w:rsidRDefault="005662D6" w:rsidP="005662D6">
      <w:pPr>
        <w:pStyle w:val="NoSpacing"/>
        <w:spacing w:line="480" w:lineRule="auto"/>
        <w:rPr>
          <w:rFonts w:ascii="Times New Roman" w:hAnsi="Times New Roman" w:cs="Times New Roman"/>
        </w:rPr>
      </w:pPr>
    </w:p>
    <w:bookmarkEnd w:id="267"/>
    <w:p w14:paraId="7344A85A" w14:textId="7D169F24" w:rsidR="005662D6" w:rsidRPr="005662D6" w:rsidRDefault="005662D6" w:rsidP="005662D6">
      <w:pPr>
        <w:pStyle w:val="NoSpacing"/>
        <w:spacing w:line="480" w:lineRule="auto"/>
        <w:rPr>
          <w:rFonts w:ascii="Times New Roman" w:hAnsi="Times New Roman" w:cs="Times New Roman"/>
        </w:rPr>
      </w:pPr>
      <w:r w:rsidRPr="005662D6">
        <w:rPr>
          <w:rFonts w:ascii="Times New Roman" w:hAnsi="Times New Roman" w:cs="Times New Roman"/>
        </w:rPr>
        <w:lastRenderedPageBreak/>
        <w:t>When making soft</w:t>
      </w:r>
      <w:r w:rsidR="0067750A">
        <w:rPr>
          <w:rFonts w:ascii="Times New Roman" w:hAnsi="Times New Roman" w:cs="Times New Roman"/>
        </w:rPr>
        <w:t xml:space="preserve"> </w:t>
      </w:r>
      <w:r w:rsidRPr="005662D6">
        <w:rPr>
          <w:rFonts w:ascii="Times New Roman" w:hAnsi="Times New Roman" w:cs="Times New Roman"/>
        </w:rPr>
        <w:t xml:space="preserve">drink decisions, moderated drinkers (M = 1.70, SD = .54) did not have significantly higher EA rates compared to heavy drinkers (M = 1.65, SD = .45; </w:t>
      </w:r>
      <w:proofErr w:type="gramStart"/>
      <w:r w:rsidRPr="005662D6">
        <w:rPr>
          <w:rFonts w:ascii="Times New Roman" w:hAnsi="Times New Roman" w:cs="Times New Roman"/>
          <w:i/>
          <w:iCs/>
        </w:rPr>
        <w:t>t</w:t>
      </w:r>
      <w:r w:rsidRPr="005662D6">
        <w:rPr>
          <w:rFonts w:ascii="Times New Roman" w:hAnsi="Times New Roman" w:cs="Times New Roman"/>
        </w:rPr>
        <w:t>(</w:t>
      </w:r>
      <w:proofErr w:type="gramEnd"/>
      <w:r w:rsidRPr="005662D6">
        <w:rPr>
          <w:rFonts w:ascii="Times New Roman" w:hAnsi="Times New Roman" w:cs="Times New Roman"/>
        </w:rPr>
        <w:t xml:space="preserve">118) = -.61, </w:t>
      </w:r>
      <w:r w:rsidRPr="005662D6">
        <w:rPr>
          <w:rFonts w:ascii="Times New Roman" w:hAnsi="Times New Roman" w:cs="Times New Roman"/>
          <w:i/>
          <w:iCs/>
        </w:rPr>
        <w:t>p</w:t>
      </w:r>
      <w:r w:rsidRPr="005662D6">
        <w:rPr>
          <w:rFonts w:ascii="Times New Roman" w:hAnsi="Times New Roman" w:cs="Times New Roman"/>
        </w:rPr>
        <w:t xml:space="preserve"> = .27, </w:t>
      </w:r>
      <w:r w:rsidRPr="005662D6">
        <w:rPr>
          <w:rFonts w:ascii="Times New Roman" w:hAnsi="Times New Roman" w:cs="Times New Roman"/>
          <w:i/>
          <w:iCs/>
        </w:rPr>
        <w:t>d</w:t>
      </w:r>
      <w:r w:rsidRPr="005662D6">
        <w:rPr>
          <w:rFonts w:ascii="Times New Roman" w:hAnsi="Times New Roman" w:cs="Times New Roman"/>
        </w:rPr>
        <w:t xml:space="preserve"> = .11). However, moderated drinkers (M = 1.54, SD = .34) had significantly lower response thresholds compared to heavy drinkers (M = 1.66, SD = .31; </w:t>
      </w:r>
      <w:proofErr w:type="gramStart"/>
      <w:r w:rsidRPr="005662D6">
        <w:rPr>
          <w:rFonts w:ascii="Times New Roman" w:hAnsi="Times New Roman" w:cs="Times New Roman"/>
          <w:i/>
          <w:iCs/>
        </w:rPr>
        <w:t>t</w:t>
      </w:r>
      <w:r w:rsidRPr="005662D6">
        <w:rPr>
          <w:rFonts w:ascii="Times New Roman" w:hAnsi="Times New Roman" w:cs="Times New Roman"/>
        </w:rPr>
        <w:t>(</w:t>
      </w:r>
      <w:proofErr w:type="gramEnd"/>
      <w:r w:rsidRPr="005662D6">
        <w:rPr>
          <w:rFonts w:ascii="Times New Roman" w:hAnsi="Times New Roman" w:cs="Times New Roman"/>
        </w:rPr>
        <w:t xml:space="preserve">118) = 2.04, </w:t>
      </w:r>
      <w:r w:rsidRPr="005662D6">
        <w:rPr>
          <w:rFonts w:ascii="Times New Roman" w:hAnsi="Times New Roman" w:cs="Times New Roman"/>
          <w:i/>
          <w:iCs/>
        </w:rPr>
        <w:t>p</w:t>
      </w:r>
      <w:r w:rsidRPr="005662D6">
        <w:rPr>
          <w:rFonts w:ascii="Times New Roman" w:hAnsi="Times New Roman" w:cs="Times New Roman"/>
        </w:rPr>
        <w:t xml:space="preserve"> = .02, </w:t>
      </w:r>
      <w:r w:rsidRPr="005662D6">
        <w:rPr>
          <w:rFonts w:ascii="Times New Roman" w:hAnsi="Times New Roman" w:cs="Times New Roman"/>
          <w:i/>
          <w:iCs/>
        </w:rPr>
        <w:t>d</w:t>
      </w:r>
      <w:r w:rsidRPr="005662D6">
        <w:rPr>
          <w:rFonts w:ascii="Times New Roman" w:hAnsi="Times New Roman" w:cs="Times New Roman"/>
        </w:rPr>
        <w:t xml:space="preserve"> = .37).</w:t>
      </w:r>
    </w:p>
    <w:p w14:paraId="05245BDC" w14:textId="29E62A88" w:rsidR="005662D6" w:rsidRPr="005662D6" w:rsidRDefault="005662D6" w:rsidP="005662D6">
      <w:pPr>
        <w:pStyle w:val="NoSpacing"/>
        <w:spacing w:line="480" w:lineRule="auto"/>
        <w:rPr>
          <w:rFonts w:ascii="Times New Roman" w:hAnsi="Times New Roman" w:cs="Times New Roman"/>
        </w:rPr>
      </w:pPr>
    </w:p>
    <w:p w14:paraId="4E344C61" w14:textId="003080D2" w:rsidR="005662D6" w:rsidRPr="005662D6" w:rsidRDefault="005662D6" w:rsidP="005662D6">
      <w:pPr>
        <w:pStyle w:val="NoSpacing"/>
        <w:spacing w:line="480" w:lineRule="auto"/>
        <w:rPr>
          <w:rFonts w:ascii="Times New Roman" w:hAnsi="Times New Roman" w:cs="Times New Roman"/>
          <w:i/>
          <w:iCs/>
          <w:lang w:val="en-US"/>
        </w:rPr>
      </w:pPr>
      <w:bookmarkStart w:id="268" w:name="_Hlk110614864"/>
      <w:r w:rsidRPr="005662D6">
        <w:rPr>
          <w:rFonts w:ascii="Times New Roman" w:hAnsi="Times New Roman" w:cs="Times New Roman"/>
          <w:b/>
          <w:bCs/>
          <w:lang w:val="en-US"/>
        </w:rPr>
        <w:t>Figure 6.2</w:t>
      </w:r>
    </w:p>
    <w:p w14:paraId="7624E40C" w14:textId="56FDC306" w:rsidR="005662D6" w:rsidRPr="005662D6" w:rsidRDefault="005662D6" w:rsidP="005662D6">
      <w:pPr>
        <w:pStyle w:val="NoSpacing"/>
        <w:spacing w:line="480" w:lineRule="auto"/>
        <w:rPr>
          <w:rFonts w:ascii="Times New Roman" w:hAnsi="Times New Roman" w:cs="Times New Roman"/>
          <w:i/>
          <w:iCs/>
          <w:lang w:val="en-US"/>
        </w:rPr>
      </w:pPr>
      <w:r w:rsidRPr="005662D6">
        <w:rPr>
          <w:rFonts w:ascii="Times New Roman" w:hAnsi="Times New Roman" w:cs="Times New Roman"/>
          <w:i/>
          <w:iCs/>
          <w:lang w:val="en-US"/>
        </w:rPr>
        <w:t>Mean evidence accumulation (EA) rates for alcohol and soft</w:t>
      </w:r>
      <w:r w:rsidR="0067750A">
        <w:rPr>
          <w:rFonts w:ascii="Times New Roman" w:hAnsi="Times New Roman" w:cs="Times New Roman"/>
          <w:i/>
          <w:iCs/>
          <w:lang w:val="en-US"/>
        </w:rPr>
        <w:t xml:space="preserve"> </w:t>
      </w:r>
      <w:r w:rsidRPr="005662D6">
        <w:rPr>
          <w:rFonts w:ascii="Times New Roman" w:hAnsi="Times New Roman" w:cs="Times New Roman"/>
          <w:i/>
          <w:iCs/>
          <w:lang w:val="en-US"/>
        </w:rPr>
        <w:t>drink choices split by heavy drinkers (solid black line; circle) and moderated drinkers (dashed black line; triangle)</w:t>
      </w:r>
    </w:p>
    <w:bookmarkEnd w:id="268"/>
    <w:p w14:paraId="457A4339" w14:textId="64216A27" w:rsidR="005662D6" w:rsidRDefault="005662D6" w:rsidP="005662D6">
      <w:pPr>
        <w:pStyle w:val="NoSpacing"/>
        <w:jc w:val="center"/>
        <w:rPr>
          <w:lang w:val="en-US"/>
        </w:rPr>
      </w:pPr>
      <w:r>
        <w:rPr>
          <w:noProof/>
          <w:lang w:val="en-US"/>
        </w:rPr>
        <w:drawing>
          <wp:inline distT="0" distB="0" distL="0" distR="0" wp14:anchorId="5C5ECFF4" wp14:editId="4BBFDAF2">
            <wp:extent cx="4196126" cy="3086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09504" cy="3095939"/>
                    </a:xfrm>
                    <a:prstGeom prst="rect">
                      <a:avLst/>
                    </a:prstGeom>
                    <a:noFill/>
                  </pic:spPr>
                </pic:pic>
              </a:graphicData>
            </a:graphic>
          </wp:inline>
        </w:drawing>
      </w:r>
    </w:p>
    <w:p w14:paraId="48201452" w14:textId="77777777" w:rsidR="005662D6" w:rsidRPr="005662D6" w:rsidRDefault="005662D6" w:rsidP="005662D6">
      <w:pPr>
        <w:pStyle w:val="NoSpacing"/>
        <w:spacing w:line="480" w:lineRule="auto"/>
        <w:rPr>
          <w:rFonts w:ascii="Times New Roman" w:hAnsi="Times New Roman" w:cs="Times New Roman"/>
        </w:rPr>
      </w:pPr>
      <w:r w:rsidRPr="005662D6">
        <w:rPr>
          <w:rFonts w:ascii="Times New Roman" w:hAnsi="Times New Roman" w:cs="Times New Roman"/>
          <w:i/>
          <w:iCs/>
        </w:rPr>
        <w:t>Note.</w:t>
      </w:r>
      <w:r w:rsidRPr="005662D6">
        <w:rPr>
          <w:rFonts w:ascii="Times New Roman" w:hAnsi="Times New Roman" w:cs="Times New Roman"/>
        </w:rPr>
        <w:t xml:space="preserve"> Error bars represent the standard error of the mean.</w:t>
      </w:r>
    </w:p>
    <w:p w14:paraId="577C8F1F" w14:textId="77777777" w:rsidR="005662D6" w:rsidRPr="005662D6" w:rsidRDefault="005662D6" w:rsidP="005662D6">
      <w:pPr>
        <w:pStyle w:val="NoSpacing"/>
        <w:spacing w:line="480" w:lineRule="auto"/>
        <w:rPr>
          <w:rFonts w:ascii="Times New Roman" w:hAnsi="Times New Roman" w:cs="Times New Roman"/>
          <w:lang w:val="en-US"/>
        </w:rPr>
      </w:pPr>
    </w:p>
    <w:p w14:paraId="0F7BFBAD" w14:textId="54EC38E6" w:rsidR="005662D6" w:rsidRPr="005662D6" w:rsidRDefault="005662D6" w:rsidP="005662D6">
      <w:pPr>
        <w:pStyle w:val="NoSpacing"/>
        <w:spacing w:line="480" w:lineRule="auto"/>
        <w:rPr>
          <w:rFonts w:ascii="Times New Roman" w:hAnsi="Times New Roman" w:cs="Times New Roman"/>
          <w:lang w:val="en-US"/>
        </w:rPr>
      </w:pPr>
      <w:bookmarkStart w:id="269" w:name="_Hlk110614871"/>
      <w:r w:rsidRPr="005662D6">
        <w:rPr>
          <w:rFonts w:ascii="Times New Roman" w:hAnsi="Times New Roman" w:cs="Times New Roman"/>
          <w:b/>
          <w:bCs/>
          <w:lang w:val="en-US"/>
        </w:rPr>
        <w:t>Figure 6.3</w:t>
      </w:r>
    </w:p>
    <w:p w14:paraId="7DFA7B4B" w14:textId="1F568EBF" w:rsidR="005662D6" w:rsidRPr="005662D6" w:rsidRDefault="005662D6" w:rsidP="005662D6">
      <w:pPr>
        <w:pStyle w:val="NoSpacing"/>
        <w:spacing w:line="480" w:lineRule="auto"/>
        <w:rPr>
          <w:rFonts w:ascii="Times New Roman" w:hAnsi="Times New Roman" w:cs="Times New Roman"/>
          <w:i/>
          <w:iCs/>
          <w:lang w:val="en-US"/>
        </w:rPr>
      </w:pPr>
      <w:r w:rsidRPr="005662D6">
        <w:rPr>
          <w:rFonts w:ascii="Times New Roman" w:hAnsi="Times New Roman" w:cs="Times New Roman"/>
          <w:i/>
          <w:iCs/>
          <w:lang w:val="en-US"/>
        </w:rPr>
        <w:t>Mean response thresholds for alcohol and soft</w:t>
      </w:r>
      <w:r w:rsidR="0067750A">
        <w:rPr>
          <w:rFonts w:ascii="Times New Roman" w:hAnsi="Times New Roman" w:cs="Times New Roman"/>
          <w:i/>
          <w:iCs/>
          <w:lang w:val="en-US"/>
        </w:rPr>
        <w:t xml:space="preserve"> </w:t>
      </w:r>
      <w:r w:rsidRPr="005662D6">
        <w:rPr>
          <w:rFonts w:ascii="Times New Roman" w:hAnsi="Times New Roman" w:cs="Times New Roman"/>
          <w:i/>
          <w:iCs/>
          <w:lang w:val="en-US"/>
        </w:rPr>
        <w:t>drink choices split by heavy drinkers (solid black line; circle) and moderated drinkers (dashed black line; triangle)</w:t>
      </w:r>
    </w:p>
    <w:bookmarkEnd w:id="269"/>
    <w:p w14:paraId="7574676F" w14:textId="585723DD" w:rsidR="005662D6" w:rsidRPr="005662D6" w:rsidRDefault="005662D6" w:rsidP="005662D6">
      <w:pPr>
        <w:pStyle w:val="NoSpacing"/>
        <w:jc w:val="center"/>
      </w:pPr>
      <w:r>
        <w:rPr>
          <w:noProof/>
        </w:rPr>
        <w:lastRenderedPageBreak/>
        <w:drawing>
          <wp:inline distT="0" distB="0" distL="0" distR="0" wp14:anchorId="0B7EC079" wp14:editId="3106A9C1">
            <wp:extent cx="4057650" cy="30539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57650" cy="3053942"/>
                    </a:xfrm>
                    <a:prstGeom prst="rect">
                      <a:avLst/>
                    </a:prstGeom>
                    <a:noFill/>
                  </pic:spPr>
                </pic:pic>
              </a:graphicData>
            </a:graphic>
          </wp:inline>
        </w:drawing>
      </w:r>
    </w:p>
    <w:p w14:paraId="2E07DB8C" w14:textId="608B7146" w:rsidR="005662D6" w:rsidRDefault="005662D6" w:rsidP="005662D6">
      <w:pPr>
        <w:pStyle w:val="NoSpacing"/>
        <w:spacing w:line="480" w:lineRule="auto"/>
        <w:rPr>
          <w:rFonts w:ascii="Times New Roman" w:hAnsi="Times New Roman" w:cs="Times New Roman"/>
        </w:rPr>
      </w:pPr>
      <w:r w:rsidRPr="005662D6">
        <w:rPr>
          <w:rFonts w:ascii="Times New Roman" w:hAnsi="Times New Roman" w:cs="Times New Roman"/>
          <w:i/>
          <w:iCs/>
        </w:rPr>
        <w:t>Note.</w:t>
      </w:r>
      <w:r w:rsidRPr="005662D6">
        <w:rPr>
          <w:rFonts w:ascii="Times New Roman" w:hAnsi="Times New Roman" w:cs="Times New Roman"/>
        </w:rPr>
        <w:t xml:space="preserve"> Error bars represent the standard error of the mean.</w:t>
      </w:r>
    </w:p>
    <w:p w14:paraId="6085828A" w14:textId="77777777" w:rsidR="005662D6" w:rsidRPr="005662D6" w:rsidRDefault="005662D6" w:rsidP="005662D6">
      <w:pPr>
        <w:pStyle w:val="NoSpacing"/>
        <w:spacing w:line="480" w:lineRule="auto"/>
        <w:rPr>
          <w:rFonts w:ascii="Times New Roman" w:hAnsi="Times New Roman" w:cs="Times New Roman"/>
        </w:rPr>
      </w:pPr>
    </w:p>
    <w:p w14:paraId="6396DF12" w14:textId="7C76BF75" w:rsidR="005662D6" w:rsidRDefault="005662D6" w:rsidP="0067750A">
      <w:pPr>
        <w:pStyle w:val="NoSpacing"/>
        <w:spacing w:line="480" w:lineRule="auto"/>
        <w:rPr>
          <w:rFonts w:asciiTheme="majorBidi" w:hAnsiTheme="majorBidi" w:cstheme="majorBidi"/>
        </w:rPr>
      </w:pPr>
      <w:bookmarkStart w:id="270" w:name="_Hlk109200492"/>
      <w:r w:rsidRPr="005662D6">
        <w:rPr>
          <w:rFonts w:asciiTheme="majorBidi" w:hAnsiTheme="majorBidi" w:cstheme="majorBidi"/>
        </w:rPr>
        <w:t>To aid interpretation of the VBDM results presented above</w:t>
      </w:r>
      <w:r w:rsidR="00281E62">
        <w:rPr>
          <w:rFonts w:asciiTheme="majorBidi" w:hAnsiTheme="majorBidi" w:cstheme="majorBidi"/>
        </w:rPr>
        <w:t xml:space="preserve"> (Figures 6.2 and 6.3)</w:t>
      </w:r>
      <w:r w:rsidRPr="005662D6">
        <w:rPr>
          <w:rFonts w:asciiTheme="majorBidi" w:hAnsiTheme="majorBidi" w:cstheme="majorBidi"/>
        </w:rPr>
        <w:t>, we conducted exploratory mixed ANOVAs on EA rates and response thresholds using a within-subject factor of drink type (2: alcohol; soft</w:t>
      </w:r>
      <w:r>
        <w:rPr>
          <w:rFonts w:asciiTheme="majorBidi" w:hAnsiTheme="majorBidi" w:cstheme="majorBidi"/>
        </w:rPr>
        <w:t xml:space="preserve"> </w:t>
      </w:r>
      <w:r w:rsidRPr="005662D6">
        <w:rPr>
          <w:rFonts w:asciiTheme="majorBidi" w:hAnsiTheme="majorBidi" w:cstheme="majorBidi"/>
        </w:rPr>
        <w:t xml:space="preserve">drink), and a between-subject factor of drinker status (2: heavy; moderated). However, in line with our pre-registration, our study was powered specifically to detect differences in means between two independent groups rather than an interaction effect. </w:t>
      </w:r>
      <w:bookmarkStart w:id="271" w:name="_Hlk109231192"/>
      <w:bookmarkEnd w:id="270"/>
      <w:r w:rsidRPr="005662D6">
        <w:rPr>
          <w:rFonts w:asciiTheme="majorBidi" w:hAnsiTheme="majorBidi" w:cstheme="majorBidi"/>
        </w:rPr>
        <w:t>When looking at EA rates, there were no significant main effects of drink type (</w:t>
      </w:r>
      <w:proofErr w:type="gramStart"/>
      <w:r w:rsidRPr="005662D6">
        <w:rPr>
          <w:rFonts w:asciiTheme="majorBidi" w:hAnsiTheme="majorBidi" w:cstheme="majorBidi"/>
          <w:i/>
          <w:iCs/>
        </w:rPr>
        <w:t>F</w:t>
      </w:r>
      <w:r w:rsidRPr="005662D6">
        <w:rPr>
          <w:rFonts w:asciiTheme="majorBidi" w:hAnsiTheme="majorBidi" w:cstheme="majorBidi"/>
        </w:rPr>
        <w:t>(</w:t>
      </w:r>
      <w:proofErr w:type="gramEnd"/>
      <w:r w:rsidRPr="005662D6">
        <w:rPr>
          <w:rFonts w:asciiTheme="majorBidi" w:hAnsiTheme="majorBidi" w:cstheme="majorBidi"/>
        </w:rPr>
        <w:t xml:space="preserve">1, 118) = .91, </w:t>
      </w:r>
      <w:r w:rsidRPr="005662D6">
        <w:rPr>
          <w:rFonts w:asciiTheme="majorBidi" w:hAnsiTheme="majorBidi" w:cstheme="majorBidi"/>
          <w:i/>
          <w:iCs/>
        </w:rPr>
        <w:t>p</w:t>
      </w:r>
      <w:r w:rsidRPr="005662D6">
        <w:rPr>
          <w:rFonts w:asciiTheme="majorBidi" w:hAnsiTheme="majorBidi" w:cstheme="majorBidi"/>
        </w:rPr>
        <w:t xml:space="preserve"> = .34, η</w:t>
      </w:r>
      <w:r w:rsidRPr="005662D6">
        <w:rPr>
          <w:rFonts w:asciiTheme="majorBidi" w:hAnsiTheme="majorBidi" w:cstheme="majorBidi"/>
          <w:vertAlign w:val="subscript"/>
        </w:rPr>
        <w:t>p</w:t>
      </w:r>
      <w:r w:rsidRPr="005662D6">
        <w:rPr>
          <w:rFonts w:asciiTheme="majorBidi" w:hAnsiTheme="majorBidi" w:cstheme="majorBidi"/>
          <w:vertAlign w:val="superscript"/>
        </w:rPr>
        <w:t>2</w:t>
      </w:r>
      <w:r w:rsidRPr="005662D6">
        <w:rPr>
          <w:rFonts w:asciiTheme="majorBidi" w:hAnsiTheme="majorBidi" w:cstheme="majorBidi"/>
        </w:rPr>
        <w:t xml:space="preserve"> = .01) or drinker status (</w:t>
      </w:r>
      <w:r w:rsidRPr="005662D6">
        <w:rPr>
          <w:rFonts w:asciiTheme="majorBidi" w:hAnsiTheme="majorBidi" w:cstheme="majorBidi"/>
          <w:i/>
          <w:iCs/>
        </w:rPr>
        <w:t>F</w:t>
      </w:r>
      <w:r w:rsidRPr="005662D6">
        <w:rPr>
          <w:rFonts w:asciiTheme="majorBidi" w:hAnsiTheme="majorBidi" w:cstheme="majorBidi"/>
        </w:rPr>
        <w:t xml:space="preserve">(1, 118) = .04, </w:t>
      </w:r>
      <w:r w:rsidRPr="005662D6">
        <w:rPr>
          <w:rFonts w:asciiTheme="majorBidi" w:hAnsiTheme="majorBidi" w:cstheme="majorBidi"/>
          <w:i/>
          <w:iCs/>
        </w:rPr>
        <w:t>p</w:t>
      </w:r>
      <w:r w:rsidRPr="005662D6">
        <w:rPr>
          <w:rFonts w:asciiTheme="majorBidi" w:hAnsiTheme="majorBidi" w:cstheme="majorBidi"/>
        </w:rPr>
        <w:t xml:space="preserve"> = .84, </w:t>
      </w:r>
      <w:bookmarkStart w:id="272" w:name="_Hlk103281699"/>
      <w:r w:rsidRPr="005662D6">
        <w:rPr>
          <w:rFonts w:asciiTheme="majorBidi" w:hAnsiTheme="majorBidi" w:cstheme="majorBidi"/>
        </w:rPr>
        <w:t>η</w:t>
      </w:r>
      <w:r w:rsidRPr="005662D6">
        <w:rPr>
          <w:rFonts w:asciiTheme="majorBidi" w:hAnsiTheme="majorBidi" w:cstheme="majorBidi"/>
          <w:vertAlign w:val="subscript"/>
        </w:rPr>
        <w:t>p</w:t>
      </w:r>
      <w:r w:rsidRPr="005662D6">
        <w:rPr>
          <w:rFonts w:asciiTheme="majorBidi" w:hAnsiTheme="majorBidi" w:cstheme="majorBidi"/>
          <w:vertAlign w:val="superscript"/>
        </w:rPr>
        <w:t>2</w:t>
      </w:r>
      <w:bookmarkEnd w:id="272"/>
      <w:r w:rsidRPr="005662D6">
        <w:rPr>
          <w:rFonts w:asciiTheme="majorBidi" w:hAnsiTheme="majorBidi" w:cstheme="majorBidi"/>
        </w:rPr>
        <w:t xml:space="preserve"> = .00), and no interaction (</w:t>
      </w:r>
      <w:r w:rsidRPr="005662D6">
        <w:rPr>
          <w:rFonts w:asciiTheme="majorBidi" w:hAnsiTheme="majorBidi" w:cstheme="majorBidi"/>
          <w:i/>
          <w:iCs/>
        </w:rPr>
        <w:t>F</w:t>
      </w:r>
      <w:r w:rsidRPr="005662D6">
        <w:rPr>
          <w:rFonts w:asciiTheme="majorBidi" w:hAnsiTheme="majorBidi" w:cstheme="majorBidi"/>
        </w:rPr>
        <w:t xml:space="preserve">(1, 118) = .82, </w:t>
      </w:r>
      <w:r w:rsidRPr="005662D6">
        <w:rPr>
          <w:rFonts w:asciiTheme="majorBidi" w:hAnsiTheme="majorBidi" w:cstheme="majorBidi"/>
          <w:i/>
          <w:iCs/>
        </w:rPr>
        <w:t>p</w:t>
      </w:r>
      <w:r w:rsidRPr="005662D6">
        <w:rPr>
          <w:rFonts w:asciiTheme="majorBidi" w:hAnsiTheme="majorBidi" w:cstheme="majorBidi"/>
        </w:rPr>
        <w:t xml:space="preserve"> = .37, η</w:t>
      </w:r>
      <w:r w:rsidRPr="005662D6">
        <w:rPr>
          <w:rFonts w:asciiTheme="majorBidi" w:hAnsiTheme="majorBidi" w:cstheme="majorBidi"/>
          <w:vertAlign w:val="subscript"/>
        </w:rPr>
        <w:t>p</w:t>
      </w:r>
      <w:r w:rsidRPr="005662D6">
        <w:rPr>
          <w:rFonts w:asciiTheme="majorBidi" w:hAnsiTheme="majorBidi" w:cstheme="majorBidi"/>
          <w:vertAlign w:val="superscript"/>
        </w:rPr>
        <w:t>2</w:t>
      </w:r>
      <w:r w:rsidRPr="005662D6">
        <w:rPr>
          <w:rFonts w:asciiTheme="majorBidi" w:hAnsiTheme="majorBidi" w:cstheme="majorBidi"/>
        </w:rPr>
        <w:t xml:space="preserve"> = .01). When looking at response thresholds, there was a significant main effect of drinker status (</w:t>
      </w:r>
      <w:proofErr w:type="gramStart"/>
      <w:r w:rsidRPr="005662D6">
        <w:rPr>
          <w:rFonts w:asciiTheme="majorBidi" w:hAnsiTheme="majorBidi" w:cstheme="majorBidi"/>
          <w:i/>
          <w:iCs/>
        </w:rPr>
        <w:t>F</w:t>
      </w:r>
      <w:r w:rsidRPr="005662D6">
        <w:rPr>
          <w:rFonts w:asciiTheme="majorBidi" w:hAnsiTheme="majorBidi" w:cstheme="majorBidi"/>
        </w:rPr>
        <w:t>(</w:t>
      </w:r>
      <w:proofErr w:type="gramEnd"/>
      <w:r w:rsidRPr="005662D6">
        <w:rPr>
          <w:rFonts w:asciiTheme="majorBidi" w:hAnsiTheme="majorBidi" w:cstheme="majorBidi"/>
        </w:rPr>
        <w:t xml:space="preserve">1,118) = 4.68, </w:t>
      </w:r>
      <w:r w:rsidRPr="005662D6">
        <w:rPr>
          <w:rFonts w:asciiTheme="majorBidi" w:hAnsiTheme="majorBidi" w:cstheme="majorBidi"/>
          <w:i/>
          <w:iCs/>
        </w:rPr>
        <w:t>p</w:t>
      </w:r>
      <w:r w:rsidRPr="005662D6">
        <w:rPr>
          <w:rFonts w:asciiTheme="majorBidi" w:hAnsiTheme="majorBidi" w:cstheme="majorBidi"/>
        </w:rPr>
        <w:t xml:space="preserve"> = .03, η</w:t>
      </w:r>
      <w:r w:rsidRPr="005662D6">
        <w:rPr>
          <w:rFonts w:asciiTheme="majorBidi" w:hAnsiTheme="majorBidi" w:cstheme="majorBidi"/>
          <w:vertAlign w:val="subscript"/>
        </w:rPr>
        <w:t>p</w:t>
      </w:r>
      <w:r w:rsidRPr="005662D6">
        <w:rPr>
          <w:rFonts w:asciiTheme="majorBidi" w:hAnsiTheme="majorBidi" w:cstheme="majorBidi"/>
          <w:vertAlign w:val="superscript"/>
        </w:rPr>
        <w:t>2</w:t>
      </w:r>
      <w:r w:rsidRPr="005662D6">
        <w:rPr>
          <w:rFonts w:asciiTheme="majorBidi" w:hAnsiTheme="majorBidi" w:cstheme="majorBidi"/>
        </w:rPr>
        <w:t xml:space="preserve"> = .04). There was however no significant main effect of drink type (</w:t>
      </w:r>
      <w:proofErr w:type="gramStart"/>
      <w:r w:rsidRPr="005662D6">
        <w:rPr>
          <w:rFonts w:asciiTheme="majorBidi" w:hAnsiTheme="majorBidi" w:cstheme="majorBidi"/>
          <w:i/>
          <w:iCs/>
        </w:rPr>
        <w:t>F</w:t>
      </w:r>
      <w:r w:rsidRPr="005662D6">
        <w:rPr>
          <w:rFonts w:asciiTheme="majorBidi" w:hAnsiTheme="majorBidi" w:cstheme="majorBidi"/>
        </w:rPr>
        <w:t>(</w:t>
      </w:r>
      <w:proofErr w:type="gramEnd"/>
      <w:r w:rsidRPr="005662D6">
        <w:rPr>
          <w:rFonts w:asciiTheme="majorBidi" w:hAnsiTheme="majorBidi" w:cstheme="majorBidi"/>
        </w:rPr>
        <w:t xml:space="preserve">1, 118) = .42, </w:t>
      </w:r>
      <w:r w:rsidRPr="005662D6">
        <w:rPr>
          <w:rFonts w:asciiTheme="majorBidi" w:hAnsiTheme="majorBidi" w:cstheme="majorBidi"/>
          <w:i/>
          <w:iCs/>
        </w:rPr>
        <w:t>p</w:t>
      </w:r>
      <w:r w:rsidRPr="005662D6">
        <w:rPr>
          <w:rFonts w:asciiTheme="majorBidi" w:hAnsiTheme="majorBidi" w:cstheme="majorBidi"/>
        </w:rPr>
        <w:t xml:space="preserve"> = .52, η</w:t>
      </w:r>
      <w:r w:rsidRPr="005662D6">
        <w:rPr>
          <w:rFonts w:asciiTheme="majorBidi" w:hAnsiTheme="majorBidi" w:cstheme="majorBidi"/>
          <w:vertAlign w:val="subscript"/>
        </w:rPr>
        <w:t>p</w:t>
      </w:r>
      <w:r w:rsidRPr="005662D6">
        <w:rPr>
          <w:rFonts w:asciiTheme="majorBidi" w:hAnsiTheme="majorBidi" w:cstheme="majorBidi"/>
          <w:vertAlign w:val="superscript"/>
        </w:rPr>
        <w:t>2</w:t>
      </w:r>
      <w:r w:rsidRPr="005662D6">
        <w:rPr>
          <w:rFonts w:asciiTheme="majorBidi" w:hAnsiTheme="majorBidi" w:cstheme="majorBidi"/>
        </w:rPr>
        <w:t xml:space="preserve"> = .00) and no interaction (</w:t>
      </w:r>
      <w:r w:rsidRPr="005662D6">
        <w:rPr>
          <w:rFonts w:asciiTheme="majorBidi" w:hAnsiTheme="majorBidi" w:cstheme="majorBidi"/>
          <w:i/>
          <w:iCs/>
        </w:rPr>
        <w:t>F</w:t>
      </w:r>
      <w:r w:rsidRPr="005662D6">
        <w:rPr>
          <w:rFonts w:asciiTheme="majorBidi" w:hAnsiTheme="majorBidi" w:cstheme="majorBidi"/>
        </w:rPr>
        <w:t xml:space="preserve">(1,118) = .30, </w:t>
      </w:r>
      <w:r w:rsidRPr="005662D6">
        <w:rPr>
          <w:rFonts w:asciiTheme="majorBidi" w:hAnsiTheme="majorBidi" w:cstheme="majorBidi"/>
          <w:i/>
          <w:iCs/>
        </w:rPr>
        <w:t xml:space="preserve">p </w:t>
      </w:r>
      <w:r w:rsidRPr="005662D6">
        <w:rPr>
          <w:rFonts w:asciiTheme="majorBidi" w:hAnsiTheme="majorBidi" w:cstheme="majorBidi"/>
        </w:rPr>
        <w:t>= .58, η</w:t>
      </w:r>
      <w:r w:rsidRPr="005662D6">
        <w:rPr>
          <w:rFonts w:asciiTheme="majorBidi" w:hAnsiTheme="majorBidi" w:cstheme="majorBidi"/>
          <w:vertAlign w:val="subscript"/>
        </w:rPr>
        <w:t>p</w:t>
      </w:r>
      <w:r w:rsidRPr="005662D6">
        <w:rPr>
          <w:rFonts w:asciiTheme="majorBidi" w:hAnsiTheme="majorBidi" w:cstheme="majorBidi"/>
          <w:vertAlign w:val="superscript"/>
        </w:rPr>
        <w:t>2</w:t>
      </w:r>
      <w:r w:rsidRPr="005662D6">
        <w:rPr>
          <w:rFonts w:asciiTheme="majorBidi" w:hAnsiTheme="majorBidi" w:cstheme="majorBidi"/>
        </w:rPr>
        <w:t xml:space="preserve"> = .00). Post-hoc tests for the significant main effect of drinker status revealed that, collapsed across alcohol and soft</w:t>
      </w:r>
      <w:r w:rsidR="0067750A">
        <w:rPr>
          <w:rFonts w:asciiTheme="majorBidi" w:hAnsiTheme="majorBidi" w:cstheme="majorBidi"/>
        </w:rPr>
        <w:t xml:space="preserve"> </w:t>
      </w:r>
      <w:r w:rsidRPr="005662D6">
        <w:rPr>
          <w:rFonts w:asciiTheme="majorBidi" w:hAnsiTheme="majorBidi" w:cstheme="majorBidi"/>
        </w:rPr>
        <w:t xml:space="preserve">drink images, response thresholds were higher in heavy drinkers (M = 1.66, SD = .29) compared to moderated drinkers (M = 1.55, SD = .31; </w:t>
      </w:r>
      <w:r w:rsidRPr="005662D6">
        <w:rPr>
          <w:rFonts w:asciiTheme="majorBidi" w:hAnsiTheme="majorBidi" w:cstheme="majorBidi"/>
          <w:i/>
          <w:iCs/>
        </w:rPr>
        <w:t>p</w:t>
      </w:r>
      <w:r w:rsidRPr="005662D6">
        <w:rPr>
          <w:rFonts w:asciiTheme="majorBidi" w:hAnsiTheme="majorBidi" w:cstheme="majorBidi"/>
        </w:rPr>
        <w:t xml:space="preserve"> = .03). This analysis demonstrates that there was a main effect of drinker status which was not robustly moderated by drink type.</w:t>
      </w:r>
      <w:bookmarkEnd w:id="271"/>
    </w:p>
    <w:p w14:paraId="7E3B1895" w14:textId="77777777" w:rsidR="005662D6" w:rsidRDefault="005662D6" w:rsidP="005662D6">
      <w:pPr>
        <w:pStyle w:val="NoSpacing"/>
        <w:spacing w:line="480" w:lineRule="auto"/>
        <w:rPr>
          <w:rFonts w:asciiTheme="majorBidi" w:hAnsiTheme="majorBidi" w:cstheme="majorBidi"/>
        </w:rPr>
      </w:pPr>
    </w:p>
    <w:p w14:paraId="68C68D56" w14:textId="2E9B5B98" w:rsidR="008A10EC" w:rsidRDefault="005662D6" w:rsidP="005662D6">
      <w:pPr>
        <w:pStyle w:val="NoSpacing"/>
        <w:spacing w:line="480" w:lineRule="auto"/>
        <w:rPr>
          <w:rFonts w:ascii="Times New Roman" w:hAnsi="Times New Roman" w:cs="Times New Roman"/>
        </w:rPr>
      </w:pPr>
      <w:r w:rsidRPr="005662D6">
        <w:rPr>
          <w:rFonts w:ascii="Times New Roman" w:hAnsi="Times New Roman" w:cs="Times New Roman"/>
          <w:i/>
          <w:iCs/>
        </w:rPr>
        <w:t>Hypotheses 3 and 4:</w:t>
      </w:r>
      <w:r w:rsidRPr="005662D6">
        <w:rPr>
          <w:rFonts w:ascii="Times New Roman" w:hAnsi="Times New Roman" w:cs="Times New Roman"/>
        </w:rPr>
        <w:t xml:space="preserve"> Compared to heavy drinkers, moderated drinkers will have lower behavioural economic alcohol demand and greater proportional alcohol-free reinforcement.</w:t>
      </w:r>
    </w:p>
    <w:p w14:paraId="19159696" w14:textId="77777777" w:rsidR="005662D6" w:rsidRPr="005662D6" w:rsidRDefault="005662D6" w:rsidP="005662D6">
      <w:pPr>
        <w:pStyle w:val="NoSpacing"/>
        <w:spacing w:line="480" w:lineRule="auto"/>
        <w:rPr>
          <w:rFonts w:ascii="Times New Roman" w:hAnsi="Times New Roman" w:cs="Times New Roman"/>
        </w:rPr>
      </w:pPr>
    </w:p>
    <w:p w14:paraId="5321CD8A" w14:textId="6F8402B3" w:rsidR="008A10EC" w:rsidRDefault="005E4A4D" w:rsidP="005662D6">
      <w:pPr>
        <w:pStyle w:val="NoSpacing"/>
        <w:spacing w:line="480" w:lineRule="auto"/>
        <w:rPr>
          <w:rFonts w:ascii="Times New Roman" w:hAnsi="Times New Roman" w:cs="Times New Roman"/>
        </w:rPr>
      </w:pPr>
      <w:r w:rsidRPr="005E4A4D">
        <w:rPr>
          <w:rFonts w:ascii="Times New Roman" w:hAnsi="Times New Roman" w:cs="Times New Roman"/>
          <w:lang w:val="en-US"/>
        </w:rPr>
        <w:t xml:space="preserve">Compared to heavy drinkers, moderated drinkers had significantly lower </w:t>
      </w:r>
      <w:proofErr w:type="spellStart"/>
      <w:r w:rsidRPr="005E4A4D">
        <w:rPr>
          <w:rFonts w:ascii="Times New Roman" w:hAnsi="Times New Roman" w:cs="Times New Roman"/>
          <w:lang w:val="en-US"/>
        </w:rPr>
        <w:t>O</w:t>
      </w:r>
      <w:r w:rsidRPr="005E4A4D">
        <w:rPr>
          <w:rFonts w:ascii="Times New Roman" w:hAnsi="Times New Roman" w:cs="Times New Roman"/>
          <w:vertAlign w:val="subscript"/>
          <w:lang w:val="en-US"/>
        </w:rPr>
        <w:t>max</w:t>
      </w:r>
      <w:proofErr w:type="spellEnd"/>
      <w:r w:rsidRPr="005E4A4D">
        <w:rPr>
          <w:rFonts w:ascii="Times New Roman" w:hAnsi="Times New Roman" w:cs="Times New Roman"/>
          <w:lang w:val="en-US"/>
        </w:rPr>
        <w:t xml:space="preserve"> (</w:t>
      </w:r>
      <w:proofErr w:type="gramStart"/>
      <w:r w:rsidRPr="005E4A4D">
        <w:rPr>
          <w:rFonts w:ascii="Times New Roman" w:hAnsi="Times New Roman" w:cs="Times New Roman"/>
          <w:i/>
          <w:iCs/>
          <w:lang w:val="en-US"/>
        </w:rPr>
        <w:t>t</w:t>
      </w:r>
      <w:r w:rsidRPr="005E4A4D">
        <w:rPr>
          <w:rFonts w:ascii="Times New Roman" w:hAnsi="Times New Roman" w:cs="Times New Roman"/>
          <w:lang w:val="en-US"/>
        </w:rPr>
        <w:t>(</w:t>
      </w:r>
      <w:proofErr w:type="gramEnd"/>
      <w:r w:rsidRPr="005E4A4D">
        <w:rPr>
          <w:rFonts w:ascii="Times New Roman" w:hAnsi="Times New Roman" w:cs="Times New Roman"/>
          <w:lang w:val="en-US"/>
        </w:rPr>
        <w:t xml:space="preserve">112) = 1.93, </w:t>
      </w:r>
      <w:r w:rsidRPr="005E4A4D">
        <w:rPr>
          <w:rFonts w:ascii="Times New Roman" w:hAnsi="Times New Roman" w:cs="Times New Roman"/>
          <w:i/>
          <w:iCs/>
          <w:lang w:val="en-US"/>
        </w:rPr>
        <w:t>p</w:t>
      </w:r>
      <w:r w:rsidRPr="005E4A4D">
        <w:rPr>
          <w:rFonts w:ascii="Times New Roman" w:hAnsi="Times New Roman" w:cs="Times New Roman"/>
          <w:lang w:val="en-US"/>
        </w:rPr>
        <w:t xml:space="preserve"> = .03, </w:t>
      </w:r>
      <w:r w:rsidRPr="005E4A4D">
        <w:rPr>
          <w:rFonts w:ascii="Times New Roman" w:hAnsi="Times New Roman" w:cs="Times New Roman"/>
          <w:i/>
          <w:iCs/>
          <w:lang w:val="en-US"/>
        </w:rPr>
        <w:t xml:space="preserve">d </w:t>
      </w:r>
      <w:r w:rsidRPr="005E4A4D">
        <w:rPr>
          <w:rFonts w:ascii="Times New Roman" w:hAnsi="Times New Roman" w:cs="Times New Roman"/>
          <w:lang w:val="en-US"/>
        </w:rPr>
        <w:t xml:space="preserve">= .36) and higher elasticity (W = 1278, </w:t>
      </w:r>
      <w:r w:rsidRPr="005E4A4D">
        <w:rPr>
          <w:rFonts w:ascii="Times New Roman" w:hAnsi="Times New Roman" w:cs="Times New Roman"/>
          <w:i/>
          <w:iCs/>
          <w:lang w:val="en-US"/>
        </w:rPr>
        <w:t>p</w:t>
      </w:r>
      <w:r w:rsidRPr="005E4A4D">
        <w:rPr>
          <w:rFonts w:ascii="Times New Roman" w:hAnsi="Times New Roman" w:cs="Times New Roman"/>
          <w:lang w:val="en-US"/>
        </w:rPr>
        <w:t xml:space="preserve"> = .03, </w:t>
      </w:r>
      <w:bookmarkStart w:id="273" w:name="_Hlk95244150"/>
      <w:r w:rsidRPr="005E4A4D">
        <w:rPr>
          <w:rFonts w:ascii="Times New Roman" w:hAnsi="Times New Roman" w:cs="Times New Roman"/>
          <w:lang w:val="en-US"/>
        </w:rPr>
        <w:t>rank-biserial correlation (</w:t>
      </w:r>
      <w:proofErr w:type="spellStart"/>
      <w:r w:rsidRPr="005E4A4D">
        <w:rPr>
          <w:rFonts w:ascii="Times New Roman" w:hAnsi="Times New Roman" w:cs="Times New Roman"/>
          <w:i/>
          <w:iCs/>
        </w:rPr>
        <w:t>r</w:t>
      </w:r>
      <w:r w:rsidRPr="005E4A4D">
        <w:rPr>
          <w:rFonts w:ascii="Times New Roman" w:hAnsi="Times New Roman" w:cs="Times New Roman"/>
          <w:vertAlign w:val="subscript"/>
        </w:rPr>
        <w:t>rb</w:t>
      </w:r>
      <w:proofErr w:type="spellEnd"/>
      <w:r w:rsidRPr="005E4A4D">
        <w:rPr>
          <w:rFonts w:ascii="Times New Roman" w:hAnsi="Times New Roman" w:cs="Times New Roman"/>
          <w:lang w:val="en-US"/>
        </w:rPr>
        <w:t xml:space="preserve">) </w:t>
      </w:r>
      <w:bookmarkEnd w:id="273"/>
      <w:r w:rsidRPr="005E4A4D">
        <w:rPr>
          <w:rFonts w:ascii="Times New Roman" w:hAnsi="Times New Roman" w:cs="Times New Roman"/>
          <w:lang w:val="en-US"/>
        </w:rPr>
        <w:t>= .21). Moderated drinkers also had lower intensity, however this difference was not statistically significant (</w:t>
      </w:r>
      <w:proofErr w:type="gramStart"/>
      <w:r w:rsidRPr="005E4A4D">
        <w:rPr>
          <w:rFonts w:ascii="Times New Roman" w:hAnsi="Times New Roman" w:cs="Times New Roman"/>
          <w:i/>
          <w:iCs/>
          <w:lang w:val="en-US"/>
        </w:rPr>
        <w:t>t</w:t>
      </w:r>
      <w:r w:rsidRPr="005E4A4D">
        <w:rPr>
          <w:rFonts w:ascii="Times New Roman" w:hAnsi="Times New Roman" w:cs="Times New Roman"/>
          <w:lang w:val="en-US"/>
        </w:rPr>
        <w:t>(</w:t>
      </w:r>
      <w:proofErr w:type="gramEnd"/>
      <w:r w:rsidRPr="005E4A4D">
        <w:rPr>
          <w:rFonts w:ascii="Times New Roman" w:hAnsi="Times New Roman" w:cs="Times New Roman"/>
          <w:lang w:val="en-US"/>
        </w:rPr>
        <w:t xml:space="preserve">112) = 1.55, </w:t>
      </w:r>
      <w:r w:rsidRPr="005E4A4D">
        <w:rPr>
          <w:rFonts w:ascii="Times New Roman" w:hAnsi="Times New Roman" w:cs="Times New Roman"/>
          <w:i/>
          <w:iCs/>
          <w:lang w:val="en-US"/>
        </w:rPr>
        <w:t>p</w:t>
      </w:r>
      <w:r w:rsidRPr="005E4A4D">
        <w:rPr>
          <w:rFonts w:ascii="Times New Roman" w:hAnsi="Times New Roman" w:cs="Times New Roman"/>
          <w:lang w:val="en-US"/>
        </w:rPr>
        <w:t xml:space="preserve"> = .06, </w:t>
      </w:r>
      <w:r w:rsidRPr="005E4A4D">
        <w:rPr>
          <w:rFonts w:ascii="Times New Roman" w:hAnsi="Times New Roman" w:cs="Times New Roman"/>
          <w:i/>
          <w:iCs/>
          <w:lang w:val="en-US"/>
        </w:rPr>
        <w:t>d</w:t>
      </w:r>
      <w:r w:rsidRPr="005E4A4D">
        <w:rPr>
          <w:rFonts w:ascii="Times New Roman" w:hAnsi="Times New Roman" w:cs="Times New Roman"/>
          <w:lang w:val="en-US"/>
        </w:rPr>
        <w:t xml:space="preserve"> = .29). Moderated drinkers did not have lower P</w:t>
      </w:r>
      <w:r w:rsidRPr="005E4A4D">
        <w:rPr>
          <w:rFonts w:ascii="Times New Roman" w:hAnsi="Times New Roman" w:cs="Times New Roman"/>
          <w:vertAlign w:val="subscript"/>
          <w:lang w:val="en-US"/>
        </w:rPr>
        <w:t>max</w:t>
      </w:r>
      <w:r w:rsidRPr="005E4A4D">
        <w:rPr>
          <w:rFonts w:ascii="Times New Roman" w:hAnsi="Times New Roman" w:cs="Times New Roman"/>
          <w:lang w:val="en-US"/>
        </w:rPr>
        <w:t xml:space="preserve"> (</w:t>
      </w:r>
      <w:proofErr w:type="gramStart"/>
      <w:r w:rsidRPr="005E4A4D">
        <w:rPr>
          <w:rFonts w:ascii="Times New Roman" w:hAnsi="Times New Roman" w:cs="Times New Roman"/>
          <w:i/>
          <w:iCs/>
          <w:lang w:val="en-US"/>
        </w:rPr>
        <w:t>t</w:t>
      </w:r>
      <w:r w:rsidRPr="005E4A4D">
        <w:rPr>
          <w:rFonts w:ascii="Times New Roman" w:hAnsi="Times New Roman" w:cs="Times New Roman"/>
          <w:lang w:val="en-US"/>
        </w:rPr>
        <w:t>(</w:t>
      </w:r>
      <w:proofErr w:type="gramEnd"/>
      <w:r w:rsidRPr="005E4A4D">
        <w:rPr>
          <w:rFonts w:ascii="Times New Roman" w:hAnsi="Times New Roman" w:cs="Times New Roman"/>
          <w:lang w:val="en-US"/>
        </w:rPr>
        <w:t xml:space="preserve">112) = .58, </w:t>
      </w:r>
      <w:r w:rsidRPr="005E4A4D">
        <w:rPr>
          <w:rFonts w:ascii="Times New Roman" w:hAnsi="Times New Roman" w:cs="Times New Roman"/>
          <w:i/>
          <w:iCs/>
          <w:lang w:val="en-US"/>
        </w:rPr>
        <w:t>p</w:t>
      </w:r>
      <w:r w:rsidRPr="005E4A4D">
        <w:rPr>
          <w:rFonts w:ascii="Times New Roman" w:hAnsi="Times New Roman" w:cs="Times New Roman"/>
          <w:lang w:val="en-US"/>
        </w:rPr>
        <w:t xml:space="preserve"> = .72, </w:t>
      </w:r>
      <w:r w:rsidRPr="005E4A4D">
        <w:rPr>
          <w:rFonts w:ascii="Times New Roman" w:hAnsi="Times New Roman" w:cs="Times New Roman"/>
          <w:i/>
          <w:iCs/>
          <w:lang w:val="en-US"/>
        </w:rPr>
        <w:t xml:space="preserve">d </w:t>
      </w:r>
      <w:r w:rsidRPr="005E4A4D">
        <w:rPr>
          <w:rFonts w:ascii="Times New Roman" w:hAnsi="Times New Roman" w:cs="Times New Roman"/>
          <w:lang w:val="en-US"/>
        </w:rPr>
        <w:t>= .11) or breakpoint (</w:t>
      </w:r>
      <w:r w:rsidRPr="005E4A4D">
        <w:rPr>
          <w:rFonts w:ascii="Times New Roman" w:hAnsi="Times New Roman" w:cs="Times New Roman"/>
          <w:i/>
          <w:iCs/>
          <w:lang w:val="en-US"/>
        </w:rPr>
        <w:t>t</w:t>
      </w:r>
      <w:r w:rsidRPr="005E4A4D">
        <w:rPr>
          <w:rFonts w:ascii="Times New Roman" w:hAnsi="Times New Roman" w:cs="Times New Roman"/>
          <w:lang w:val="en-US"/>
        </w:rPr>
        <w:t xml:space="preserve">(112) = .18, </w:t>
      </w:r>
      <w:r w:rsidRPr="005E4A4D">
        <w:rPr>
          <w:rFonts w:ascii="Times New Roman" w:hAnsi="Times New Roman" w:cs="Times New Roman"/>
          <w:i/>
          <w:iCs/>
          <w:lang w:val="en-US"/>
        </w:rPr>
        <w:t>p</w:t>
      </w:r>
      <w:r w:rsidRPr="005E4A4D">
        <w:rPr>
          <w:rFonts w:ascii="Times New Roman" w:hAnsi="Times New Roman" w:cs="Times New Roman"/>
          <w:lang w:val="en-US"/>
        </w:rPr>
        <w:t xml:space="preserve"> = .43, </w:t>
      </w:r>
      <w:r w:rsidRPr="005E4A4D">
        <w:rPr>
          <w:rFonts w:ascii="Times New Roman" w:hAnsi="Times New Roman" w:cs="Times New Roman"/>
          <w:i/>
          <w:iCs/>
          <w:lang w:val="en-US"/>
        </w:rPr>
        <w:t>d</w:t>
      </w:r>
      <w:r w:rsidRPr="005E4A4D">
        <w:rPr>
          <w:rFonts w:ascii="Times New Roman" w:hAnsi="Times New Roman" w:cs="Times New Roman"/>
          <w:lang w:val="en-US"/>
        </w:rPr>
        <w:t xml:space="preserve"> = .03). See Table </w:t>
      </w:r>
      <w:r>
        <w:rPr>
          <w:rFonts w:ascii="Times New Roman" w:hAnsi="Times New Roman" w:cs="Times New Roman"/>
          <w:lang w:val="en-US"/>
        </w:rPr>
        <w:t>6.</w:t>
      </w:r>
      <w:r w:rsidRPr="005E4A4D">
        <w:rPr>
          <w:rFonts w:ascii="Times New Roman" w:hAnsi="Times New Roman" w:cs="Times New Roman"/>
          <w:lang w:val="en-US"/>
        </w:rPr>
        <w:t>2 for APT descriptive statistics</w:t>
      </w:r>
      <w:r w:rsidR="005662D6">
        <w:rPr>
          <w:rFonts w:ascii="Times New Roman" w:hAnsi="Times New Roman" w:cs="Times New Roman"/>
          <w:lang w:val="en-US"/>
        </w:rPr>
        <w:t xml:space="preserve"> (Figure 6.4)</w:t>
      </w:r>
      <w:r w:rsidRPr="005E4A4D">
        <w:rPr>
          <w:rFonts w:ascii="Times New Roman" w:hAnsi="Times New Roman" w:cs="Times New Roman"/>
          <w:lang w:val="en-US"/>
        </w:rPr>
        <w:t xml:space="preserve">. </w:t>
      </w:r>
      <w:r w:rsidR="005662D6" w:rsidRPr="005662D6">
        <w:rPr>
          <w:rFonts w:ascii="Times New Roman" w:hAnsi="Times New Roman" w:cs="Times New Roman"/>
        </w:rPr>
        <w:t xml:space="preserve">Moderated drinkers (M = .76, SD = .15) had significantly higher proportionate reinforcement from alcohol-free activities compared to heavy drinkers (M = .65, SD = .14; </w:t>
      </w:r>
      <w:proofErr w:type="gramStart"/>
      <w:r w:rsidR="005662D6" w:rsidRPr="005662D6">
        <w:rPr>
          <w:rFonts w:ascii="Times New Roman" w:hAnsi="Times New Roman" w:cs="Times New Roman"/>
          <w:i/>
          <w:iCs/>
        </w:rPr>
        <w:t>t</w:t>
      </w:r>
      <w:r w:rsidR="005662D6" w:rsidRPr="005662D6">
        <w:rPr>
          <w:rFonts w:ascii="Times New Roman" w:hAnsi="Times New Roman" w:cs="Times New Roman"/>
        </w:rPr>
        <w:t>(</w:t>
      </w:r>
      <w:proofErr w:type="gramEnd"/>
      <w:r w:rsidR="005662D6" w:rsidRPr="005662D6">
        <w:rPr>
          <w:rFonts w:ascii="Times New Roman" w:hAnsi="Times New Roman" w:cs="Times New Roman"/>
        </w:rPr>
        <w:t xml:space="preserve">106) = -3.90, </w:t>
      </w:r>
      <w:r w:rsidR="005662D6" w:rsidRPr="005662D6">
        <w:rPr>
          <w:rFonts w:ascii="Times New Roman" w:hAnsi="Times New Roman" w:cs="Times New Roman"/>
          <w:i/>
          <w:iCs/>
        </w:rPr>
        <w:t>p</w:t>
      </w:r>
      <w:r w:rsidR="005662D6" w:rsidRPr="005662D6">
        <w:rPr>
          <w:rFonts w:ascii="Times New Roman" w:hAnsi="Times New Roman" w:cs="Times New Roman"/>
        </w:rPr>
        <w:t xml:space="preserve"> &lt; .001, </w:t>
      </w:r>
      <w:r w:rsidR="005662D6" w:rsidRPr="005662D6">
        <w:rPr>
          <w:rFonts w:ascii="Times New Roman" w:hAnsi="Times New Roman" w:cs="Times New Roman"/>
          <w:i/>
          <w:iCs/>
        </w:rPr>
        <w:t>d</w:t>
      </w:r>
      <w:r w:rsidR="005662D6" w:rsidRPr="005662D6">
        <w:rPr>
          <w:rFonts w:ascii="Times New Roman" w:hAnsi="Times New Roman" w:cs="Times New Roman"/>
        </w:rPr>
        <w:t xml:space="preserve"> = .75). </w:t>
      </w:r>
    </w:p>
    <w:p w14:paraId="36688FB4" w14:textId="77777777" w:rsidR="005662D6" w:rsidRPr="005662D6" w:rsidRDefault="005662D6" w:rsidP="005662D6">
      <w:pPr>
        <w:pStyle w:val="NoSpacing"/>
        <w:spacing w:line="480" w:lineRule="auto"/>
        <w:rPr>
          <w:rFonts w:ascii="Times New Roman" w:hAnsi="Times New Roman" w:cs="Times New Roman"/>
        </w:rPr>
      </w:pPr>
    </w:p>
    <w:p w14:paraId="49EAC336" w14:textId="4392949B" w:rsidR="007337CC" w:rsidRDefault="007337CC" w:rsidP="007337CC">
      <w:pPr>
        <w:pStyle w:val="NoSpacing"/>
        <w:spacing w:line="480" w:lineRule="auto"/>
        <w:rPr>
          <w:rFonts w:ascii="Times New Roman" w:hAnsi="Times New Roman" w:cs="Times New Roman"/>
          <w:lang w:val="en-US"/>
        </w:rPr>
      </w:pPr>
      <w:bookmarkStart w:id="274" w:name="_Hlk110614881"/>
      <w:r w:rsidRPr="007337CC">
        <w:rPr>
          <w:rFonts w:ascii="Times New Roman" w:hAnsi="Times New Roman" w:cs="Times New Roman"/>
          <w:b/>
          <w:bCs/>
          <w:lang w:val="en-US"/>
        </w:rPr>
        <w:t xml:space="preserve">Table </w:t>
      </w:r>
      <w:r>
        <w:rPr>
          <w:rFonts w:ascii="Times New Roman" w:hAnsi="Times New Roman" w:cs="Times New Roman"/>
          <w:b/>
          <w:bCs/>
          <w:lang w:val="en-US"/>
        </w:rPr>
        <w:t>6.</w:t>
      </w:r>
      <w:r w:rsidRPr="007337CC">
        <w:rPr>
          <w:rFonts w:ascii="Times New Roman" w:hAnsi="Times New Roman" w:cs="Times New Roman"/>
          <w:b/>
          <w:bCs/>
          <w:lang w:val="en-US"/>
        </w:rPr>
        <w:t>2</w:t>
      </w:r>
    </w:p>
    <w:p w14:paraId="1B373711" w14:textId="4E4FCADA" w:rsidR="007337CC" w:rsidRPr="007337CC" w:rsidRDefault="007337CC" w:rsidP="007337CC">
      <w:pPr>
        <w:pStyle w:val="NoSpacing"/>
        <w:spacing w:line="480" w:lineRule="auto"/>
        <w:rPr>
          <w:rFonts w:ascii="Times New Roman" w:hAnsi="Times New Roman" w:cs="Times New Roman"/>
          <w:i/>
          <w:iCs/>
          <w:lang w:val="en-US"/>
        </w:rPr>
      </w:pPr>
      <w:r w:rsidRPr="007337CC">
        <w:rPr>
          <w:rFonts w:ascii="Times New Roman" w:hAnsi="Times New Roman" w:cs="Times New Roman"/>
          <w:i/>
          <w:iCs/>
          <w:lang w:val="en-US"/>
        </w:rPr>
        <w:t>Descriptive statistics for the APT split by drinker status (values are means and standard deviations, however for elasticity values represent the median and interquartile range)</w:t>
      </w:r>
    </w:p>
    <w:bookmarkEnd w:id="274"/>
    <w:tbl>
      <w:tblPr>
        <w:tblW w:w="9115" w:type="dxa"/>
        <w:tblLook w:val="04A0" w:firstRow="1" w:lastRow="0" w:firstColumn="1" w:lastColumn="0" w:noHBand="0" w:noVBand="1"/>
      </w:tblPr>
      <w:tblGrid>
        <w:gridCol w:w="3038"/>
        <w:gridCol w:w="3038"/>
        <w:gridCol w:w="3039"/>
      </w:tblGrid>
      <w:tr w:rsidR="007337CC" w:rsidRPr="007337CC" w14:paraId="68B803E8" w14:textId="77777777" w:rsidTr="002A1E63">
        <w:trPr>
          <w:trHeight w:val="632"/>
        </w:trPr>
        <w:tc>
          <w:tcPr>
            <w:tcW w:w="3038" w:type="dxa"/>
            <w:tcBorders>
              <w:top w:val="single" w:sz="18" w:space="0" w:color="000000"/>
              <w:bottom w:val="single" w:sz="4" w:space="0" w:color="000000"/>
            </w:tcBorders>
          </w:tcPr>
          <w:p w14:paraId="00AEB5AB" w14:textId="77777777" w:rsidR="007337CC" w:rsidRPr="007337CC" w:rsidRDefault="007337CC" w:rsidP="007337CC">
            <w:pPr>
              <w:pStyle w:val="NoSpacing"/>
              <w:rPr>
                <w:rFonts w:ascii="Times New Roman" w:hAnsi="Times New Roman" w:cs="Times New Roman"/>
                <w:lang w:val="en-US"/>
              </w:rPr>
            </w:pPr>
          </w:p>
        </w:tc>
        <w:tc>
          <w:tcPr>
            <w:tcW w:w="3038" w:type="dxa"/>
            <w:tcBorders>
              <w:top w:val="single" w:sz="18" w:space="0" w:color="000000"/>
              <w:bottom w:val="single" w:sz="4" w:space="0" w:color="000000"/>
            </w:tcBorders>
          </w:tcPr>
          <w:p w14:paraId="497C1DE3"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Heavy drinkers (</w:t>
            </w:r>
            <w:r w:rsidRPr="007337CC">
              <w:rPr>
                <w:rFonts w:ascii="Times New Roman" w:hAnsi="Times New Roman" w:cs="Times New Roman"/>
                <w:i/>
                <w:iCs/>
                <w:lang w:val="en-US"/>
              </w:rPr>
              <w:t>n</w:t>
            </w:r>
            <w:r w:rsidRPr="007337CC">
              <w:rPr>
                <w:rFonts w:ascii="Times New Roman" w:hAnsi="Times New Roman" w:cs="Times New Roman"/>
                <w:lang w:val="en-US"/>
              </w:rPr>
              <w:t xml:space="preserve"> = 56)</w:t>
            </w:r>
          </w:p>
        </w:tc>
        <w:tc>
          <w:tcPr>
            <w:tcW w:w="3039" w:type="dxa"/>
            <w:tcBorders>
              <w:top w:val="single" w:sz="18" w:space="0" w:color="000000"/>
              <w:bottom w:val="single" w:sz="4" w:space="0" w:color="000000"/>
            </w:tcBorders>
          </w:tcPr>
          <w:p w14:paraId="39937338"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Moderated drinkers (</w:t>
            </w:r>
            <w:r w:rsidRPr="007337CC">
              <w:rPr>
                <w:rFonts w:ascii="Times New Roman" w:hAnsi="Times New Roman" w:cs="Times New Roman"/>
                <w:i/>
                <w:iCs/>
                <w:lang w:val="en-US"/>
              </w:rPr>
              <w:t>n</w:t>
            </w:r>
            <w:r w:rsidRPr="007337CC">
              <w:rPr>
                <w:rFonts w:ascii="Times New Roman" w:hAnsi="Times New Roman" w:cs="Times New Roman"/>
                <w:lang w:val="en-US"/>
              </w:rPr>
              <w:t xml:space="preserve"> = 58)</w:t>
            </w:r>
          </w:p>
        </w:tc>
      </w:tr>
      <w:tr w:rsidR="007337CC" w:rsidRPr="007337CC" w14:paraId="5D5825CB" w14:textId="77777777" w:rsidTr="002A1E63">
        <w:trPr>
          <w:trHeight w:val="613"/>
        </w:trPr>
        <w:tc>
          <w:tcPr>
            <w:tcW w:w="3038" w:type="dxa"/>
            <w:tcBorders>
              <w:top w:val="single" w:sz="4" w:space="0" w:color="000000"/>
            </w:tcBorders>
          </w:tcPr>
          <w:p w14:paraId="767ACFF1" w14:textId="77777777" w:rsidR="007337CC" w:rsidRPr="007337CC" w:rsidRDefault="007337CC" w:rsidP="007337CC">
            <w:pPr>
              <w:pStyle w:val="NoSpacing"/>
              <w:rPr>
                <w:rFonts w:ascii="Times New Roman" w:hAnsi="Times New Roman" w:cs="Times New Roman"/>
                <w:lang w:val="en-US"/>
              </w:rPr>
            </w:pPr>
            <w:r w:rsidRPr="007337CC">
              <w:rPr>
                <w:rFonts w:ascii="Times New Roman" w:hAnsi="Times New Roman" w:cs="Times New Roman"/>
                <w:lang w:val="en-US"/>
              </w:rPr>
              <w:t>Intensity</w:t>
            </w:r>
          </w:p>
        </w:tc>
        <w:tc>
          <w:tcPr>
            <w:tcW w:w="3038" w:type="dxa"/>
            <w:tcBorders>
              <w:top w:val="single" w:sz="4" w:space="0" w:color="000000"/>
            </w:tcBorders>
          </w:tcPr>
          <w:p w14:paraId="608849A2"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8.02 (3.95)</w:t>
            </w:r>
          </w:p>
        </w:tc>
        <w:tc>
          <w:tcPr>
            <w:tcW w:w="3039" w:type="dxa"/>
            <w:tcBorders>
              <w:top w:val="single" w:sz="4" w:space="0" w:color="000000"/>
            </w:tcBorders>
          </w:tcPr>
          <w:p w14:paraId="677DBA12"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6.81 (4.35)</w:t>
            </w:r>
          </w:p>
        </w:tc>
      </w:tr>
      <w:tr w:rsidR="007337CC" w:rsidRPr="007337CC" w14:paraId="6E516C6B" w14:textId="77777777" w:rsidTr="002A1E63">
        <w:trPr>
          <w:trHeight w:val="632"/>
        </w:trPr>
        <w:tc>
          <w:tcPr>
            <w:tcW w:w="3038" w:type="dxa"/>
          </w:tcPr>
          <w:p w14:paraId="19AED41C" w14:textId="77777777" w:rsidR="007337CC" w:rsidRPr="007337CC" w:rsidRDefault="007337CC" w:rsidP="007337CC">
            <w:pPr>
              <w:pStyle w:val="NoSpacing"/>
              <w:rPr>
                <w:rFonts w:ascii="Times New Roman" w:hAnsi="Times New Roman" w:cs="Times New Roman"/>
                <w:lang w:val="en-US"/>
              </w:rPr>
            </w:pPr>
            <w:r w:rsidRPr="007337CC">
              <w:rPr>
                <w:rFonts w:ascii="Times New Roman" w:hAnsi="Times New Roman" w:cs="Times New Roman"/>
                <w:lang w:val="en-US"/>
              </w:rPr>
              <w:t>Breakpoint</w:t>
            </w:r>
          </w:p>
        </w:tc>
        <w:tc>
          <w:tcPr>
            <w:tcW w:w="3038" w:type="dxa"/>
          </w:tcPr>
          <w:p w14:paraId="630BF735"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9.42 (4.53)</w:t>
            </w:r>
          </w:p>
        </w:tc>
        <w:tc>
          <w:tcPr>
            <w:tcW w:w="3039" w:type="dxa"/>
          </w:tcPr>
          <w:p w14:paraId="5D179F91"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9.27 (4.71)</w:t>
            </w:r>
          </w:p>
        </w:tc>
      </w:tr>
      <w:tr w:rsidR="007337CC" w:rsidRPr="007337CC" w14:paraId="2503FF4E" w14:textId="77777777" w:rsidTr="002A1E63">
        <w:trPr>
          <w:trHeight w:val="613"/>
        </w:trPr>
        <w:tc>
          <w:tcPr>
            <w:tcW w:w="3038" w:type="dxa"/>
          </w:tcPr>
          <w:p w14:paraId="44B9308B" w14:textId="77777777" w:rsidR="007337CC" w:rsidRPr="007337CC" w:rsidRDefault="007337CC" w:rsidP="007337CC">
            <w:pPr>
              <w:pStyle w:val="NoSpacing"/>
              <w:rPr>
                <w:rFonts w:ascii="Times New Roman" w:hAnsi="Times New Roman" w:cs="Times New Roman"/>
                <w:lang w:val="en-US"/>
              </w:rPr>
            </w:pPr>
            <w:proofErr w:type="spellStart"/>
            <w:r w:rsidRPr="007337CC">
              <w:rPr>
                <w:rFonts w:ascii="Times New Roman" w:hAnsi="Times New Roman" w:cs="Times New Roman"/>
                <w:lang w:val="en-US"/>
              </w:rPr>
              <w:t>O</w:t>
            </w:r>
            <w:r w:rsidRPr="007337CC">
              <w:rPr>
                <w:rFonts w:ascii="Times New Roman" w:hAnsi="Times New Roman" w:cs="Times New Roman"/>
                <w:vertAlign w:val="subscript"/>
                <w:lang w:val="en-US"/>
              </w:rPr>
              <w:t>max</w:t>
            </w:r>
            <w:proofErr w:type="spellEnd"/>
          </w:p>
        </w:tc>
        <w:tc>
          <w:tcPr>
            <w:tcW w:w="3038" w:type="dxa"/>
          </w:tcPr>
          <w:p w14:paraId="0F881F16"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22.50 (12.83)</w:t>
            </w:r>
          </w:p>
        </w:tc>
        <w:tc>
          <w:tcPr>
            <w:tcW w:w="3039" w:type="dxa"/>
          </w:tcPr>
          <w:p w14:paraId="741D599E"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18.13 (11.28)</w:t>
            </w:r>
          </w:p>
        </w:tc>
      </w:tr>
      <w:tr w:rsidR="007337CC" w:rsidRPr="007337CC" w14:paraId="658DB064" w14:textId="77777777" w:rsidTr="002A1E63">
        <w:trPr>
          <w:trHeight w:val="632"/>
        </w:trPr>
        <w:tc>
          <w:tcPr>
            <w:tcW w:w="3038" w:type="dxa"/>
          </w:tcPr>
          <w:p w14:paraId="25662562" w14:textId="77777777" w:rsidR="007337CC" w:rsidRPr="007337CC" w:rsidRDefault="007337CC" w:rsidP="007337CC">
            <w:pPr>
              <w:pStyle w:val="NoSpacing"/>
              <w:rPr>
                <w:rFonts w:ascii="Times New Roman" w:hAnsi="Times New Roman" w:cs="Times New Roman"/>
                <w:lang w:val="en-US"/>
              </w:rPr>
            </w:pPr>
            <w:r w:rsidRPr="007337CC">
              <w:rPr>
                <w:rFonts w:ascii="Times New Roman" w:hAnsi="Times New Roman" w:cs="Times New Roman"/>
                <w:lang w:val="en-US"/>
              </w:rPr>
              <w:t>P</w:t>
            </w:r>
            <w:r w:rsidRPr="007337CC">
              <w:rPr>
                <w:rFonts w:ascii="Times New Roman" w:hAnsi="Times New Roman" w:cs="Times New Roman"/>
                <w:vertAlign w:val="subscript"/>
                <w:lang w:val="en-US"/>
              </w:rPr>
              <w:t>max</w:t>
            </w:r>
          </w:p>
        </w:tc>
        <w:tc>
          <w:tcPr>
            <w:tcW w:w="3038" w:type="dxa"/>
          </w:tcPr>
          <w:p w14:paraId="5AB4F678"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6.47 (3.51)</w:t>
            </w:r>
          </w:p>
        </w:tc>
        <w:tc>
          <w:tcPr>
            <w:tcW w:w="3039" w:type="dxa"/>
          </w:tcPr>
          <w:p w14:paraId="6B603993"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6.89 (4.09)</w:t>
            </w:r>
          </w:p>
        </w:tc>
      </w:tr>
      <w:tr w:rsidR="007337CC" w:rsidRPr="007337CC" w14:paraId="40648518" w14:textId="77777777" w:rsidTr="002A1E63">
        <w:trPr>
          <w:trHeight w:val="613"/>
        </w:trPr>
        <w:tc>
          <w:tcPr>
            <w:tcW w:w="3038" w:type="dxa"/>
            <w:tcBorders>
              <w:bottom w:val="single" w:sz="18" w:space="0" w:color="000000"/>
            </w:tcBorders>
          </w:tcPr>
          <w:p w14:paraId="07B4CD10" w14:textId="77777777" w:rsidR="007337CC" w:rsidRPr="007337CC" w:rsidRDefault="007337CC" w:rsidP="007337CC">
            <w:pPr>
              <w:pStyle w:val="NoSpacing"/>
              <w:rPr>
                <w:rFonts w:ascii="Times New Roman" w:hAnsi="Times New Roman" w:cs="Times New Roman"/>
                <w:lang w:val="en-US"/>
              </w:rPr>
            </w:pPr>
            <w:r w:rsidRPr="007337CC">
              <w:rPr>
                <w:rFonts w:ascii="Times New Roman" w:hAnsi="Times New Roman" w:cs="Times New Roman"/>
                <w:lang w:val="en-US"/>
              </w:rPr>
              <w:t>Elasticity</w:t>
            </w:r>
          </w:p>
        </w:tc>
        <w:tc>
          <w:tcPr>
            <w:tcW w:w="3038" w:type="dxa"/>
            <w:tcBorders>
              <w:bottom w:val="single" w:sz="18" w:space="0" w:color="000000"/>
            </w:tcBorders>
          </w:tcPr>
          <w:p w14:paraId="3E2BA565"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.006 (.004)</w:t>
            </w:r>
          </w:p>
        </w:tc>
        <w:tc>
          <w:tcPr>
            <w:tcW w:w="3039" w:type="dxa"/>
            <w:tcBorders>
              <w:bottom w:val="single" w:sz="18" w:space="0" w:color="000000"/>
            </w:tcBorders>
          </w:tcPr>
          <w:p w14:paraId="2B74F194" w14:textId="77777777" w:rsidR="007337CC" w:rsidRPr="007337CC" w:rsidRDefault="007337CC" w:rsidP="007337CC">
            <w:pPr>
              <w:pStyle w:val="NoSpacing"/>
              <w:jc w:val="center"/>
              <w:rPr>
                <w:rFonts w:ascii="Times New Roman" w:hAnsi="Times New Roman" w:cs="Times New Roman"/>
                <w:lang w:val="en-US"/>
              </w:rPr>
            </w:pPr>
            <w:r w:rsidRPr="007337CC">
              <w:rPr>
                <w:rFonts w:ascii="Times New Roman" w:hAnsi="Times New Roman" w:cs="Times New Roman"/>
                <w:lang w:val="en-US"/>
              </w:rPr>
              <w:t>.008 (.012)</w:t>
            </w:r>
          </w:p>
        </w:tc>
      </w:tr>
    </w:tbl>
    <w:p w14:paraId="6FA33564" w14:textId="2228C1B8" w:rsidR="005E4A4D" w:rsidRDefault="007337CC" w:rsidP="007337CC">
      <w:pPr>
        <w:pStyle w:val="NoSpacing"/>
        <w:spacing w:line="480" w:lineRule="auto"/>
        <w:rPr>
          <w:rFonts w:ascii="Times New Roman" w:hAnsi="Times New Roman" w:cs="Times New Roman"/>
          <w:lang w:val="en-US"/>
        </w:rPr>
      </w:pPr>
      <w:r w:rsidRPr="007337CC">
        <w:rPr>
          <w:rFonts w:ascii="Times New Roman" w:hAnsi="Times New Roman" w:cs="Times New Roman"/>
          <w:i/>
          <w:iCs/>
          <w:lang w:val="en-US"/>
        </w:rPr>
        <w:t>Note.</w:t>
      </w:r>
      <w:r w:rsidRPr="007337CC">
        <w:rPr>
          <w:rFonts w:ascii="Times New Roman" w:hAnsi="Times New Roman" w:cs="Times New Roman"/>
          <w:lang w:val="en-US"/>
        </w:rPr>
        <w:t xml:space="preserve"> Elasticity is reported to 3 decimal places to show the distinction in values.</w:t>
      </w:r>
    </w:p>
    <w:p w14:paraId="1DA90618" w14:textId="77777777" w:rsidR="00281E62" w:rsidRPr="007337CC" w:rsidRDefault="00281E62" w:rsidP="007337CC">
      <w:pPr>
        <w:pStyle w:val="NoSpacing"/>
        <w:spacing w:line="480" w:lineRule="auto"/>
        <w:rPr>
          <w:rFonts w:ascii="Times New Roman" w:hAnsi="Times New Roman" w:cs="Times New Roman"/>
          <w:lang w:val="en-US"/>
        </w:rPr>
      </w:pPr>
    </w:p>
    <w:p w14:paraId="3E2E3EC8" w14:textId="77777777" w:rsidR="00281E62" w:rsidRPr="00281E62" w:rsidRDefault="00281E62" w:rsidP="00281E62">
      <w:pPr>
        <w:pStyle w:val="NoSpacing"/>
        <w:spacing w:line="480" w:lineRule="auto"/>
        <w:rPr>
          <w:rFonts w:ascii="Times New Roman" w:hAnsi="Times New Roman" w:cs="Times New Roman"/>
          <w:b/>
          <w:bCs/>
        </w:rPr>
      </w:pPr>
      <w:bookmarkStart w:id="275" w:name="_Hlk110614888"/>
      <w:r w:rsidRPr="00281E62">
        <w:rPr>
          <w:rFonts w:ascii="Times New Roman" w:hAnsi="Times New Roman" w:cs="Times New Roman"/>
          <w:b/>
          <w:bCs/>
        </w:rPr>
        <w:lastRenderedPageBreak/>
        <w:t>Figure 6.4</w:t>
      </w:r>
    </w:p>
    <w:p w14:paraId="6004EC9D" w14:textId="0DB24905" w:rsidR="00281E62" w:rsidRPr="00281E62" w:rsidRDefault="00281E62" w:rsidP="00281E62">
      <w:pPr>
        <w:pStyle w:val="NoSpacing"/>
        <w:spacing w:line="480" w:lineRule="auto"/>
        <w:rPr>
          <w:rFonts w:ascii="Times New Roman" w:hAnsi="Times New Roman" w:cs="Times New Roman"/>
          <w:i/>
          <w:iCs/>
        </w:rPr>
      </w:pPr>
      <w:r w:rsidRPr="00281E62">
        <w:rPr>
          <w:rFonts w:ascii="Times New Roman" w:hAnsi="Times New Roman" w:cs="Times New Roman"/>
          <w:i/>
          <w:iCs/>
        </w:rPr>
        <w:t>Alcohol demand curves (Panel A) and expenditure (Panel B) split by heavy drinkers and moderated drinkers</w:t>
      </w:r>
    </w:p>
    <w:bookmarkEnd w:id="275"/>
    <w:p w14:paraId="69DCB5EC" w14:textId="24107774" w:rsidR="007337CC" w:rsidRDefault="00281E62" w:rsidP="00281E62">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34B6E8FD" wp14:editId="32B1A54F">
            <wp:extent cx="4752975" cy="708624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4884" cy="7089089"/>
                    </a:xfrm>
                    <a:prstGeom prst="rect">
                      <a:avLst/>
                    </a:prstGeom>
                    <a:noFill/>
                  </pic:spPr>
                </pic:pic>
              </a:graphicData>
            </a:graphic>
          </wp:inline>
        </w:drawing>
      </w:r>
    </w:p>
    <w:p w14:paraId="1D2B5247" w14:textId="680537A0" w:rsidR="00281E62" w:rsidRDefault="00281E62" w:rsidP="00281E62">
      <w:pPr>
        <w:pStyle w:val="NoSpacing"/>
        <w:spacing w:line="480" w:lineRule="auto"/>
        <w:rPr>
          <w:rFonts w:ascii="Times New Roman" w:hAnsi="Times New Roman" w:cs="Times New Roman"/>
        </w:rPr>
      </w:pPr>
      <w:r w:rsidRPr="00281E62">
        <w:rPr>
          <w:rFonts w:ascii="Times New Roman" w:hAnsi="Times New Roman" w:cs="Times New Roman"/>
          <w:i/>
          <w:iCs/>
        </w:rPr>
        <w:t>Note.</w:t>
      </w:r>
      <w:r w:rsidRPr="00281E62">
        <w:rPr>
          <w:rFonts w:ascii="Times New Roman" w:hAnsi="Times New Roman" w:cs="Times New Roman"/>
        </w:rPr>
        <w:t xml:space="preserve"> Each data point represents average hypothetical consumption at a particular price on the APT (Panel A) or average expenditure (consumption multiplied by price; Panel B) for </w:t>
      </w:r>
      <w:r w:rsidRPr="00281E62">
        <w:rPr>
          <w:rFonts w:ascii="Times New Roman" w:hAnsi="Times New Roman" w:cs="Times New Roman"/>
        </w:rPr>
        <w:lastRenderedPageBreak/>
        <w:t>both current heavy drinkers and moderated drinkers. The x-axis is log-transformed (zero values are replaced by trivial nonzero values (0.01) to permit logarithmic units). Error bars represent the standard error of the mean (SE).</w:t>
      </w:r>
    </w:p>
    <w:p w14:paraId="2B33EFA2" w14:textId="77777777" w:rsidR="004B73B2" w:rsidRPr="00281E62" w:rsidRDefault="004B73B2" w:rsidP="00281E62">
      <w:pPr>
        <w:pStyle w:val="NoSpacing"/>
        <w:spacing w:line="480" w:lineRule="auto"/>
        <w:rPr>
          <w:rFonts w:ascii="Times New Roman" w:hAnsi="Times New Roman" w:cs="Times New Roman"/>
        </w:rPr>
      </w:pPr>
    </w:p>
    <w:p w14:paraId="300B7D08" w14:textId="3D08785A" w:rsidR="008645C9" w:rsidRPr="008645C9" w:rsidRDefault="008645C9" w:rsidP="008645C9">
      <w:pPr>
        <w:pStyle w:val="NoSpacing"/>
        <w:spacing w:line="480" w:lineRule="auto"/>
        <w:rPr>
          <w:rFonts w:ascii="Times New Roman" w:hAnsi="Times New Roman" w:cs="Times New Roman"/>
          <w:b/>
        </w:rPr>
      </w:pPr>
      <w:bookmarkStart w:id="276" w:name="_Hlk109235937"/>
      <w:r w:rsidRPr="008645C9">
        <w:rPr>
          <w:rFonts w:ascii="Times New Roman" w:hAnsi="Times New Roman" w:cs="Times New Roman"/>
          <w:b/>
        </w:rPr>
        <w:t>Establishing a ‘difficulty effect’ on the VBDM task</w:t>
      </w:r>
    </w:p>
    <w:bookmarkEnd w:id="276"/>
    <w:p w14:paraId="391E6493" w14:textId="492FF522" w:rsidR="008645C9" w:rsidRDefault="008645C9" w:rsidP="008645C9">
      <w:pPr>
        <w:pStyle w:val="NoSpacing"/>
        <w:spacing w:line="480" w:lineRule="auto"/>
        <w:rPr>
          <w:rFonts w:ascii="Times New Roman" w:hAnsi="Times New Roman" w:cs="Times New Roman"/>
        </w:rPr>
      </w:pPr>
      <w:r w:rsidRPr="008645C9">
        <w:rPr>
          <w:rFonts w:ascii="Times New Roman" w:hAnsi="Times New Roman" w:cs="Times New Roman"/>
        </w:rPr>
        <w:t>We were interested in establishing whether there is a ‘difficulty effect’, such that on trials in the VBDM task where the difference between the value ratings for the competing images is large (i.e., rating difference 3, e.g., ‘A lot’ versus ‘Not at all’), EA rates were increased compared to when the differences between the value ratings for the competing images is minimal (i.e., rating difference 1, e.g., ‘A little bit’ versus ‘Not really’). One-way repeated measures ANOVAs were used to compare EA rates across difficulty levels (i.e., easy, medium, and difficult trials) for alcohol and soft</w:t>
      </w:r>
      <w:r>
        <w:rPr>
          <w:rFonts w:ascii="Times New Roman" w:hAnsi="Times New Roman" w:cs="Times New Roman"/>
        </w:rPr>
        <w:t xml:space="preserve"> </w:t>
      </w:r>
      <w:r w:rsidRPr="008645C9">
        <w:rPr>
          <w:rFonts w:ascii="Times New Roman" w:hAnsi="Times New Roman" w:cs="Times New Roman"/>
        </w:rPr>
        <w:t>drinks. There was a significant main effect of difficulty on alcohol EA rates (</w:t>
      </w:r>
      <w:proofErr w:type="gramStart"/>
      <w:r w:rsidRPr="008645C9">
        <w:rPr>
          <w:rFonts w:ascii="Times New Roman" w:hAnsi="Times New Roman" w:cs="Times New Roman"/>
          <w:i/>
          <w:iCs/>
        </w:rPr>
        <w:t>F</w:t>
      </w:r>
      <w:r w:rsidRPr="008645C9">
        <w:rPr>
          <w:rFonts w:ascii="Times New Roman" w:hAnsi="Times New Roman" w:cs="Times New Roman"/>
        </w:rPr>
        <w:t>(</w:t>
      </w:r>
      <w:proofErr w:type="gramEnd"/>
      <w:r w:rsidRPr="008645C9">
        <w:rPr>
          <w:rFonts w:ascii="Times New Roman" w:hAnsi="Times New Roman" w:cs="Times New Roman"/>
        </w:rPr>
        <w:t xml:space="preserve">2, 238) = 422.80, </w:t>
      </w:r>
      <w:r w:rsidRPr="008645C9">
        <w:rPr>
          <w:rFonts w:ascii="Times New Roman" w:hAnsi="Times New Roman" w:cs="Times New Roman"/>
          <w:i/>
          <w:iCs/>
        </w:rPr>
        <w:t>p</w:t>
      </w:r>
      <w:r w:rsidRPr="008645C9">
        <w:rPr>
          <w:rFonts w:ascii="Times New Roman" w:hAnsi="Times New Roman" w:cs="Times New Roman"/>
        </w:rPr>
        <w:t xml:space="preserve"> &lt; .001, ηp</w:t>
      </w:r>
      <w:r w:rsidRPr="008645C9">
        <w:rPr>
          <w:rFonts w:ascii="Times New Roman" w:hAnsi="Times New Roman" w:cs="Times New Roman"/>
          <w:vertAlign w:val="superscript"/>
        </w:rPr>
        <w:t>2</w:t>
      </w:r>
      <w:r w:rsidRPr="008645C9">
        <w:rPr>
          <w:rFonts w:ascii="Times New Roman" w:hAnsi="Times New Roman" w:cs="Times New Roman"/>
        </w:rPr>
        <w:t xml:space="preserve"> = .78). Subsequent post-hoc tests (</w:t>
      </w:r>
      <w:r w:rsidR="006E131E" w:rsidRPr="006E131E">
        <w:rPr>
          <w:rFonts w:ascii="Times New Roman" w:hAnsi="Times New Roman" w:cs="Times New Roman"/>
        </w:rPr>
        <w:t xml:space="preserve">applying the Holm-Bonferroni correction to </w:t>
      </w:r>
      <w:r w:rsidR="006E131E" w:rsidRPr="006E131E">
        <w:rPr>
          <w:rFonts w:ascii="Times New Roman" w:hAnsi="Times New Roman" w:cs="Times New Roman"/>
          <w:i/>
          <w:iCs/>
        </w:rPr>
        <w:t>p</w:t>
      </w:r>
      <w:r w:rsidR="006E131E" w:rsidRPr="006E131E">
        <w:rPr>
          <w:rFonts w:ascii="Times New Roman" w:hAnsi="Times New Roman" w:cs="Times New Roman"/>
        </w:rPr>
        <w:t>-values for multiple comparison</w:t>
      </w:r>
      <w:r w:rsidRPr="008645C9">
        <w:rPr>
          <w:rFonts w:ascii="Times New Roman" w:hAnsi="Times New Roman" w:cs="Times New Roman"/>
        </w:rPr>
        <w:t xml:space="preserve">) revealed that alcohol EA rates in the easier trials (M = 2.22, SD = .61) were significantly increased compared to medium trials (M = 1.76, SD = .66; </w:t>
      </w:r>
      <w:r w:rsidRPr="008645C9">
        <w:rPr>
          <w:rFonts w:ascii="Times New Roman" w:hAnsi="Times New Roman" w:cs="Times New Roman"/>
          <w:i/>
          <w:iCs/>
        </w:rPr>
        <w:t>p</w:t>
      </w:r>
      <w:r w:rsidRPr="008645C9">
        <w:rPr>
          <w:rFonts w:ascii="Times New Roman" w:hAnsi="Times New Roman" w:cs="Times New Roman"/>
        </w:rPr>
        <w:t xml:space="preserve"> &lt; .001) and difficult trials (M = .92, SD = .39; </w:t>
      </w:r>
      <w:r w:rsidRPr="008645C9">
        <w:rPr>
          <w:rFonts w:ascii="Times New Roman" w:hAnsi="Times New Roman" w:cs="Times New Roman"/>
          <w:i/>
          <w:iCs/>
        </w:rPr>
        <w:t>p</w:t>
      </w:r>
      <w:r w:rsidRPr="008645C9">
        <w:rPr>
          <w:rFonts w:ascii="Times New Roman" w:hAnsi="Times New Roman" w:cs="Times New Roman"/>
        </w:rPr>
        <w:t xml:space="preserve"> &lt; .001). Furthermore, alcohol EA rates on medium trials were significantly increased compared to EA rates on difficult trials (</w:t>
      </w:r>
      <w:r w:rsidRPr="008645C9">
        <w:rPr>
          <w:rFonts w:ascii="Times New Roman" w:hAnsi="Times New Roman" w:cs="Times New Roman"/>
          <w:i/>
          <w:iCs/>
        </w:rPr>
        <w:t>p</w:t>
      </w:r>
      <w:r w:rsidRPr="008645C9">
        <w:rPr>
          <w:rFonts w:ascii="Times New Roman" w:hAnsi="Times New Roman" w:cs="Times New Roman"/>
        </w:rPr>
        <w:t xml:space="preserve"> &lt; .001). There was also a significant main effect of difficulty on soft</w:t>
      </w:r>
      <w:r w:rsidR="0067750A">
        <w:rPr>
          <w:rFonts w:ascii="Times New Roman" w:hAnsi="Times New Roman" w:cs="Times New Roman"/>
        </w:rPr>
        <w:t xml:space="preserve"> </w:t>
      </w:r>
      <w:r w:rsidRPr="008645C9">
        <w:rPr>
          <w:rFonts w:ascii="Times New Roman" w:hAnsi="Times New Roman" w:cs="Times New Roman"/>
        </w:rPr>
        <w:t>drink EA rates (</w:t>
      </w:r>
      <w:proofErr w:type="gramStart"/>
      <w:r w:rsidRPr="008645C9">
        <w:rPr>
          <w:rFonts w:ascii="Times New Roman" w:hAnsi="Times New Roman" w:cs="Times New Roman"/>
          <w:i/>
          <w:iCs/>
        </w:rPr>
        <w:t>F</w:t>
      </w:r>
      <w:r w:rsidRPr="008645C9">
        <w:rPr>
          <w:rFonts w:ascii="Times New Roman" w:hAnsi="Times New Roman" w:cs="Times New Roman"/>
        </w:rPr>
        <w:t>(</w:t>
      </w:r>
      <w:proofErr w:type="gramEnd"/>
      <w:r w:rsidRPr="008645C9">
        <w:rPr>
          <w:rFonts w:ascii="Times New Roman" w:hAnsi="Times New Roman" w:cs="Times New Roman"/>
        </w:rPr>
        <w:t xml:space="preserve">1.90, 225.58) = 349.09, </w:t>
      </w:r>
      <w:r w:rsidRPr="008645C9">
        <w:rPr>
          <w:rFonts w:ascii="Times New Roman" w:hAnsi="Times New Roman" w:cs="Times New Roman"/>
          <w:i/>
          <w:iCs/>
        </w:rPr>
        <w:t>p</w:t>
      </w:r>
      <w:r w:rsidRPr="008645C9">
        <w:rPr>
          <w:rFonts w:ascii="Times New Roman" w:hAnsi="Times New Roman" w:cs="Times New Roman"/>
        </w:rPr>
        <w:t xml:space="preserve"> &lt; .001, ηp</w:t>
      </w:r>
      <w:r w:rsidRPr="008645C9">
        <w:rPr>
          <w:rFonts w:ascii="Times New Roman" w:hAnsi="Times New Roman" w:cs="Times New Roman"/>
          <w:vertAlign w:val="superscript"/>
        </w:rPr>
        <w:t>2</w:t>
      </w:r>
      <w:r w:rsidRPr="008645C9">
        <w:rPr>
          <w:rFonts w:ascii="Times New Roman" w:hAnsi="Times New Roman" w:cs="Times New Roman"/>
        </w:rPr>
        <w:t xml:space="preserve"> =.75). Post-hoc tests revealed that soft</w:t>
      </w:r>
      <w:r w:rsidR="0067750A">
        <w:rPr>
          <w:rFonts w:ascii="Times New Roman" w:hAnsi="Times New Roman" w:cs="Times New Roman"/>
        </w:rPr>
        <w:t xml:space="preserve"> </w:t>
      </w:r>
      <w:r w:rsidRPr="008645C9">
        <w:rPr>
          <w:rFonts w:ascii="Times New Roman" w:hAnsi="Times New Roman" w:cs="Times New Roman"/>
        </w:rPr>
        <w:t xml:space="preserve">drink EA rates in the easier trials (M = 2.27, SD = .70) were increased compared to medium trials (M = 1.82, SD = .63; </w:t>
      </w:r>
      <w:r w:rsidRPr="008645C9">
        <w:rPr>
          <w:rFonts w:ascii="Times New Roman" w:hAnsi="Times New Roman" w:cs="Times New Roman"/>
          <w:i/>
          <w:iCs/>
        </w:rPr>
        <w:t>p</w:t>
      </w:r>
      <w:r w:rsidRPr="008645C9">
        <w:rPr>
          <w:rFonts w:ascii="Times New Roman" w:hAnsi="Times New Roman" w:cs="Times New Roman"/>
        </w:rPr>
        <w:t xml:space="preserve"> &lt; .001) and difficult trials (M = .95, SD = .40; </w:t>
      </w:r>
      <w:r w:rsidRPr="008645C9">
        <w:rPr>
          <w:rFonts w:ascii="Times New Roman" w:hAnsi="Times New Roman" w:cs="Times New Roman"/>
          <w:i/>
          <w:iCs/>
        </w:rPr>
        <w:t>p</w:t>
      </w:r>
      <w:r w:rsidRPr="008645C9">
        <w:rPr>
          <w:rFonts w:ascii="Times New Roman" w:hAnsi="Times New Roman" w:cs="Times New Roman"/>
        </w:rPr>
        <w:t xml:space="preserve"> &lt; .001). Furthermore, soft</w:t>
      </w:r>
      <w:r w:rsidR="0067750A">
        <w:rPr>
          <w:rFonts w:ascii="Times New Roman" w:hAnsi="Times New Roman" w:cs="Times New Roman"/>
        </w:rPr>
        <w:t xml:space="preserve"> </w:t>
      </w:r>
      <w:r w:rsidRPr="008645C9">
        <w:rPr>
          <w:rFonts w:ascii="Times New Roman" w:hAnsi="Times New Roman" w:cs="Times New Roman"/>
        </w:rPr>
        <w:t>drink EA rates on medium trials were significantly increased compared to EA rates on difficult trials (</w:t>
      </w:r>
      <w:r w:rsidRPr="008645C9">
        <w:rPr>
          <w:rFonts w:ascii="Times New Roman" w:hAnsi="Times New Roman" w:cs="Times New Roman"/>
          <w:i/>
          <w:iCs/>
        </w:rPr>
        <w:t>p</w:t>
      </w:r>
      <w:r w:rsidRPr="008645C9">
        <w:rPr>
          <w:rFonts w:ascii="Times New Roman" w:hAnsi="Times New Roman" w:cs="Times New Roman"/>
        </w:rPr>
        <w:t xml:space="preserve"> &lt; .001).</w:t>
      </w:r>
    </w:p>
    <w:p w14:paraId="3A0DC888" w14:textId="77777777" w:rsidR="008645C9" w:rsidRPr="008645C9" w:rsidRDefault="008645C9" w:rsidP="008645C9">
      <w:pPr>
        <w:pStyle w:val="NoSpacing"/>
        <w:spacing w:line="480" w:lineRule="auto"/>
        <w:rPr>
          <w:rFonts w:ascii="Times New Roman" w:hAnsi="Times New Roman" w:cs="Times New Roman"/>
        </w:rPr>
      </w:pPr>
    </w:p>
    <w:p w14:paraId="5EDE01F8" w14:textId="77777777" w:rsidR="008645C9" w:rsidRDefault="008645C9" w:rsidP="008645C9">
      <w:pPr>
        <w:pStyle w:val="NoSpacing"/>
        <w:spacing w:line="480" w:lineRule="auto"/>
        <w:rPr>
          <w:rFonts w:ascii="Times New Roman" w:hAnsi="Times New Roman" w:cs="Times New Roman"/>
          <w:b/>
          <w:bCs/>
        </w:rPr>
      </w:pPr>
      <w:bookmarkStart w:id="277" w:name="_Hlk110614898"/>
      <w:r w:rsidRPr="008645C9">
        <w:rPr>
          <w:rFonts w:ascii="Times New Roman" w:hAnsi="Times New Roman" w:cs="Times New Roman"/>
          <w:b/>
          <w:bCs/>
        </w:rPr>
        <w:t xml:space="preserve">Figure </w:t>
      </w:r>
      <w:r>
        <w:rPr>
          <w:rFonts w:ascii="Times New Roman" w:hAnsi="Times New Roman" w:cs="Times New Roman"/>
          <w:b/>
          <w:bCs/>
        </w:rPr>
        <w:t>6.5</w:t>
      </w:r>
    </w:p>
    <w:p w14:paraId="4A5A872C" w14:textId="46D5D28C" w:rsidR="008645C9" w:rsidRPr="008645C9" w:rsidRDefault="008645C9" w:rsidP="008645C9">
      <w:pPr>
        <w:pStyle w:val="NoSpacing"/>
        <w:spacing w:line="480" w:lineRule="auto"/>
        <w:rPr>
          <w:rFonts w:ascii="Times New Roman" w:hAnsi="Times New Roman" w:cs="Times New Roman"/>
        </w:rPr>
      </w:pPr>
      <w:r w:rsidRPr="008645C9">
        <w:rPr>
          <w:rFonts w:ascii="Times New Roman" w:hAnsi="Times New Roman" w:cs="Times New Roman"/>
          <w:i/>
          <w:iCs/>
        </w:rPr>
        <w:lastRenderedPageBreak/>
        <w:t xml:space="preserve">Mean evidence accumulation rates </w:t>
      </w:r>
      <w:bookmarkStart w:id="278" w:name="_Hlk109237269"/>
      <w:r w:rsidRPr="008645C9">
        <w:rPr>
          <w:rFonts w:ascii="Times New Roman" w:hAnsi="Times New Roman" w:cs="Times New Roman"/>
          <w:i/>
          <w:iCs/>
        </w:rPr>
        <w:t xml:space="preserve">(including all participants) </w:t>
      </w:r>
      <w:bookmarkEnd w:id="278"/>
      <w:r w:rsidRPr="008645C9">
        <w:rPr>
          <w:rFonts w:ascii="Times New Roman" w:hAnsi="Times New Roman" w:cs="Times New Roman"/>
          <w:i/>
          <w:iCs/>
        </w:rPr>
        <w:t>for alcohol and soft</w:t>
      </w:r>
      <w:r w:rsidR="0067750A">
        <w:rPr>
          <w:rFonts w:ascii="Times New Roman" w:hAnsi="Times New Roman" w:cs="Times New Roman"/>
          <w:i/>
          <w:iCs/>
        </w:rPr>
        <w:t xml:space="preserve"> </w:t>
      </w:r>
      <w:r w:rsidRPr="008645C9">
        <w:rPr>
          <w:rFonts w:ascii="Times New Roman" w:hAnsi="Times New Roman" w:cs="Times New Roman"/>
          <w:i/>
          <w:iCs/>
        </w:rPr>
        <w:t>drink choices split by trial difficulty level</w:t>
      </w:r>
    </w:p>
    <w:bookmarkEnd w:id="277"/>
    <w:p w14:paraId="6CD53466" w14:textId="77777777" w:rsidR="008645C9" w:rsidRPr="008645C9" w:rsidRDefault="008645C9" w:rsidP="008645C9">
      <w:pPr>
        <w:pStyle w:val="NoSpacing"/>
        <w:jc w:val="center"/>
      </w:pPr>
      <w:r w:rsidRPr="008645C9">
        <w:rPr>
          <w:noProof/>
        </w:rPr>
        <w:drawing>
          <wp:inline distT="0" distB="0" distL="0" distR="0" wp14:anchorId="271F968F" wp14:editId="57FE9BA7">
            <wp:extent cx="4755515" cy="3578860"/>
            <wp:effectExtent l="0" t="0" r="698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5515" cy="3578860"/>
                    </a:xfrm>
                    <a:prstGeom prst="rect">
                      <a:avLst/>
                    </a:prstGeom>
                    <a:noFill/>
                  </pic:spPr>
                </pic:pic>
              </a:graphicData>
            </a:graphic>
          </wp:inline>
        </w:drawing>
      </w:r>
    </w:p>
    <w:p w14:paraId="7B4C91FD" w14:textId="53F1584C" w:rsidR="008645C9" w:rsidRPr="008645C9" w:rsidRDefault="008645C9" w:rsidP="008645C9">
      <w:pPr>
        <w:pStyle w:val="NoSpacing"/>
        <w:rPr>
          <w:rFonts w:ascii="Times New Roman" w:hAnsi="Times New Roman" w:cs="Times New Roman"/>
        </w:rPr>
      </w:pPr>
      <w:r w:rsidRPr="008645C9">
        <w:rPr>
          <w:rFonts w:ascii="Times New Roman" w:hAnsi="Times New Roman" w:cs="Times New Roman"/>
          <w:i/>
          <w:iCs/>
        </w:rPr>
        <w:t>Note.</w:t>
      </w:r>
      <w:r w:rsidRPr="008645C9">
        <w:rPr>
          <w:rFonts w:ascii="Times New Roman" w:hAnsi="Times New Roman" w:cs="Times New Roman"/>
        </w:rPr>
        <w:t xml:space="preserve"> Error bars represent the standard error of the mean (SE).</w:t>
      </w:r>
    </w:p>
    <w:p w14:paraId="434F1152" w14:textId="606C8064" w:rsidR="008645C9" w:rsidRDefault="008645C9" w:rsidP="008645C9">
      <w:pPr>
        <w:pStyle w:val="NoSpacing"/>
        <w:spacing w:line="480" w:lineRule="auto"/>
        <w:rPr>
          <w:rFonts w:ascii="Times New Roman" w:hAnsi="Times New Roman" w:cs="Times New Roman"/>
        </w:rPr>
      </w:pPr>
    </w:p>
    <w:p w14:paraId="3D865E56" w14:textId="655EA497" w:rsidR="008645C9" w:rsidRDefault="008645C9" w:rsidP="008645C9">
      <w:pPr>
        <w:pStyle w:val="Heading4"/>
      </w:pPr>
      <w:bookmarkStart w:id="279" w:name="_Toc110629072"/>
      <w:bookmarkStart w:id="280" w:name="_Toc110870980"/>
      <w:r>
        <w:t>6.4. Discussion</w:t>
      </w:r>
      <w:bookmarkEnd w:id="279"/>
      <w:bookmarkEnd w:id="280"/>
    </w:p>
    <w:p w14:paraId="669E8FF3" w14:textId="24B5C09D" w:rsidR="008645C9" w:rsidRPr="008645C9" w:rsidRDefault="008645C9" w:rsidP="001A301A">
      <w:pPr>
        <w:pStyle w:val="NoSpacing"/>
        <w:spacing w:line="480" w:lineRule="auto"/>
        <w:rPr>
          <w:rFonts w:ascii="Times New Roman" w:hAnsi="Times New Roman" w:cs="Times New Roman"/>
        </w:rPr>
      </w:pPr>
      <w:r w:rsidRPr="008645C9">
        <w:rPr>
          <w:rFonts w:ascii="Times New Roman" w:hAnsi="Times New Roman" w:cs="Times New Roman"/>
        </w:rPr>
        <w:t>The aim of this study was to explore whether alterations in value-based choice parameters and self-report behavioural economic measures characterise the moderation of alcohol consumption that many heavy drinkers experience without treatment. More specifically, this study expanded on existing</w:t>
      </w:r>
      <w:r w:rsidRPr="008645C9">
        <w:rPr>
          <w:rFonts w:ascii="Times New Roman" w:hAnsi="Times New Roman" w:cs="Times New Roman"/>
          <w:i/>
          <w:iCs/>
        </w:rPr>
        <w:t xml:space="preserve"> </w:t>
      </w:r>
      <w:r w:rsidRPr="008645C9">
        <w:rPr>
          <w:rFonts w:ascii="Times New Roman" w:hAnsi="Times New Roman" w:cs="Times New Roman"/>
        </w:rPr>
        <w:t>behavioural economic research by applying a neuroscience-informed computational model of VBDM to decisions made about alcohol and soft</w:t>
      </w:r>
      <w:r w:rsidR="0067750A">
        <w:rPr>
          <w:rFonts w:ascii="Times New Roman" w:hAnsi="Times New Roman" w:cs="Times New Roman"/>
        </w:rPr>
        <w:t xml:space="preserve"> </w:t>
      </w:r>
      <w:r w:rsidRPr="008645C9">
        <w:rPr>
          <w:rFonts w:ascii="Times New Roman" w:hAnsi="Times New Roman" w:cs="Times New Roman"/>
        </w:rPr>
        <w:t xml:space="preserve">drink cues in heavy and moderated drinkers </w:t>
      </w:r>
      <w:r>
        <w:rPr>
          <w:rFonts w:ascii="Times New Roman" w:hAnsi="Times New Roman" w:cs="Times New Roman"/>
        </w:rPr>
        <w:fldChar w:fldCharType="begin"/>
      </w:r>
      <w:r w:rsidR="001A301A">
        <w:rPr>
          <w:rFonts w:ascii="Times New Roman" w:hAnsi="Times New Roman" w:cs="Times New Roman"/>
        </w:rPr>
        <w:instrText xml:space="preserve"> ADDIN ZOTERO_ITEM CSL_CITATION {"citationID":"sh1Zj4Da","properties":{"formattedCitation":"(Field,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001A301A" w:rsidRPr="001A301A">
        <w:rPr>
          <w:rFonts w:ascii="Times New Roman" w:hAnsi="Times New Roman" w:cs="Times New Roman"/>
        </w:rPr>
        <w:t>(Field, Heather, et al., 2020)</w:t>
      </w:r>
      <w:r>
        <w:rPr>
          <w:rFonts w:ascii="Times New Roman" w:hAnsi="Times New Roman" w:cs="Times New Roman"/>
        </w:rPr>
        <w:fldChar w:fldCharType="end"/>
      </w:r>
      <w:r w:rsidRPr="008645C9">
        <w:rPr>
          <w:rFonts w:ascii="Times New Roman" w:hAnsi="Times New Roman" w:cs="Times New Roman"/>
        </w:rPr>
        <w:t xml:space="preserve">. </w:t>
      </w:r>
    </w:p>
    <w:p w14:paraId="6C054128" w14:textId="77777777" w:rsidR="008645C9" w:rsidRPr="008645C9" w:rsidRDefault="008645C9" w:rsidP="008645C9">
      <w:pPr>
        <w:pStyle w:val="NoSpacing"/>
        <w:spacing w:line="480" w:lineRule="auto"/>
        <w:rPr>
          <w:rFonts w:ascii="Times New Roman" w:hAnsi="Times New Roman" w:cs="Times New Roman"/>
        </w:rPr>
      </w:pPr>
    </w:p>
    <w:p w14:paraId="20A17A3E" w14:textId="75364A71" w:rsidR="008645C9" w:rsidRPr="008645C9" w:rsidRDefault="008645C9" w:rsidP="008645C9">
      <w:pPr>
        <w:pStyle w:val="NoSpacing"/>
        <w:spacing w:line="480" w:lineRule="auto"/>
        <w:rPr>
          <w:rFonts w:ascii="Times New Roman" w:hAnsi="Times New Roman" w:cs="Times New Roman"/>
        </w:rPr>
      </w:pPr>
      <w:r w:rsidRPr="008645C9">
        <w:rPr>
          <w:rFonts w:ascii="Times New Roman" w:hAnsi="Times New Roman" w:cs="Times New Roman"/>
        </w:rPr>
        <w:t xml:space="preserve">In relation to the computational VBDM analysis, findings did not provide robust support for the first and second hypotheses and therefore contrast with predictions from recent theoretical advances </w:t>
      </w:r>
      <w:r w:rsidR="001A301A">
        <w:rPr>
          <w:rFonts w:ascii="Times New Roman" w:hAnsi="Times New Roman" w:cs="Times New Roman"/>
        </w:rPr>
        <w:fldChar w:fldCharType="begin"/>
      </w:r>
      <w:r w:rsidR="001A301A">
        <w:rPr>
          <w:rFonts w:ascii="Times New Roman" w:hAnsi="Times New Roman" w:cs="Times New Roman"/>
        </w:rPr>
        <w:instrText xml:space="preserve"> ADDIN ZOTERO_ITEM CSL_CITATION {"citationID":"myvy7jKe","properties":{"formattedCitation":"(Field,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1A301A">
        <w:rPr>
          <w:rFonts w:ascii="Times New Roman" w:hAnsi="Times New Roman" w:cs="Times New Roman"/>
        </w:rPr>
        <w:fldChar w:fldCharType="separate"/>
      </w:r>
      <w:r w:rsidR="001A301A" w:rsidRPr="001A301A">
        <w:rPr>
          <w:rFonts w:ascii="Times New Roman" w:hAnsi="Times New Roman" w:cs="Times New Roman"/>
        </w:rPr>
        <w:t>(Field, Heather, et al., 2020)</w:t>
      </w:r>
      <w:r w:rsidR="001A301A">
        <w:rPr>
          <w:rFonts w:ascii="Times New Roman" w:hAnsi="Times New Roman" w:cs="Times New Roman"/>
        </w:rPr>
        <w:fldChar w:fldCharType="end"/>
      </w:r>
      <w:r w:rsidRPr="008645C9">
        <w:rPr>
          <w:rFonts w:ascii="Times New Roman" w:hAnsi="Times New Roman" w:cs="Times New Roman"/>
        </w:rPr>
        <w:t xml:space="preserve">. To elaborate, EA rates are hypothesized to represent </w:t>
      </w:r>
      <w:r w:rsidRPr="008645C9">
        <w:rPr>
          <w:rFonts w:ascii="Times New Roman" w:hAnsi="Times New Roman" w:cs="Times New Roman"/>
        </w:rPr>
        <w:lastRenderedPageBreak/>
        <w:t xml:space="preserve">value evidence accumulation, and we did not identify the changes in EA rates that we would expect to see based on overt preferences between alcohol and alcohol-free alternative reinforcers that have been observed in other studies (e.g., Hardy et al., 2018; Hardy &amp; Hogarth, 2017; Hogarth &amp; Hardy, 2018). However, it is difficult to directly reconcile the findings from this study with previous research because the tasks used differ methodologically, with only ours enabling disambiguation between alcohol and alcohol-free alternative value </w:t>
      </w:r>
      <w:r w:rsidR="001A301A">
        <w:rPr>
          <w:rFonts w:ascii="Times New Roman" w:hAnsi="Times New Roman" w:cs="Times New Roman"/>
        </w:rPr>
        <w:fldChar w:fldCharType="begin"/>
      </w:r>
      <w:r w:rsidR="001A301A">
        <w:rPr>
          <w:rFonts w:ascii="Times New Roman" w:hAnsi="Times New Roman" w:cs="Times New Roman"/>
        </w:rPr>
        <w:instrText xml:space="preserve"> ADDIN ZOTERO_ITEM CSL_CITATION {"citationID":"bxrHPW6d","properties":{"formattedCitation":"(Field,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1A301A">
        <w:rPr>
          <w:rFonts w:ascii="Times New Roman" w:hAnsi="Times New Roman" w:cs="Times New Roman"/>
        </w:rPr>
        <w:fldChar w:fldCharType="separate"/>
      </w:r>
      <w:r w:rsidR="001A301A" w:rsidRPr="001A301A">
        <w:rPr>
          <w:rFonts w:ascii="Times New Roman" w:hAnsi="Times New Roman" w:cs="Times New Roman"/>
        </w:rPr>
        <w:t>(Field, Heather, et al., 2020)</w:t>
      </w:r>
      <w:r w:rsidR="001A301A">
        <w:rPr>
          <w:rFonts w:ascii="Times New Roman" w:hAnsi="Times New Roman" w:cs="Times New Roman"/>
        </w:rPr>
        <w:fldChar w:fldCharType="end"/>
      </w:r>
      <w:r w:rsidRPr="008645C9">
        <w:rPr>
          <w:rFonts w:ascii="Times New Roman" w:hAnsi="Times New Roman" w:cs="Times New Roman"/>
        </w:rPr>
        <w:t xml:space="preserve">. Furthermore, because moderated drinkers still consume alcohol (albeit at a reduced level), it is likely that they still attach some value to alcohol which in turn may obscure clear divergence in EA rates among comparisons with heavy drinkers. </w:t>
      </w:r>
    </w:p>
    <w:p w14:paraId="6DDB66C6" w14:textId="77777777" w:rsidR="008645C9" w:rsidRPr="008645C9" w:rsidRDefault="008645C9" w:rsidP="008645C9">
      <w:pPr>
        <w:pStyle w:val="NoSpacing"/>
        <w:spacing w:line="480" w:lineRule="auto"/>
        <w:rPr>
          <w:rFonts w:ascii="Times New Roman" w:hAnsi="Times New Roman" w:cs="Times New Roman"/>
        </w:rPr>
      </w:pPr>
    </w:p>
    <w:p w14:paraId="1502BA5C" w14:textId="53295A90" w:rsidR="008645C9" w:rsidRPr="008645C9" w:rsidRDefault="008645C9" w:rsidP="001A301A">
      <w:pPr>
        <w:pStyle w:val="NoSpacing"/>
        <w:spacing w:line="480" w:lineRule="auto"/>
        <w:rPr>
          <w:rFonts w:ascii="Times New Roman" w:hAnsi="Times New Roman" w:cs="Times New Roman"/>
        </w:rPr>
      </w:pPr>
      <w:r w:rsidRPr="008645C9">
        <w:rPr>
          <w:rFonts w:ascii="Times New Roman" w:hAnsi="Times New Roman" w:cs="Times New Roman"/>
        </w:rPr>
        <w:t>A novel finding from this study is that moderation of alcohol consumption is characterised by lower cautiousness when making value-based decisions, although this effect was not robustly moderated by drink type. Whilst the group difference in response thresholds may be more pronounced and is in the hypothesised direction for soft</w:t>
      </w:r>
      <w:r w:rsidR="0067750A">
        <w:rPr>
          <w:rFonts w:ascii="Times New Roman" w:hAnsi="Times New Roman" w:cs="Times New Roman"/>
        </w:rPr>
        <w:t xml:space="preserve"> </w:t>
      </w:r>
      <w:r w:rsidRPr="008645C9">
        <w:rPr>
          <w:rFonts w:ascii="Times New Roman" w:hAnsi="Times New Roman" w:cs="Times New Roman"/>
        </w:rPr>
        <w:t xml:space="preserve">drinks </w:t>
      </w:r>
      <w:r w:rsidR="001A301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{"citationID":"f9S7ACMs","properties":{"formattedCitation":"(Copeland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1A301A">
        <w:rPr>
          <w:rFonts w:ascii="Times New Roman" w:hAnsi="Times New Roman" w:cs="Times New Roman"/>
        </w:rPr>
        <w:fldChar w:fldCharType="separate"/>
      </w:r>
      <w:r w:rsidR="001A301A" w:rsidRPr="001A301A">
        <w:rPr>
          <w:rFonts w:ascii="Times New Roman" w:hAnsi="Times New Roman" w:cs="Times New Roman"/>
        </w:rPr>
        <w:t>(Copeland et al., 2021; Field, Heather, et al., 2020)</w:t>
      </w:r>
      <w:r w:rsidR="001A301A">
        <w:rPr>
          <w:rFonts w:ascii="Times New Roman" w:hAnsi="Times New Roman" w:cs="Times New Roman"/>
        </w:rPr>
        <w:fldChar w:fldCharType="end"/>
      </w:r>
      <w:r w:rsidRPr="008645C9">
        <w:rPr>
          <w:rFonts w:ascii="Times New Roman" w:hAnsi="Times New Roman" w:cs="Times New Roman"/>
        </w:rPr>
        <w:t xml:space="preserve">, it is important to acknowledge that the response threshold for alcohol was also lowered in moderated drinkers. This downward shift in response thresholds in moderated drinkers suggests that alcohol-related behaviour change is characterised by reduced cautiousness when making decisions because the DDM adjusts response thresholds based upon the speed-accuracy trade-off (SATO) a person maintains — lower response thresholds reflect faster and less accurate decisions (Stafford et al., 2020). One potential explanation for the general tendency for moderated drinkers to be less cautious in their overall decision-making could be related to participant demographics. To elaborate, moderated drinkers were of a younger age compared to the heavy drinkers (potentially indicative of successful “maturing-out”; Britton et al., 2015; O’Malley, 2004), and older </w:t>
      </w:r>
      <w:r w:rsidRPr="008645C9">
        <w:rPr>
          <w:rFonts w:ascii="Times New Roman" w:hAnsi="Times New Roman" w:cs="Times New Roman"/>
        </w:rPr>
        <w:lastRenderedPageBreak/>
        <w:t xml:space="preserve">adults generally use more conservative response criteria when making decisions reflected in increased response thresholds </w:t>
      </w:r>
      <w:r w:rsidR="001A301A">
        <w:rPr>
          <w:rFonts w:ascii="Times New Roman" w:hAnsi="Times New Roman" w:cs="Times New Roman"/>
        </w:rPr>
        <w:fldChar w:fldCharType="begin"/>
      </w:r>
      <w:r w:rsidR="001A301A">
        <w:rPr>
          <w:rFonts w:ascii="Times New Roman" w:hAnsi="Times New Roman" w:cs="Times New Roman"/>
        </w:rPr>
        <w:instrText xml:space="preserve"> ADDIN ZOTERO_ITEM CSL_CITATION {"citationID":"0fqrRcHw","properties":{"formattedCitation":"(Theisen et al., 2021)","plainCitation":"(Theisen et al., 2021)","noteIndex":0},"citationItems":[{"id":732,"uris":["http://zotero.org/users/7873587/items/RTA8WUF7"],"itemData":{"id":732,"type":"article-journal","abstract":"Older adults typically show slower response times in basic cognitive tasks than younger adults. A diffusion model analysis allows the clarification of why older adults react more slowly by estimating parameters that map distinct cognitive components of decision making. The main components of the diffusion model are the speed of information uptake (drift rate), the degree of conservatism regarding the decision criterion (boundary separation), and the time taken up by non-decisional processes (i.e., encoding and motoric response execution; non-decision time). While the literature shows consistent results regarding higher boundary separation and longer non-decision time for older adults, results are more complex when it comes to age differences in drift rates. We conducted a multi-level meta-analysis to identify possible sources of this variance. As possible moderators, we included task difficulty and task type. We found that age differences in drift rate are moderated both by task type and task difficulty. Older adults were inferior in drift rate in perceptual and memory tasks, but information accumulation was even increased in lexical decision tasks for the older participants. Additionally, in perceptual and lexical decision tasks, older individuals benefitted from high task difficulty. In the memory tasks, task difficulty did not moderate the negative impact of age on drift. The finding of higher boundary separation and longer non-decision time in older than younger adults generalized over task type and task difficulty. The results of our meta-analysis are consistent with recent findings of a more pronounced age-related decline in memory than in vocabulary performance.","container-title":"Psychological Research","DOI":"10.1007/s00426-020-01371-8","ISSN":"1430-2772","issue":"5","journalAbbreviation":"Psychological Research","language":"en","page":"2012-2021","source":"Springer Link","title":"Age differences in diffusion model parameters: a meta-analysis","title-short":"Age differences in diffusion model parameters","volume":"85","author":[{"family":"Theisen","given":"Maximilian"},{"family":"Lerche","given":"Veronika"},{"family":"Krause","given":"Mischa","non-dropping-particle":"von"},{"family":"Voss","given":"Andreas"}],"issued":{"date-parts":[["2021",7,1]]}}}],"schema":"https://github.com/citation-style-language/schema/raw/master/csl-citation.json"} </w:instrText>
      </w:r>
      <w:r w:rsidR="001A301A">
        <w:rPr>
          <w:rFonts w:ascii="Times New Roman" w:hAnsi="Times New Roman" w:cs="Times New Roman"/>
        </w:rPr>
        <w:fldChar w:fldCharType="separate"/>
      </w:r>
      <w:r w:rsidR="001A301A" w:rsidRPr="001A301A">
        <w:rPr>
          <w:rFonts w:ascii="Times New Roman" w:hAnsi="Times New Roman" w:cs="Times New Roman"/>
        </w:rPr>
        <w:t>(Theisen et al., 2021)</w:t>
      </w:r>
      <w:r w:rsidR="001A301A">
        <w:rPr>
          <w:rFonts w:ascii="Times New Roman" w:hAnsi="Times New Roman" w:cs="Times New Roman"/>
        </w:rPr>
        <w:fldChar w:fldCharType="end"/>
      </w:r>
      <w:r w:rsidRPr="008645C9">
        <w:rPr>
          <w:rFonts w:ascii="Times New Roman" w:hAnsi="Times New Roman" w:cs="Times New Roman"/>
        </w:rPr>
        <w:t xml:space="preserve">. However, another speculation may be related to moderated drinkers’ current pattern of alcohol consumption, in that when they are consuming alcohol, they are consuming less than they used to. Indeed, self-reported data in the present study (Table 6.1) demonstrated that compared to heavy drinkers, moderated drinkers have lower AUDIT scores (i.e., alcohol use and related problems), lower AUDIT-C scores (i.e., hazardous and harmful consumption), lower drinking problem recognition (i.e., the extent to which own drinking is viewed as problematic) and increased drinking refusal self-efficacy (i.e., belief in own ability to resist alcohol). Therefore, hypothetically, it may be that when making a decision that involves alcohol, higher levels of drinking refusal self-efficacy enable moderated drinkers to adhere to self-imposed limits (e.g., only having 2 drinks during a drinking occasion) which in turn may reduce the likelihood of alcohol-related consequences, such as severe hangover. Accordingly, moderated drinkers may be able to afford to be less cautious when making alcohol alcohol-related decisions, potentially indexed by lower response thresholds. </w:t>
      </w:r>
    </w:p>
    <w:p w14:paraId="24B41BCA" w14:textId="77777777" w:rsidR="008645C9" w:rsidRPr="008645C9" w:rsidRDefault="008645C9" w:rsidP="008645C9">
      <w:pPr>
        <w:pStyle w:val="NoSpacing"/>
        <w:spacing w:line="480" w:lineRule="auto"/>
        <w:rPr>
          <w:rFonts w:ascii="Times New Roman" w:hAnsi="Times New Roman" w:cs="Times New Roman"/>
        </w:rPr>
      </w:pPr>
    </w:p>
    <w:p w14:paraId="2C9AC8FC" w14:textId="7BD7FB2F" w:rsidR="008645C9" w:rsidRPr="008645C9" w:rsidRDefault="008645C9" w:rsidP="00267934">
      <w:pPr>
        <w:pStyle w:val="NoSpacing"/>
        <w:spacing w:line="480" w:lineRule="auto"/>
        <w:rPr>
          <w:rFonts w:ascii="Times New Roman" w:hAnsi="Times New Roman" w:cs="Times New Roman"/>
        </w:rPr>
      </w:pPr>
      <w:r w:rsidRPr="008645C9">
        <w:rPr>
          <w:rFonts w:ascii="Times New Roman" w:hAnsi="Times New Roman" w:cs="Times New Roman"/>
        </w:rPr>
        <w:t xml:space="preserve">Providing partial support for the third hypothesis, we found that moderated drinkers had lower behavioural economic demand for alcohol compared to heavy drinkers. </w:t>
      </w:r>
      <w:bookmarkStart w:id="281" w:name="_Hlk103776008"/>
      <w:r w:rsidRPr="008645C9">
        <w:rPr>
          <w:rFonts w:ascii="Times New Roman" w:hAnsi="Times New Roman" w:cs="Times New Roman"/>
        </w:rPr>
        <w:t xml:space="preserve">These findings align with empirical evidence demonstrating positive associations between alcohol demand and consumption (Martínez-Loredo et al., 2021; Murphy &amp; MacKillop, 2006), however, in the current study only </w:t>
      </w:r>
      <w:proofErr w:type="spellStart"/>
      <w:r w:rsidRPr="008645C9">
        <w:rPr>
          <w:rFonts w:ascii="Times New Roman" w:hAnsi="Times New Roman" w:cs="Times New Roman"/>
        </w:rPr>
        <w:t>O</w:t>
      </w:r>
      <w:r w:rsidRPr="008645C9">
        <w:rPr>
          <w:rFonts w:ascii="Times New Roman" w:hAnsi="Times New Roman" w:cs="Times New Roman"/>
          <w:vertAlign w:val="subscript"/>
        </w:rPr>
        <w:t>max</w:t>
      </w:r>
      <w:proofErr w:type="spellEnd"/>
      <w:r w:rsidRPr="008645C9">
        <w:rPr>
          <w:rFonts w:ascii="Times New Roman" w:hAnsi="Times New Roman" w:cs="Times New Roman"/>
          <w:vertAlign w:val="subscript"/>
        </w:rPr>
        <w:t xml:space="preserve"> </w:t>
      </w:r>
      <w:r w:rsidRPr="008645C9">
        <w:rPr>
          <w:rFonts w:ascii="Times New Roman" w:hAnsi="Times New Roman" w:cs="Times New Roman"/>
        </w:rPr>
        <w:t>and elasticity significantly discriminated heavy and moderated drinkers.</w:t>
      </w:r>
      <w:bookmarkEnd w:id="281"/>
      <w:r w:rsidRPr="008645C9">
        <w:rPr>
          <w:rFonts w:ascii="Times New Roman" w:hAnsi="Times New Roman" w:cs="Times New Roman"/>
        </w:rPr>
        <w:t xml:space="preserve"> In other words, compared to current heavy drinkers, moderated drinkers showed greater sensitivity to constraints because they were less willing to allocate economic resources to obtain alcohol and were more sensitive to price increases. </w:t>
      </w:r>
      <w:bookmarkStart w:id="282" w:name="_Hlk103776025"/>
      <w:r w:rsidRPr="008645C9">
        <w:rPr>
          <w:rFonts w:ascii="Times New Roman" w:hAnsi="Times New Roman" w:cs="Times New Roman"/>
        </w:rPr>
        <w:t xml:space="preserve">Interestingly, these indices of demand are derived from the ‘persistence’ latent component of demand </w:t>
      </w:r>
      <w:r w:rsidR="001A301A">
        <w:rPr>
          <w:rFonts w:ascii="Times New Roman" w:hAnsi="Times New Roman" w:cs="Times New Roman"/>
        </w:rPr>
        <w:lastRenderedPageBreak/>
        <w:fldChar w:fldCharType="begin"/>
      </w:r>
      <w:r w:rsidR="00267934">
        <w:rPr>
          <w:rFonts w:ascii="Times New Roman" w:hAnsi="Times New Roman" w:cs="Times New Roman"/>
        </w:rPr>
        <w:instrText xml:space="preserve"> ADDIN ZOTERO_ITEM CSL_CITATION {"citationID":"RXOpaeik","properties":{"formattedCitation":"(MacKillop et al., 2009)","plainCitation":"(MacKillop et al., 2009)","noteIndex":0},"citationItems":[{"id":805,"uris":["http://zotero.org/users/7873587/items/W448MKQK"],"itemData":{"id":805,"type":"article-journal","abstract":"RATIONALE: Behavioral economic demand curves are quantitative representations of the relationship between consumption of a drug and its cost. Demand curves provide a multidimensional assessment of reinforcement, but the relationships among the various indices of reinforcement have been largely unstudied.\nOBJECTIVES: The objective of the study is to use exploratory factor analysis to examine the underlying factor structure of the facets of alcohol reinforcement generated from an alcohol demand curve.\nMATERIALS AND METHODS: Participants were 267 weekly drinkers [76% female; age M = 20.11 (SD = .1.51); drinks/week M = 14.33 (SD = 11.82)] who underwent a single group assessment session. Alcohol demand curves were generated via an alcohol purchase task, which assessed consumption at 14 levels of prices from $0 to $9. Five facets of demand were generated from the measure [intensity, elasticity, P (max) (maximum inelastic price), O (max) (maximum alcohol expenditure), and breakpoint], using both observed and derived calculations. Principal components analysis was used to examine the latent structure among the variables.\nRESULTS: The results revealed a clear two-factor solution, which were interpreted as \"Persistence,\" reflecting sensitivity to escalating price, and \"Amplitude,\" reflecting the amount consumed and spent. The two factors were generally quantitatively distinct, although O (max) loaded on both.\nCONCLUSIONS: These findings suggest that alcohol reinforcement as measured via a demand curve is binary in nature, with separate dimensions of price-sensitivity and volumetric consumption. If supported, these findings may contribute theoretically and experimentally to a reinforcement-based approach to alcohol use and misuse.","container-title":"Psychopharmacology","DOI":"10.1007/s00213-008-1367-5","ISSN":"0033-3158","issue":"1","journalAbbreviation":"Psychopharmacology (Berl)","language":"eng","note":"PMID: 18925387\nPMCID: PMC2774887","page":"33-40","source":"PubMed","title":"Latent structure of facets of alcohol reinforcement from a behavioral economic demand curve","volume":"203","author":[{"family":"MacKillop","given":"James"},{"family":"Murphy","given":"James G."},{"family":"Tidey","given":"Jennifer W."},{"family":"Kahler","given":"Christopher W."},{"family":"Ray","given":"Lara A."},{"family":"Bickel","given":"Warren K."}],"issued":{"date-parts":[["2009",3]]}}}],"schema":"https://github.com/citation-style-language/schema/raw/master/csl-citation.json"} </w:instrText>
      </w:r>
      <w:r w:rsidR="001A301A">
        <w:rPr>
          <w:rFonts w:ascii="Times New Roman" w:hAnsi="Times New Roman" w:cs="Times New Roman"/>
        </w:rPr>
        <w:fldChar w:fldCharType="separate"/>
      </w:r>
      <w:r w:rsidR="00267934" w:rsidRPr="00267934">
        <w:rPr>
          <w:rFonts w:ascii="Times New Roman" w:hAnsi="Times New Roman" w:cs="Times New Roman"/>
        </w:rPr>
        <w:t>(MacKillop et al., 2009)</w:t>
      </w:r>
      <w:r w:rsidR="001A301A">
        <w:rPr>
          <w:rFonts w:ascii="Times New Roman" w:hAnsi="Times New Roman" w:cs="Times New Roman"/>
        </w:rPr>
        <w:fldChar w:fldCharType="end"/>
      </w:r>
      <w:r w:rsidRPr="008645C9">
        <w:rPr>
          <w:rFonts w:ascii="Times New Roman" w:hAnsi="Times New Roman" w:cs="Times New Roman"/>
        </w:rPr>
        <w:t xml:space="preserve">, which reflects the (in)sensitivity of heavy drinking to environmental constraints. These findings support a recent claim </w:t>
      </w:r>
      <w:r w:rsidR="00267934">
        <w:rPr>
          <w:rFonts w:ascii="Times New Roman" w:hAnsi="Times New Roman" w:cs="Times New Roman"/>
        </w:rPr>
        <w:fldChar w:fldCharType="begin"/>
      </w:r>
      <w:r w:rsidR="00267934">
        <w:rPr>
          <w:rFonts w:ascii="Times New Roman" w:hAnsi="Times New Roman" w:cs="Times New Roman"/>
        </w:rPr>
        <w:instrText xml:space="preserve"> ADDIN ZOTERO_ITEM CSL_CITATION {"citationID":"d5RvXPii","properties":{"formattedCitation":"(Acuff et al., 2021)","plainCitation":"(Acuff et al., 2021)","noteIndex":0},"citationItems":[{"id":1634,"uris":["http://zotero.org/users/7873587/items/UBT7276X"],"itemData":{"id":1634,"type":"article-journal","abstract":"BACKGROUND: Behavioral economic theory predicts decisions to drink are cost benefit analyses, and heavy episodic drinking occurs when benefits outweigh costs. Social interaction is a known benefit associated with alcohol use. Although heavy drinking is typically considered more likely during more social drinking events, people who drink heavily in isolation tend to report greater severity of use. This study explicitly disaggregates between-person and within-person effects of sociality on heavy episodic drinking and examines behavioral economic moderators.\nMETHODS: We used day-level survey data over an 18-week period in a community adult sample recruited through crowdsourcing (mTurk; N = 223). Behavioral economic indices were examined to determine if macro person-level variables (alcohol demand, delay discounting, proportionate alcohol-related reinforcement [R-ratio]) interact with event-level social context to predict heavy drinking episodes.\nRESULTS: Mixed effect models indicated significant between-person and within-person social context associations. Specifically, people with a higher proportion of total drinking occasions in social contexts had decreased odds of heavy drinking, whereas being in a social context for a specific drinking occasion was associated with increased odds of heavy drinking. Person-level R-Ratio, demand elasticity, and breakpoint variables interacted with social context to predict heavy episodic drinking, such that the event-level social context association was stronger when R-Ratios, alcohol price insensitivity, and demand breakpoints were high.\nCONCLUSIONS: These results demonstrate an ecological fallacy, in which the size and direction of effects were divergent at different levels of analysis, and highlight the potential for merging behavioral economic variables with proximal contextual effects to predict heavy drinking.","container-title":"Drug and Alcohol Dependence","DOI":"10.1016/j.drugalcdep.2021.108523","ISSN":"1879-0046","journalAbbreviation":"Drug Alcohol Depend","language":"eng","note":"PMID: 33465607\nPMCID: PMC7889694","page":"108523","source":"PubMed","title":"Behavioral economics and the aggregate versus proximal impact of sociality on heavy drinking","volume":"220","author":[{"family":"Acuff","given":"Samuel F."},{"family":"Stoops","given":"William W."},{"family":"Strickland","given":"Justin C."}],"issued":{"date-parts":[["2021",3,1]]}}}],"schema":"https://github.com/citation-style-language/schema/raw/master/csl-citation.json"} </w:instrText>
      </w:r>
      <w:r w:rsidR="00267934">
        <w:rPr>
          <w:rFonts w:ascii="Times New Roman" w:hAnsi="Times New Roman" w:cs="Times New Roman"/>
        </w:rPr>
        <w:fldChar w:fldCharType="separate"/>
      </w:r>
      <w:r w:rsidR="00267934" w:rsidRPr="00267934">
        <w:rPr>
          <w:rFonts w:ascii="Times New Roman" w:hAnsi="Times New Roman" w:cs="Times New Roman"/>
        </w:rPr>
        <w:t>(Acuff et al., 2021)</w:t>
      </w:r>
      <w:r w:rsidR="00267934">
        <w:rPr>
          <w:rFonts w:ascii="Times New Roman" w:hAnsi="Times New Roman" w:cs="Times New Roman"/>
        </w:rPr>
        <w:fldChar w:fldCharType="end"/>
      </w:r>
      <w:r w:rsidRPr="008645C9">
        <w:rPr>
          <w:rFonts w:ascii="Times New Roman" w:hAnsi="Times New Roman" w:cs="Times New Roman"/>
        </w:rPr>
        <w:t xml:space="preserve"> that researchers should try to distinguish the contextual factors that enable a person to continue drinking heavily from those contextual factors that prompt a person to reduce their alcohol intake.</w:t>
      </w:r>
      <w:bookmarkEnd w:id="282"/>
      <w:r w:rsidRPr="008645C9">
        <w:rPr>
          <w:rFonts w:ascii="Times New Roman" w:hAnsi="Times New Roman" w:cs="Times New Roman"/>
        </w:rPr>
        <w:t xml:space="preserve"> These findings also align with research distinguishing alcohol moderation specifically from other drinking outcomes (i.e., abstinence and continued heavy drinking) as characterized by behavioural flexibility that facilitates favourable contextual and monetary allocation patterns (Tucker et al., 2016, 2021). Therefore,</w:t>
      </w:r>
      <w:bookmarkStart w:id="283" w:name="_Hlk103777091"/>
      <w:bookmarkStart w:id="284" w:name="_Hlk94813178"/>
      <w:r w:rsidRPr="008645C9">
        <w:rPr>
          <w:rFonts w:ascii="Times New Roman" w:hAnsi="Times New Roman" w:cs="Times New Roman"/>
        </w:rPr>
        <w:t xml:space="preserve"> this may provide one potential explanation as to why some of the APT indices (i.e., </w:t>
      </w:r>
      <w:proofErr w:type="spellStart"/>
      <w:r w:rsidRPr="008645C9">
        <w:rPr>
          <w:rFonts w:ascii="Times New Roman" w:hAnsi="Times New Roman" w:cs="Times New Roman"/>
        </w:rPr>
        <w:t>O</w:t>
      </w:r>
      <w:r w:rsidRPr="008645C9">
        <w:rPr>
          <w:rFonts w:ascii="Times New Roman" w:hAnsi="Times New Roman" w:cs="Times New Roman"/>
          <w:vertAlign w:val="subscript"/>
        </w:rPr>
        <w:t>max</w:t>
      </w:r>
      <w:proofErr w:type="spellEnd"/>
      <w:r w:rsidRPr="008645C9">
        <w:rPr>
          <w:rFonts w:ascii="Times New Roman" w:hAnsi="Times New Roman" w:cs="Times New Roman"/>
        </w:rPr>
        <w:t xml:space="preserve"> and elasticity) significantly differentiate between drinker type, but others do not. Another potential explanation may be that unlike contemporary accounts of VBDM which acknowledge that a diverse range of input processes (internal and external) contribute to value (Berkman et al., 2017), purchase tasks such as the APT are confined to price. Indeed, a recent commentary (Acuff &amp; Murphy, 2021) speculated upon the potential to modify hypothetical purchase tasks in future research by including constraints beyond price, which will in turn facilitate future opportunities for idiographic measurement using these tools.</w:t>
      </w:r>
    </w:p>
    <w:bookmarkEnd w:id="283"/>
    <w:bookmarkEnd w:id="284"/>
    <w:p w14:paraId="491D32A7" w14:textId="77777777" w:rsidR="008645C9" w:rsidRPr="008645C9" w:rsidRDefault="008645C9" w:rsidP="008645C9">
      <w:pPr>
        <w:pStyle w:val="NoSpacing"/>
        <w:spacing w:line="480" w:lineRule="auto"/>
        <w:rPr>
          <w:rFonts w:ascii="Times New Roman" w:hAnsi="Times New Roman" w:cs="Times New Roman"/>
        </w:rPr>
      </w:pPr>
    </w:p>
    <w:p w14:paraId="002D18F9" w14:textId="38C6B851" w:rsidR="008645C9" w:rsidRPr="008645C9" w:rsidRDefault="008645C9" w:rsidP="00267934">
      <w:pPr>
        <w:pStyle w:val="NoSpacing"/>
        <w:spacing w:line="480" w:lineRule="auto"/>
        <w:rPr>
          <w:rFonts w:ascii="Times New Roman" w:hAnsi="Times New Roman" w:cs="Times New Roman"/>
        </w:rPr>
      </w:pPr>
      <w:r w:rsidRPr="008645C9">
        <w:rPr>
          <w:rFonts w:ascii="Times New Roman" w:hAnsi="Times New Roman" w:cs="Times New Roman"/>
        </w:rPr>
        <w:t xml:space="preserve">Our findings support hypothesis four, and in doing so, align with existing research demonstrating inverse associations between substance-free reinforcement and substance use </w:t>
      </w:r>
      <w:r w:rsidR="0026793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{"citationID":"glBPv3GA","properties":{"formattedCitation":"(Acuff et al., 2019; Ginsburg &amp; Lamb, 2018; Murphy et al., 2021; Vuchinich &amp; Tucker, 1983)","plainCitation":"(Acuff et al., 2019; Ginsburg &amp; Lamb, 2018; Murphy et al., 2021; Vuchinich &amp; Tucker, 1983)","noteIndex":0},"citationItems":[{"id":1452,"uris":["http://zotero.org/users/7873587/items/2ENG4DDR"],"itemData":{"id":1452,"type":"article-journal","abstract":"A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G."}],"issued":{"date-parts":[["2019"]]}},"label":"act"},{"id":494,"uris":["http://zotero.org/users/7873587/items/XWF5I59S"],"itemData":{"id":494,"type":"article-journal","abstract":"PURPOSE: Engaging in alternative activities in the context where opioid use had occurred can constrain opioid use and helps to maintain recovery. However, \"frustration stress\" that occurs when contingencies on these alternative activities unexpectedly change (e.g., job loss or divorce) is thought to threaten recovery by prompting a return to drug use. Yet it remains unclear whether frustration stress can result in a return to drug use, and if so, whether it returns to prior levels or to even greater levels.\nPROCEDURES: We examine the impact of unsignaled extinction of alternative reinforcement on opioid use. Rats were trained to respond for an etonitazene solution (5μg/ml, p.o.), then for food in alternating daily sessions. Subsequently, food and etonitazene were made concurrently available. Under concurrent availability conditions, rats were exposed to 1, 2, or 4 sessions of unsignaled food extinction, and effects on responding for etonitazene and food measured.\nFINDINGS: When etonitazene was the only reinforcer available, rats earned 58.3±20.3μg/kg/session (mean±S.E.M.). When food was available in alternating sessions, etonitazene earned was unchanged (65.3±19.2μg/kg/session). Concurrent food availability decreased etonitazene earned (13.5±4.5μg/kg/session). Unsignaled food extinction returned etonitazene earnedto levels similar to (60.5±18.4μg/kg/session), but not greater than, those observed previously when etonitazene alone was available.\nCONCLUSIONS: Unsignaled extinction of alternative behavior controlling opioid use can result in increased opioid use, but this use does not rise beyond previous levels observed when opioid use is unconstrained by alternative reinforced behavior.","container-title":"Drug and Alcohol Dependence","DOI":"10.1016/j.drugalcdep.2017.09.016","ISSN":"1879-0046","journalAbbreviation":"Drug Alcohol Depend","language":"eng","note":"PMID: 29136564","page":"33-39","source":"PubMed","title":"Frustration stress (unexpected loss of alternative reinforcement) increases opioid self-administration in a model of recovery","volume":"182","author":[{"family":"Ginsburg","given":"Brett C."},{"family":"Lamb","given":"R. J."}],"issued":{"date-parts":[["2018",1,1]]}},"label":"act"},{"id":491,"uris":["http://zotero.org/users/7873587/items/HW56HPH7"],"itemData":{"id":491,"type":"article-journal","abstract":"Background Behavioral economic theory predicts that low access to environmental reward is a risk factor for alcohol use disorder (AUD). The Substance-Free Activity Session (SFAS) is a behavioral economic supplement to standard brief alcohol interventions that attempts to increase environmental reward and may therefore have beneficial effects, particularly for individuals with low levels of environmental reward. Methods Participants were 393 college students who reported at least 2 heavy-drinking episodes in the past month. Participants were randomly assigned to 1 of 3 conditions following a baseline assessment: a standard alcohol-focused brief motivational intervention plus relaxation training session (BMI + RT), BMI plus Substance-Free Activity Session (BMI + SFAS), or an assessment-only control condition (AO). In a secondary analysis of the data from this study, we used person-centered statistical techniques to describe trajectories of alcohol severity and environmental reward over a 16-month follow-up and examined whether environmental reward levels moderated the effectiveness of the interventions. Results Piecewise growth mixture modeling identified 2 trajectories of reward availability: low increasing (LR; n = 120) and high stable (HR; n = 273). Depressive symptoms, cannabis use, sensation seeking, and low life satisfaction were associated with a greater probability of classification in the LR trajectory. Alcohol severity was greater in the LR trajectory than the HR trajectory. For students in the LR trajectory, at 1, 6, and 12 months, BMI + SFAS led to greater increases in reward availability and reduced levels of alcohol severity compared with the BMI + RT and AO conditions and at 16 months compared with AO. Conclusions Young adults with low levels of environmental reward are at heightened risk for greater alcohol severity and may show greater benefit from brief alcohol interventions that focus on increasing substance-free reward than individuals who are not deficient in reward availability.","container-title":"Alcoholism: Clinical and Experimental Research","DOI":"10.1111/acer.14681","ISSN":"1530-0277","issue":"10","language":"en","page":"2147-2159","source":"Wiley Online Library","title":"Trajectories of reward availability moderate the impact of brief alcohol interventions on alcohol severity in heavy-drinking young adults","volume":"45","author":[{"family":"Murphy","given":"James G."},{"family":"Campbell","given":"Kevin W."},{"family":"Joyner","given":"Keanan J."},{"family":"Dennhardt","given":"Ashley A."},{"family":"Martens","given":"Matthew P."},{"family":"Borsari","given":"Brian"}],"issued":{"date-parts":[["2021"]]}},"label":"act"},{"id":493,"uris":["http://zotero.org/users/7873587/items/UCY43V3Z"],"itemData":{"id":493,"type":"article-journal","abstract":"54 male college students were placed in a choice situation with 2 behavioral alternatives: One produced access to alcohol consumption, and one produced access to money. Any alcohol chosen was available during the session, and constraints on access to it were held constant. Two independent variables involving constraints on access to money were manipulated in a 2 × 3 factorial design: (a) amount of money available (either 2 or 10 cents per unit or behavioral allocation) and (b) delay in receipt of the money (either no delay, a 2-wk delay, or an 8-wk delay). The primary dependent measures were the proportion of responses allocated to gain access to alcohol, response-outcome expectations, and mood state. Results show that Ss' preference for alcohol varied negatively with amount of money and positively with delay. Expectations and mood states were not related to Ss' choice behavior. Results support a formulation regarding the determinants of drinking that is developed from the perspective of behavioral theories of choice. (37 ref) (PsycINFO Database Record (c) 2016 APA, all rights reserved)","container-title":"Journal of Abnormal Psychology","DOI":"10.1037/0021-843X.92.4.408","ISSN":"1939-1846","issue":"4","page":"408-416","source":"APA PsycNet","title":"Behavioral theories of choice as a framework for studying drinking behavior","volume":"92","author":[{"family":"Vuchinich","given":"Rudy E."},{"family":"Tucker","given":"Jalie A."}],"issued":{"date-parts":[["1983"]]}},"label":"act"}],"schema":"https://github.com/citation-style-language/schema/raw/master/csl-citation.json"} </w:instrText>
      </w:r>
      <w:r w:rsidR="00267934">
        <w:rPr>
          <w:rFonts w:ascii="Times New Roman" w:hAnsi="Times New Roman" w:cs="Times New Roman"/>
        </w:rPr>
        <w:fldChar w:fldCharType="separate"/>
      </w:r>
      <w:r w:rsidR="00267934" w:rsidRPr="00267934">
        <w:rPr>
          <w:rFonts w:ascii="Times New Roman" w:hAnsi="Times New Roman" w:cs="Times New Roman"/>
        </w:rPr>
        <w:t>(Acuff et al., 2019; Ginsburg &amp; Lamb, 2018; Murphy et al., 2021; Vuchinich &amp; Tucker, 1983)</w:t>
      </w:r>
      <w:r w:rsidR="00267934">
        <w:rPr>
          <w:rFonts w:ascii="Times New Roman" w:hAnsi="Times New Roman" w:cs="Times New Roman"/>
        </w:rPr>
        <w:fldChar w:fldCharType="end"/>
      </w:r>
      <w:r w:rsidR="00267934">
        <w:rPr>
          <w:rFonts w:ascii="Times New Roman" w:hAnsi="Times New Roman" w:cs="Times New Roman"/>
        </w:rPr>
        <w:t>.</w:t>
      </w:r>
      <w:r w:rsidRPr="008645C9">
        <w:rPr>
          <w:rFonts w:ascii="Times New Roman" w:hAnsi="Times New Roman" w:cs="Times New Roman"/>
        </w:rPr>
        <w:t xml:space="preserve"> More specifically, our finding that alcohol moderation is characterized by shifts in patterns of behaviour away from alcohol-related activities and towards activities that do not involve alcohol corroborates findings from behavioural economic research using measures of monetary resource allocation (Tucker et al., 2016, 2021). Crucially, however, our findings expand upon the existing research because to the best of our knowledge, this is the first cross-</w:t>
      </w:r>
      <w:r w:rsidRPr="008645C9">
        <w:rPr>
          <w:rFonts w:ascii="Times New Roman" w:hAnsi="Times New Roman" w:cs="Times New Roman"/>
        </w:rPr>
        <w:lastRenderedPageBreak/>
        <w:t xml:space="preserve">sectional study to apply a behavioural economic framework to characterize alcohol moderation without treatment in people who were heavy—rather than dependent—drinkers. </w:t>
      </w:r>
      <w:bookmarkStart w:id="285" w:name="_Hlk103779388"/>
      <w:bookmarkStart w:id="286" w:name="_Hlk103774347"/>
      <w:r w:rsidRPr="008645C9">
        <w:rPr>
          <w:rFonts w:ascii="Times New Roman" w:hAnsi="Times New Roman" w:cs="Times New Roman"/>
        </w:rPr>
        <w:t xml:space="preserve">A further novel contribution of this study is that prior to reducing their consumption, moderated drinkers were on average drinking heavily for a shorter timeframe than reported in previous studies conducted in the USA (Tucker et al., 2016, 2021). </w:t>
      </w:r>
      <w:bookmarkStart w:id="287" w:name="_Hlk103774403"/>
      <w:bookmarkEnd w:id="285"/>
      <w:r w:rsidRPr="008645C9">
        <w:rPr>
          <w:rFonts w:ascii="Times New Roman" w:hAnsi="Times New Roman" w:cs="Times New Roman"/>
        </w:rPr>
        <w:t>For example, in Tucker et al. (2016) the mean duration was approximately 17 years whereas in the current study this estimate was approximately 5 years.</w:t>
      </w:r>
    </w:p>
    <w:bookmarkEnd w:id="286"/>
    <w:bookmarkEnd w:id="287"/>
    <w:p w14:paraId="5D23B5F0" w14:textId="77777777" w:rsidR="008645C9" w:rsidRPr="008645C9" w:rsidRDefault="008645C9" w:rsidP="008645C9">
      <w:pPr>
        <w:pStyle w:val="NoSpacing"/>
        <w:spacing w:line="480" w:lineRule="auto"/>
        <w:rPr>
          <w:rFonts w:ascii="Times New Roman" w:hAnsi="Times New Roman" w:cs="Times New Roman"/>
        </w:rPr>
      </w:pPr>
    </w:p>
    <w:p w14:paraId="3E079BD8" w14:textId="77777777" w:rsidR="008645C9" w:rsidRPr="008645C9" w:rsidRDefault="008645C9" w:rsidP="008645C9">
      <w:pPr>
        <w:pStyle w:val="NoSpacing"/>
        <w:spacing w:line="480" w:lineRule="auto"/>
        <w:rPr>
          <w:rFonts w:ascii="Times New Roman" w:hAnsi="Times New Roman" w:cs="Times New Roman"/>
        </w:rPr>
      </w:pPr>
      <w:r w:rsidRPr="008645C9">
        <w:rPr>
          <w:rFonts w:ascii="Times New Roman" w:hAnsi="Times New Roman" w:cs="Times New Roman"/>
        </w:rPr>
        <w:t xml:space="preserve">Although we did not recruit a clinical sample, our findings are consistent with efficacious treatment and brief interventions which broadly aim to increase substance-free reinforcement (Daughters et al., 2018; </w:t>
      </w:r>
      <w:proofErr w:type="spellStart"/>
      <w:r w:rsidRPr="008645C9">
        <w:rPr>
          <w:rFonts w:ascii="Times New Roman" w:hAnsi="Times New Roman" w:cs="Times New Roman"/>
        </w:rPr>
        <w:t>Fazzino</w:t>
      </w:r>
      <w:proofErr w:type="spellEnd"/>
      <w:r w:rsidRPr="008645C9">
        <w:rPr>
          <w:rFonts w:ascii="Times New Roman" w:hAnsi="Times New Roman" w:cs="Times New Roman"/>
        </w:rPr>
        <w:t xml:space="preserve"> et al., 2019; Murphy, </w:t>
      </w:r>
      <w:proofErr w:type="spellStart"/>
      <w:r w:rsidRPr="008645C9">
        <w:rPr>
          <w:rFonts w:ascii="Times New Roman" w:hAnsi="Times New Roman" w:cs="Times New Roman"/>
        </w:rPr>
        <w:t>Dennhardt</w:t>
      </w:r>
      <w:proofErr w:type="spellEnd"/>
      <w:r w:rsidRPr="008645C9">
        <w:rPr>
          <w:rFonts w:ascii="Times New Roman" w:hAnsi="Times New Roman" w:cs="Times New Roman"/>
        </w:rPr>
        <w:t>, et al., 2012; Petry et al., 2017) as well findings that alongside recovery, anhedonia diminishes (Garfield et al., 2014), potentially reflecting shifts to more alcohol-free reinforcement via interests and hobbies.</w:t>
      </w:r>
      <w:bookmarkStart w:id="288" w:name="_Hlk103283604"/>
      <w:r w:rsidRPr="008645C9">
        <w:rPr>
          <w:rFonts w:ascii="Times New Roman" w:hAnsi="Times New Roman" w:cs="Times New Roman"/>
        </w:rPr>
        <w:t xml:space="preserve"> Our findings cannot speak to causal mechanisms that underpin alcohol moderation. However, increasing the availability of, and capacity to derive reinforcement from, alcohol-free alternatives have been highlighted as important targets to promote behaviour change (McKay, 2017).</w:t>
      </w:r>
      <w:bookmarkStart w:id="289" w:name="_Hlk103284105"/>
      <w:bookmarkEnd w:id="288"/>
      <w:r w:rsidRPr="008645C9">
        <w:rPr>
          <w:rFonts w:ascii="Times New Roman" w:hAnsi="Times New Roman" w:cs="Times New Roman"/>
        </w:rPr>
        <w:t xml:space="preserve"> Consistent with molar behavioural economic accounts (Bickel et al., 2014; Murphy, MacKillop, et al., 2012; </w:t>
      </w:r>
      <w:proofErr w:type="spellStart"/>
      <w:r w:rsidRPr="008645C9">
        <w:rPr>
          <w:rFonts w:ascii="Times New Roman" w:hAnsi="Times New Roman" w:cs="Times New Roman"/>
        </w:rPr>
        <w:t>Rachlin</w:t>
      </w:r>
      <w:proofErr w:type="spellEnd"/>
      <w:r w:rsidRPr="008645C9">
        <w:rPr>
          <w:rFonts w:ascii="Times New Roman" w:hAnsi="Times New Roman" w:cs="Times New Roman"/>
        </w:rPr>
        <w:t xml:space="preserve">, 1997; Tucker et al., 2021; </w:t>
      </w:r>
      <w:proofErr w:type="spellStart"/>
      <w:r w:rsidRPr="008645C9">
        <w:rPr>
          <w:rFonts w:ascii="Times New Roman" w:hAnsi="Times New Roman" w:cs="Times New Roman"/>
        </w:rPr>
        <w:t>Vuchinich</w:t>
      </w:r>
      <w:proofErr w:type="spellEnd"/>
      <w:r w:rsidRPr="008645C9">
        <w:rPr>
          <w:rFonts w:ascii="Times New Roman" w:hAnsi="Times New Roman" w:cs="Times New Roman"/>
        </w:rPr>
        <w:t xml:space="preserve"> &amp; Heather, 2003) then, alcohol moderation in heavy drinkers is characterized by higher value ascribed to sources of alcohol-free reinforcement relative to value ascribed to alcohol.</w:t>
      </w:r>
      <w:bookmarkEnd w:id="289"/>
      <w:r w:rsidRPr="008645C9">
        <w:rPr>
          <w:rFonts w:ascii="Times New Roman" w:hAnsi="Times New Roman" w:cs="Times New Roman"/>
        </w:rPr>
        <w:t xml:space="preserve"> </w:t>
      </w:r>
    </w:p>
    <w:p w14:paraId="44F285A9" w14:textId="77777777" w:rsidR="008645C9" w:rsidRPr="008645C9" w:rsidRDefault="008645C9" w:rsidP="008645C9">
      <w:pPr>
        <w:pStyle w:val="NoSpacing"/>
        <w:spacing w:line="480" w:lineRule="auto"/>
        <w:rPr>
          <w:rFonts w:ascii="Times New Roman" w:hAnsi="Times New Roman" w:cs="Times New Roman"/>
        </w:rPr>
      </w:pPr>
    </w:p>
    <w:p w14:paraId="26FE7638" w14:textId="675556C0" w:rsidR="008645C9" w:rsidRPr="008645C9" w:rsidRDefault="008645C9" w:rsidP="00267934">
      <w:pPr>
        <w:pStyle w:val="NoSpacing"/>
        <w:spacing w:line="480" w:lineRule="auto"/>
        <w:rPr>
          <w:rFonts w:ascii="Times New Roman" w:hAnsi="Times New Roman" w:cs="Times New Roman"/>
        </w:rPr>
      </w:pPr>
      <w:r w:rsidRPr="008645C9">
        <w:rPr>
          <w:rFonts w:ascii="Times New Roman" w:hAnsi="Times New Roman" w:cs="Times New Roman"/>
        </w:rPr>
        <w:t xml:space="preserve">There are several important limitations to consider. Firstly, although all participants self-reported consumption of at least 28 alcohol units per week either currently or in the past, we could not establish if people who had successfully moderated their alcohol consumption had historically been drinking at the same high level as the group who were currently drinking </w:t>
      </w:r>
      <w:r w:rsidRPr="008645C9">
        <w:rPr>
          <w:rFonts w:ascii="Times New Roman" w:hAnsi="Times New Roman" w:cs="Times New Roman"/>
        </w:rPr>
        <w:lastRenderedPageBreak/>
        <w:t xml:space="preserve">heavily. Indeed, comparison of retrospective AUDIT-C scores in the moderated drinker group with current AUDIT-C scores in the heavy drinker group (see Table 6.1) suggest that the groups were not perfectly matched in this regard. There may also have been other unmeasured variables that discriminated the groups prior to moderation (e.g., socioeconomic status) that were not captured in this study. Secondly, this study took place in the UK with a predominantly white sample and during a global pandemic (COVID-19) which may have inadvertently affected our variables of interest, therefore limiting the generalizability of these findings to other contexts and populations. For example, due to lockdown restrictions, many people are expected to have experienced unprecedented barriers to engagement with alcohol-free alternative reinforcers (Acuff et al., 2020). Thirdly, we took and then modified an existing measure of alcohol-free reinforcement to address some of the existing limitations (e.g., updating item content; Acuff et al., 2019), however there is likely a reasonable degree of measurement error in the quantification of alcohol-free reinforcement because many of the updated items comprise social activities. </w:t>
      </w:r>
      <w:bookmarkStart w:id="290" w:name="_Hlk103176763"/>
      <w:bookmarkStart w:id="291" w:name="_Hlk103713668"/>
      <w:bookmarkStart w:id="292" w:name="_Hlk106865811"/>
      <w:r w:rsidRPr="008645C9">
        <w:rPr>
          <w:rFonts w:ascii="Times New Roman" w:hAnsi="Times New Roman" w:cs="Times New Roman"/>
        </w:rPr>
        <w:t xml:space="preserve">Furthermore, although we did not observe group differences in some demand indices (e.g., breakpoint), this may be due to the fact that the limited range of price points (8 values including 0) on the APT reduced measurement precision </w:t>
      </w:r>
      <w:r w:rsidR="00267934">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{"citationID":"tBzJRHIt","properties":{"formattedCitation":"(Kaplan et al., 2018; Zvorsky et al., 2019b)","plainCitation":"(Kaplan et al., 2018; Zvorsky et al., 2019b)","dontUpdate":true,"noteIndex":0},"citationItems":[{"id":512,"uris":["http://zotero.org/users/7873587/items/ABR7WEPT"],"itemData":{"id":512,"type":"article-journal","abstract":"BACKGROUND: The Alcohol Purchase Task (APT) is a behavioral economic assessment of alcohol demand (i.e., motivation for consumption during escalating levels of response cost) using simulated marketplace survey techniques. While the APT is often used and widely cited, to date, there has yet to be a systematic review elucidating the variability in administering and analyzing the APT. The purpose of the current paper is to address this knowledge gap in the literature by cataloging the various purchase task methodologies and providing recommendations and future areas of inquiry.\nMETHODS: The PRISMA (Preferred Reporting Items for Systematic Reviews and Meta-Analyses) methodology was utilized (Prospero: No. CRD42017072159). Searches through Google Scholar, PsychINFO, PubMed, and SpringerLink databases identified 47 empirical articles referencing the use of an APT and published through the year 2016. Articles were coded for demographic and procedural characteristics, structural characteristics of the APT itself, and characteristics of data analysis.\nRESULTS: Results indicate substantial variation within categories and suggest that there is no standard approach to administering the APT or analyzing the responses generated from it. The results underscore the need for researchers to report as much information as possible related to administration, instructions, price structuring, and analytical approach, as we found that many articles did not provide these details.\nCONCLUSION: Enhancing the transparency of APT methods and analyses in published reports will aid in reproducibility as well as future meta-analytic studies of alcohol demand that could lead to the development of best-practice recommendations for this procedure.","container-title":"Drug and Alcohol Dependence","DOI":"10.1016/j.drugalcdep.2018.06.029","ISSN":"1879-0046","journalAbbreviation":"Drug Alcohol Depend","language":"eng","note":"PMID: 30099174","page":"117-140","source":"PubMed","title":"Understanding alcohol motivation using the alcohol purchase task: A methodological systematic review","title-short":"Understanding alcohol motivation using the alcohol purchase task","volume":"191","author":[{"family":"Kaplan","given":"Brent A."},{"family":"Foster","given":"Rachel N. S."},{"family":"Reed","given":"Derek D."},{"family":"Amlung","given":"Michael"},{"family":"Murphy","given":"James G."},{"family":"MacKillop","given":"James"}],"issued":{"date-parts":[["2018",10,1]]}},"label":"act"},{"id":717,"uris":["http://zotero.org/users/7873587/items/DEGKS479"],"itemData":{"id":717,"type":"article-journal","abstract":"Hypothetical Purchase Tasks (HPTs) simulate demand for a substance as a function of escalating price. HPTs are increasingly used to examine relationships between substance-related correlates and outcomes and demand typically characterized using a common battery of indices (Intensity, Omax, Pmax, Breakpoint, Elasticity). This review examines the relative sensitivity of the HPT indices. Reports were identified using the search term “purchase task” in PubMed and Web of Science. For inclusion, reports had to be original studies in English, examine relationships between HPT indices and substance-related correlates or outcomes, and appear in a peer-reviewed journal through December 2017. Indices were compared using effect sizes (Cohen's d) and the proportion of studies in which statistically significant relationships were observed. The search identified 1274 reports with 114 (9%) receiving full-text review and 82 (6%) meeting inclusion criteria. 41 reports examined alcohol, 34 examined cigarettes/nicotine products, and 10 examined other substances. Overall, statistically significant relationships between HPT indices and substance-related correlates and outcomes were most often reported for Intensity (88.61%, 70/79), followed by Omax (81.16%, 56/69), Elasticity (72.15%, 57/59), Breakpoint (62.12%, 41/66), and Pmax (48.08%; 25/52). The largest effect sizes were observed for Intensity (0.75 ± 0.04, CI 0.67–0.84) and Omax (0.64 ± 0.04, CI 0.56–0.71), followed by Elasticity (0.44 ± 0.04, CI 0.37–0.51), Breakpoint (0.30 ± 0.03, CI 0.25–0.36), and Pmax (0.25 ± 0.04, CI 0.18–0.33). Patterns were largely consistent across substances. In conclusion, HPTs can be highly effective in revealing relationships between demand and substance-related correlates and outcomes, with Intensity and Omax exhibiting the greatest sensitivity.","collection-title":"Behavior Change, Health, and Health Disparities 2019: Opioids, Tobacco, and Treatment Adherence","container-title":"Preventive Medicine","DOI":"10.1016/j.ypmed.2019.105789","ISSN":"0091-7435","journalAbbreviation":"Preventive Medicine","language":"en","page":"105789","source":"ScienceDirect","title":"Sensitivity of hypothetical purchase task indices when studying substance use: A systematic literature review","title-short":"Sensitivity of hypothetical purchase task indices when studying substance use","volume":"128","author":[{"family":"Zvorsky","given":"Ivori"},{"family":"Nighbor","given":"Tyler D."},{"family":"Kurti","given":"Allison N."},{"family":"DeSarno","given":"Michael"},{"family":"Naudé","given":"Gideon"},{"family":"Reed","given":"Derek D."},{"family":"Higgins","given":"Stephen T."}],"issued":{"date-parts":[["2019",11,1]]}},"label":"act"}],"schema":"https://github.com/citation-style-language/schema/raw/master/csl-citation.json"} </w:instrText>
      </w:r>
      <w:r w:rsidR="00267934">
        <w:rPr>
          <w:rFonts w:ascii="Times New Roman" w:hAnsi="Times New Roman" w:cs="Times New Roman"/>
        </w:rPr>
        <w:fldChar w:fldCharType="separate"/>
      </w:r>
      <w:r w:rsidR="00267934" w:rsidRPr="00267934">
        <w:rPr>
          <w:rFonts w:ascii="Times New Roman" w:hAnsi="Times New Roman" w:cs="Times New Roman"/>
        </w:rPr>
        <w:t>(Kaplan et al., 2018; Zvorsky et al., 2019)</w:t>
      </w:r>
      <w:r w:rsidR="00267934">
        <w:rPr>
          <w:rFonts w:ascii="Times New Roman" w:hAnsi="Times New Roman" w:cs="Times New Roman"/>
        </w:rPr>
        <w:fldChar w:fldCharType="end"/>
      </w:r>
      <w:bookmarkEnd w:id="290"/>
      <w:r w:rsidRPr="008645C9">
        <w:rPr>
          <w:rFonts w:ascii="Times New Roman" w:hAnsi="Times New Roman" w:cs="Times New Roman"/>
        </w:rPr>
        <w:t xml:space="preserve"> and requires further validation</w:t>
      </w:r>
      <w:bookmarkEnd w:id="291"/>
      <w:r w:rsidRPr="008645C9">
        <w:rPr>
          <w:rFonts w:ascii="Times New Roman" w:hAnsi="Times New Roman" w:cs="Times New Roman"/>
        </w:rPr>
        <w:t xml:space="preserve">. </w:t>
      </w:r>
      <w:bookmarkEnd w:id="292"/>
      <w:r w:rsidRPr="008645C9">
        <w:rPr>
          <w:rFonts w:ascii="Times New Roman" w:hAnsi="Times New Roman" w:cs="Times New Roman"/>
        </w:rPr>
        <w:t>Fourthly, the cross-sectional nature of the study means that it is not possible to establish any causal or temporal relationships between the variables measured in this study and alcohol consumption. Finally, patterns of alcohol consumption were assessed online which mean that responses could have been biased. However, our online recruitment took place via Prolific which has extremely high levels of data quality, including attention and honesty from participants (Peer et al., 2021).</w:t>
      </w:r>
    </w:p>
    <w:p w14:paraId="0B0A034F" w14:textId="77777777" w:rsidR="008645C9" w:rsidRPr="008645C9" w:rsidRDefault="008645C9" w:rsidP="008645C9">
      <w:pPr>
        <w:pStyle w:val="NoSpacing"/>
        <w:spacing w:line="480" w:lineRule="auto"/>
        <w:rPr>
          <w:rFonts w:ascii="Times New Roman" w:hAnsi="Times New Roman" w:cs="Times New Roman"/>
        </w:rPr>
      </w:pPr>
    </w:p>
    <w:p w14:paraId="1A2DB3AF" w14:textId="41450D61" w:rsidR="008645C9" w:rsidRPr="008645C9" w:rsidRDefault="008645C9" w:rsidP="0067750A">
      <w:pPr>
        <w:pStyle w:val="NoSpacing"/>
        <w:spacing w:line="480" w:lineRule="auto"/>
        <w:rPr>
          <w:rFonts w:ascii="Times New Roman" w:hAnsi="Times New Roman" w:cs="Times New Roman"/>
        </w:rPr>
      </w:pPr>
      <w:r w:rsidRPr="008645C9">
        <w:rPr>
          <w:rFonts w:ascii="Times New Roman" w:hAnsi="Times New Roman" w:cs="Times New Roman"/>
        </w:rPr>
        <w:lastRenderedPageBreak/>
        <w:t>To address these limitations, future research could employ longitudinal designs (e.g., following a person over repeated time points) to explore how behavioural economic and VBDM parameters alter during behaviour change. This might encompass studies of drinkers recruited from both community (Hardy et al., 2021) and treatment (</w:t>
      </w:r>
      <w:proofErr w:type="spellStart"/>
      <w:r w:rsidRPr="008645C9">
        <w:rPr>
          <w:rFonts w:ascii="Times New Roman" w:hAnsi="Times New Roman" w:cs="Times New Roman"/>
        </w:rPr>
        <w:t>Meshesha</w:t>
      </w:r>
      <w:proofErr w:type="spellEnd"/>
      <w:r w:rsidRPr="008645C9">
        <w:rPr>
          <w:rFonts w:ascii="Times New Roman" w:hAnsi="Times New Roman" w:cs="Times New Roman"/>
        </w:rPr>
        <w:t xml:space="preserve"> et al., 2020) settings with careful matching of potential confounding variables such as socioeconomic status and severity comorbidity. It is also important to explore how cultural and societal changes might facilitate or impede transitions from heavy to moderate drinking and attempt to identify how behavioural economic constructs and VBDM parameters may mediate these transitions. For example, there has been a substantial increase in the availability of alcohol-free and low alcohol alternatives to standard alcoholic beverages in the UK, and a considerable number of people report consuming these products to cut down their consumption of alcohol </w:t>
      </w:r>
      <w:r w:rsidR="0067750A">
        <w:rPr>
          <w:rFonts w:ascii="Times New Roman" w:hAnsi="Times New Roman" w:cs="Times New Roman"/>
        </w:rPr>
        <w:fldChar w:fldCharType="begin"/>
      </w:r>
      <w:r w:rsidR="0067750A">
        <w:rPr>
          <w:rFonts w:ascii="Times New Roman" w:hAnsi="Times New Roman" w:cs="Times New Roman"/>
        </w:rPr>
        <w:instrText xml:space="preserve"> ADDIN ZOTERO_ITEM CSL_CITATION {"citationID":"LvKvjfP4","properties":{"formattedCitation":"(Alcohol Change UK, 2020; Drinkaware, 2022)","plainCitation":"(Alcohol Change UK, 2020; Drinkaware, 2022)","noteIndex":0},"citationItems":[{"id":465,"uris":["http://zotero.org/users/7873587/items/ZRES58WI"],"itemData":{"id":465,"type":"webpage","language":"en-GB","title":"Alcohol-free and low alcohol drinks","URL":"https://alcoholchange.org.uk/policy/policy-insights/alcohol-free-and-low-alcohol-drinks","author":[{"literal":"Alcohol Change UK"}],"accessed":{"date-parts":[["2021",11,7]]},"issued":{"date-parts":[["2020"]]}},"label":"act"},{"id":1176,"uris":["http://zotero.org/users/7873587/items/7AAT335Z"],"itemData":{"id":1176,"type":"webpage","abstract":"Cut down on the alcohol units you consume without stopping drinking completely.","language":"en","title":"Low alcohol drinks","URL":"https://www.drinkaware.co.uk/advice/how-to-reduce-your-drinking/low-alcohol-drinks","author":[{"literal":"Drinkaware"}],"accessed":{"date-parts":[["2022",8,1]]},"issued":{"date-parts":[["2022"]]}},"label":"act"}],"schema":"https://github.com/citation-style-language/schema/raw/master/csl-citation.json"} </w:instrText>
      </w:r>
      <w:r w:rsidR="0067750A">
        <w:rPr>
          <w:rFonts w:ascii="Times New Roman" w:hAnsi="Times New Roman" w:cs="Times New Roman"/>
        </w:rPr>
        <w:fldChar w:fldCharType="separate"/>
      </w:r>
      <w:r w:rsidR="0067750A" w:rsidRPr="0067750A">
        <w:rPr>
          <w:rFonts w:ascii="Times New Roman" w:hAnsi="Times New Roman" w:cs="Times New Roman"/>
        </w:rPr>
        <w:t>(Alcohol Change UK, 2020; Drinkaware, 2022)</w:t>
      </w:r>
      <w:r w:rsidR="0067750A">
        <w:rPr>
          <w:rFonts w:ascii="Times New Roman" w:hAnsi="Times New Roman" w:cs="Times New Roman"/>
        </w:rPr>
        <w:fldChar w:fldCharType="end"/>
      </w:r>
      <w:r w:rsidRPr="008645C9">
        <w:rPr>
          <w:rFonts w:ascii="Times New Roman" w:hAnsi="Times New Roman" w:cs="Times New Roman"/>
        </w:rPr>
        <w:t xml:space="preserve">. These products may act as </w:t>
      </w:r>
      <w:r w:rsidRPr="008645C9">
        <w:rPr>
          <w:rFonts w:ascii="Times New Roman" w:hAnsi="Times New Roman" w:cs="Times New Roman"/>
          <w:i/>
          <w:iCs/>
        </w:rPr>
        <w:t xml:space="preserve">substitute </w:t>
      </w:r>
      <w:r w:rsidRPr="008645C9">
        <w:rPr>
          <w:rFonts w:ascii="Times New Roman" w:hAnsi="Times New Roman" w:cs="Times New Roman"/>
        </w:rPr>
        <w:t>reinforcers (</w:t>
      </w:r>
      <w:proofErr w:type="spellStart"/>
      <w:r w:rsidRPr="008645C9">
        <w:rPr>
          <w:rFonts w:ascii="Times New Roman" w:hAnsi="Times New Roman" w:cs="Times New Roman"/>
        </w:rPr>
        <w:t>Rachlin</w:t>
      </w:r>
      <w:proofErr w:type="spellEnd"/>
      <w:r w:rsidRPr="008645C9">
        <w:rPr>
          <w:rFonts w:ascii="Times New Roman" w:hAnsi="Times New Roman" w:cs="Times New Roman"/>
        </w:rPr>
        <w:t xml:space="preserve"> et al., 2018), which given their novelty, might require low levels of decision caution before committing to the choice of consumption, possibly indexed by alterations in alcohol-free response thresholds. As some drinks presented in the soft</w:t>
      </w:r>
      <w:r w:rsidR="0067750A">
        <w:rPr>
          <w:rFonts w:ascii="Times New Roman" w:hAnsi="Times New Roman" w:cs="Times New Roman"/>
        </w:rPr>
        <w:t xml:space="preserve"> </w:t>
      </w:r>
      <w:r w:rsidRPr="008645C9">
        <w:rPr>
          <w:rFonts w:ascii="Times New Roman" w:hAnsi="Times New Roman" w:cs="Times New Roman"/>
        </w:rPr>
        <w:t>drink block may have been indirectly associated with alcohol among participants who frequently consume mixed drinks (e.g., an image of a bottle of Coca-Cola may be associated with alcohol among people who regularly drink rum and coke), future studies might mitigate this concern by excluding such potentially ambiguous drinks from the soft</w:t>
      </w:r>
      <w:r w:rsidR="0067750A">
        <w:rPr>
          <w:rFonts w:ascii="Times New Roman" w:hAnsi="Times New Roman" w:cs="Times New Roman"/>
        </w:rPr>
        <w:t xml:space="preserve"> d</w:t>
      </w:r>
      <w:r w:rsidRPr="008645C9">
        <w:rPr>
          <w:rFonts w:ascii="Times New Roman" w:hAnsi="Times New Roman" w:cs="Times New Roman"/>
        </w:rPr>
        <w:t>rink block.</w:t>
      </w:r>
    </w:p>
    <w:p w14:paraId="66530D13" w14:textId="77777777" w:rsidR="008645C9" w:rsidRPr="008645C9" w:rsidRDefault="008645C9" w:rsidP="008645C9">
      <w:pPr>
        <w:pStyle w:val="NoSpacing"/>
        <w:spacing w:line="480" w:lineRule="auto"/>
        <w:rPr>
          <w:rFonts w:ascii="Times New Roman" w:hAnsi="Times New Roman" w:cs="Times New Roman"/>
        </w:rPr>
      </w:pPr>
    </w:p>
    <w:p w14:paraId="1B297D34" w14:textId="77777777" w:rsidR="008645C9" w:rsidRPr="008645C9" w:rsidRDefault="008645C9" w:rsidP="008645C9">
      <w:pPr>
        <w:pStyle w:val="NoSpacing"/>
        <w:spacing w:line="480" w:lineRule="auto"/>
        <w:rPr>
          <w:rFonts w:ascii="Times New Roman" w:hAnsi="Times New Roman" w:cs="Times New Roman"/>
        </w:rPr>
      </w:pPr>
      <w:r w:rsidRPr="008645C9">
        <w:rPr>
          <w:rFonts w:ascii="Times New Roman" w:hAnsi="Times New Roman" w:cs="Times New Roman"/>
        </w:rPr>
        <w:t xml:space="preserve">To conclude, this study contributes a novel understanding of what characterizes alcohol moderation in heavy drinkers who do not receive treatment. Although cross-sectional, findings from self-report measures are compatible with molar behavioural economic accounts (e.g., </w:t>
      </w:r>
      <w:proofErr w:type="spellStart"/>
      <w:r w:rsidRPr="008645C9">
        <w:rPr>
          <w:rFonts w:ascii="Times New Roman" w:hAnsi="Times New Roman" w:cs="Times New Roman"/>
        </w:rPr>
        <w:t>Rachlin</w:t>
      </w:r>
      <w:proofErr w:type="spellEnd"/>
      <w:r w:rsidRPr="008645C9">
        <w:rPr>
          <w:rFonts w:ascii="Times New Roman" w:hAnsi="Times New Roman" w:cs="Times New Roman"/>
        </w:rPr>
        <w:t xml:space="preserve"> et al., 2018) which emphasize the importance of lowered demand for alcohol and heightened behavioural allocation towards activities that do not involve drinking as </w:t>
      </w:r>
      <w:r w:rsidRPr="008645C9">
        <w:rPr>
          <w:rFonts w:ascii="Times New Roman" w:hAnsi="Times New Roman" w:cs="Times New Roman"/>
        </w:rPr>
        <w:lastRenderedPageBreak/>
        <w:t xml:space="preserve">important correlates of the transition from heavy to moderated drinking. This is an important extension to the literature because 20% of heavy drinkers in England are attempting to reduce their consumption (Beard et al., 2017) and these findings may inform intervention targets for this population. Evidence from a computational VBDM analysis is less clear, however it may be that alterations in response thresholds represent how, in the moment, people decide to engage with alcohol-free alternatives. </w:t>
      </w:r>
      <w:bookmarkStart w:id="293" w:name="_Hlk103777038"/>
      <w:r w:rsidRPr="008645C9">
        <w:rPr>
          <w:rFonts w:ascii="Times New Roman" w:hAnsi="Times New Roman" w:cs="Times New Roman"/>
        </w:rPr>
        <w:t xml:space="preserve">Alongside the development of novel measurement tool that be used to monitor cognitive processes, we conducted the first empirical test of recent theoretical predictions (Copeland et al., 2021; Field, Heather, et al., 2020), although the findings were inconclusive. </w:t>
      </w:r>
      <w:bookmarkEnd w:id="293"/>
      <w:r w:rsidRPr="008645C9">
        <w:rPr>
          <w:rFonts w:ascii="Times New Roman" w:hAnsi="Times New Roman" w:cs="Times New Roman"/>
        </w:rPr>
        <w:t xml:space="preserve">In line with enthusiasm (Acuff et al., 2022; </w:t>
      </w:r>
      <w:proofErr w:type="spellStart"/>
      <w:r w:rsidRPr="008645C9">
        <w:rPr>
          <w:rFonts w:ascii="Times New Roman" w:hAnsi="Times New Roman" w:cs="Times New Roman"/>
        </w:rPr>
        <w:t>Amlung</w:t>
      </w:r>
      <w:proofErr w:type="spellEnd"/>
      <w:r w:rsidRPr="008645C9">
        <w:rPr>
          <w:rFonts w:ascii="Times New Roman" w:hAnsi="Times New Roman" w:cs="Times New Roman"/>
        </w:rPr>
        <w:t xml:space="preserve"> et al., 2015; Bickel &amp; </w:t>
      </w:r>
      <w:proofErr w:type="spellStart"/>
      <w:r w:rsidRPr="008645C9">
        <w:rPr>
          <w:rFonts w:ascii="Times New Roman" w:hAnsi="Times New Roman" w:cs="Times New Roman"/>
        </w:rPr>
        <w:t>Athamneh</w:t>
      </w:r>
      <w:proofErr w:type="spellEnd"/>
      <w:r w:rsidRPr="008645C9">
        <w:rPr>
          <w:rFonts w:ascii="Times New Roman" w:hAnsi="Times New Roman" w:cs="Times New Roman"/>
        </w:rPr>
        <w:t xml:space="preserve">, 2020), we believe this study opens exciting interdisciplinary avenues for future research. </w:t>
      </w:r>
    </w:p>
    <w:p w14:paraId="21B4EB91" w14:textId="77777777" w:rsidR="008645C9" w:rsidRPr="008645C9" w:rsidRDefault="008645C9" w:rsidP="008645C9">
      <w:pPr>
        <w:pStyle w:val="NoSpacing"/>
        <w:spacing w:line="480" w:lineRule="auto"/>
        <w:rPr>
          <w:rFonts w:ascii="Times New Roman" w:hAnsi="Times New Roman" w:cs="Times New Roman"/>
        </w:rPr>
      </w:pPr>
    </w:p>
    <w:p w14:paraId="34BDCB94" w14:textId="77777777" w:rsidR="008645C9" w:rsidRPr="008645C9" w:rsidRDefault="008645C9" w:rsidP="008645C9">
      <w:pPr>
        <w:pStyle w:val="NoSpacing"/>
      </w:pPr>
    </w:p>
    <w:p w14:paraId="7037C58E" w14:textId="77777777" w:rsidR="008645C9" w:rsidRPr="008645C9" w:rsidRDefault="008645C9" w:rsidP="008645C9">
      <w:pPr>
        <w:pStyle w:val="NoSpacing"/>
      </w:pPr>
    </w:p>
    <w:p w14:paraId="26A2BBCB" w14:textId="77777777" w:rsidR="008645C9" w:rsidRPr="008645C9" w:rsidRDefault="008645C9" w:rsidP="008645C9">
      <w:pPr>
        <w:pStyle w:val="NoSpacing"/>
      </w:pPr>
    </w:p>
    <w:p w14:paraId="4C0B211A" w14:textId="77777777" w:rsidR="008645C9" w:rsidRPr="008645C9" w:rsidRDefault="008645C9" w:rsidP="008645C9">
      <w:pPr>
        <w:pStyle w:val="NoSpacing"/>
      </w:pPr>
    </w:p>
    <w:p w14:paraId="6201D1C9" w14:textId="77777777" w:rsidR="008645C9" w:rsidRPr="008645C9" w:rsidRDefault="008645C9" w:rsidP="008645C9">
      <w:pPr>
        <w:pStyle w:val="NoSpacing"/>
      </w:pPr>
    </w:p>
    <w:p w14:paraId="7ADA0912" w14:textId="77777777" w:rsidR="008645C9" w:rsidRPr="008645C9" w:rsidRDefault="008645C9" w:rsidP="008645C9">
      <w:pPr>
        <w:pStyle w:val="NoSpacing"/>
      </w:pPr>
    </w:p>
    <w:p w14:paraId="199AFDD0" w14:textId="77777777" w:rsidR="008645C9" w:rsidRPr="008645C9" w:rsidRDefault="008645C9" w:rsidP="008645C9">
      <w:pPr>
        <w:pStyle w:val="NoSpacing"/>
      </w:pPr>
    </w:p>
    <w:p w14:paraId="6A07DB38" w14:textId="77777777" w:rsidR="008645C9" w:rsidRPr="008645C9" w:rsidRDefault="008645C9" w:rsidP="008645C9">
      <w:pPr>
        <w:pStyle w:val="NoSpacing"/>
      </w:pPr>
    </w:p>
    <w:p w14:paraId="4A71D832" w14:textId="77777777" w:rsidR="008645C9" w:rsidRPr="008645C9" w:rsidRDefault="008645C9" w:rsidP="008645C9">
      <w:pPr>
        <w:pStyle w:val="NoSpacing"/>
      </w:pPr>
    </w:p>
    <w:p w14:paraId="0C7FE2BD" w14:textId="77777777" w:rsidR="008645C9" w:rsidRPr="008645C9" w:rsidRDefault="008645C9" w:rsidP="008645C9">
      <w:pPr>
        <w:pStyle w:val="NoSpacing"/>
      </w:pPr>
    </w:p>
    <w:p w14:paraId="212A27B5" w14:textId="77777777" w:rsidR="008645C9" w:rsidRPr="008645C9" w:rsidRDefault="008645C9" w:rsidP="008645C9">
      <w:pPr>
        <w:pStyle w:val="NoSpacing"/>
      </w:pPr>
    </w:p>
    <w:p w14:paraId="7ADD258B" w14:textId="77777777" w:rsidR="008645C9" w:rsidRPr="008645C9" w:rsidRDefault="008645C9" w:rsidP="008645C9">
      <w:pPr>
        <w:pStyle w:val="NoSpacing"/>
      </w:pPr>
    </w:p>
    <w:p w14:paraId="5444EBE6" w14:textId="731AC37F" w:rsidR="008A10EC" w:rsidRDefault="008A10EC" w:rsidP="00093B56">
      <w:pPr>
        <w:pStyle w:val="NoSpacing"/>
      </w:pPr>
    </w:p>
    <w:p w14:paraId="64CAE362" w14:textId="5682175E" w:rsidR="008A10EC" w:rsidRDefault="008A10EC" w:rsidP="00093B56">
      <w:pPr>
        <w:pStyle w:val="NoSpacing"/>
      </w:pPr>
    </w:p>
    <w:p w14:paraId="57C75926" w14:textId="15B3E524" w:rsidR="008A10EC" w:rsidRDefault="008A10EC" w:rsidP="00093B56">
      <w:pPr>
        <w:pStyle w:val="NoSpacing"/>
      </w:pPr>
    </w:p>
    <w:p w14:paraId="316A63DB" w14:textId="598590DD" w:rsidR="008A10EC" w:rsidRDefault="008A10EC" w:rsidP="00093B56">
      <w:pPr>
        <w:pStyle w:val="NoSpacing"/>
      </w:pPr>
    </w:p>
    <w:p w14:paraId="5C84AA8E" w14:textId="688FE4C6" w:rsidR="00093B56" w:rsidRDefault="00093B56" w:rsidP="00093B56">
      <w:pPr>
        <w:pStyle w:val="NoSpacing"/>
      </w:pPr>
    </w:p>
    <w:p w14:paraId="73485BF0" w14:textId="39FC087D" w:rsidR="00093B56" w:rsidRDefault="00093B56" w:rsidP="00093B56">
      <w:pPr>
        <w:pStyle w:val="NoSpacing"/>
      </w:pPr>
    </w:p>
    <w:p w14:paraId="14DE7875" w14:textId="35BFDA33" w:rsidR="00093B56" w:rsidRDefault="00093B56" w:rsidP="00093B56">
      <w:pPr>
        <w:pStyle w:val="NoSpacing"/>
      </w:pPr>
    </w:p>
    <w:p w14:paraId="1C22AB20" w14:textId="790BA0DF" w:rsidR="00093B56" w:rsidRDefault="00093B56" w:rsidP="00093B56">
      <w:pPr>
        <w:pStyle w:val="NoSpacing"/>
      </w:pPr>
    </w:p>
    <w:p w14:paraId="4E277855" w14:textId="5B402F51" w:rsidR="00093B56" w:rsidRDefault="00093B56" w:rsidP="00093B56">
      <w:pPr>
        <w:pStyle w:val="NoSpacing"/>
      </w:pPr>
    </w:p>
    <w:p w14:paraId="4864197B" w14:textId="43326278" w:rsidR="00093B56" w:rsidRDefault="00093B56" w:rsidP="00093B56">
      <w:pPr>
        <w:pStyle w:val="NoSpacing"/>
      </w:pPr>
    </w:p>
    <w:p w14:paraId="7EF866D0" w14:textId="1A8D35DF" w:rsidR="00093B56" w:rsidRDefault="00093B56" w:rsidP="00093B56">
      <w:pPr>
        <w:pStyle w:val="NoSpacing"/>
      </w:pPr>
    </w:p>
    <w:p w14:paraId="36586CAD" w14:textId="794DF951" w:rsidR="00093B56" w:rsidRDefault="00093B56" w:rsidP="00093B56">
      <w:pPr>
        <w:pStyle w:val="NoSpacing"/>
      </w:pPr>
    </w:p>
    <w:p w14:paraId="1E026C8B" w14:textId="77777777" w:rsidR="00093B56" w:rsidRDefault="00093B56" w:rsidP="00093B56">
      <w:pPr>
        <w:pStyle w:val="NoSpacing"/>
      </w:pPr>
    </w:p>
    <w:p w14:paraId="3D35561F" w14:textId="24788967" w:rsidR="00093B56" w:rsidRDefault="00093B56" w:rsidP="00107EBB">
      <w:pPr>
        <w:pStyle w:val="Heading1"/>
      </w:pPr>
      <w:bookmarkStart w:id="294" w:name="_Toc109911335"/>
      <w:bookmarkStart w:id="295" w:name="_Toc110612738"/>
      <w:bookmarkStart w:id="296" w:name="_Toc110629073"/>
      <w:bookmarkStart w:id="297" w:name="_Toc110870981"/>
      <w:r>
        <w:lastRenderedPageBreak/>
        <w:t>Chapter 7: Modelling value-based decision-making (VBDM) in current smokers and ex-smokers</w:t>
      </w:r>
      <w:bookmarkEnd w:id="294"/>
      <w:bookmarkEnd w:id="295"/>
      <w:bookmarkEnd w:id="296"/>
      <w:bookmarkEnd w:id="297"/>
    </w:p>
    <w:p w14:paraId="3F3C0903" w14:textId="77777777" w:rsidR="0067750A" w:rsidRPr="0067750A" w:rsidRDefault="0067750A" w:rsidP="0067750A">
      <w:pPr>
        <w:pStyle w:val="NoSpacing"/>
      </w:pPr>
    </w:p>
    <w:p w14:paraId="23D02734" w14:textId="7E4BFE97" w:rsidR="0067750A" w:rsidRDefault="0067750A" w:rsidP="0067750A">
      <w:pPr>
        <w:pStyle w:val="NoSpacing"/>
        <w:spacing w:line="480" w:lineRule="auto"/>
        <w:rPr>
          <w:rFonts w:asciiTheme="majorBidi" w:hAnsiTheme="majorBidi" w:cstheme="majorBidi"/>
        </w:rPr>
      </w:pPr>
      <w:r w:rsidRPr="0067750A">
        <w:rPr>
          <w:rFonts w:asciiTheme="majorBidi" w:hAnsiTheme="majorBidi" w:cstheme="majorBidi"/>
        </w:rPr>
        <w:t>Previously (Chapter 6), I found no robust differences in decision parameters for alcoholic and soft</w:t>
      </w:r>
      <w:r w:rsidR="00BA1F0E">
        <w:rPr>
          <w:rFonts w:asciiTheme="majorBidi" w:hAnsiTheme="majorBidi" w:cstheme="majorBidi"/>
        </w:rPr>
        <w:t xml:space="preserve"> </w:t>
      </w:r>
      <w:r w:rsidRPr="0067750A">
        <w:rPr>
          <w:rFonts w:asciiTheme="majorBidi" w:hAnsiTheme="majorBidi" w:cstheme="majorBidi"/>
        </w:rPr>
        <w:t>drink cues across heavy drinkers and moderated (former heavy) drinkers, although moderated drinkers’ response thresholds were consistently lower regardless of drink type. Interestingly, in this study I found that self-report measures of alcohol reinforcing value and behavioural allocation to activities that do not involve alcohol differentiated drinker type in that alcohol moderation was characterised by lower alcohol value and greater reinforcement derived from alcohol-free activities. Following this, in Chapter 7 I conducted a mirror study by exploring whether recovery from nicotine addiction is characterised by alterations in VBDM parameters. I also employed a different type of decision-making task that measured the magnitude of decision conflict for tobacco and tobacco-unrelated cues. Parameters in daily smokers and in people who used to smoke daily but have since quit smoking were compared.</w:t>
      </w:r>
    </w:p>
    <w:p w14:paraId="61BF1E34" w14:textId="77777777" w:rsidR="0067750A" w:rsidRDefault="0067750A" w:rsidP="0067750A">
      <w:pPr>
        <w:pStyle w:val="NoSpacing"/>
        <w:spacing w:line="480" w:lineRule="auto"/>
        <w:rPr>
          <w:rFonts w:asciiTheme="majorBidi" w:hAnsiTheme="majorBidi" w:cstheme="majorBidi"/>
        </w:rPr>
      </w:pPr>
    </w:p>
    <w:p w14:paraId="187F845A" w14:textId="037CB1D6" w:rsidR="0067750A" w:rsidRPr="00D57B74" w:rsidRDefault="0067750A" w:rsidP="00D57B74">
      <w:pPr>
        <w:pStyle w:val="NoSpacing"/>
        <w:spacing w:line="480" w:lineRule="auto"/>
        <w:rPr>
          <w:rFonts w:ascii="Times New Roman" w:hAnsi="Times New Roman" w:cs="Times New Roman"/>
        </w:rPr>
      </w:pPr>
      <w:r w:rsidRPr="00D57B74">
        <w:rPr>
          <w:rFonts w:ascii="Times New Roman" w:hAnsi="Times New Roman" w:cs="Times New Roman"/>
          <w:b/>
          <w:bCs/>
        </w:rPr>
        <w:t xml:space="preserve">Contributions: </w:t>
      </w:r>
      <w:r w:rsidRPr="00D57B74">
        <w:rPr>
          <w:rFonts w:ascii="Times New Roman" w:hAnsi="Times New Roman" w:cs="Times New Roman"/>
        </w:rPr>
        <w:t>I designed the study, which was approved by Matt Field and Tom Stafford (primary supervisors). I collected and analysed the data. I wrote the chapter. Matt Field and Tom Stafford provided feedback on the draft.</w:t>
      </w:r>
    </w:p>
    <w:p w14:paraId="2F0BC1EB" w14:textId="77777777" w:rsidR="00107EBB" w:rsidRDefault="00107EBB" w:rsidP="00107EBB">
      <w:pPr>
        <w:pStyle w:val="NoSpacing"/>
        <w:spacing w:line="480" w:lineRule="auto"/>
        <w:rPr>
          <w:rFonts w:ascii="Times New Roman" w:hAnsi="Times New Roman" w:cs="Times New Roman"/>
        </w:rPr>
      </w:pPr>
    </w:p>
    <w:p w14:paraId="0B7A468A" w14:textId="6D7B5228" w:rsidR="00107EBB" w:rsidRPr="009E6B70" w:rsidRDefault="00107EBB" w:rsidP="00107EBB">
      <w:pPr>
        <w:pStyle w:val="NoSpacing"/>
        <w:spacing w:line="480" w:lineRule="auto"/>
        <w:rPr>
          <w:rFonts w:ascii="Times New Roman" w:hAnsi="Times New Roman" w:cs="Times New Roman"/>
        </w:rPr>
      </w:pPr>
      <w:r w:rsidRPr="009E6B70">
        <w:rPr>
          <w:rFonts w:ascii="Times New Roman" w:hAnsi="Times New Roman" w:cs="Times New Roman"/>
        </w:rPr>
        <w:t xml:space="preserve">As mentioned </w:t>
      </w:r>
      <w:r w:rsidRPr="00B15E25">
        <w:rPr>
          <w:rFonts w:ascii="Times New Roman" w:hAnsi="Times New Roman" w:cs="Times New Roman"/>
        </w:rPr>
        <w:t>previously (p.5</w:t>
      </w:r>
      <w:r>
        <w:rPr>
          <w:rFonts w:ascii="Times New Roman" w:hAnsi="Times New Roman" w:cs="Times New Roman"/>
        </w:rPr>
        <w:t>-p.6</w:t>
      </w:r>
      <w:r w:rsidRPr="00B15E25">
        <w:rPr>
          <w:rFonts w:ascii="Times New Roman" w:hAnsi="Times New Roman" w:cs="Times New Roman"/>
        </w:rPr>
        <w:t>),</w:t>
      </w:r>
      <w:r w:rsidRPr="009E6B70">
        <w:rPr>
          <w:rFonts w:ascii="Times New Roman" w:hAnsi="Times New Roman" w:cs="Times New Roman"/>
        </w:rPr>
        <w:t xml:space="preserve"> a variant of this thesis Chapter is published online </w:t>
      </w:r>
      <w:r>
        <w:rPr>
          <w:rFonts w:ascii="Times New Roman" w:hAnsi="Times New Roman" w:cs="Times New Roman"/>
        </w:rPr>
        <w:t>as a preprint:</w:t>
      </w:r>
    </w:p>
    <w:p w14:paraId="3023D75C" w14:textId="07607A4A" w:rsidR="00107EBB" w:rsidRPr="00107EBB" w:rsidRDefault="00107EBB" w:rsidP="00107EBB">
      <w:pPr>
        <w:pStyle w:val="NoSpacing"/>
        <w:spacing w:line="480" w:lineRule="auto"/>
        <w:ind w:left="720" w:hanging="720"/>
        <w:rPr>
          <w:rFonts w:ascii="Times New Roman" w:hAnsi="Times New Roman" w:cs="Times New Roman"/>
          <w:color w:val="000000"/>
        </w:rPr>
      </w:pPr>
      <w:r w:rsidRPr="00107EBB">
        <w:rPr>
          <w:rFonts w:ascii="Times New Roman" w:hAnsi="Times New Roman" w:cs="Times New Roman"/>
          <w:color w:val="000000"/>
        </w:rPr>
        <w:t xml:space="preserve">Copeland, A., Stafford, T., &amp; Field, M. (2022). Recovery from nicotine addiction: A diffusion model decomposition of value-based decision-making in current smokers and ex-smokers. </w:t>
      </w:r>
      <w:hyperlink r:id="rId62" w:history="1">
        <w:r w:rsidRPr="00C93489">
          <w:rPr>
            <w:rStyle w:val="Hyperlink"/>
            <w:rFonts w:ascii="Times New Roman" w:hAnsi="Times New Roman" w:cs="Times New Roman"/>
          </w:rPr>
          <w:t>https://doi.org/10.31234/osf.io/3jrze</w:t>
        </w:r>
      </w:hyperlink>
    </w:p>
    <w:p w14:paraId="7BA9B0E6" w14:textId="72349CF1" w:rsidR="00093B56" w:rsidRPr="00D57B74" w:rsidRDefault="00107EBB" w:rsidP="00D57B74">
      <w:pPr>
        <w:pStyle w:val="NoSpacing"/>
        <w:spacing w:line="480" w:lineRule="auto"/>
        <w:rPr>
          <w:rFonts w:ascii="Times New Roman" w:hAnsi="Times New Roman" w:cs="Times New Roman"/>
        </w:rPr>
      </w:pPr>
      <w:r>
        <w:rPr>
          <w:rFonts w:ascii="Times New Roman" w:hAnsi="Times New Roman" w:cs="Times New Roman"/>
        </w:rPr>
        <w:lastRenderedPageBreak/>
        <w:t>Fi</w:t>
      </w:r>
      <w:r w:rsidR="00D57B74" w:rsidRPr="00D57B74">
        <w:rPr>
          <w:rFonts w:ascii="Times New Roman" w:hAnsi="Times New Roman" w:cs="Times New Roman"/>
        </w:rPr>
        <w:t xml:space="preserve">ndings from this Chapter have </w:t>
      </w:r>
      <w:r>
        <w:rPr>
          <w:rFonts w:ascii="Times New Roman" w:hAnsi="Times New Roman" w:cs="Times New Roman"/>
        </w:rPr>
        <w:t xml:space="preserve">also </w:t>
      </w:r>
      <w:r w:rsidR="00D57B74" w:rsidRPr="00D57B74">
        <w:rPr>
          <w:rFonts w:ascii="Times New Roman" w:hAnsi="Times New Roman" w:cs="Times New Roman"/>
        </w:rPr>
        <w:t xml:space="preserve">been presented </w:t>
      </w:r>
      <w:r w:rsidR="00236212" w:rsidRPr="00236212">
        <w:rPr>
          <w:rFonts w:ascii="Times New Roman" w:hAnsi="Times New Roman" w:cs="Times New Roman"/>
        </w:rPr>
        <w:t xml:space="preserve">as a poster at the Society for the Study of Addiction’s Annual Conference </w:t>
      </w:r>
      <w:r w:rsidR="00D57B74" w:rsidRPr="00D57B74">
        <w:rPr>
          <w:rFonts w:ascii="Times New Roman" w:hAnsi="Times New Roman" w:cs="Times New Roman"/>
        </w:rPr>
        <w:t>(</w:t>
      </w:r>
      <w:hyperlink r:id="rId63" w:history="1">
        <w:r w:rsidR="00D57B74" w:rsidRPr="00D57B74">
          <w:rPr>
            <w:rStyle w:val="Hyperlink"/>
            <w:rFonts w:ascii="Times New Roman" w:hAnsi="Times New Roman" w:cs="Times New Roman"/>
          </w:rPr>
          <w:t>https://www.addiction-ssa.org/author-publications/modelling-value-based-decision-making-vbdm-in-current-smokers-and-ex-smokers/</w:t>
        </w:r>
      </w:hyperlink>
      <w:r w:rsidR="00D57B74" w:rsidRPr="00D57B74">
        <w:rPr>
          <w:rFonts w:ascii="Times New Roman" w:hAnsi="Times New Roman" w:cs="Times New Roman"/>
        </w:rPr>
        <w:t>)</w:t>
      </w:r>
    </w:p>
    <w:p w14:paraId="0DA01C7F" w14:textId="1E7EE920" w:rsidR="00093B56" w:rsidRDefault="00093B56" w:rsidP="00093B56">
      <w:pPr>
        <w:pStyle w:val="NoSpacing"/>
        <w:rPr>
          <w:rFonts w:ascii="Times New Roman" w:hAnsi="Times New Roman" w:cs="Times New Roman"/>
        </w:rPr>
      </w:pPr>
    </w:p>
    <w:p w14:paraId="05C231E4" w14:textId="6CAD4514" w:rsidR="00D57B74" w:rsidRDefault="00D57B74" w:rsidP="00093B56">
      <w:pPr>
        <w:pStyle w:val="NoSpacing"/>
      </w:pPr>
    </w:p>
    <w:p w14:paraId="4E4012CA" w14:textId="0B1DB969" w:rsidR="00107EBB" w:rsidRDefault="00107EBB" w:rsidP="00093B56">
      <w:pPr>
        <w:pStyle w:val="NoSpacing"/>
      </w:pPr>
    </w:p>
    <w:p w14:paraId="0E5EA573" w14:textId="5FFDD802" w:rsidR="00107EBB" w:rsidRDefault="00107EBB" w:rsidP="00093B56">
      <w:pPr>
        <w:pStyle w:val="NoSpacing"/>
      </w:pPr>
    </w:p>
    <w:p w14:paraId="2854BD83" w14:textId="55F71CEF" w:rsidR="00107EBB" w:rsidRDefault="00107EBB" w:rsidP="00093B56">
      <w:pPr>
        <w:pStyle w:val="NoSpacing"/>
      </w:pPr>
    </w:p>
    <w:p w14:paraId="041DEE92" w14:textId="0B56002E" w:rsidR="00107EBB" w:rsidRDefault="00107EBB" w:rsidP="00093B56">
      <w:pPr>
        <w:pStyle w:val="NoSpacing"/>
      </w:pPr>
    </w:p>
    <w:p w14:paraId="7D518D78" w14:textId="3CAD2D9A" w:rsidR="00107EBB" w:rsidRDefault="00107EBB" w:rsidP="00093B56">
      <w:pPr>
        <w:pStyle w:val="NoSpacing"/>
      </w:pPr>
    </w:p>
    <w:p w14:paraId="5ABB5445" w14:textId="5F9CC769" w:rsidR="00107EBB" w:rsidRDefault="00107EBB" w:rsidP="00093B56">
      <w:pPr>
        <w:pStyle w:val="NoSpacing"/>
      </w:pPr>
    </w:p>
    <w:p w14:paraId="1C9AFA03" w14:textId="00760A07" w:rsidR="00107EBB" w:rsidRDefault="00107EBB" w:rsidP="00093B56">
      <w:pPr>
        <w:pStyle w:val="NoSpacing"/>
      </w:pPr>
    </w:p>
    <w:p w14:paraId="4B6B6637" w14:textId="723D243F" w:rsidR="00107EBB" w:rsidRDefault="00107EBB" w:rsidP="00093B56">
      <w:pPr>
        <w:pStyle w:val="NoSpacing"/>
      </w:pPr>
    </w:p>
    <w:p w14:paraId="2EA46924" w14:textId="7462656A" w:rsidR="00107EBB" w:rsidRDefault="00107EBB" w:rsidP="00093B56">
      <w:pPr>
        <w:pStyle w:val="NoSpacing"/>
      </w:pPr>
    </w:p>
    <w:p w14:paraId="7DD97D74" w14:textId="1BAEC55A" w:rsidR="00107EBB" w:rsidRDefault="00107EBB" w:rsidP="00093B56">
      <w:pPr>
        <w:pStyle w:val="NoSpacing"/>
      </w:pPr>
    </w:p>
    <w:p w14:paraId="1AD5CB10" w14:textId="16DBF597" w:rsidR="00107EBB" w:rsidRDefault="00107EBB" w:rsidP="00093B56">
      <w:pPr>
        <w:pStyle w:val="NoSpacing"/>
      </w:pPr>
    </w:p>
    <w:p w14:paraId="0F694DFE" w14:textId="55E1BC39" w:rsidR="00107EBB" w:rsidRDefault="00107EBB" w:rsidP="00093B56">
      <w:pPr>
        <w:pStyle w:val="NoSpacing"/>
      </w:pPr>
    </w:p>
    <w:p w14:paraId="4FFEC454" w14:textId="7BBE9A63" w:rsidR="00107EBB" w:rsidRDefault="00107EBB" w:rsidP="00093B56">
      <w:pPr>
        <w:pStyle w:val="NoSpacing"/>
      </w:pPr>
    </w:p>
    <w:p w14:paraId="5A35B9EE" w14:textId="5A2AC3F0" w:rsidR="00107EBB" w:rsidRDefault="00107EBB" w:rsidP="00093B56">
      <w:pPr>
        <w:pStyle w:val="NoSpacing"/>
      </w:pPr>
    </w:p>
    <w:p w14:paraId="35ABBE48" w14:textId="18AF9FCF" w:rsidR="00107EBB" w:rsidRDefault="00107EBB" w:rsidP="00093B56">
      <w:pPr>
        <w:pStyle w:val="NoSpacing"/>
      </w:pPr>
    </w:p>
    <w:p w14:paraId="24927EE6" w14:textId="231B07F6" w:rsidR="00107EBB" w:rsidRDefault="00107EBB" w:rsidP="00093B56">
      <w:pPr>
        <w:pStyle w:val="NoSpacing"/>
      </w:pPr>
    </w:p>
    <w:p w14:paraId="5F0D2A01" w14:textId="171146B3" w:rsidR="00107EBB" w:rsidRDefault="00107EBB" w:rsidP="00093B56">
      <w:pPr>
        <w:pStyle w:val="NoSpacing"/>
      </w:pPr>
    </w:p>
    <w:p w14:paraId="0CD20ECE" w14:textId="718EBD24" w:rsidR="00107EBB" w:rsidRDefault="00107EBB" w:rsidP="00093B56">
      <w:pPr>
        <w:pStyle w:val="NoSpacing"/>
      </w:pPr>
    </w:p>
    <w:p w14:paraId="0BFAF2C9" w14:textId="3540C14B" w:rsidR="00107EBB" w:rsidRDefault="00107EBB" w:rsidP="00093B56">
      <w:pPr>
        <w:pStyle w:val="NoSpacing"/>
      </w:pPr>
    </w:p>
    <w:p w14:paraId="10441D89" w14:textId="202DC898" w:rsidR="00107EBB" w:rsidRDefault="00107EBB" w:rsidP="00093B56">
      <w:pPr>
        <w:pStyle w:val="NoSpacing"/>
      </w:pPr>
    </w:p>
    <w:p w14:paraId="17752F0F" w14:textId="059B2300" w:rsidR="00107EBB" w:rsidRDefault="00107EBB" w:rsidP="00093B56">
      <w:pPr>
        <w:pStyle w:val="NoSpacing"/>
      </w:pPr>
    </w:p>
    <w:p w14:paraId="2B9A7498" w14:textId="5F77AA88" w:rsidR="00107EBB" w:rsidRDefault="00107EBB" w:rsidP="00093B56">
      <w:pPr>
        <w:pStyle w:val="NoSpacing"/>
      </w:pPr>
    </w:p>
    <w:p w14:paraId="0CD60FE8" w14:textId="0B2CEB5C" w:rsidR="00107EBB" w:rsidRDefault="00107EBB" w:rsidP="00093B56">
      <w:pPr>
        <w:pStyle w:val="NoSpacing"/>
      </w:pPr>
    </w:p>
    <w:p w14:paraId="554DE51D" w14:textId="285B6852" w:rsidR="00107EBB" w:rsidRDefault="00107EBB" w:rsidP="00093B56">
      <w:pPr>
        <w:pStyle w:val="NoSpacing"/>
      </w:pPr>
    </w:p>
    <w:p w14:paraId="55BDE303" w14:textId="70BAC008" w:rsidR="00107EBB" w:rsidRDefault="00107EBB" w:rsidP="00093B56">
      <w:pPr>
        <w:pStyle w:val="NoSpacing"/>
      </w:pPr>
    </w:p>
    <w:p w14:paraId="4765D9DC" w14:textId="29639694" w:rsidR="00107EBB" w:rsidRDefault="00107EBB" w:rsidP="00093B56">
      <w:pPr>
        <w:pStyle w:val="NoSpacing"/>
      </w:pPr>
    </w:p>
    <w:p w14:paraId="6C947472" w14:textId="16441A99" w:rsidR="00107EBB" w:rsidRDefault="00107EBB" w:rsidP="00093B56">
      <w:pPr>
        <w:pStyle w:val="NoSpacing"/>
      </w:pPr>
    </w:p>
    <w:p w14:paraId="4DBD29B0" w14:textId="6CF51110" w:rsidR="00107EBB" w:rsidRDefault="00107EBB" w:rsidP="00093B56">
      <w:pPr>
        <w:pStyle w:val="NoSpacing"/>
      </w:pPr>
    </w:p>
    <w:p w14:paraId="109C81A2" w14:textId="5F25F034" w:rsidR="00107EBB" w:rsidRDefault="00107EBB" w:rsidP="00093B56">
      <w:pPr>
        <w:pStyle w:val="NoSpacing"/>
      </w:pPr>
    </w:p>
    <w:p w14:paraId="4D7CD840" w14:textId="4980F587" w:rsidR="00107EBB" w:rsidRDefault="00107EBB" w:rsidP="00093B56">
      <w:pPr>
        <w:pStyle w:val="NoSpacing"/>
      </w:pPr>
    </w:p>
    <w:p w14:paraId="7358138E" w14:textId="14F334C9" w:rsidR="00107EBB" w:rsidRDefault="00107EBB" w:rsidP="00093B56">
      <w:pPr>
        <w:pStyle w:val="NoSpacing"/>
      </w:pPr>
    </w:p>
    <w:p w14:paraId="513CC2C8" w14:textId="2309629A" w:rsidR="00107EBB" w:rsidRDefault="00107EBB" w:rsidP="00093B56">
      <w:pPr>
        <w:pStyle w:val="NoSpacing"/>
      </w:pPr>
    </w:p>
    <w:p w14:paraId="3A186FA8" w14:textId="56806555" w:rsidR="00107EBB" w:rsidRDefault="00107EBB" w:rsidP="00093B56">
      <w:pPr>
        <w:pStyle w:val="NoSpacing"/>
      </w:pPr>
    </w:p>
    <w:p w14:paraId="16BC5DE6" w14:textId="77777777" w:rsidR="00107EBB" w:rsidRDefault="00107EBB" w:rsidP="00093B56">
      <w:pPr>
        <w:pStyle w:val="NoSpacing"/>
      </w:pPr>
    </w:p>
    <w:p w14:paraId="75599484" w14:textId="08A38A5C" w:rsidR="00093B56" w:rsidRDefault="00093B56" w:rsidP="00093B56">
      <w:pPr>
        <w:pStyle w:val="NoSpacing"/>
      </w:pPr>
    </w:p>
    <w:p w14:paraId="04FFAF63" w14:textId="372AAA62" w:rsidR="00093B56" w:rsidRDefault="0067750A" w:rsidP="0067750A">
      <w:pPr>
        <w:pStyle w:val="Heading4"/>
      </w:pPr>
      <w:bookmarkStart w:id="298" w:name="_Toc110629074"/>
      <w:bookmarkStart w:id="299" w:name="_Toc110870982"/>
      <w:r w:rsidRPr="0067750A">
        <w:lastRenderedPageBreak/>
        <w:t>Abstract</w:t>
      </w:r>
      <w:bookmarkEnd w:id="298"/>
      <w:bookmarkEnd w:id="299"/>
    </w:p>
    <w:p w14:paraId="602B364D" w14:textId="77777777" w:rsidR="0067750A" w:rsidRPr="0067750A" w:rsidRDefault="0067750A" w:rsidP="0067750A">
      <w:pPr>
        <w:pStyle w:val="NoSpacing"/>
        <w:spacing w:line="480" w:lineRule="auto"/>
        <w:rPr>
          <w:rFonts w:asciiTheme="majorBidi" w:hAnsiTheme="majorBidi" w:cstheme="majorBidi"/>
        </w:rPr>
      </w:pPr>
      <w:r w:rsidRPr="0067750A">
        <w:rPr>
          <w:rFonts w:asciiTheme="majorBidi" w:hAnsiTheme="majorBidi" w:cstheme="majorBidi"/>
          <w:b/>
          <w:bCs/>
        </w:rPr>
        <w:t>Background:</w:t>
      </w:r>
      <w:r w:rsidRPr="0067750A">
        <w:rPr>
          <w:rFonts w:asciiTheme="majorBidi" w:hAnsiTheme="majorBidi" w:cstheme="majorBidi"/>
        </w:rPr>
        <w:t xml:space="preserve"> A considerable number of people successfully give up tobacco smoking. </w:t>
      </w:r>
    </w:p>
    <w:p w14:paraId="74CF113E" w14:textId="77777777" w:rsidR="0067750A" w:rsidRPr="0067750A" w:rsidRDefault="0067750A" w:rsidP="0067750A">
      <w:pPr>
        <w:pStyle w:val="NoSpacing"/>
        <w:spacing w:line="480" w:lineRule="auto"/>
        <w:rPr>
          <w:rFonts w:asciiTheme="majorBidi" w:hAnsiTheme="majorBidi" w:cstheme="majorBidi"/>
        </w:rPr>
      </w:pPr>
      <w:r w:rsidRPr="0067750A">
        <w:rPr>
          <w:rFonts w:asciiTheme="majorBidi" w:hAnsiTheme="majorBidi" w:cstheme="majorBidi"/>
        </w:rPr>
        <w:t xml:space="preserve">Tobacco choice in dependent individuals is determined by greater expected drug value, but less is known about the underlying mechanisms through which people quit smoking. The aim of this study is to explore whether computational parameters of value-based decision-making (VBDM) characterise recovery from nicotine addiction. </w:t>
      </w:r>
      <w:r w:rsidRPr="0067750A">
        <w:rPr>
          <w:rFonts w:asciiTheme="majorBidi" w:hAnsiTheme="majorBidi" w:cstheme="majorBidi"/>
          <w:b/>
          <w:bCs/>
        </w:rPr>
        <w:t>Method:</w:t>
      </w:r>
      <w:r w:rsidRPr="0067750A">
        <w:rPr>
          <w:rFonts w:asciiTheme="majorBidi" w:hAnsiTheme="majorBidi" w:cstheme="majorBidi"/>
        </w:rPr>
        <w:t xml:space="preserve"> Between-subject, pre-registered design. Fifty-one current smokers and 51 ex-smokers were recruited. Participants completed a two-alternative forced choice task in which they chose between either two tobacco-related images (in one block) or tobacco-unrelated (animal) images (in a different block). On each block, participants pressed a key to select the image that they previously rated most positively during a previous task block. A drift-diffusion model (DDM) was fitted to the reaction time and error data to estimate evidence accumulation (EA) processes and response thresholds during the different blocks. In a separate mouse-tracking task in which a tobacco-related and a tobacco-unrelated image were presented, participants identified the image they had previously rated most positively, and mouse trajectories were modelled to infer the strength and temporal unfolding of conflict during decision-making. </w:t>
      </w:r>
      <w:r w:rsidRPr="0067750A">
        <w:rPr>
          <w:rFonts w:asciiTheme="majorBidi" w:hAnsiTheme="majorBidi" w:cstheme="majorBidi"/>
          <w:b/>
          <w:bCs/>
        </w:rPr>
        <w:t>Results:</w:t>
      </w:r>
      <w:r w:rsidRPr="0067750A">
        <w:rPr>
          <w:rFonts w:asciiTheme="majorBidi" w:hAnsiTheme="majorBidi" w:cstheme="majorBidi"/>
        </w:rPr>
        <w:t xml:space="preserve"> Ex-smokers had significantly higher response thresholds compared to current smokers when they were making tobacco-related choices (</w:t>
      </w:r>
      <w:r w:rsidRPr="0067750A">
        <w:rPr>
          <w:rFonts w:asciiTheme="majorBidi" w:hAnsiTheme="majorBidi" w:cstheme="majorBidi"/>
          <w:i/>
          <w:iCs/>
        </w:rPr>
        <w:t>p</w:t>
      </w:r>
      <w:r w:rsidRPr="0067750A">
        <w:rPr>
          <w:rFonts w:asciiTheme="majorBidi" w:hAnsiTheme="majorBidi" w:cstheme="majorBidi"/>
        </w:rPr>
        <w:t xml:space="preserve"> = .01, </w:t>
      </w:r>
      <w:r w:rsidRPr="0067750A">
        <w:rPr>
          <w:rFonts w:asciiTheme="majorBidi" w:hAnsiTheme="majorBidi" w:cstheme="majorBidi"/>
          <w:i/>
          <w:iCs/>
        </w:rPr>
        <w:t xml:space="preserve">d </w:t>
      </w:r>
      <w:r w:rsidRPr="0067750A">
        <w:rPr>
          <w:rFonts w:asciiTheme="majorBidi" w:hAnsiTheme="majorBidi" w:cstheme="majorBidi"/>
        </w:rPr>
        <w:t xml:space="preserve">= .45), although there were no group differences in responses thresholds when they were making tobacco-unrelated choices. Furthermore, there were no significant differences in EA rates for tobacco or tobacco-unrelated stimuli. There were also no significant differences in the strength of conflict between smokers and ex-smokers when choosing between tobacco-related and tobacco-unrelated images, however, the temporal unfolding of conflict followed a dynamic VBDM—as opposed to dual-system—approach (maximum deviation values &lt; .09). </w:t>
      </w:r>
      <w:r w:rsidRPr="0067750A">
        <w:rPr>
          <w:rFonts w:asciiTheme="majorBidi" w:hAnsiTheme="majorBidi" w:cstheme="majorBidi"/>
          <w:b/>
          <w:bCs/>
        </w:rPr>
        <w:t>Conclusions:</w:t>
      </w:r>
      <w:r w:rsidRPr="0067750A">
        <w:rPr>
          <w:rFonts w:asciiTheme="majorBidi" w:hAnsiTheme="majorBidi" w:cstheme="majorBidi"/>
        </w:rPr>
        <w:t xml:space="preserve"> Recovery from nicotine addiction is characterised by greater cautiousness when making </w:t>
      </w:r>
      <w:r w:rsidRPr="0067750A">
        <w:rPr>
          <w:rFonts w:asciiTheme="majorBidi" w:hAnsiTheme="majorBidi" w:cstheme="majorBidi"/>
        </w:rPr>
        <w:lastRenderedPageBreak/>
        <w:t xml:space="preserve">value-based decisions about tobacco-related images. However, contrary to hypotheses, EA rates and magnitude of decision conflict did not discriminate current and ex-smokers. </w:t>
      </w:r>
    </w:p>
    <w:p w14:paraId="7AD741B2" w14:textId="77777777" w:rsidR="0067750A" w:rsidRPr="0067750A" w:rsidRDefault="0067750A" w:rsidP="0067750A">
      <w:pPr>
        <w:pStyle w:val="NoSpacing"/>
      </w:pPr>
    </w:p>
    <w:p w14:paraId="4AF51D68" w14:textId="3875F2B4" w:rsidR="00093B56" w:rsidRDefault="00093B56" w:rsidP="00093B56">
      <w:pPr>
        <w:pStyle w:val="NoSpacing"/>
      </w:pPr>
    </w:p>
    <w:p w14:paraId="1FECA7A7" w14:textId="54E8775A" w:rsidR="00093B56" w:rsidRDefault="00093B56" w:rsidP="00093B56">
      <w:pPr>
        <w:pStyle w:val="NoSpacing"/>
      </w:pPr>
    </w:p>
    <w:p w14:paraId="75378EAF" w14:textId="6F69CB5A" w:rsidR="00093B56" w:rsidRDefault="00093B56" w:rsidP="00093B56">
      <w:pPr>
        <w:pStyle w:val="NoSpacing"/>
      </w:pPr>
    </w:p>
    <w:p w14:paraId="48AB3E98" w14:textId="6C8D33A5" w:rsidR="00093B56" w:rsidRDefault="00093B56" w:rsidP="00093B56">
      <w:pPr>
        <w:pStyle w:val="NoSpacing"/>
      </w:pPr>
    </w:p>
    <w:p w14:paraId="00032666" w14:textId="13E4C86F" w:rsidR="00093B56" w:rsidRDefault="00093B56" w:rsidP="00093B56">
      <w:pPr>
        <w:pStyle w:val="NoSpacing"/>
      </w:pPr>
    </w:p>
    <w:p w14:paraId="4AEA18B3" w14:textId="11C2728B" w:rsidR="00093B56" w:rsidRDefault="00093B56" w:rsidP="00093B56">
      <w:pPr>
        <w:pStyle w:val="NoSpacing"/>
      </w:pPr>
    </w:p>
    <w:p w14:paraId="6BB102AE" w14:textId="00C0B24B" w:rsidR="00093B56" w:rsidRDefault="00093B56" w:rsidP="00093B56">
      <w:pPr>
        <w:pStyle w:val="NoSpacing"/>
      </w:pPr>
    </w:p>
    <w:p w14:paraId="7B849C11" w14:textId="29643A8E" w:rsidR="00093B56" w:rsidRDefault="00093B56" w:rsidP="00093B56">
      <w:pPr>
        <w:pStyle w:val="NoSpacing"/>
      </w:pPr>
    </w:p>
    <w:p w14:paraId="05271AB4" w14:textId="483818F2" w:rsidR="00093B56" w:rsidRDefault="00093B56" w:rsidP="00093B56">
      <w:pPr>
        <w:pStyle w:val="NoSpacing"/>
      </w:pPr>
    </w:p>
    <w:p w14:paraId="2B21E68A" w14:textId="4E9601D1" w:rsidR="00093B56" w:rsidRDefault="00093B56" w:rsidP="00093B56">
      <w:pPr>
        <w:pStyle w:val="NoSpacing"/>
      </w:pPr>
    </w:p>
    <w:p w14:paraId="6BD085EA" w14:textId="39AE5DCA" w:rsidR="00093B56" w:rsidRDefault="00093B56" w:rsidP="00093B56">
      <w:pPr>
        <w:pStyle w:val="NoSpacing"/>
      </w:pPr>
    </w:p>
    <w:p w14:paraId="7150EAEB" w14:textId="48511FB9" w:rsidR="00093B56" w:rsidRDefault="00093B56" w:rsidP="00093B56">
      <w:pPr>
        <w:pStyle w:val="NoSpacing"/>
      </w:pPr>
    </w:p>
    <w:p w14:paraId="6B3ADAD7" w14:textId="4BEA53C1" w:rsidR="00093B56" w:rsidRDefault="00093B56" w:rsidP="00093B56">
      <w:pPr>
        <w:pStyle w:val="NoSpacing"/>
      </w:pPr>
    </w:p>
    <w:p w14:paraId="779BF172" w14:textId="348A968E" w:rsidR="00093B56" w:rsidRDefault="00093B56" w:rsidP="00093B56">
      <w:pPr>
        <w:pStyle w:val="NoSpacing"/>
      </w:pPr>
    </w:p>
    <w:p w14:paraId="43BE8E0B" w14:textId="005C0847" w:rsidR="00093B56" w:rsidRDefault="00093B56" w:rsidP="00093B56">
      <w:pPr>
        <w:pStyle w:val="NoSpacing"/>
      </w:pPr>
    </w:p>
    <w:p w14:paraId="65B63BD2" w14:textId="1B21D1B1" w:rsidR="00093B56" w:rsidRDefault="00093B56" w:rsidP="00093B56">
      <w:pPr>
        <w:pStyle w:val="NoSpacing"/>
      </w:pPr>
    </w:p>
    <w:p w14:paraId="7B763276" w14:textId="007ADDCB" w:rsidR="00093B56" w:rsidRDefault="00093B56" w:rsidP="00093B56">
      <w:pPr>
        <w:pStyle w:val="NoSpacing"/>
      </w:pPr>
    </w:p>
    <w:p w14:paraId="049B7138" w14:textId="5A5314DC" w:rsidR="00093B56" w:rsidRDefault="00093B56" w:rsidP="00093B56">
      <w:pPr>
        <w:pStyle w:val="NoSpacing"/>
      </w:pPr>
    </w:p>
    <w:p w14:paraId="40542501" w14:textId="6FEF340E" w:rsidR="00093B56" w:rsidRDefault="00093B56" w:rsidP="00093B56">
      <w:pPr>
        <w:pStyle w:val="NoSpacing"/>
      </w:pPr>
    </w:p>
    <w:p w14:paraId="46ACEF6D" w14:textId="736A09A1" w:rsidR="0067750A" w:rsidRDefault="0067750A" w:rsidP="00093B56">
      <w:pPr>
        <w:pStyle w:val="NoSpacing"/>
      </w:pPr>
    </w:p>
    <w:p w14:paraId="460047F2" w14:textId="13D4DC78" w:rsidR="0067750A" w:rsidRDefault="0067750A" w:rsidP="00093B56">
      <w:pPr>
        <w:pStyle w:val="NoSpacing"/>
      </w:pPr>
    </w:p>
    <w:p w14:paraId="681A9AFE" w14:textId="5FB8F357" w:rsidR="0067750A" w:rsidRDefault="0067750A" w:rsidP="00093B56">
      <w:pPr>
        <w:pStyle w:val="NoSpacing"/>
      </w:pPr>
    </w:p>
    <w:p w14:paraId="555C2E1D" w14:textId="4C6202C0" w:rsidR="0067750A" w:rsidRDefault="0067750A" w:rsidP="00093B56">
      <w:pPr>
        <w:pStyle w:val="NoSpacing"/>
      </w:pPr>
    </w:p>
    <w:p w14:paraId="67104F06" w14:textId="77B479C2" w:rsidR="0067750A" w:rsidRDefault="0067750A" w:rsidP="00093B56">
      <w:pPr>
        <w:pStyle w:val="NoSpacing"/>
      </w:pPr>
    </w:p>
    <w:p w14:paraId="61B00CD9" w14:textId="39E9C6F6" w:rsidR="0067750A" w:rsidRDefault="0067750A" w:rsidP="00093B56">
      <w:pPr>
        <w:pStyle w:val="NoSpacing"/>
      </w:pPr>
    </w:p>
    <w:p w14:paraId="588294F2" w14:textId="2498EFFE" w:rsidR="0067750A" w:rsidRDefault="0067750A" w:rsidP="00093B56">
      <w:pPr>
        <w:pStyle w:val="NoSpacing"/>
      </w:pPr>
    </w:p>
    <w:p w14:paraId="1A3BA237" w14:textId="7CCAE1A2" w:rsidR="0067750A" w:rsidRDefault="0067750A" w:rsidP="00093B56">
      <w:pPr>
        <w:pStyle w:val="NoSpacing"/>
      </w:pPr>
    </w:p>
    <w:p w14:paraId="0E3EF2E6" w14:textId="1FF91C87" w:rsidR="0067750A" w:rsidRDefault="0067750A" w:rsidP="00093B56">
      <w:pPr>
        <w:pStyle w:val="NoSpacing"/>
      </w:pPr>
    </w:p>
    <w:p w14:paraId="32C818A6" w14:textId="41665539" w:rsidR="0067750A" w:rsidRDefault="0067750A" w:rsidP="00093B56">
      <w:pPr>
        <w:pStyle w:val="NoSpacing"/>
      </w:pPr>
    </w:p>
    <w:p w14:paraId="0DE03909" w14:textId="6DF8D320" w:rsidR="0067750A" w:rsidRDefault="0067750A" w:rsidP="00093B56">
      <w:pPr>
        <w:pStyle w:val="NoSpacing"/>
      </w:pPr>
    </w:p>
    <w:p w14:paraId="7DC8700D" w14:textId="0D7FA5A0" w:rsidR="0067750A" w:rsidRDefault="0067750A" w:rsidP="00093B56">
      <w:pPr>
        <w:pStyle w:val="NoSpacing"/>
      </w:pPr>
    </w:p>
    <w:p w14:paraId="7501AB30" w14:textId="5C1135E4" w:rsidR="0067750A" w:rsidRDefault="0067750A" w:rsidP="00093B56">
      <w:pPr>
        <w:pStyle w:val="NoSpacing"/>
      </w:pPr>
    </w:p>
    <w:p w14:paraId="1B4D4392" w14:textId="7E260669" w:rsidR="0067750A" w:rsidRDefault="0067750A" w:rsidP="00093B56">
      <w:pPr>
        <w:pStyle w:val="NoSpacing"/>
      </w:pPr>
    </w:p>
    <w:p w14:paraId="13D0EA33" w14:textId="50B56A56" w:rsidR="0067750A" w:rsidRDefault="0067750A" w:rsidP="00093B56">
      <w:pPr>
        <w:pStyle w:val="NoSpacing"/>
      </w:pPr>
    </w:p>
    <w:p w14:paraId="5ABD4DD7" w14:textId="2B6020D3" w:rsidR="0067750A" w:rsidRDefault="0067750A" w:rsidP="00093B56">
      <w:pPr>
        <w:pStyle w:val="NoSpacing"/>
      </w:pPr>
    </w:p>
    <w:p w14:paraId="21D811D3" w14:textId="793096F4" w:rsidR="0067750A" w:rsidRDefault="0067750A" w:rsidP="00093B56">
      <w:pPr>
        <w:pStyle w:val="NoSpacing"/>
      </w:pPr>
    </w:p>
    <w:p w14:paraId="581BFD89" w14:textId="44DA4404" w:rsidR="0067750A" w:rsidRDefault="0067750A" w:rsidP="00093B56">
      <w:pPr>
        <w:pStyle w:val="NoSpacing"/>
      </w:pPr>
    </w:p>
    <w:p w14:paraId="04701FBA" w14:textId="5C7DE6FA" w:rsidR="0067750A" w:rsidRDefault="0067750A" w:rsidP="00093B56">
      <w:pPr>
        <w:pStyle w:val="NoSpacing"/>
      </w:pPr>
    </w:p>
    <w:p w14:paraId="6512FECD" w14:textId="24C5F396" w:rsidR="0067750A" w:rsidRDefault="0067750A" w:rsidP="00093B56">
      <w:pPr>
        <w:pStyle w:val="NoSpacing"/>
      </w:pPr>
    </w:p>
    <w:p w14:paraId="5D659AAD" w14:textId="1DEBD217" w:rsidR="0067750A" w:rsidRDefault="0067750A" w:rsidP="00093B56">
      <w:pPr>
        <w:pStyle w:val="NoSpacing"/>
      </w:pPr>
    </w:p>
    <w:p w14:paraId="7AE77DC4" w14:textId="67878CDE" w:rsidR="0067750A" w:rsidRDefault="0067750A" w:rsidP="0067750A">
      <w:pPr>
        <w:pStyle w:val="Heading4"/>
      </w:pPr>
      <w:bookmarkStart w:id="300" w:name="_Toc110629075"/>
      <w:bookmarkStart w:id="301" w:name="_Toc110870983"/>
      <w:r>
        <w:lastRenderedPageBreak/>
        <w:t>7.1. Introduction</w:t>
      </w:r>
      <w:bookmarkEnd w:id="300"/>
      <w:bookmarkEnd w:id="301"/>
    </w:p>
    <w:p w14:paraId="758443AC" w14:textId="61805249" w:rsidR="0067750A" w:rsidRPr="0067750A" w:rsidRDefault="0067750A" w:rsidP="00667932">
      <w:pPr>
        <w:pStyle w:val="NoSpacing"/>
        <w:spacing w:line="480" w:lineRule="auto"/>
        <w:rPr>
          <w:rFonts w:asciiTheme="majorBidi" w:hAnsiTheme="majorBidi" w:cstheme="majorBidi"/>
        </w:rPr>
      </w:pPr>
      <w:r w:rsidRPr="0067750A">
        <w:rPr>
          <w:rFonts w:asciiTheme="majorBidi" w:hAnsiTheme="majorBidi" w:cstheme="majorBidi"/>
        </w:rPr>
        <w:t>Although tobacco smoking is a leading causal factor in preventable disease and death (</w:t>
      </w:r>
      <w:proofErr w:type="spellStart"/>
      <w:r w:rsidRPr="0067750A">
        <w:rPr>
          <w:rFonts w:asciiTheme="majorBidi" w:hAnsiTheme="majorBidi" w:cstheme="majorBidi"/>
        </w:rPr>
        <w:t>Forouzanfar</w:t>
      </w:r>
      <w:proofErr w:type="spellEnd"/>
      <w:r w:rsidRPr="0067750A">
        <w:rPr>
          <w:rFonts w:asciiTheme="majorBidi" w:hAnsiTheme="majorBidi" w:cstheme="majorBidi"/>
        </w:rPr>
        <w:t xml:space="preserve"> et al., 2016), there has been a considerable decline in tobacco smoking during the past decade. For example, in England 13.9% of adults are current tobacco smokers</w:t>
      </w:r>
      <w:r w:rsidRPr="004B73B2">
        <w:rPr>
          <w:rStyle w:val="FootnoteReference"/>
        </w:rPr>
        <w:footnoteReference w:id="21"/>
      </w:r>
      <w:r w:rsidRPr="0067750A">
        <w:rPr>
          <w:rFonts w:asciiTheme="majorBidi" w:hAnsiTheme="majorBidi" w:cstheme="majorBidi"/>
        </w:rPr>
        <w:t xml:space="preserve">—a substantial reduction from the 19.8% of adults in 2011 (Office for National Statistics, 2020). This equates to approximately 2 million less smokers. Dominating theoretical accounts that conceptualise addiction as chronic and relapsing </w:t>
      </w:r>
      <w:r w:rsidR="00667932">
        <w:rPr>
          <w:rFonts w:asciiTheme="majorBidi" w:hAnsiTheme="majorBidi" w:cstheme="majorBidi"/>
        </w:rPr>
        <w:fldChar w:fldCharType="begin"/>
      </w:r>
      <w:r w:rsidR="00667932">
        <w:rPr>
          <w:rFonts w:asciiTheme="majorBidi" w:hAnsiTheme="majorBidi" w:cstheme="majorBidi"/>
        </w:rPr>
        <w:instrText xml:space="preserve"> ADDIN ZOTERO_ITEM CSL_CITATION {"citationID":"k0HqCc7s","properties":{"formattedCitation":"(Volkow et al., 2016)","plainCitation":"(Volkow et al., 2016)","noteIndex":0},"citationItems":[{"id":1180,"uris":["http://zotero.org/users/7873587/items/MMB2LBXI"],"itemData":{"id":1180,"type":"article-journal","abstract":"This article reviews scientific advances in the prevention and treatment of substance-use disorder and related developments in public policy. Here we review recent advances in the neurobiology of addiction to clarify the link between addiction and brain function and to broaden the understanding of addiction as a brain disease. We review findings on the desensitization of reward circuits, which dampens the ability to feel pleasure and the motivation to pursue everyday activities; the increasing strength of conditioned responses and stress reactivity, which results in increased cravings for alcohol and other drugs and negative emotions when these cravings are not sated; and the weakening of the brain regions involved in executive functions such as decision making, inhibitory control, and self-regulation that leads to repeated relapse. Advances in neurobiology have begun to clarify the mechanisms underlying the profound disruptions in decision-making ability and emotional balance displayed by persons with drug addiction. These advances also provide insight into the ways in which fundamental biologic processes, when disrupted, can alter voluntary behavioral control, not just in drug addiction but also in other, related disorders of self-regulation, such as obesity and pathologic gambling and video-gaming — the so-called behavioral addictions. (PsycINFO Database Record (c) 2016 APA, all rights reserved)","container-title":"The New England Journal of Medicine","DOI":"10.1056/NEJMra1511480","ISSN":"1533-4406","issue":"4","note":"publisher-place: US\npublisher: Massachusetts Medical Society","page":"363-371","source":"APA PsycNet","title":"Neurobiologic advances from the brain disease model of addiction","volume":"374","author":[{"family":"Volkow","given":"Nora D."},{"family":"Koob","given":"George F."},{"family":"McLellan","given":"A. Thomas"}],"issued":{"date-parts":[["2016"]]}}}],"schema":"https://github.com/citation-style-language/schema/raw/master/csl-citation.json"} </w:instrText>
      </w:r>
      <w:r w:rsidR="00667932">
        <w:rPr>
          <w:rFonts w:asciiTheme="majorBidi" w:hAnsiTheme="majorBidi" w:cstheme="majorBidi"/>
        </w:rPr>
        <w:fldChar w:fldCharType="separate"/>
      </w:r>
      <w:r w:rsidR="00667932" w:rsidRPr="00667932">
        <w:rPr>
          <w:rFonts w:ascii="Times New Roman" w:hAnsi="Times New Roman" w:cs="Times New Roman"/>
        </w:rPr>
        <w:t>(Volkow et al., 2016)</w:t>
      </w:r>
      <w:r w:rsidR="00667932">
        <w:rPr>
          <w:rFonts w:asciiTheme="majorBidi" w:hAnsiTheme="majorBidi" w:cstheme="majorBidi"/>
        </w:rPr>
        <w:fldChar w:fldCharType="end"/>
      </w:r>
      <w:r w:rsidRPr="0067750A">
        <w:rPr>
          <w:rFonts w:asciiTheme="majorBidi" w:hAnsiTheme="majorBidi" w:cstheme="majorBidi"/>
        </w:rPr>
        <w:t xml:space="preserve"> struggle to provide a coherent explanatory account of how and why these high rates of recovery occur. The aim of this study is to apply a computational model of value-based decision-making (VBDM) in an attempt to characterise recovery from nicotine addiction </w:t>
      </w:r>
      <w:r w:rsidR="00667932">
        <w:rPr>
          <w:rFonts w:asciiTheme="majorBidi" w:hAnsiTheme="majorBidi" w:cstheme="majorBidi"/>
        </w:rPr>
        <w:fldChar w:fldCharType="begin"/>
      </w:r>
      <w:r w:rsidR="003C1591">
        <w:rPr>
          <w:rFonts w:asciiTheme="majorBidi" w:hAnsiTheme="majorBidi" w:cstheme="majorBidi"/>
        </w:rPr>
        <w:instrText xml:space="preserve"> ADDIN ZOTERO_ITEM CSL_CITATION {"citationID":"rgzA6I2L","properties":{"formattedCitation":"(Field,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667932">
        <w:rPr>
          <w:rFonts w:asciiTheme="majorBidi" w:hAnsiTheme="majorBidi" w:cstheme="majorBidi"/>
        </w:rPr>
        <w:fldChar w:fldCharType="separate"/>
      </w:r>
      <w:r w:rsidR="00667932" w:rsidRPr="00667932">
        <w:rPr>
          <w:rFonts w:ascii="Times New Roman" w:hAnsi="Times New Roman" w:cs="Times New Roman"/>
        </w:rPr>
        <w:t>(Field, Heather, et al., 2020)</w:t>
      </w:r>
      <w:r w:rsidR="00667932">
        <w:rPr>
          <w:rFonts w:asciiTheme="majorBidi" w:hAnsiTheme="majorBidi" w:cstheme="majorBidi"/>
        </w:rPr>
        <w:fldChar w:fldCharType="end"/>
      </w:r>
      <w:r w:rsidR="00667932">
        <w:rPr>
          <w:rFonts w:asciiTheme="majorBidi" w:hAnsiTheme="majorBidi" w:cstheme="majorBidi"/>
        </w:rPr>
        <w:t>.</w:t>
      </w:r>
    </w:p>
    <w:p w14:paraId="6E252148" w14:textId="77777777" w:rsidR="0067750A" w:rsidRPr="0067750A" w:rsidRDefault="0067750A" w:rsidP="0067750A">
      <w:pPr>
        <w:pStyle w:val="NoSpacing"/>
        <w:spacing w:line="480" w:lineRule="auto"/>
        <w:rPr>
          <w:rFonts w:asciiTheme="majorBidi" w:hAnsiTheme="majorBidi" w:cstheme="majorBidi"/>
        </w:rPr>
      </w:pPr>
    </w:p>
    <w:p w14:paraId="217AB47B" w14:textId="478C7A06" w:rsidR="0067750A" w:rsidRPr="0067750A" w:rsidRDefault="0067750A" w:rsidP="00667932">
      <w:pPr>
        <w:pStyle w:val="NoSpacing"/>
        <w:spacing w:line="480" w:lineRule="auto"/>
        <w:rPr>
          <w:rFonts w:asciiTheme="majorBidi" w:hAnsiTheme="majorBidi" w:cstheme="majorBidi"/>
        </w:rPr>
      </w:pPr>
      <w:r w:rsidRPr="0067750A">
        <w:rPr>
          <w:rFonts w:asciiTheme="majorBidi" w:hAnsiTheme="majorBidi" w:cstheme="majorBidi"/>
        </w:rPr>
        <w:t xml:space="preserve">“Demand” is a behavioural economic construct that refers to the reinforcing value of a commodity (MacKillop, 2016) and is typically measured with hypothetical purchase tasks (Jacobs &amp; Bickel, 1999; MacKillop et al., 2008) and concurrent choice tasks </w:t>
      </w:r>
      <w:r w:rsidR="00667932">
        <w:rPr>
          <w:rFonts w:asciiTheme="majorBidi" w:hAnsiTheme="majorBidi" w:cstheme="majorBidi"/>
        </w:rPr>
        <w:fldChar w:fldCharType="begin"/>
      </w:r>
      <w:r w:rsidR="00667932">
        <w:rPr>
          <w:rFonts w:asciiTheme="majorBidi" w:hAnsiTheme="majorBidi" w:cstheme="majorBidi"/>
        </w:rPr>
        <w:instrText xml:space="preserve"> ADDIN ZOTERO_ITEM CSL_CITATION {"citationID":"mMHkCrsa","properties":{"formattedCitation":"(Chase et al., 2013)","plainCitation":"(Chase et al., 2013)","noteIndex":0},"citationItems":[{"id":832,"uris":["http://zotero.org/users/7873587/items/JSTZ3BAT"],"itemData":{"id":832,"type":"article-journal","abstract":"RATIONALE: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W."},{"family":"Mackillop","given":"James"},{"family":"Hogarth","given":"Lee"}],"issued":{"date-parts":[["2013",3]]}}}],"schema":"https://github.com/citation-style-language/schema/raw/master/csl-citation.json"} </w:instrText>
      </w:r>
      <w:r w:rsidR="00667932">
        <w:rPr>
          <w:rFonts w:asciiTheme="majorBidi" w:hAnsiTheme="majorBidi" w:cstheme="majorBidi"/>
        </w:rPr>
        <w:fldChar w:fldCharType="separate"/>
      </w:r>
      <w:r w:rsidR="00667932" w:rsidRPr="00667932">
        <w:rPr>
          <w:rFonts w:ascii="Times New Roman" w:hAnsi="Times New Roman" w:cs="Times New Roman"/>
        </w:rPr>
        <w:t>(Chase et al., 2013)</w:t>
      </w:r>
      <w:r w:rsidR="00667932">
        <w:rPr>
          <w:rFonts w:asciiTheme="majorBidi" w:hAnsiTheme="majorBidi" w:cstheme="majorBidi"/>
        </w:rPr>
        <w:fldChar w:fldCharType="end"/>
      </w:r>
      <w:r w:rsidRPr="0067750A">
        <w:rPr>
          <w:rFonts w:asciiTheme="majorBidi" w:hAnsiTheme="majorBidi" w:cstheme="majorBidi"/>
        </w:rPr>
        <w:t xml:space="preserve">. For example, the </w:t>
      </w:r>
      <w:r w:rsidR="00667932">
        <w:rPr>
          <w:rFonts w:asciiTheme="majorBidi" w:hAnsiTheme="majorBidi" w:cstheme="majorBidi"/>
        </w:rPr>
        <w:t>c</w:t>
      </w:r>
      <w:r w:rsidRPr="0067750A">
        <w:rPr>
          <w:rFonts w:asciiTheme="majorBidi" w:hAnsiTheme="majorBidi" w:cstheme="majorBidi"/>
        </w:rPr>
        <w:t xml:space="preserve">igarette </w:t>
      </w:r>
      <w:r w:rsidR="00667932">
        <w:rPr>
          <w:rFonts w:asciiTheme="majorBidi" w:hAnsiTheme="majorBidi" w:cstheme="majorBidi"/>
        </w:rPr>
        <w:t>p</w:t>
      </w:r>
      <w:r w:rsidRPr="0067750A">
        <w:rPr>
          <w:rFonts w:asciiTheme="majorBidi" w:hAnsiTheme="majorBidi" w:cstheme="majorBidi"/>
        </w:rPr>
        <w:t xml:space="preserve">urchase </w:t>
      </w:r>
      <w:r w:rsidR="00667932">
        <w:rPr>
          <w:rFonts w:asciiTheme="majorBidi" w:hAnsiTheme="majorBidi" w:cstheme="majorBidi"/>
        </w:rPr>
        <w:t>t</w:t>
      </w:r>
      <w:r w:rsidRPr="0067750A">
        <w:rPr>
          <w:rFonts w:asciiTheme="majorBidi" w:hAnsiTheme="majorBidi" w:cstheme="majorBidi"/>
        </w:rPr>
        <w:t xml:space="preserve">ask (MacKillop et al., 2008) assesses a person’s hypothetical consumption of cigarettes across a range of escalating prices. This generates separate indices of demand that capture the reinforcing value of tobacco, most prominently: </w:t>
      </w:r>
      <w:r w:rsidRPr="0067750A">
        <w:rPr>
          <w:rFonts w:asciiTheme="majorBidi" w:hAnsiTheme="majorBidi" w:cstheme="majorBidi"/>
          <w:iCs/>
        </w:rPr>
        <w:t>intensity</w:t>
      </w:r>
      <w:r w:rsidRPr="0067750A">
        <w:rPr>
          <w:rFonts w:asciiTheme="majorBidi" w:hAnsiTheme="majorBidi" w:cstheme="majorBidi"/>
          <w:i/>
        </w:rPr>
        <w:t xml:space="preserve"> </w:t>
      </w:r>
      <w:r w:rsidRPr="0067750A">
        <w:rPr>
          <w:rFonts w:asciiTheme="majorBidi" w:hAnsiTheme="majorBidi" w:cstheme="majorBidi"/>
        </w:rPr>
        <w:t xml:space="preserve">(consumption when price is at zero), </w:t>
      </w:r>
      <w:proofErr w:type="spellStart"/>
      <w:r w:rsidRPr="0067750A">
        <w:rPr>
          <w:rFonts w:asciiTheme="majorBidi" w:hAnsiTheme="majorBidi" w:cstheme="majorBidi"/>
          <w:iCs/>
        </w:rPr>
        <w:t>O</w:t>
      </w:r>
      <w:r w:rsidRPr="0067750A">
        <w:rPr>
          <w:rFonts w:asciiTheme="majorBidi" w:hAnsiTheme="majorBidi" w:cstheme="majorBidi"/>
          <w:iCs/>
          <w:vertAlign w:val="subscript"/>
        </w:rPr>
        <w:t>max</w:t>
      </w:r>
      <w:proofErr w:type="spellEnd"/>
      <w:r w:rsidRPr="0067750A">
        <w:rPr>
          <w:rFonts w:asciiTheme="majorBidi" w:hAnsiTheme="majorBidi" w:cstheme="majorBidi"/>
          <w:i/>
        </w:rPr>
        <w:t xml:space="preserve"> </w:t>
      </w:r>
      <w:r w:rsidRPr="0067750A">
        <w:rPr>
          <w:rFonts w:asciiTheme="majorBidi" w:hAnsiTheme="majorBidi" w:cstheme="majorBidi"/>
        </w:rPr>
        <w:t xml:space="preserve">(maximum expenditure), and </w:t>
      </w:r>
      <w:r w:rsidRPr="0067750A">
        <w:rPr>
          <w:rFonts w:asciiTheme="majorBidi" w:hAnsiTheme="majorBidi" w:cstheme="majorBidi"/>
          <w:iCs/>
        </w:rPr>
        <w:t xml:space="preserve">breakpoint </w:t>
      </w:r>
      <w:r w:rsidRPr="0067750A">
        <w:rPr>
          <w:rFonts w:asciiTheme="majorBidi" w:hAnsiTheme="majorBidi" w:cstheme="majorBidi"/>
        </w:rPr>
        <w:t>(first price that suppresses consumption to zero). In concurrent choice tasks (Chase et al., 2013) participants repeatedly choose between tobacco (e.g., cigarette) rewards and tobacco-</w:t>
      </w:r>
      <w:r w:rsidR="00B02736">
        <w:rPr>
          <w:rFonts w:asciiTheme="majorBidi" w:hAnsiTheme="majorBidi" w:cstheme="majorBidi"/>
        </w:rPr>
        <w:t>unrelated</w:t>
      </w:r>
      <w:r w:rsidRPr="0067750A">
        <w:rPr>
          <w:rFonts w:asciiTheme="majorBidi" w:hAnsiTheme="majorBidi" w:cstheme="majorBidi"/>
        </w:rPr>
        <w:t xml:space="preserve"> alternative (e.g., chocolate) rewards, with the percentage choice of cigarette versus the alternative reward used as an index of the relative value that is ascribed to tobacco. </w:t>
      </w:r>
      <w:bookmarkStart w:id="302" w:name="_Hlk73983899"/>
      <w:r w:rsidRPr="0067750A">
        <w:rPr>
          <w:rFonts w:asciiTheme="majorBidi" w:hAnsiTheme="majorBidi" w:cstheme="majorBidi"/>
        </w:rPr>
        <w:t>Scores on these two measures are correlated (Chase et al., 2013) demonstrating that they tap into a common construct of value.</w:t>
      </w:r>
      <w:bookmarkEnd w:id="302"/>
    </w:p>
    <w:p w14:paraId="7B6A86C1" w14:textId="77777777" w:rsidR="0067750A" w:rsidRPr="0067750A" w:rsidRDefault="0067750A" w:rsidP="0067750A">
      <w:pPr>
        <w:pStyle w:val="NoSpacing"/>
        <w:spacing w:line="480" w:lineRule="auto"/>
        <w:rPr>
          <w:rFonts w:asciiTheme="majorBidi" w:hAnsiTheme="majorBidi" w:cstheme="majorBidi"/>
        </w:rPr>
      </w:pPr>
    </w:p>
    <w:p w14:paraId="40C0A388" w14:textId="3C01F431" w:rsidR="0067750A" w:rsidRPr="0067750A" w:rsidRDefault="0067750A" w:rsidP="00D46B65">
      <w:pPr>
        <w:pStyle w:val="NoSpacing"/>
        <w:spacing w:line="480" w:lineRule="auto"/>
        <w:rPr>
          <w:rFonts w:asciiTheme="majorBidi" w:hAnsiTheme="majorBidi" w:cstheme="majorBidi"/>
        </w:rPr>
      </w:pPr>
      <w:r w:rsidRPr="0067750A">
        <w:rPr>
          <w:rFonts w:asciiTheme="majorBidi" w:hAnsiTheme="majorBidi" w:cstheme="majorBidi"/>
        </w:rPr>
        <w:t xml:space="preserve">Behavioural economic accounts emphasise the importance of ‘reinforcer pathologies’ in the development and maintenance of addiction </w:t>
      </w:r>
      <w:r w:rsidR="00667932">
        <w:rPr>
          <w:rFonts w:asciiTheme="majorBidi" w:hAnsiTheme="majorBidi" w:cstheme="majorBidi"/>
        </w:rPr>
        <w:fldChar w:fldCharType="begin"/>
      </w:r>
      <w:r w:rsidR="002624F0">
        <w:rPr>
          <w:rFonts w:asciiTheme="majorBidi" w:hAnsiTheme="majorBidi" w:cstheme="majorBidi"/>
        </w:rPr>
        <w:instrText xml:space="preserve"> ADDIN ZOTERO_ITEM CSL_CITATION {"citationID":"ftpIGWSu","properties":{"formattedCitation":"(Bickel et al., 2014)","plainCitation":"(Bickel et al., 2014)","noteIndex":0},"citationItems":[{"id":816,"uris":["http://zotero.org/users/7873587/items/R9KVGRWU"],"itemData":{"id":816,"type":"article-journal","abstract":"The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G."}],"issued":{"date-parts":[["2014"]]}}}],"schema":"https://github.com/citation-style-language/schema/raw/master/csl-citation.json"} </w:instrText>
      </w:r>
      <w:r w:rsidR="00667932">
        <w:rPr>
          <w:rFonts w:asciiTheme="majorBidi" w:hAnsiTheme="majorBidi" w:cstheme="majorBidi"/>
        </w:rPr>
        <w:fldChar w:fldCharType="separate"/>
      </w:r>
      <w:r w:rsidR="00661F91" w:rsidRPr="00661F91">
        <w:rPr>
          <w:rFonts w:ascii="Times New Roman" w:hAnsi="Times New Roman" w:cs="Times New Roman"/>
        </w:rPr>
        <w:t>(Bickel et al., 2014)</w:t>
      </w:r>
      <w:r w:rsidR="00667932">
        <w:rPr>
          <w:rFonts w:asciiTheme="majorBidi" w:hAnsiTheme="majorBidi" w:cstheme="majorBidi"/>
        </w:rPr>
        <w:fldChar w:fldCharType="end"/>
      </w:r>
      <w:r w:rsidRPr="0067750A">
        <w:rPr>
          <w:rFonts w:asciiTheme="majorBidi" w:hAnsiTheme="majorBidi" w:cstheme="majorBidi"/>
        </w:rPr>
        <w:t xml:space="preserve">. </w:t>
      </w:r>
      <w:r w:rsidR="00661F91">
        <w:rPr>
          <w:rFonts w:asciiTheme="majorBidi" w:hAnsiTheme="majorBidi" w:cstheme="majorBidi"/>
        </w:rPr>
        <w:t>More s</w:t>
      </w:r>
      <w:r w:rsidRPr="0067750A">
        <w:rPr>
          <w:rFonts w:asciiTheme="majorBidi" w:hAnsiTheme="majorBidi" w:cstheme="majorBidi"/>
        </w:rPr>
        <w:t xml:space="preserve">pecifically, they posit that the progression of addiction over time is accompanied by increases in the value of substances and decreases in the value of substance-free alternative reinforcers. Indeed, a robust body of literature demonstrates that cigarette consumption and severity of dependence to nicotine is associated with increased value of tobacco </w:t>
      </w:r>
      <w:r w:rsidR="00661F91">
        <w:rPr>
          <w:rFonts w:asciiTheme="majorBidi" w:hAnsiTheme="majorBidi" w:cstheme="majorBidi"/>
        </w:rPr>
        <w:fldChar w:fldCharType="begin"/>
      </w:r>
      <w:r w:rsidR="00233FAC">
        <w:rPr>
          <w:rFonts w:asciiTheme="majorBidi" w:hAnsiTheme="majorBidi" w:cstheme="majorBidi"/>
        </w:rPr>
        <w:instrText xml:space="preserve"> ADDIN ZOTERO_ITEM CSL_CITATION {"citationID":"NcMHQBTe","properties":{"formattedCitation":"(Gonz\\uc0\\u225{}lez-Roz et al., 2019; MacKillop et al., 2008)","plainCitation":"(González-Roz et al., 2019; MacKillop et al., 2008)","noteIndex":0},"citationItems":[{"id":813,"uris":["http://zotero.org/users/7873587/items/LZYTS2PP"],"itemData":{"id":813,"type":"article-journal","abstract":"Background and Aims A cigarette purchase task (CPT) aims to characterize individual variation in the reinforcing value of tobacco. This meta-analysis estimated the associations between cigarette demand, tobacco consumption and nicotine dependence using this task. Design A meta-analysis of cross-sectional studies identified by PubMed and PsycINFO databases was conducted. Fixed- and random-effects models were used. The study also examined the model used to derive elasticity of demand (exponential or exponentiated) as a potential moderator. Publication bias was assessed using ‘fail-safe N', Begg–Mazumdar test, Egger's test, Tweedie's trim-and-fill approach and meta-regression of publication year with effect size. Setting Studies from any setting that reported coefficient correlations on the tested associations. Participants Daily cigarette users (i.e. 5 to 38 cigarettes per day; n = 7649). Measurements Cigarette consumption, nicotine dependence and five tobacco demand indicators: intensity (i.e. consumption at no cost), elasticity (i.e. sensitivity to rises in costs), Omax (maximum expenditure), Pmax (i.e. price at which consumption becomes elastic) and breakpoint (i.e. price at which consumption ceases). Findings Twenty-three studies met inclusion criteria. All the CPT indices were significantly correlated with smoking behavior (rs = 0.044–0.572, Ps = 0.012–10−8). Medium-to-large effect size associations were present for intensity, Omax, and elasticity, whereas small effects were obtained for breakpoint and Pmax. Evidence of a moderating effect of the different elasticity modeling approaches was not present. There was limited evidence of publication bias. Conclusions All five demand indices derived from the cigarette purchase task by (CPT) were robustly associated with cigarette consumption and tobacco dependence. Of the demand indices, maximum expenditure, intensity and elasticity exhibited the largest magnitude associations.","container-title":"Addiction","DOI":"10.1111/add.14736","ISSN":"1360-0443","issue":"11","language":"en","note":"_eprint: https://onlinelibrary.wiley.com/doi/pdf/10.1111/add.14736","page":"1926-1940","source":"Wiley Online Library","title":"Behavioral economic tobacco demand in relation to cigarette consumption and nicotine dependence: a meta-analysis of cross-sectional relationships","title-short":"Behavioral economic tobacco demand in relation to cigarette consumption and nicotine dependence","volume":"114","author":[{"family":"González-Roz","given":"Alba"},{"family":"Jackson","given":"Jacob"},{"family":"Murphy","given":"Cara"},{"family":"Rohsenow","given":"Damaris J."},{"family":"MacKillop","given":"James"}],"issued":{"date-parts":[["2019"]]}},"label":"act"},{"id":825,"uris":["http://zotero.org/users/7873587/items/HPVPY5R2"],"itemData":{"id":825,"type":"article-journal","abstract":"The authors sought to further validate a cigarette purchase task (CPT), a self-report analogue of a progressive-ratio operant schedule, for the assessment of the relative reinforcing efficacy (RRE) of nicotine in smokers. The measure was assessed in terms of its correspondence to typically observed operant behavior, convergent validity, and divergent validity. Participants were 33 individuals (58% male, age M = 19.30 years) who smoked at least weekly (M = 5.31 cigarettes/day) and underwent a single assessment session. Data from the CPT exhibited the predicted inverse relationship between consumption and price, the predicted relationship between consumption and expenditure, and a heterogeneous pattern of interrelationships among the indices of reinforcement. In addition, 2 indices from the measure, intensity of demand and maximum expenditure for cigarettes, exhibited robust convergent and divergent validity. Although this is an incipient research area and the current study used a relatively small sample, these findings support the validity of a CPT as a time- and cost-efficient method for assessing nicotine reinforcement. Theoretical implications of the findings, limitations, and future directions are also discussed. (PsycINFO Database Record (c) 2016 APA, all rights reserved)","container-title":"Experimental and Clinical Psychopharmacology","DOI":"10.1037/1064-1297.16.1.57","ISSN":"1936-2293","issue":"1","note":"publisher-place: US\npublisher: American Psychological Association","page":"57-65","source":"APA PsycNet","title":"Further validation of a cigarette purchase task for assessing the relative reinforcing efficacy of nicotine in college smokers","volume":"16","author":[{"family":"MacKillop","given":"James"},{"family":"Murphy","given":"James G."},{"family":"Ray","given":"Lara A."},{"family":"Eisenberg","given":"Daniel T. A."},{"family":"Lisman","given":"Stephen A."},{"family":"Lum","given":"J. Koji"},{"family":"Wilson","given":"David S."}],"issued":{"date-parts":[["2008"]]}},"label":"act"}],"schema":"https://github.com/citation-style-language/schema/raw/master/csl-citation.json"} </w:instrText>
      </w:r>
      <w:r w:rsidR="00661F91">
        <w:rPr>
          <w:rFonts w:asciiTheme="majorBidi" w:hAnsiTheme="majorBidi" w:cstheme="majorBidi"/>
        </w:rPr>
        <w:fldChar w:fldCharType="separate"/>
      </w:r>
      <w:r w:rsidR="00233FAC" w:rsidRPr="00233FAC">
        <w:rPr>
          <w:rFonts w:ascii="Times New Roman" w:hAnsi="Times New Roman" w:cs="Times New Roman"/>
        </w:rPr>
        <w:t>(González-Roz et al., 2019; MacKillop et al., 2008)</w:t>
      </w:r>
      <w:r w:rsidR="00661F91">
        <w:rPr>
          <w:rFonts w:asciiTheme="majorBidi" w:hAnsiTheme="majorBidi" w:cstheme="majorBidi"/>
        </w:rPr>
        <w:fldChar w:fldCharType="end"/>
      </w:r>
      <w:r w:rsidR="00661F91">
        <w:rPr>
          <w:rFonts w:asciiTheme="majorBidi" w:hAnsiTheme="majorBidi" w:cstheme="majorBidi"/>
        </w:rPr>
        <w:t xml:space="preserve"> </w:t>
      </w:r>
      <w:r w:rsidRPr="0067750A">
        <w:rPr>
          <w:rFonts w:asciiTheme="majorBidi" w:hAnsiTheme="majorBidi" w:cstheme="majorBidi"/>
        </w:rPr>
        <w:t>compared to tobacco-</w:t>
      </w:r>
      <w:r w:rsidR="00B02736">
        <w:rPr>
          <w:rFonts w:asciiTheme="majorBidi" w:hAnsiTheme="majorBidi" w:cstheme="majorBidi"/>
        </w:rPr>
        <w:t>unrelated</w:t>
      </w:r>
      <w:r w:rsidRPr="0067750A">
        <w:rPr>
          <w:rFonts w:asciiTheme="majorBidi" w:hAnsiTheme="majorBidi" w:cstheme="majorBidi"/>
        </w:rPr>
        <w:t xml:space="preserve"> alternatives </w:t>
      </w:r>
      <w:r w:rsidR="00233FAC">
        <w:rPr>
          <w:rFonts w:asciiTheme="majorBidi" w:hAnsiTheme="majorBidi" w:cstheme="majorBidi"/>
        </w:rPr>
        <w:fldChar w:fldCharType="begin"/>
      </w:r>
      <w:r w:rsidR="00996CF6">
        <w:rPr>
          <w:rFonts w:asciiTheme="majorBidi" w:hAnsiTheme="majorBidi" w:cstheme="majorBidi"/>
        </w:rPr>
        <w:instrText xml:space="preserve"> ADDIN ZOTERO_ITEM CSL_CITATION {"citationID":"EQGWB82H","properties":{"formattedCitation":"(Chase et al., 2013; Hardy et al., 2018; Hogarth &amp; Chase, 2011; Lawn et al., 2018; Miele et al., 2018)","plainCitation":"(Chase et al., 2013; Hardy et al., 2018; Hogarth &amp; Chase, 2011; Lawn et al., 2018; Miele et al., 2018)","noteIndex":0},"citationItems":[{"id":832,"uris":["http://zotero.org/users/7873587/items/JSTZ3BAT"],"itemData":{"id":832,"type":"article-journal","abstract":"RATIONALE: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W."},{"family":"Mackillop","given":"James"},{"family":"Hogarth","given":"Lee"}],"issued":{"date-parts":[["2013",3]]}},"label":"act"},{"id":830,"uris":["http://zotero.org/users/7873587/items/NPLX5NWL"],"itemData":{"id":830,"type":"article-journal","abstract":"Concurrent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W."}],"issued":{"date-parts":[["2011",7]]}},"label":"act"},{"id":834,"uris":["http://zotero.org/users/7873587/items/EBXENG4P"],"itemData":{"id":834,"type":"article-journal","abstract":"Background\nDopaminergic functioning is thought to play critical roles in both motivation and addiction. There is preliminary evidence that dopamine agonists reduce the motivation for cigarettes in smokers. However, the effects of pramipexole, a dopamine D3 receptor preferring agonist, have not been investigated., The aim of this study was to examine the effects of an acute dose of pramipexole on the motivation to earn cigarettes and nondrug rewards.\n\nMethods\nTwenty dependent and 20 occasional smokers received 0.5 mg pramipexole using a double-blind, placebo-controlled crossover design. Motivation for cigarettes and consummatory nondrug rewards was measured using the DReaM-Choice task, in which participants earned, and later “consumed,” cigarettes, music, and chocolate. Demand for cigarettes was measured using the Cigarette Purchase Task (CPT). Self-reported craving, withdrawal, and drug effects were also recorded.\n\nResults\nDependent smokers chose (p &lt; .001) and button-pressed for (p &lt; .001) cigarettes more, and chose chocolate less (p &lt; .001), than occasional smokers. Pramipexole did not affect the number of choices for or amount of button-pressing for any reward including cigarettes, which was supported by a Bayesian analysis. The dependent smokers had greater demand for cigarettes than occasional smokers across all CPT outcomes (ps &lt; .021), apart from elasticity. Pramipexole did not affect demand for cigarettes, and this was supported by Bayesian analyses. Pramipexole produced greater subjective “feel drug” and “dislike drug” effects than placebo.\n\nConclusions\nDependent and occasional cigarette smokers differed in their motivation for cigarettes but not for the nondrug rewards. Pramipexole did not acutely alter motivation for cigarettes. These findings question the role of dopamine D3 receptors in cigarette-seeking behavior in dependent and occasional smokers.\n\nImplications\nThis study adds to the growing literature about cigarette versus nondrug reward processing in nicotine dependence and the role of dopamine in cigarette-seeking behavior. Our results suggest nicotine dependence is associated with a hypersensitivity to cigarette rewards but not a hyposensitivity to nondrug rewards. Furthermore, our results question the importance of dopamine D3 receptors in motivational processing of cigarettes in occasional and dependent smokers.","container-title":"Nicotine &amp; Tobacco Research","DOI":"10.1093/ntr/ntx159","ISSN":"1462-2203","issue":"7","journalAbbreviation":"Nicotine Tob Res","note":"PMID: 29065193\nPMCID: PMC5991206","page":"800-809","source":"PubMed Central","title":"The acute effects of a dopamine D3 receptor preferring agonist on motivation for cigarettes in dependent and occasional cigarette smokers","volume":"20","author":[{"family":"Lawn","given":"Will"},{"family":"Freeman","given":"Tom P"},{"family":"East","given":"Katie"},{"family":"Gaule","given":"Annie"},{"family":"Aston","given":"Elizabeth R"},{"family":"Bloomfield","given":"Michael A P"},{"family":"Das","given":"Ravi K"},{"family":"Morgan","given":"Celia J A"},{"family":"Curran","given":"H Valerie"}],"issued":{"date-parts":[["2018",7]]}},"label":"act"},{"id":837,"uris":["http://zotero.org/users/7873587/items/LPTMVLQ6"],"itemData":{"id":837,"type":"article-journal","abstract":"Introduction: A substantial proportion of cancer patients continue to smoke after their diagnosis but few studies have evaluated correlates of nicotine dependence and smoking rate in this population, which could help guide smoking cessation interventions.\nAim: This study evaluated correlates of smoking rate and nicotine dependence among 207 cancer patients.\nMethods: A cross-sectional analysis using multiple linear regression evaluated disease, demographic, affective, and tobacco-seeking correlates of smoking rate and nicotine dependence. Smoking rate was assessed using a timeline follow-back method. The Fagerström Test for Nicotine Dependence measured levels of nicotine dependence.\nResults: A multiple linear regression predicting nicotine dependence showed an association with smoking to alleviate a sense of addiction from the Reasons for Smoking scale and tobacco-seeking behavior from the concurrent choice task (p &lt; .05), but not with affect measured by the HADS and PANAS (p &gt; .05). Multiple linear regression predicting prequit showed an association with smoking to alleviate addiction (p &lt; .05). ANOVA showed that Caucasian participants reported greater rates of smoking compared to other races.\nConclusions: The results suggest that behavioral smoking cessation interventions that focus on helping patients to manage tobacco-seeking behavior, rather than mood management interventions, could help cancer patients quit smoking.","container-title":"Journal of Addiction","DOI":"10.1155/2018/2438161","ISSN":"2090-7834","journalAbbreviation":"J Addict","language":"eng","note":"PMID: 29682394\nPMCID: PMC5846375","page":"2438161","source":"PubMed","title":"Cancer patients enrolled in a smoking cessation clinical trial: Characteristics and correlates of smoking rate and nicotine dependence","title-short":"Cancer Patients Enrolled in a Smoking Cessation Clinical Trial","volume":"2018","author":[{"family":"Miele","given":"Andrew"},{"family":"Thompson","given":"Morgan"},{"family":"Jao","given":"Nancy C."},{"family":"Kalhan","given":"Ravi"},{"family":"Leone","given":"Frank"},{"family":"Hogarth","given":"Lee"},{"family":"Hitsman","given":"Brian"},{"family":"Schnoll","given":"Robert"}],"issued":{"date-parts":[["2018"]]}},"label":"act"}],"schema":"https://github.com/citation-style-language/schema/raw/master/csl-citation.json"} </w:instrText>
      </w:r>
      <w:r w:rsidR="00233FAC">
        <w:rPr>
          <w:rFonts w:asciiTheme="majorBidi" w:hAnsiTheme="majorBidi" w:cstheme="majorBidi"/>
        </w:rPr>
        <w:fldChar w:fldCharType="separate"/>
      </w:r>
      <w:r w:rsidR="00233FAC" w:rsidRPr="00233FAC">
        <w:rPr>
          <w:rFonts w:ascii="Times New Roman" w:hAnsi="Times New Roman" w:cs="Times New Roman"/>
        </w:rPr>
        <w:t>(Chase et al., 2013; Hardy et al., 2018; Hogarth &amp; Chase, 2011; Lawn et al., 2018; Miele et al., 2018)</w:t>
      </w:r>
      <w:r w:rsidR="00233FAC">
        <w:rPr>
          <w:rFonts w:asciiTheme="majorBidi" w:hAnsiTheme="majorBidi" w:cstheme="majorBidi"/>
        </w:rPr>
        <w:fldChar w:fldCharType="end"/>
      </w:r>
      <w:r w:rsidR="00233FAC">
        <w:rPr>
          <w:rFonts w:asciiTheme="majorBidi" w:hAnsiTheme="majorBidi" w:cstheme="majorBidi"/>
        </w:rPr>
        <w:t xml:space="preserve">. </w:t>
      </w:r>
      <w:r w:rsidRPr="0067750A">
        <w:rPr>
          <w:rFonts w:asciiTheme="majorBidi" w:hAnsiTheme="majorBidi" w:cstheme="majorBidi"/>
        </w:rPr>
        <w:t xml:space="preserve">Furthermore, experimental manipulations of substance value (e.g., via nicotine deprivation or satiation) directly alter tobacco choice </w:t>
      </w:r>
      <w:r w:rsidR="00D46B65">
        <w:rPr>
          <w:rFonts w:asciiTheme="majorBidi" w:hAnsiTheme="majorBidi" w:cstheme="majorBidi"/>
        </w:rPr>
        <w:fldChar w:fldCharType="begin"/>
      </w:r>
      <w:r w:rsidR="00D46B65">
        <w:rPr>
          <w:rFonts w:asciiTheme="majorBidi" w:hAnsiTheme="majorBidi" w:cstheme="majorBidi"/>
        </w:rPr>
        <w:instrText xml:space="preserve"> ADDIN ZOTERO_ITEM CSL_CITATION {"citationID":"5YfUegSh","properties":{"formattedCitation":"(Hogarth, 2012; Hogarth &amp; Chase, 2011; Lawn et al., 2015)","plainCitation":"(Hogarth, 2012; Hogarth &amp; Chase, 2011; Lawn et al., 2015)","noteIndex":0},"citationItems":[{"id":1344,"uris":["http://zotero.org/users/7873587/items/VDKRUUGQ"],"itemData":{"id":1344,"type":"article-journal","abstract":"According to contemporary learning theory, drug-seeking behavior reflects the summation of 2 dissociable controllers. Whereas goal-directed drug-seeking is determined by the expected current incentive value of the drug, stimulus-elicited drug-seeking is determined by the expected probability of the drug independently of its current incentive value, and these 2 controllers contribute additively to observed drug-seeking. One applied prediction of this model is that smoking cessation pharmacotherapies selectively attenuate tonic but not cue-elicited craving because they downgrade the expected incentive value of the drug but leave expected probability intact. To test this, the current study examined whether nicotine replacement therapy (NRT) nasal spray would modify goal-directed tobacco choice in a human outcome devaluation procedure, but leave cue-elicited tobacco choice in a Pavlovian to instrumental transfer (PIT) procedure intact. Smokers (N= 96) first underwent concurrent choice training in which 2 responses earned tobacco or chocolate points, respectively. Participants then ingested either NRT nasal spray (1 mg) or chocolate (147 g) to devalue 1 outcome. Concurrent choice was then tested again in extinction to measure goal-directed control of choice, and in a PIT test to measure the extent to which tobacco and chocolate stimuli enhanced choice of the same outcome. It was found that NRT modified tobacco choice in the extinction test but not the extent to which the tobacco stimulus enhanced choice of the tobacco outcome in the PIT test. This dissociation suggests that the propensity to engage in drug-seeking is determined independently by the expected value and probability of the drug, and that pharmacotherapy has partial efficacy because it selectively effects expected drug value.","container-title":"Journal of Experimental Psychology. Animal Behavior Processes","DOI":"10.1037/a0028914","ISSN":"1939-2184","issue":"3","journalAbbreviation":"J Exp Psychol Anim Behav Process","language":"eng","note":"PMID: 22823420","page":"266-278","source":"PubMed","title":"Goal-directed and transfer-cue-elicited drug-seeking are dissociated by pharmacotherapy: evidence for independent additive controllers","title-short":"Goal-directed and transfer-cue-elicited drug-seeking are dissociated by pharmacotherapy","volume":"38","author":[{"family":"Hogarth","given":"Lee"}],"issued":{"date-parts":[["2012",7]]}},"label":"act"},{"id":860,"uris":["http://zotero.org/users/7873587/items/AEE43PBX"],"itemData":{"id":860,"type":"article-journal","abstract":"Dual-process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V."}],"issued":{"date-parts":[["2015",7]]}},"label":"act"}],"schema":"https://github.com/citation-style-language/schema/raw/master/csl-citation.json"} </w:instrText>
      </w:r>
      <w:r w:rsidR="00D46B65">
        <w:rPr>
          <w:rFonts w:asciiTheme="majorBidi" w:hAnsiTheme="majorBidi" w:cstheme="majorBidi"/>
        </w:rPr>
        <w:fldChar w:fldCharType="separate"/>
      </w:r>
      <w:r w:rsidR="00D46B65" w:rsidRPr="00D46B65">
        <w:rPr>
          <w:rFonts w:ascii="Times New Roman" w:hAnsi="Times New Roman" w:cs="Times New Roman"/>
        </w:rPr>
        <w:t>(Hogarth, 2012; Hogarth &amp; Chase, 2011; Lawn et al., 2015)</w:t>
      </w:r>
      <w:r w:rsidR="00D46B65">
        <w:rPr>
          <w:rFonts w:asciiTheme="majorBidi" w:hAnsiTheme="majorBidi" w:cstheme="majorBidi"/>
        </w:rPr>
        <w:fldChar w:fldCharType="end"/>
      </w:r>
      <w:r w:rsidR="00D46B65">
        <w:rPr>
          <w:rFonts w:asciiTheme="majorBidi" w:hAnsiTheme="majorBidi" w:cstheme="majorBidi"/>
        </w:rPr>
        <w:t xml:space="preserve">. </w:t>
      </w:r>
      <w:r w:rsidRPr="0067750A">
        <w:rPr>
          <w:rFonts w:asciiTheme="majorBidi" w:hAnsiTheme="majorBidi" w:cstheme="majorBidi"/>
        </w:rPr>
        <w:t xml:space="preserve">These findings align with the notion that substance use is goal-directed </w:t>
      </w:r>
      <w:r w:rsidR="00D46B65">
        <w:rPr>
          <w:rFonts w:asciiTheme="majorBidi" w:hAnsiTheme="majorBidi" w:cstheme="majorBidi"/>
        </w:rPr>
        <w:fldChar w:fldCharType="begin"/>
      </w:r>
      <w:r w:rsidR="00D46B65">
        <w:rPr>
          <w:rFonts w:asciiTheme="majorBidi" w:hAnsiTheme="majorBidi" w:cstheme="majorBidi"/>
        </w:rPr>
        <w:instrText xml:space="preserve"> ADDIN ZOTERO_ITEM CSL_CITATION {"citationID":"yjsBvEl5","properties":{"formattedCitation":"(Hogarth, 2020; Hogarth &amp; Field, 2020)","plainCitation":"(Hogarth, 2020; Hogarth &amp; Field, 2020)","noteIndex":0},"citationItems":[{"id":1258,"uris":["http://zotero.org/users/7873587/items/9DVNYNDZ"],"itemData":{"id":1258,"type":"article-journal","abstract":"Drug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affect","volume":"45","author":[{"family":"Hogarth","given":"Lee"}],"issued":{"date-parts":[["2020",4]]}},"label":"act"},{"id":819,"uris":["http://zotero.org/users/7873587/items/QS5L4T2D"],"itemData":{"id":819,"type":"article-journal","abstract":"Behavioural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addiction","volume":"394","author":[{"family":"Hogarth","given":"Lee"},{"family":"Field","given":"Matt"}],"issued":{"date-parts":[["2020",9,15]]}},"label":"act"}],"schema":"https://github.com/citation-style-language/schema/raw/master/csl-citation.json"} </w:instrText>
      </w:r>
      <w:r w:rsidR="00D46B65">
        <w:rPr>
          <w:rFonts w:asciiTheme="majorBidi" w:hAnsiTheme="majorBidi" w:cstheme="majorBidi"/>
        </w:rPr>
        <w:fldChar w:fldCharType="separate"/>
      </w:r>
      <w:r w:rsidR="00D46B65" w:rsidRPr="00D46B65">
        <w:rPr>
          <w:rFonts w:ascii="Times New Roman" w:hAnsi="Times New Roman" w:cs="Times New Roman"/>
        </w:rPr>
        <w:t>(Hogarth, 2020; Hogarth &amp; Field, 2020)</w:t>
      </w:r>
      <w:r w:rsidR="00D46B65">
        <w:rPr>
          <w:rFonts w:asciiTheme="majorBidi" w:hAnsiTheme="majorBidi" w:cstheme="majorBidi"/>
        </w:rPr>
        <w:fldChar w:fldCharType="end"/>
      </w:r>
      <w:r w:rsidRPr="0067750A">
        <w:rPr>
          <w:rFonts w:asciiTheme="majorBidi" w:hAnsiTheme="majorBidi" w:cstheme="majorBidi"/>
        </w:rPr>
        <w:t xml:space="preserve">: preferential tobacco choice in dependent individuals is controlled by greater substance value. </w:t>
      </w:r>
    </w:p>
    <w:p w14:paraId="394E7757" w14:textId="77777777" w:rsidR="0067750A" w:rsidRPr="0067750A" w:rsidRDefault="0067750A" w:rsidP="0067750A">
      <w:pPr>
        <w:pStyle w:val="NoSpacing"/>
        <w:spacing w:line="480" w:lineRule="auto"/>
        <w:rPr>
          <w:rFonts w:asciiTheme="majorBidi" w:hAnsiTheme="majorBidi" w:cstheme="majorBidi"/>
        </w:rPr>
      </w:pPr>
    </w:p>
    <w:p w14:paraId="124523C4" w14:textId="7768D40D" w:rsidR="0067750A" w:rsidRPr="0067750A" w:rsidRDefault="0067750A" w:rsidP="00FB6CFC">
      <w:pPr>
        <w:pStyle w:val="NoSpacing"/>
        <w:spacing w:line="480" w:lineRule="auto"/>
        <w:rPr>
          <w:rFonts w:asciiTheme="majorBidi" w:hAnsiTheme="majorBidi" w:cstheme="majorBidi"/>
        </w:rPr>
      </w:pPr>
      <w:bookmarkStart w:id="303" w:name="_Hlk73984631"/>
      <w:r w:rsidRPr="0067750A">
        <w:rPr>
          <w:rFonts w:asciiTheme="majorBidi" w:hAnsiTheme="majorBidi" w:cstheme="majorBidi"/>
        </w:rPr>
        <w:t xml:space="preserve">Anhedonia is a common consequence of addiction, including nicotine dependence </w:t>
      </w:r>
      <w:r w:rsidR="003C1591">
        <w:rPr>
          <w:rFonts w:asciiTheme="majorBidi" w:hAnsiTheme="majorBidi" w:cstheme="majorBidi"/>
        </w:rPr>
        <w:fldChar w:fldCharType="begin"/>
      </w:r>
      <w:r w:rsidR="003C1591">
        <w:rPr>
          <w:rFonts w:asciiTheme="majorBidi" w:hAnsiTheme="majorBidi" w:cstheme="majorBidi"/>
        </w:rPr>
        <w:instrText xml:space="preserve"> ADDIN ZOTERO_ITEM CSL_CITATION {"citationID":"QLTrbqLw","properties":{"formattedCitation":"(Leventhal, Trujillo, et al., 2014)","plainCitation":"(Leventhal, Trujillo, et al., 2014)","noteIndex":0},"citationItems":[{"id":846,"uris":["http://zotero.org/users/7873587/items/IU9A4IU4"],"itemData":{"id":846,"type":"article-journal","abstract":"Anhedonia—a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W."}],"issued":{"date-parts":[["2014",5]]}}}],"schema":"https://github.com/citation-style-language/schema/raw/master/csl-citation.json"} </w:instrText>
      </w:r>
      <w:r w:rsidR="003C1591">
        <w:rPr>
          <w:rFonts w:asciiTheme="majorBidi" w:hAnsiTheme="majorBidi" w:cstheme="majorBidi"/>
        </w:rPr>
        <w:fldChar w:fldCharType="separate"/>
      </w:r>
      <w:r w:rsidR="003C1591" w:rsidRPr="003C1591">
        <w:rPr>
          <w:rFonts w:ascii="Times New Roman" w:hAnsi="Times New Roman" w:cs="Times New Roman"/>
        </w:rPr>
        <w:t>(Leventhal, Trujillo, et al., 2014)</w:t>
      </w:r>
      <w:r w:rsidR="003C1591">
        <w:rPr>
          <w:rFonts w:asciiTheme="majorBidi" w:hAnsiTheme="majorBidi" w:cstheme="majorBidi"/>
        </w:rPr>
        <w:fldChar w:fldCharType="end"/>
      </w:r>
      <w:r w:rsidRPr="0067750A">
        <w:rPr>
          <w:rFonts w:asciiTheme="majorBidi" w:hAnsiTheme="majorBidi" w:cstheme="majorBidi"/>
        </w:rPr>
        <w:t>, and may contribute to augmented tobacco value through diminished enjoyment and pleasure derived from tobacco-</w:t>
      </w:r>
      <w:r w:rsidR="00B02736">
        <w:rPr>
          <w:rFonts w:asciiTheme="majorBidi" w:hAnsiTheme="majorBidi" w:cstheme="majorBidi"/>
        </w:rPr>
        <w:t>unrelated</w:t>
      </w:r>
      <w:r w:rsidRPr="0067750A">
        <w:rPr>
          <w:rFonts w:asciiTheme="majorBidi" w:hAnsiTheme="majorBidi" w:cstheme="majorBidi"/>
        </w:rPr>
        <w:t xml:space="preserve"> alternative rewards </w:t>
      </w:r>
      <w:r w:rsidR="003C1591">
        <w:rPr>
          <w:rFonts w:asciiTheme="majorBidi" w:hAnsiTheme="majorBidi" w:cstheme="majorBidi"/>
        </w:rPr>
        <w:fldChar w:fldCharType="begin"/>
      </w:r>
      <w:r w:rsidR="003C1591">
        <w:rPr>
          <w:rFonts w:asciiTheme="majorBidi" w:hAnsiTheme="majorBidi" w:cstheme="majorBidi"/>
        </w:rPr>
        <w:instrText xml:space="preserve"> ADDIN ZOTERO_ITEM CSL_CITATION {"citationID":"CEP63jlZ","properties":{"formattedCitation":"(Sussman &amp; Leventhal, 2014)","plainCitation":"(Sussman &amp; Leventhal, 2014)","noteIndex":0},"citationItems":[{"id":1364,"uris":["http://zotero.org/users/7873587/items/R2HIWQKG"],"itemData":{"id":1364,"type":"article-journal","abstract":"Anhedonia refers to the inability of experiencing pleasure in positive life events. It has been conceptualized as a stable yet malleable characteristic and is associated with hypoactivity in the mesolimbic and mesocortical dopaminergic systems. Very recently, it has been posited as an etiologic factor associated with drug addiction onset, escalation, and relapse. Prevention programming could be developed to counteract the harmful impact of anhedonia, so as to minimize its impact on drug misuse. Remedial efforts are those that either (1) permit the individual to tolerate low levels of pleasure without resorting to drug misuse or other maladaptive behaviors that may unhealthily besot pleasure (for example, through normalization, structuring time, or meditation) or (2) counteract anhedonia by enhancing ones capability to experience pleasure (for example, behavioral activation, positive psychology, pharmacotherapy, or pursuit of positive addictions). School-based activities could be developed that can be completed by individuals, small workgroups, or the whole classroom. The concept of anhedonia is described in this chapter, and possible prevention strategies that might be utilized in schools as well as other contexts are discussed.","container-title":"New Directions for Youth Development","DOI":"10.1002/yd.20085","ISSN":"1537-5781","issue":"141","journalAbbreviation":"New Dir Youth Dev","language":"eng","note":"PMID: 24753277\nPMCID: PMC4181563","page":"45-56, 10","source":"PubMed","title":"Substance misuse prevention: addressing anhedonia","title-short":"Substance misuse prevention","volume":"2014","author":[{"family":"Sussman","given":"Steve"},{"family":"Leventhal","given":"Adam"}],"issued":{"date-parts":[["2014"]]}}}],"schema":"https://github.com/citation-style-language/schema/raw/master/csl-citation.json"} </w:instrText>
      </w:r>
      <w:r w:rsidR="003C1591">
        <w:rPr>
          <w:rFonts w:asciiTheme="majorBidi" w:hAnsiTheme="majorBidi" w:cstheme="majorBidi"/>
        </w:rPr>
        <w:fldChar w:fldCharType="separate"/>
      </w:r>
      <w:r w:rsidR="003C1591" w:rsidRPr="003C1591">
        <w:rPr>
          <w:rFonts w:ascii="Times New Roman" w:hAnsi="Times New Roman" w:cs="Times New Roman"/>
        </w:rPr>
        <w:t>(Sussman &amp; Leventhal, 2014)</w:t>
      </w:r>
      <w:r w:rsidR="003C1591">
        <w:rPr>
          <w:rFonts w:asciiTheme="majorBidi" w:hAnsiTheme="majorBidi" w:cstheme="majorBidi"/>
        </w:rPr>
        <w:fldChar w:fldCharType="end"/>
      </w:r>
      <w:r w:rsidRPr="0067750A">
        <w:rPr>
          <w:rFonts w:asciiTheme="majorBidi" w:hAnsiTheme="majorBidi" w:cstheme="majorBidi"/>
        </w:rPr>
        <w:t xml:space="preserve">. </w:t>
      </w:r>
      <w:bookmarkEnd w:id="303"/>
      <w:r w:rsidRPr="0067750A">
        <w:rPr>
          <w:rFonts w:asciiTheme="majorBidi" w:hAnsiTheme="majorBidi" w:cstheme="majorBidi"/>
        </w:rPr>
        <w:t xml:space="preserve">Indeed, dependent smokers have blunted value signals in the posterior cingulate cortex when making choices about non-tobacco alternative rewards (shopping vouchers) compared to non-dependent smokers </w:t>
      </w:r>
      <w:r w:rsidR="003C1591">
        <w:rPr>
          <w:rFonts w:asciiTheme="majorBidi" w:hAnsiTheme="majorBidi" w:cstheme="majorBidi"/>
        </w:rPr>
        <w:fldChar w:fldCharType="begin"/>
      </w:r>
      <w:r w:rsidR="003C1591">
        <w:rPr>
          <w:rFonts w:asciiTheme="majorBidi" w:hAnsiTheme="majorBidi" w:cstheme="majorBidi"/>
        </w:rPr>
        <w:instrText xml:space="preserve"> ADDIN ZOTERO_ITEM CSL_CITATION {"citationID":"IStRehsJ","properties":{"formattedCitation":"(Lawn et al., 2019)","plainCitation":"(Lawn et al., 2019)","noteIndex":0},"citationItems":[{"id":840,"uris":["http://zotero.org/users/7873587/items/SY7VSVH8"],"itemData":{"id":840,"type":"article-journal","abstract":"Little is known about the neural functioning that underpins drug valuation and choice in addiction, including nicotine dependence. Following ad libitum smoking, 19 dependent smokers (smoked≥10/day) and 19 occasional smokers (smoked 0.5-5/week) completed a decision-making task. First, participants stated how much they were willing-to-pay for various amounts of cigarettes and shop vouchers. Second, during functional magnetic resonance imaging, participants decided if they wanted to buy these cigarettes and vouchers for a set amount of money. We examined decision-making behaviour and brain activity when faced with cigarette and voucher decisions, purchasing (vs not purchasing) cigarettes and vouchers, and \"value signals\" where brain activity correlated with cigarette and voucher value. Dependent smokers had a higher willingness-to-pay for cigarettes and greater activity in the bilateral middle temporal gyrus when faced with cigarette decisions than occasional smokers. Across both groups, the decision to buy cigarettes was associated with activity in the left paracingulate gyrus, right nucleus accumbens, and left amygdala. The decision to buy vouchers was associated with activity in the left superior frontal gyrus, but dependent smokers showed weaker activity in the left posterior cingulate gyrus than occasional smokers. Across both groups, cigarette value signals were observed in the left striatum and ventromedial prefrontal cortex. To summarise, nicotine dependence was associated with greater behavioural valuation of cigarettes and brain activity during cigarette decisions. When purchasing cigarettes and vouchers, reward and decision-related brain regions were activated in both groups. For the first time, we identified value signals for cigarettes in the brain.","container-title":"Addiction Biology","DOI":"10.1111/adb.12802","ISSN":"1369-1600","issue":"4","journalAbbreviation":"Addict Biol","language":"eng","note":"PMID: 31328850","page":"e12802","source":"PubMed","title":"Value-based decision-making of cigarette and nondrug rewards in dependent and occasional cigarette smokers: An FMRI study","title-short":"Value-based decision-making of cigarette and nondrug rewards in dependent and occasional cigarette smokers","volume":"25","author":[{"family":"Lawn","given":"Will"},{"family":"Mithchener","given":"Ludo"},{"family":"Freeman","given":"Tom P."},{"family":"Benattayallah","given":"Abdelmalek"},{"family":"Bisby","given":"James A."},{"family":"Wall","given":"Matt B."},{"family":"Dodds","given":"Chris M."},{"family":"Curran","given":"Helen V."},{"family":"Morgan","given":"Celia J. A."}],"issued":{"date-parts":[["2019"]]}}}],"schema":"https://github.com/citation-style-language/schema/raw/master/csl-citation.json"} </w:instrText>
      </w:r>
      <w:r w:rsidR="003C1591">
        <w:rPr>
          <w:rFonts w:asciiTheme="majorBidi" w:hAnsiTheme="majorBidi" w:cstheme="majorBidi"/>
        </w:rPr>
        <w:fldChar w:fldCharType="separate"/>
      </w:r>
      <w:r w:rsidR="003C1591" w:rsidRPr="003C1591">
        <w:rPr>
          <w:rFonts w:ascii="Times New Roman" w:hAnsi="Times New Roman" w:cs="Times New Roman"/>
        </w:rPr>
        <w:t>(Lawn et al., 2019)</w:t>
      </w:r>
      <w:r w:rsidR="003C1591">
        <w:rPr>
          <w:rFonts w:asciiTheme="majorBidi" w:hAnsiTheme="majorBidi" w:cstheme="majorBidi"/>
        </w:rPr>
        <w:fldChar w:fldCharType="end"/>
      </w:r>
      <w:r w:rsidRPr="0067750A">
        <w:rPr>
          <w:rFonts w:asciiTheme="majorBidi" w:hAnsiTheme="majorBidi" w:cstheme="majorBidi"/>
        </w:rPr>
        <w:t xml:space="preserve">. Furthermore, another study found that in dependent smokers, higher levels of anhedonia were predictive of increased value of tobacco </w:t>
      </w:r>
      <w:r w:rsidR="003C1591">
        <w:rPr>
          <w:rFonts w:asciiTheme="majorBidi" w:hAnsiTheme="majorBidi" w:cstheme="majorBidi"/>
        </w:rPr>
        <w:fldChar w:fldCharType="begin"/>
      </w:r>
      <w:r w:rsidR="00FB6CFC">
        <w:rPr>
          <w:rFonts w:asciiTheme="majorBidi" w:hAnsiTheme="majorBidi" w:cstheme="majorBidi"/>
        </w:rPr>
        <w:instrText xml:space="preserve"> ADDIN ZOTERO_ITEM CSL_CITATION {"citationID":"rJAnk4Ry","properties":{"formattedCitation":"(Leventhal, Trujillo, et al., 2014)","plainCitation":"(Leventhal, Trujillo, et al., 2014)","noteIndex":0},"citationItems":[{"id":846,"uris":["http://zotero.org/users/7873587/items/IU9A4IU4"],"itemData":{"id":846,"type":"article-journal","abstract":"Anhedonia—a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W."}],"issued":{"date-parts":[["2014",5]]}}}],"schema":"https://github.com/citation-style-language/schema/raw/master/csl-citation.json"} </w:instrText>
      </w:r>
      <w:r w:rsidR="003C1591">
        <w:rPr>
          <w:rFonts w:asciiTheme="majorBidi" w:hAnsiTheme="majorBidi" w:cstheme="majorBidi"/>
        </w:rPr>
        <w:fldChar w:fldCharType="separate"/>
      </w:r>
      <w:r w:rsidR="00FB6CFC" w:rsidRPr="00FB6CFC">
        <w:rPr>
          <w:rFonts w:ascii="Times New Roman" w:hAnsi="Times New Roman" w:cs="Times New Roman"/>
        </w:rPr>
        <w:t>(Leventhal, Trujillo, et al., 2014)</w:t>
      </w:r>
      <w:r w:rsidR="003C1591">
        <w:rPr>
          <w:rFonts w:asciiTheme="majorBidi" w:hAnsiTheme="majorBidi" w:cstheme="majorBidi"/>
        </w:rPr>
        <w:fldChar w:fldCharType="end"/>
      </w:r>
      <w:sdt>
        <w:sdtPr>
          <w:rPr>
            <w:rFonts w:asciiTheme="majorBidi" w:hAnsiTheme="majorBidi" w:cstheme="majorBidi"/>
          </w:rPr>
          <w:tag w:val="goog_rdk_0"/>
          <w:id w:val="-1880460660"/>
        </w:sdtPr>
        <w:sdtContent/>
      </w:sdt>
      <w:sdt>
        <w:sdtPr>
          <w:rPr>
            <w:rFonts w:asciiTheme="majorBidi" w:hAnsiTheme="majorBidi" w:cstheme="majorBidi"/>
          </w:rPr>
          <w:tag w:val="goog_rdk_1"/>
          <w:id w:val="-1173484936"/>
        </w:sdtPr>
        <w:sdtContent/>
      </w:sdt>
      <w:r w:rsidRPr="0067750A">
        <w:rPr>
          <w:rFonts w:asciiTheme="majorBidi" w:hAnsiTheme="majorBidi" w:cstheme="majorBidi"/>
        </w:rPr>
        <w:t>. In accordance with behavioural economic accounts, then, this imbalance in valuation of tobacco and tobacco-</w:t>
      </w:r>
      <w:r w:rsidR="00B02736">
        <w:rPr>
          <w:rFonts w:asciiTheme="majorBidi" w:hAnsiTheme="majorBidi" w:cstheme="majorBidi"/>
        </w:rPr>
        <w:t>unrelated</w:t>
      </w:r>
      <w:r w:rsidRPr="0067750A">
        <w:rPr>
          <w:rFonts w:asciiTheme="majorBidi" w:hAnsiTheme="majorBidi" w:cstheme="majorBidi"/>
        </w:rPr>
        <w:t xml:space="preserve"> </w:t>
      </w:r>
      <w:r w:rsidRPr="0067750A">
        <w:rPr>
          <w:rFonts w:asciiTheme="majorBidi" w:hAnsiTheme="majorBidi" w:cstheme="majorBidi"/>
        </w:rPr>
        <w:lastRenderedPageBreak/>
        <w:t>alternative reinforcers may be an important mechanism through which addiction is maintained</w:t>
      </w:r>
      <w:r w:rsidR="00FB6CFC">
        <w:rPr>
          <w:rFonts w:asciiTheme="majorBidi" w:hAnsiTheme="majorBidi" w:cstheme="majorBidi"/>
        </w:rPr>
        <w:t>.</w:t>
      </w:r>
    </w:p>
    <w:p w14:paraId="0179E3E8" w14:textId="77777777" w:rsidR="0067750A" w:rsidRPr="0067750A" w:rsidRDefault="0067750A" w:rsidP="0067750A">
      <w:pPr>
        <w:pStyle w:val="NoSpacing"/>
        <w:spacing w:line="480" w:lineRule="auto"/>
        <w:rPr>
          <w:rFonts w:asciiTheme="majorBidi" w:hAnsiTheme="majorBidi" w:cstheme="majorBidi"/>
        </w:rPr>
      </w:pPr>
    </w:p>
    <w:p w14:paraId="3C28FC9F" w14:textId="49FEB825" w:rsidR="0067750A" w:rsidRPr="0067750A" w:rsidRDefault="0067750A" w:rsidP="00674BE1">
      <w:pPr>
        <w:pStyle w:val="NoSpacing"/>
        <w:spacing w:line="480" w:lineRule="auto"/>
        <w:rPr>
          <w:rFonts w:asciiTheme="majorBidi" w:hAnsiTheme="majorBidi" w:cstheme="majorBidi"/>
        </w:rPr>
      </w:pPr>
      <w:r w:rsidRPr="0067750A">
        <w:rPr>
          <w:rFonts w:asciiTheme="majorBidi" w:hAnsiTheme="majorBidi" w:cstheme="majorBidi"/>
        </w:rPr>
        <w:t xml:space="preserve">From a behavioural economic viewpoint, for recovery to occur a person must overcome the ‘reinforcer </w:t>
      </w:r>
      <w:r w:rsidR="00FB6CFC" w:rsidRPr="0067750A">
        <w:rPr>
          <w:rFonts w:asciiTheme="majorBidi" w:hAnsiTheme="majorBidi" w:cstheme="majorBidi"/>
        </w:rPr>
        <w:t>pathologies</w:t>
      </w:r>
      <w:r w:rsidR="00FB6CFC">
        <w:rPr>
          <w:rFonts w:asciiTheme="majorBidi" w:hAnsiTheme="majorBidi" w:cstheme="majorBidi"/>
        </w:rPr>
        <w:t>’</w:t>
      </w:r>
      <w:r w:rsidRPr="0067750A">
        <w:rPr>
          <w:rFonts w:asciiTheme="majorBidi" w:hAnsiTheme="majorBidi" w:cstheme="majorBidi"/>
        </w:rPr>
        <w:t xml:space="preserve"> and distortions in valuation processes that leave them vulnerable to addiction </w:t>
      </w:r>
      <w:r w:rsidR="00FB6CFC">
        <w:rPr>
          <w:rFonts w:asciiTheme="majorBidi" w:hAnsiTheme="majorBidi" w:cstheme="majorBidi"/>
        </w:rPr>
        <w:fldChar w:fldCharType="begin"/>
      </w:r>
      <w:r w:rsidR="002624F0">
        <w:rPr>
          <w:rFonts w:asciiTheme="majorBidi" w:hAnsiTheme="majorBidi" w:cstheme="majorBidi"/>
        </w:rPr>
        <w:instrText xml:space="preserve"> ADDIN ZOTERO_ITEM CSL_CITATION {"citationID":"Y50ooJFG","properties":{"formattedCitation":"(Bickel et al., 2014; Bickel &amp; Athamneh, 2020; Field, Heather, et al., 2020a; Murphy, MacKillop, et al., 2012)","plainCitation":"(Bickel et al., 2014; Bickel &amp; Athamneh, 2020; Field, Heather, et al., 2020a; Murphy, MacKillop, et al., 2012)","dontUpdate":true,"noteIndex":0},"citationItems":[{"id":816,"uris":["http://zotero.org/users/7873587/items/R9KVGRWU"],"itemData":{"id":816,"type":"article-journal","abstract":"The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T."},{"family":"Rotgers.","given":"Frederick"}],"issued":{"date-parts":[["2012"]]}},"label":"act"}],"schema":"https://github.com/citation-style-language/schema/raw/master/csl-citation.json"} </w:instrText>
      </w:r>
      <w:r w:rsidR="00FB6CFC">
        <w:rPr>
          <w:rFonts w:asciiTheme="majorBidi" w:hAnsiTheme="majorBidi" w:cstheme="majorBidi"/>
        </w:rPr>
        <w:fldChar w:fldCharType="separate"/>
      </w:r>
      <w:r w:rsidR="00FB6CFC" w:rsidRPr="00FB6CFC">
        <w:rPr>
          <w:rFonts w:ascii="Times New Roman" w:hAnsi="Times New Roman" w:cs="Times New Roman"/>
        </w:rPr>
        <w:t>(Bickel et al., 2014; Bickel &amp; Athamneh, 2020; Field, Heather, et al., 2020; Murphy, MacKillop, et al., 2012)</w:t>
      </w:r>
      <w:r w:rsidR="00FB6CFC">
        <w:rPr>
          <w:rFonts w:asciiTheme="majorBidi" w:hAnsiTheme="majorBidi" w:cstheme="majorBidi"/>
        </w:rPr>
        <w:fldChar w:fldCharType="end"/>
      </w:r>
      <w:r w:rsidRPr="0067750A">
        <w:rPr>
          <w:rFonts w:asciiTheme="majorBidi" w:hAnsiTheme="majorBidi" w:cstheme="majorBidi"/>
        </w:rPr>
        <w:t xml:space="preserve">. Aligning with this, a novel finding from </w:t>
      </w:r>
      <w:r w:rsidR="00FB6CFC">
        <w:rPr>
          <w:rFonts w:asciiTheme="majorBidi" w:hAnsiTheme="majorBidi" w:cstheme="majorBidi"/>
        </w:rPr>
        <w:fldChar w:fldCharType="begin"/>
      </w:r>
      <w:r w:rsidR="009A7FBB">
        <w:rPr>
          <w:rFonts w:asciiTheme="majorBidi" w:hAnsiTheme="majorBidi" w:cstheme="majorBidi"/>
        </w:rPr>
        <w:instrText xml:space="preserve"> ADDIN ZOTERO_ITEM CSL_CITATION {"citationID":"N2vwHGGn","properties":{"formattedCitation":"(Hardy et al., 2018)","plainCitation":"(Hardy et al., 2018)","dontUpdate":true,"noteIndex":0},"citationItems":[{"id":830,"uris":["http://zotero.org/users/7873587/items/NPLX5NWL"],"itemData":{"id":830,"type":"article-journal","abstract":"Concurrent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FB6CFC">
        <w:rPr>
          <w:rFonts w:asciiTheme="majorBidi" w:hAnsiTheme="majorBidi" w:cstheme="majorBidi"/>
        </w:rPr>
        <w:fldChar w:fldCharType="separate"/>
      </w:r>
      <w:r w:rsidR="00FB6CFC" w:rsidRPr="00FB6CFC">
        <w:rPr>
          <w:rFonts w:ascii="Times New Roman" w:hAnsi="Times New Roman" w:cs="Times New Roman"/>
        </w:rPr>
        <w:t xml:space="preserve">Hardy et al. </w:t>
      </w:r>
      <w:r w:rsidR="00FB6CFC">
        <w:rPr>
          <w:rFonts w:ascii="Times New Roman" w:hAnsi="Times New Roman" w:cs="Times New Roman"/>
        </w:rPr>
        <w:t>(</w:t>
      </w:r>
      <w:r w:rsidR="00FB6CFC" w:rsidRPr="00FB6CFC">
        <w:rPr>
          <w:rFonts w:ascii="Times New Roman" w:hAnsi="Times New Roman" w:cs="Times New Roman"/>
        </w:rPr>
        <w:t>2018)</w:t>
      </w:r>
      <w:r w:rsidR="00FB6CFC">
        <w:rPr>
          <w:rFonts w:asciiTheme="majorBidi" w:hAnsiTheme="majorBidi" w:cstheme="majorBidi"/>
        </w:rPr>
        <w:fldChar w:fldCharType="end"/>
      </w:r>
      <w:r w:rsidRPr="0067750A">
        <w:rPr>
          <w:rFonts w:asciiTheme="majorBidi" w:hAnsiTheme="majorBidi" w:cstheme="majorBidi"/>
        </w:rPr>
        <w:t xml:space="preserve"> was that compared to people who self-report current tobacco smoking, those who self-report tobacco abstinence attached lower value to tobacco as indexed by a reduction in the percentage choice of tobacco compared to tobacco-</w:t>
      </w:r>
      <w:r w:rsidR="00B02736">
        <w:rPr>
          <w:rFonts w:asciiTheme="majorBidi" w:hAnsiTheme="majorBidi" w:cstheme="majorBidi"/>
        </w:rPr>
        <w:t>unrelated</w:t>
      </w:r>
      <w:r w:rsidRPr="0067750A">
        <w:rPr>
          <w:rFonts w:asciiTheme="majorBidi" w:hAnsiTheme="majorBidi" w:cstheme="majorBidi"/>
        </w:rPr>
        <w:t xml:space="preserve"> rewards. Furthermore, increased engagement with tobacco-</w:t>
      </w:r>
      <w:r w:rsidR="00B02736">
        <w:rPr>
          <w:rFonts w:asciiTheme="majorBidi" w:hAnsiTheme="majorBidi" w:cstheme="majorBidi"/>
        </w:rPr>
        <w:t>unrelated</w:t>
      </w:r>
      <w:r w:rsidRPr="0067750A">
        <w:rPr>
          <w:rFonts w:asciiTheme="majorBidi" w:hAnsiTheme="majorBidi" w:cstheme="majorBidi"/>
        </w:rPr>
        <w:t xml:space="preserve"> alternative reinforcers have been found to be important predictors of both short-term (</w:t>
      </w:r>
      <w:proofErr w:type="spellStart"/>
      <w:r w:rsidRPr="0067750A">
        <w:rPr>
          <w:rFonts w:asciiTheme="majorBidi" w:hAnsiTheme="majorBidi" w:cstheme="majorBidi"/>
        </w:rPr>
        <w:t>Goelz</w:t>
      </w:r>
      <w:proofErr w:type="spellEnd"/>
      <w:r w:rsidRPr="0067750A">
        <w:rPr>
          <w:rFonts w:asciiTheme="majorBidi" w:hAnsiTheme="majorBidi" w:cstheme="majorBidi"/>
        </w:rPr>
        <w:t xml:space="preserve"> et al., 2014) and long-term (</w:t>
      </w:r>
      <w:proofErr w:type="spellStart"/>
      <w:r w:rsidRPr="0067750A">
        <w:rPr>
          <w:rFonts w:asciiTheme="majorBidi" w:hAnsiTheme="majorBidi" w:cstheme="majorBidi"/>
        </w:rPr>
        <w:t>Schnoll</w:t>
      </w:r>
      <w:proofErr w:type="spellEnd"/>
      <w:r w:rsidRPr="0067750A">
        <w:rPr>
          <w:rFonts w:asciiTheme="majorBidi" w:hAnsiTheme="majorBidi" w:cstheme="majorBidi"/>
        </w:rPr>
        <w:t xml:space="preserve"> et al., 2016) abstinence from smoking. Many effective treatment interventions for addiction are based upon behavioural economic principles </w:t>
      </w:r>
      <w:r w:rsidR="00674BE1">
        <w:rPr>
          <w:rFonts w:asciiTheme="majorBidi" w:hAnsiTheme="majorBidi" w:cstheme="majorBidi"/>
        </w:rPr>
        <w:fldChar w:fldCharType="begin"/>
      </w:r>
      <w:r w:rsidR="00674BE1">
        <w:rPr>
          <w:rFonts w:asciiTheme="majorBidi" w:hAnsiTheme="majorBidi" w:cstheme="majorBidi"/>
        </w:rPr>
        <w:instrText xml:space="preserve"> ADDIN ZOTERO_ITEM CSL_CITATION {"citationID":"RIO7Nci3","properties":{"formattedCitation":"(Correia et al., 2010; Fazzino et al., 2019)","plainCitation":"(Correia et al., 2010; Fazzino et al., 2019)","noteIndex":0},"citationItems":[{"id":1811,"uris":["http://zotero.org/users/7873587/items/CXCN8QTZ"],"itemData":{"id":1811,"type":"article-journal","container-title":"Journal of Behavioral Health and Medicine","DOI":"10.1037/h0100553","ISSN":"2375-4656","issue":"3","note":"publisher: US: Joseph D. Cautilli","page":"216","source":"psycnet.apa.org","title":"The behavioral economics of substance use: Research on the relationship between substance use and alternative reinforcers.","title-short":"The behavioral economics of substance use","volume":"1","author":[{"family":"Correia","given":"Christopher J."},{"family":"Murphy","given":"James G."},{"family":"Irons","given":"Jessica G."},{"family":"Vasi","given":"Allyson E."}],"issued":{"date-parts":[["2010"]]}},"label":"act"},{"id":1467,"uris":["http://zotero.org/users/7873587/items/6LVEFWZW"],"itemData":{"id":1467,"type":"article-journal","abstract":"BACKGROUND: Brief reinforcement-based psychosocial interventions such as behavioral activation (BA) and behavioral economics (BE) address imbalances in the reinforcement system that are strongly implicated in substance use. The present study reviewed a growing body of intervention studies that tested the efficacy of BA or BE in addressing substance use outcomes. The study also reviewed a smaller body of evidence exploring mechanisms of action and moderators of treatment efficacy for substance use outcomes.\nMETHOD: A comprehensive literature search of four databases was conducted to identify studies that tested either BA or BE interventions targeting outcomes and/or mechanisms of action specific to substance use. The search yielded 12 studies that met these criteria. Ten studies reported main outcomes of BA/BE interventions targeting substance use outcomes (N = 7 BA; N = 3 BE). Two additional studies addressed mechanisms of change by conducting secondary analyses of data from one of the other ten studies. Eight of the twelve studies tested mechanisms of change and/or moderators related to substance use.\nRESULTS: Among all ten outcome studies, 100% provided evidence suggesting efficacy of BA/BE in targeting substance use and/or use-related problems. In 90% (9/10) of studies, the BA/BE intervention condition evidenced significantly higher abstinence rates compared to controls and/or significant decreases in substance use from baseline. Most studies that assessed substance use-related problems (83%; 5/6) reported significant decreases in use-related problems. The majority of studies (80%; 8/10) reported medium to large effect sizes. The pattern of findings was similar for BA and BE interventions. Eight studies assessed change in mechanism of action and 38% (3/8) identified mechanisms of action, however, only two conducted a formal test of whether this variable mediated the relationship between condition and outcome. Two studies tested and identified significant moderators of treatment efficacy.\nCONCLUSIONS: Preliminary evidence supports the efficacy of reinforcement-based interventions in targeting substance use outcomes. The mechanisms driving BA/BE efficacy and factors that may moderate treatment effects are not sufficiently clear from the studies available and require further examination, although existing data does suggest promise and provides clues for next steps.","container-title":"Journal of Substance Abuse Treatment","DOI":"10.1016/j.jsat.2019.06.016","ISSN":"1873-6483","journalAbbreviation":"J Subst Abuse Treat","language":"eng","note":"PMID: 31370989","page":"83-96","source":"PubMed","title":"A systematic review of reinforcement-based interventions for substance use: Efficacy, mechanisms of action, and moderators of treatment effects","title-short":"A systematic review of reinforcement-based interventions for substance use","volume":"104","author":[{"family":"Fazzino","given":"Tera L."},{"family":"Bjorlie","given":"Kayla"},{"family":"Lejuez","given":"C. W."}],"issued":{"date-parts":[["2019",9]]}},"label":"act"}],"schema":"https://github.com/citation-style-language/schema/raw/master/csl-citation.json"} </w:instrText>
      </w:r>
      <w:r w:rsidR="00674BE1">
        <w:rPr>
          <w:rFonts w:asciiTheme="majorBidi" w:hAnsiTheme="majorBidi" w:cstheme="majorBidi"/>
        </w:rPr>
        <w:fldChar w:fldCharType="separate"/>
      </w:r>
      <w:r w:rsidR="00674BE1" w:rsidRPr="00674BE1">
        <w:rPr>
          <w:rFonts w:ascii="Times New Roman" w:hAnsi="Times New Roman" w:cs="Times New Roman"/>
        </w:rPr>
        <w:t>(Correia et al., 2010; Fazzino et al., 2019)</w:t>
      </w:r>
      <w:r w:rsidR="00674BE1">
        <w:rPr>
          <w:rFonts w:asciiTheme="majorBidi" w:hAnsiTheme="majorBidi" w:cstheme="majorBidi"/>
        </w:rPr>
        <w:fldChar w:fldCharType="end"/>
      </w:r>
      <w:r w:rsidRPr="0067750A">
        <w:rPr>
          <w:rFonts w:asciiTheme="majorBidi" w:hAnsiTheme="majorBidi" w:cstheme="majorBidi"/>
        </w:rPr>
        <w:t>; during contingency management (CM), for example, people receive alcohol-free incentives (e.g., cash) for desired behaviour(s) such as verified abstinence which may in turn amplify the value of tobacco-</w:t>
      </w:r>
      <w:r w:rsidR="00B02736">
        <w:rPr>
          <w:rFonts w:asciiTheme="majorBidi" w:hAnsiTheme="majorBidi" w:cstheme="majorBidi"/>
        </w:rPr>
        <w:t>unrelated</w:t>
      </w:r>
      <w:r w:rsidRPr="0067750A">
        <w:rPr>
          <w:rFonts w:asciiTheme="majorBidi" w:hAnsiTheme="majorBidi" w:cstheme="majorBidi"/>
        </w:rPr>
        <w:t xml:space="preserve"> incentives (Petry et al., 2017). CM is an effective treatment for smoking cessation (Benishek et al., 2014) with effects continued in the long-term (Notley et al., 2019). </w:t>
      </w:r>
    </w:p>
    <w:p w14:paraId="0B70223A" w14:textId="77777777" w:rsidR="0067750A" w:rsidRPr="0067750A" w:rsidRDefault="0067750A" w:rsidP="0067750A">
      <w:pPr>
        <w:pStyle w:val="NoSpacing"/>
        <w:spacing w:line="480" w:lineRule="auto"/>
        <w:rPr>
          <w:rFonts w:asciiTheme="majorBidi" w:hAnsiTheme="majorBidi" w:cstheme="majorBidi"/>
        </w:rPr>
      </w:pPr>
    </w:p>
    <w:p w14:paraId="67DDCE6E" w14:textId="3D428FB6" w:rsidR="0067750A" w:rsidRPr="0067750A" w:rsidRDefault="0067750A" w:rsidP="00674BE1">
      <w:pPr>
        <w:pStyle w:val="NoSpacing"/>
        <w:spacing w:line="480" w:lineRule="auto"/>
        <w:rPr>
          <w:rFonts w:asciiTheme="majorBidi" w:hAnsiTheme="majorBidi" w:cstheme="majorBidi"/>
        </w:rPr>
      </w:pPr>
      <w:r w:rsidRPr="0067750A">
        <w:rPr>
          <w:rFonts w:asciiTheme="majorBidi" w:hAnsiTheme="majorBidi" w:cstheme="majorBidi"/>
        </w:rPr>
        <w:t xml:space="preserve">Behavioural economic approaches have contributed substantially to knowledge on addiction and recovery from it, however they are molar in nature meaning that they explore patterns of behaviour over time </w:t>
      </w:r>
      <w:r w:rsidR="00674BE1">
        <w:rPr>
          <w:rFonts w:asciiTheme="majorBidi" w:hAnsiTheme="majorBidi" w:cstheme="majorBidi"/>
        </w:rPr>
        <w:fldChar w:fldCharType="begin"/>
      </w:r>
      <w:r w:rsidR="00674BE1">
        <w:rPr>
          <w:rFonts w:asciiTheme="majorBidi" w:hAnsiTheme="majorBidi" w:cstheme="majorBidi"/>
        </w:rPr>
        <w:instrText xml:space="preserve"> ADDIN ZOTERO_ITEM CSL_CITATION {"citationID":"pWDSBL8P","properties":{"formattedCitation":"(Tucker &amp; Vuchinich, 2015)","plainCitation":"(Tucker &amp; Vuchinich, 2015)","noteIndex":0},"citationItems":[{"id":1387,"uris":["http://zotero.org/users/7873587/items/SR6AQKE7"],"itemData":{"id":1387,"type":"article-journal","abstract":"Comments on an article by M. Amlung et al. (see record 2015-15671-001). Amlung et al. truncated the Alcohol Purchase Task (APT) by asking only one question for each of three demand curve measures. As with the k parameter in discounting research, the demand curve measures from the APT and from Amlung et al. can be given either an efficient cause or a final cause interpretation. The authors clearly favor the efficient cause interpretation that 'alcohol demand could represent an intermediate step between craving and consumption, such that dynamic increases in craving produce a corresponding increase in the relative value of alcohol that, in turn, influences drinking decisions.' This efficient cause interpretation of the demand curve measures is consistent with mainstream psychological science, but it is counter to the historical development and current status of BE. The authors also noted that: 'An advantage of behavioral economics is that it quantifies a construct such as alcohol motivation into externally relevant metrics such as number of drinks and money spent.' (PsycINFO Database Record (c) 2016 APA, all rights reserved)","container-title":"Addiction","DOI":"10.1111/add.12983","ISSN":"1360-0443","issue":"9","note":"publisher-place: United Kingdom\npublisher: Wiley-Blackwell Publishing Ltd.","page":"1429-1430","source":"APA PsycNet","title":"Efficient and final causes of alcohol consumption","volume":"110","author":[{"family":"Tucker","given":"Jalie A."},{"family":"Vuchinich","given":"Rudy E."}],"issued":{"date-parts":[["2015"]]}}}],"schema":"https://github.com/citation-style-language/schema/raw/master/csl-citation.json"} </w:instrText>
      </w:r>
      <w:r w:rsidR="00674BE1">
        <w:rPr>
          <w:rFonts w:asciiTheme="majorBidi" w:hAnsiTheme="majorBidi" w:cstheme="majorBidi"/>
        </w:rPr>
        <w:fldChar w:fldCharType="separate"/>
      </w:r>
      <w:r w:rsidR="00674BE1" w:rsidRPr="00674BE1">
        <w:rPr>
          <w:rFonts w:ascii="Times New Roman" w:hAnsi="Times New Roman" w:cs="Times New Roman"/>
        </w:rPr>
        <w:t>(Tucker &amp; Vuchinich, 2015)</w:t>
      </w:r>
      <w:r w:rsidR="00674BE1">
        <w:rPr>
          <w:rFonts w:asciiTheme="majorBidi" w:hAnsiTheme="majorBidi" w:cstheme="majorBidi"/>
        </w:rPr>
        <w:fldChar w:fldCharType="end"/>
      </w:r>
      <w:r w:rsidRPr="0067750A">
        <w:rPr>
          <w:rFonts w:asciiTheme="majorBidi" w:hAnsiTheme="majorBidi" w:cstheme="majorBidi"/>
        </w:rPr>
        <w:t xml:space="preserve">. Consequently, what is lacking is a molecular perspective </w:t>
      </w:r>
      <w:r w:rsidR="00674BE1">
        <w:rPr>
          <w:rFonts w:asciiTheme="majorBidi" w:hAnsiTheme="majorBidi" w:cstheme="majorBidi"/>
        </w:rPr>
        <w:fldChar w:fldCharType="begin"/>
      </w:r>
      <w:r w:rsidR="009A7FBB">
        <w:rPr>
          <w:rFonts w:asciiTheme="majorBidi" w:hAnsiTheme="majorBidi" w:cstheme="majorBidi"/>
        </w:rPr>
        <w:instrText xml:space="preserve"> ADDIN ZOTERO_ITEM CSL_CITATION {"citationID":"Ua0TcOQD","properties":{"formattedCitation":"(Copeland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674BE1">
        <w:rPr>
          <w:rFonts w:asciiTheme="majorBidi" w:hAnsiTheme="majorBidi" w:cstheme="majorBidi"/>
        </w:rPr>
        <w:fldChar w:fldCharType="separate"/>
      </w:r>
      <w:r w:rsidR="00674BE1" w:rsidRPr="00674BE1">
        <w:rPr>
          <w:rFonts w:ascii="Times New Roman" w:hAnsi="Times New Roman" w:cs="Times New Roman"/>
        </w:rPr>
        <w:t>(Copeland et al., 2021; Field, Heather, et al., 2020)</w:t>
      </w:r>
      <w:r w:rsidR="00674BE1">
        <w:rPr>
          <w:rFonts w:asciiTheme="majorBidi" w:hAnsiTheme="majorBidi" w:cstheme="majorBidi"/>
        </w:rPr>
        <w:fldChar w:fldCharType="end"/>
      </w:r>
      <w:r w:rsidRPr="0067750A">
        <w:rPr>
          <w:rFonts w:asciiTheme="majorBidi" w:hAnsiTheme="majorBidi" w:cstheme="majorBidi"/>
        </w:rPr>
        <w:t xml:space="preserve">. In other words, </w:t>
      </w:r>
      <w:r w:rsidRPr="0067750A">
        <w:rPr>
          <w:rFonts w:asciiTheme="majorBidi" w:hAnsiTheme="majorBidi" w:cstheme="majorBidi"/>
        </w:rPr>
        <w:lastRenderedPageBreak/>
        <w:t xml:space="preserve">less is known about the internal processes that occur in the lead up to a decision being made, and how these processes may change during addiction and recovery from it. </w:t>
      </w:r>
    </w:p>
    <w:p w14:paraId="4345371D" w14:textId="77777777" w:rsidR="0067750A" w:rsidRPr="0067750A" w:rsidRDefault="0067750A" w:rsidP="0067750A">
      <w:pPr>
        <w:pStyle w:val="NoSpacing"/>
        <w:spacing w:line="480" w:lineRule="auto"/>
        <w:rPr>
          <w:rFonts w:asciiTheme="majorBidi" w:hAnsiTheme="majorBidi" w:cstheme="majorBidi"/>
        </w:rPr>
      </w:pPr>
    </w:p>
    <w:p w14:paraId="5160359E" w14:textId="0345FE6B" w:rsidR="0067750A" w:rsidRPr="0067750A" w:rsidRDefault="0067750A" w:rsidP="005C641C">
      <w:pPr>
        <w:pStyle w:val="NoSpacing"/>
        <w:spacing w:line="480" w:lineRule="auto"/>
        <w:rPr>
          <w:rFonts w:asciiTheme="majorBidi" w:hAnsiTheme="majorBidi" w:cstheme="majorBidi"/>
        </w:rPr>
      </w:pPr>
      <w:r w:rsidRPr="0067750A">
        <w:rPr>
          <w:rFonts w:asciiTheme="majorBidi" w:hAnsiTheme="majorBidi" w:cstheme="majorBidi"/>
        </w:rPr>
        <w:t xml:space="preserve">Value-based decision-making (VBDM) provides a theoretical framework that can be used to model the internal processes that precede decisions made about substances and substance-free alternatives </w:t>
      </w:r>
      <w:r w:rsidR="00674BE1">
        <w:rPr>
          <w:rFonts w:asciiTheme="majorBidi" w:hAnsiTheme="majorBidi" w:cstheme="majorBidi"/>
        </w:rPr>
        <w:fldChar w:fldCharType="begin"/>
      </w:r>
      <w:r w:rsidR="002624F0">
        <w:rPr>
          <w:rFonts w:asciiTheme="majorBidi" w:hAnsiTheme="majorBidi" w:cstheme="majorBidi"/>
        </w:rPr>
        <w:instrText xml:space="preserve"> ADDIN ZOTERO_ITEM CSL_CITATION {"citationID":"56rXQ1bn","properties":{"formattedCitation":"(Berkman, 2018; Berkman et al., 2017; Levy &amp; Glimcher, 2012; Rangel et al., 2008)","plainCitation":"(Berkman, 2018; Berkman et al., 2017; Levy &amp; Glimcher, 2012; Rangel et al., 2008)","noteIndex":0},"citationItems":[{"id":1538,"uris":["http://zotero.org/users/7873587/items/WURW4J4N"],"itemData":{"id":1538,"type":"article-journal","abstract":"OBJECTIVE: Traditional models of health behaviour focus on the roles of cognitive, personality and social-cognitive constructs (e.g. executive function, grit, self-efficacy), and give less attention to the process by which these constructs interact in the moment that a health-relevant choice is made. Health psychology needs a process-focused account of how various factors are integrated to produce the decisions that determine health behaviour.\nDESIGN: I present an integrative value-based choice model of health behaviour, which characterises the mechanism by which a variety of factors come together to determine behaviour. This model imports knowledge from research on behavioural economics and neuroscience about how choices are made to the study of health behaviour, and uses that knowledge to generate novel predictions about how to change health behaviour. I describe anomalies in value-based choice that can be exploited for health promotion, and review neuroimaging evidence about the involvement of midline dopamine structures in tracking and integrating value-related information during choice. I highlight how this knowledge can bring insights to health psychology using illustrative case of healthy eating.\nCONCLUSION: Value-based choice is a viable model for health behaviour and opens new avenues for mechanism-focused intervention.","container-title":"Psychology &amp; Health","DOI":"10.1080/08870446.2017.1316847","ISSN":"1476-8321","issue":"1","journalAbbreviation":"Psychol Health","language":"eng","note":"PMID: 28403660\nPMCID: PMC5897039","page":"40-57","source":"PubMed","title":"Value-based choice: An integrative, neuroscience-informed model of health goals","title-short":"Value-based choice","volume":"33","author":[{"family":"Berkman","given":"Elliot T."}],"issued":{"date-parts":[["2018",1]]}},"label":"act"},{"id":1528,"uris":["http://zotero.org/users/7873587/items/BGCGUKYV"],"itemData":{"id":1528,"type":"article-journal","abstract":"Self-control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E."},{"family":"Inzlicht","given":"Michael"}],"issued":{"date-parts":[["2017"]]}},"label":"act"},{"id":1531,"uris":["http://zotero.org/users/7873587/items/882JVBYM"],"itemData":{"id":1531,"type":"article-journal","abstract":"How do humans make choices between different types of rewards? Economists have long argued on theoretical grounds that humans typically make these choices as if the values of the options they consider have been mapped to a single common scale for comparison. Neuroimaging studies in humans have recently begun to suggest the existence of a small group of specific brain sites that appear to encode the subjective values of different types of rewards on a neural common scale, almost exactly as predicted by theory. We have conducted a meta analysis using data from thirteen different functional magnetic resonance imaging studies published in recent years and we show that the principle brain area associated with this common representation is a subregion of the ventromedial prefrontal cortex (vmPFC)/orbitofrontal cortex (OFC). The data available today suggest that this common valuation path is a core system that participates in day-to-day decision making suggesting both a neurobiological foundation for standard economic theory and a tool for measuring preferences neurobiologically. Perhaps even more exciting is the possibility that our emerging understanding of the neural mechanisms for valuation and choice may provide fundamental insights into pathological choice behaviors like addiction, obesity and gambling.","collection-title":"Decision making","container-title":"Current Opinion in Neurobiology","DOI":"10.1016/j.conb.2012.06.001","ISSN":"0959-4388","issue":"6","journalAbbreviation":"Current Opinion in Neurobiology","language":"en","page":"1027-1038","source":"ScienceDirect","title":"The root of all value: a neural common currency for choice","title-short":"The root of all value","volume":"22","author":[{"family":"Levy","given":"Dino J"},{"family":"Glimcher","given":"Paul W"}],"issued":{"date-parts":[["2012",12,1]]}},"label":"act"},{"id":1536,"uris":["http://zotero.org/users/7873587/items/WLVILFCS"],"itemData":{"id":1536,"type":"article-journal","abstract":"Most behavioural and computational models of decision making assume that the following five processes are carried out at the time the decision is made: representation, action valuation, action selection, outcome valuation, and learning.On the basis of a sizeable body of animal and human behavioural evidence, several groups have proposed the existence of three different types of valuation systems: Pavlovian, habitual and goal-directed systems.Pavlovian systems assign value to only a small set of 'prepared' behaviours and thus have a limited behavioural repertoire. Nevertheless, they might be the driving force behind behaviours with important economic consequences (for example, overeating). Examples include preparatory behaviours, such as approaching a cue that predicts food, and consummatory behaviours, such as ingesting available food.Habit valuation systems learn to assign values to stimulus–response associations on the basis of previous experience through a process of trial-and-error. Examples of habits include a smoker's desire to have a cigarette at particular times of day (for example, after a meal) and a rat's tendency to forage in a cue-dependent location after sufficient training.Goal-directed systems assign values to actions by computing action–outcome associations and then evaluating the rewards that are associated with the different outcomes. An example of a goal-directed behaviour is the decision what to eat at a new restaurant.An important difference between habitual and goal-directed systems has to do with how they respond to changes in the environment. The goal-directed system updates the value of an action as soon as the value of its outcome changes, whereas the habit system only learns with repeated experience.The values computed by the three systems can be modulated by factors such as the risk that is associated with the decision, the time delay to the outcomes, and social considerations.The quality of the decisions made by an animal depend on how its brain assigns control to the different valuation systems in situations in which it has to make a choice between several potential actions that are assigned conflicting values.The learning properties of the habit system seem to be well-described by simple reinforcement algorithms, such as Q-learning. Some of the key computations that are predicted by these models are instantiated in the dopamine system.","container-title":"Nature Reviews Neuroscience","DOI":"10.1038/nrn2357","ISSN":"1471-0048","issue":"7","journalAbbreviation":"Nat Rev Neurosci","language":"en","license":"2008 Nature Publishing Group","note":"number: 7\npublisher: Nature Publishing Group","page":"545-556","source":"www.nature.com","title":"A framework for studying the neurobiology of value-based decision making","volume":"9","author":[{"family":"Rangel","given":"Antonio"},{"family":"Camerer","given":"Colin"},{"family":"Montague","given":"P. Read"}],"issued":{"date-parts":[["2008",7]]}},"label":"act"}],"schema":"https://github.com/citation-style-language/schema/raw/master/csl-citation.json"} </w:instrText>
      </w:r>
      <w:r w:rsidR="00674BE1">
        <w:rPr>
          <w:rFonts w:asciiTheme="majorBidi" w:hAnsiTheme="majorBidi" w:cstheme="majorBidi"/>
        </w:rPr>
        <w:fldChar w:fldCharType="separate"/>
      </w:r>
      <w:r w:rsidR="005C641C" w:rsidRPr="005C641C">
        <w:rPr>
          <w:rFonts w:ascii="Times New Roman" w:hAnsi="Times New Roman" w:cs="Times New Roman"/>
        </w:rPr>
        <w:t>(Berkman, 2018; Berkman et al., 2017; Levy &amp; Glimcher, 2012; Rangel et al., 2008)</w:t>
      </w:r>
      <w:r w:rsidR="00674BE1">
        <w:rPr>
          <w:rFonts w:asciiTheme="majorBidi" w:hAnsiTheme="majorBidi" w:cstheme="majorBidi"/>
        </w:rPr>
        <w:fldChar w:fldCharType="end"/>
      </w:r>
      <w:r w:rsidRPr="0067750A">
        <w:rPr>
          <w:rFonts w:asciiTheme="majorBidi" w:hAnsiTheme="majorBidi" w:cstheme="majorBidi"/>
        </w:rPr>
        <w:t xml:space="preserve">. Within this framework, diverse determinants of substance value (such as the anticipated gains and costs associated with a response option) are integrated into a common metric of subjective value that is essential to allow comparison between response options. This occurs through a value-to-action evidence accumulation (EA) process </w:t>
      </w:r>
      <w:r w:rsidR="005C641C">
        <w:rPr>
          <w:rFonts w:asciiTheme="majorBidi" w:hAnsiTheme="majorBidi" w:cstheme="majorBidi"/>
        </w:rPr>
        <w:fldChar w:fldCharType="begin"/>
      </w:r>
      <w:r w:rsidR="002624F0">
        <w:rPr>
          <w:rFonts w:asciiTheme="majorBidi" w:hAnsiTheme="majorBidi" w:cstheme="majorBidi"/>
        </w:rPr>
        <w:instrText xml:space="preserve"> ADDIN ZOTERO_ITEM CSL_CITATION {"citationID":"AaBLGTrm","properties":{"formattedCitation":"(Berkman et al., 2017)","plainCitation":"(Berkman et al., 2017)","noteIndex":0},"citationItems":[{"id":1528,"uris":["http://zotero.org/users/7873587/items/BGCGUKYV"],"itemData":{"id":1528,"type":"article-journal","abstract":"Self-control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sidR="005C641C">
        <w:rPr>
          <w:rFonts w:asciiTheme="majorBidi" w:hAnsiTheme="majorBidi" w:cstheme="majorBidi"/>
        </w:rPr>
        <w:fldChar w:fldCharType="separate"/>
      </w:r>
      <w:r w:rsidR="005C641C" w:rsidRPr="005C641C">
        <w:rPr>
          <w:rFonts w:ascii="Times New Roman" w:hAnsi="Times New Roman" w:cs="Times New Roman"/>
        </w:rPr>
        <w:t>(Berkman et al., 2017)</w:t>
      </w:r>
      <w:r w:rsidR="005C641C">
        <w:rPr>
          <w:rFonts w:asciiTheme="majorBidi" w:hAnsiTheme="majorBidi" w:cstheme="majorBidi"/>
        </w:rPr>
        <w:fldChar w:fldCharType="end"/>
      </w:r>
      <w:r w:rsidRPr="0067750A">
        <w:rPr>
          <w:rFonts w:asciiTheme="majorBidi" w:hAnsiTheme="majorBidi" w:cstheme="majorBidi"/>
        </w:rPr>
        <w:t xml:space="preserve"> that can be parameterised via application of the drift-diffusion model (DDM; Ratcliff &amp; </w:t>
      </w:r>
      <w:proofErr w:type="spellStart"/>
      <w:r w:rsidRPr="0067750A">
        <w:rPr>
          <w:rFonts w:asciiTheme="majorBidi" w:hAnsiTheme="majorBidi" w:cstheme="majorBidi"/>
        </w:rPr>
        <w:t>McKoon</w:t>
      </w:r>
      <w:proofErr w:type="spellEnd"/>
      <w:r w:rsidRPr="0067750A">
        <w:rPr>
          <w:rFonts w:asciiTheme="majorBidi" w:hAnsiTheme="majorBidi" w:cstheme="majorBidi"/>
        </w:rPr>
        <w:t xml:space="preserve">, 2008). The DDM provides a principled reconciliation of behavioural data from experimental tasks (e.g., </w:t>
      </w:r>
      <w:proofErr w:type="spellStart"/>
      <w:r w:rsidRPr="0067750A">
        <w:rPr>
          <w:rFonts w:asciiTheme="majorBidi" w:hAnsiTheme="majorBidi" w:cstheme="majorBidi"/>
        </w:rPr>
        <w:t>Polanía</w:t>
      </w:r>
      <w:proofErr w:type="spellEnd"/>
      <w:r w:rsidRPr="0067750A">
        <w:rPr>
          <w:rFonts w:asciiTheme="majorBidi" w:hAnsiTheme="majorBidi" w:cstheme="majorBidi"/>
        </w:rPr>
        <w:t xml:space="preserve"> et al., 2014) to recover the following parameters of VBDM: EA rate (the rate at which evidence accumulates; also termed ‘drift rate’) and response thresholds (how conservative a person is when responding indexed by their speed-accuracy trade-off). The assumption of the DDM is th</w:t>
      </w:r>
      <w:r w:rsidR="005C641C">
        <w:rPr>
          <w:rFonts w:asciiTheme="majorBidi" w:hAnsiTheme="majorBidi" w:cstheme="majorBidi"/>
        </w:rPr>
        <w:t>at</w:t>
      </w:r>
      <w:r w:rsidRPr="0067750A">
        <w:rPr>
          <w:rFonts w:asciiTheme="majorBidi" w:hAnsiTheme="majorBidi" w:cstheme="majorBidi"/>
        </w:rPr>
        <w:t xml:space="preserve"> evidence accumulates in favour of a decision until a response threshold is crossed, at which point the choice is </w:t>
      </w:r>
      <w:r w:rsidR="005C641C">
        <w:rPr>
          <w:rFonts w:asciiTheme="majorBidi" w:hAnsiTheme="majorBidi" w:cstheme="majorBidi"/>
        </w:rPr>
        <w:t>made</w:t>
      </w:r>
      <w:r w:rsidRPr="0067750A">
        <w:rPr>
          <w:rFonts w:asciiTheme="majorBidi" w:hAnsiTheme="majorBidi" w:cstheme="majorBidi"/>
        </w:rPr>
        <w:t xml:space="preserve"> (</w:t>
      </w:r>
      <w:proofErr w:type="spellStart"/>
      <w:r w:rsidRPr="0067750A">
        <w:rPr>
          <w:rFonts w:asciiTheme="majorBidi" w:hAnsiTheme="majorBidi" w:cstheme="majorBidi"/>
        </w:rPr>
        <w:t>Forstmann</w:t>
      </w:r>
      <w:proofErr w:type="spellEnd"/>
      <w:r w:rsidRPr="0067750A">
        <w:rPr>
          <w:rFonts w:asciiTheme="majorBidi" w:hAnsiTheme="majorBidi" w:cstheme="majorBidi"/>
        </w:rPr>
        <w:t xml:space="preserve"> et al., 2016). Recent conceptual work </w:t>
      </w:r>
      <w:r w:rsidR="005C641C">
        <w:rPr>
          <w:rFonts w:asciiTheme="majorBidi" w:hAnsiTheme="majorBidi" w:cstheme="majorBidi"/>
        </w:rPr>
        <w:fldChar w:fldCharType="begin"/>
      </w:r>
      <w:r w:rsidR="009A7FBB">
        <w:rPr>
          <w:rFonts w:asciiTheme="majorBidi" w:hAnsiTheme="majorBidi" w:cstheme="majorBidi"/>
        </w:rPr>
        <w:instrText xml:space="preserve"> ADDIN ZOTERO_ITEM CSL_CITATION {"citationID":"n9yprxpr","properties":{"formattedCitation":"(Field,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5C641C">
        <w:rPr>
          <w:rFonts w:asciiTheme="majorBidi" w:hAnsiTheme="majorBidi" w:cstheme="majorBidi"/>
        </w:rPr>
        <w:fldChar w:fldCharType="separate"/>
      </w:r>
      <w:r w:rsidR="005C641C" w:rsidRPr="005C641C">
        <w:rPr>
          <w:rFonts w:ascii="Times New Roman" w:hAnsi="Times New Roman" w:cs="Times New Roman"/>
        </w:rPr>
        <w:t>(Field, Heather, et al., 2020)</w:t>
      </w:r>
      <w:r w:rsidR="005C641C">
        <w:rPr>
          <w:rFonts w:asciiTheme="majorBidi" w:hAnsiTheme="majorBidi" w:cstheme="majorBidi"/>
        </w:rPr>
        <w:fldChar w:fldCharType="end"/>
      </w:r>
      <w:r w:rsidRPr="0067750A">
        <w:rPr>
          <w:rFonts w:asciiTheme="majorBidi" w:hAnsiTheme="majorBidi" w:cstheme="majorBidi"/>
        </w:rPr>
        <w:t xml:space="preserve"> extended VBDM to recovery from addiction, proposing that three potential changes that may underlie recovery: 1) increased response thresholds </w:t>
      </w:r>
      <w:r w:rsidR="005C641C">
        <w:rPr>
          <w:rFonts w:asciiTheme="majorBidi" w:hAnsiTheme="majorBidi" w:cstheme="majorBidi"/>
        </w:rPr>
        <w:t>when making decisions about</w:t>
      </w:r>
      <w:r w:rsidRPr="0067750A">
        <w:rPr>
          <w:rFonts w:asciiTheme="majorBidi" w:hAnsiTheme="majorBidi" w:cstheme="majorBidi"/>
        </w:rPr>
        <w:t xml:space="preserve"> substance</w:t>
      </w:r>
      <w:r w:rsidR="005C641C">
        <w:rPr>
          <w:rFonts w:asciiTheme="majorBidi" w:hAnsiTheme="majorBidi" w:cstheme="majorBidi"/>
        </w:rPr>
        <w:t>s</w:t>
      </w:r>
      <w:r w:rsidRPr="0067750A">
        <w:rPr>
          <w:rFonts w:asciiTheme="majorBidi" w:hAnsiTheme="majorBidi" w:cstheme="majorBidi"/>
        </w:rPr>
        <w:t xml:space="preserve">, 2) suppressed EA rates for substances, and 3) amplified EA rates for substance-free alternatives. </w:t>
      </w:r>
    </w:p>
    <w:p w14:paraId="72F5BF51" w14:textId="77777777" w:rsidR="0067750A" w:rsidRPr="0067750A" w:rsidRDefault="0067750A" w:rsidP="0067750A">
      <w:pPr>
        <w:pStyle w:val="NoSpacing"/>
        <w:spacing w:line="480" w:lineRule="auto"/>
        <w:rPr>
          <w:rFonts w:asciiTheme="majorBidi" w:hAnsiTheme="majorBidi" w:cstheme="majorBidi"/>
        </w:rPr>
      </w:pPr>
    </w:p>
    <w:p w14:paraId="58B98D38" w14:textId="0C08EB80" w:rsidR="0067750A" w:rsidRPr="0067750A" w:rsidRDefault="0067750A" w:rsidP="00E6585B">
      <w:pPr>
        <w:pStyle w:val="NoSpacing"/>
        <w:spacing w:line="480" w:lineRule="auto"/>
        <w:rPr>
          <w:rFonts w:asciiTheme="majorBidi" w:hAnsiTheme="majorBidi" w:cstheme="majorBidi"/>
        </w:rPr>
      </w:pPr>
      <w:r w:rsidRPr="0067750A">
        <w:rPr>
          <w:rFonts w:asciiTheme="majorBidi" w:hAnsiTheme="majorBidi" w:cstheme="majorBidi"/>
        </w:rPr>
        <w:t xml:space="preserve">Interestingly, another internal process of decision-making that may be important when people recover from nicotine addiction is the strength and temporal unfolding of conflict when a person is faced with the decision between substance use and an alternative reward or </w:t>
      </w:r>
      <w:r w:rsidRPr="0067750A">
        <w:rPr>
          <w:rFonts w:asciiTheme="majorBidi" w:hAnsiTheme="majorBidi" w:cstheme="majorBidi"/>
        </w:rPr>
        <w:lastRenderedPageBreak/>
        <w:t xml:space="preserve">behaviour (Copeland et al., 2021). </w:t>
      </w:r>
      <w:proofErr w:type="spellStart"/>
      <w:r w:rsidRPr="0067750A">
        <w:rPr>
          <w:rFonts w:asciiTheme="majorBidi" w:hAnsiTheme="majorBidi" w:cstheme="majorBidi"/>
        </w:rPr>
        <w:t>MouseTracker</w:t>
      </w:r>
      <w:proofErr w:type="spellEnd"/>
      <w:r w:rsidRPr="0067750A">
        <w:rPr>
          <w:rFonts w:asciiTheme="majorBidi" w:hAnsiTheme="majorBidi" w:cstheme="majorBidi"/>
        </w:rPr>
        <w:t xml:space="preserve"> is a software commonly used to measure decision conflict </w:t>
      </w:r>
      <w:r w:rsidR="009E420C">
        <w:rPr>
          <w:rFonts w:asciiTheme="majorBidi" w:hAnsiTheme="majorBidi" w:cstheme="majorBidi"/>
        </w:rPr>
        <w:fldChar w:fldCharType="begin"/>
      </w:r>
      <w:r w:rsidR="009E420C">
        <w:rPr>
          <w:rFonts w:asciiTheme="majorBidi" w:hAnsiTheme="majorBidi" w:cstheme="majorBidi"/>
        </w:rPr>
        <w:instrText xml:space="preserve"> ADDIN ZOTERO_ITEM CSL_CITATION {"citationID":"4h2WHQJd","properties":{"formattedCitation":"(Freeman &amp; Ambady, 2010)","plainCitation":"(Freeman &amp; Ambady, 2010)","noteIndex":0},"citationItems":[{"id":1816,"uris":["http://zotero.org/users/7873587/items/QMR9HABE"],"itemData":{"id":1816,"type":"article-journal","abstract":"In the present article, we present a software package, MouseTracker, that allows researchers to use a computer mouse-tracking method for assessing real-time processing in psychological tasks. By recording the streaming x-, y-coordinates of the computer mouse while participants move the mouse into one of multiple response alternatives, motor dynamics of the hand can reveal the time course of mental processes. MouseTracker provides researchers with fine-grained information about the real-time evolution of participant responses by sampling 60–75 times/sec the online competition between multiple response alternatives. MouseTracker allows researchers to develop and run experiments and subsequently analyze mouse trajectories in a user-interactive, graphics-based environment. Experiments may incorporate images, letter strings, and sounds. Mouse trajectories can be processed, averaged, visualized, and explored, and measures of spatial attraction/curvature, complexity, velocity, and acceleration can be computed. We describe the software and the method, and we provide details on mouse trajectory analysis. We validate the software by demonstrating the accuracy and reliability of its trajectory and reaction time data. The latest version of MouseTracker is freely available at http://mousetracker.jbfreeman.net.","container-title":"Behavior Research Methods","DOI":"10.3758/BRM.42.1.226","ISSN":"1554-3528","issue":"1","journalAbbreviation":"Behavior Research Methods","language":"en","page":"226-241","source":"Springer Link","title":"MouseTracker: Software for studying real-time mental processing using a computer mouse-tracking method","title-short":"MouseTracker","volume":"42","author":[{"family":"Freeman","given":"Jonathan B."},{"family":"Ambady","given":"Nalini"}],"issued":{"date-parts":[["2010",2,1]]}}}],"schema":"https://github.com/citation-style-language/schema/raw/master/csl-citation.json"} </w:instrText>
      </w:r>
      <w:r w:rsidR="009E420C">
        <w:rPr>
          <w:rFonts w:asciiTheme="majorBidi" w:hAnsiTheme="majorBidi" w:cstheme="majorBidi"/>
        </w:rPr>
        <w:fldChar w:fldCharType="separate"/>
      </w:r>
      <w:r w:rsidR="009E420C" w:rsidRPr="009E420C">
        <w:rPr>
          <w:rFonts w:ascii="Times New Roman" w:hAnsi="Times New Roman" w:cs="Times New Roman"/>
        </w:rPr>
        <w:t>(Freeman &amp; Ambady, 2010)</w:t>
      </w:r>
      <w:r w:rsidR="009E420C">
        <w:rPr>
          <w:rFonts w:asciiTheme="majorBidi" w:hAnsiTheme="majorBidi" w:cstheme="majorBidi"/>
        </w:rPr>
        <w:fldChar w:fldCharType="end"/>
      </w:r>
      <w:r w:rsidR="009E420C">
        <w:rPr>
          <w:rFonts w:asciiTheme="majorBidi" w:hAnsiTheme="majorBidi" w:cstheme="majorBidi"/>
        </w:rPr>
        <w:t xml:space="preserve"> </w:t>
      </w:r>
      <w:r w:rsidRPr="0067750A">
        <w:rPr>
          <w:rFonts w:asciiTheme="majorBidi" w:hAnsiTheme="majorBidi" w:cstheme="majorBidi"/>
        </w:rPr>
        <w:t xml:space="preserve">by recording computer mouse movements on a millisecond-by-millisecond basis revealing unique insight into the on-going dynamics of the choice process in the lead up to decision being made </w:t>
      </w:r>
      <w:r w:rsidR="009E420C">
        <w:rPr>
          <w:rFonts w:asciiTheme="majorBidi" w:hAnsiTheme="majorBidi" w:cstheme="majorBidi"/>
        </w:rPr>
        <w:fldChar w:fldCharType="begin"/>
      </w:r>
      <w:r w:rsidR="00996CF6">
        <w:rPr>
          <w:rFonts w:asciiTheme="majorBidi" w:hAnsiTheme="majorBidi" w:cstheme="majorBidi"/>
        </w:rPr>
        <w:instrText xml:space="preserve"> ADDIN ZOTERO_ITEM CSL_CITATION {"citationID":"DoHG8wMS","properties":{"formattedCitation":"(Freeman et al., 2011; Stillman et al., 2018)","plainCitation":"(Freeman et al., 2011; Stillman et al., 2018)","noteIndex":0},"citationItems":[{"id":1818,"uris":["http://zotero.org/users/7873587/items/KVYWVLV5"],"itemData":{"id":1818,"type":"article-journal","abstract":"Recently, researchers have measured hand movements en route to choices on a screen to understand the dynamics of a broad range of psychological processes. We review this growing body of research and explain how manual action exposes the real-time unfolding of underlying cognitive processing. We describe how simple hand motions may be used to continuously index participants’ tentative commitments to different choice alternatives during the evolution of a behavioral response. As such, hand-tracking can provide unusually high-fidelity, real-time motor traces of the mind. These motor traces cast novel theoretical and empirical light onto a wide range of phenomena and serve as a potential bridge between far-reaching areas of psychological science – from language, to high-level cognition and learning, to social cognitive processes.","container-title":"Frontiers in Psychology","DOI":"10.3389/fpsyg.2011.00059","ISSN":"1664-1078","journalAbbreviation":"Front Psychol","note":"PMID: 21687437\nPMCID: PMC3110497","page":"59","source":"PubMed Central","title":"Hand in motion reveals mind in motion","volume":"2","author":[{"family":"Freeman","given":"Jonathan B."},{"family":"Dale","given":"Rick"},{"family":"Farmer","given":"Thomas A."}],"issued":{"date-parts":[["2011",4,20]]}},"label":"act"},{"id":1821,"uris":["http://zotero.org/users/7873587/items/L7DNNJ2G"],"itemData":{"id":1821,"type":"article-journal","abstract":"Mouse-tracking - measuring computer-mouse movements made by participants while they choose between response options - is an emerging tool that offers an accessible, data-rich, and real-time window into how people categorize and make decisions. In the present article we review recent research in social cognition that uses mouse-tracking to test models and advance theory. In particular, mouse-tracking allows examination of nuanced predictions about both the nature of conflict (e.g., its antecedents and consequences) as well as how this conflict is resolved (e.g., how decisions evolve). We demonstrate how mouse-tracking can further our theoretical understanding by highlighting research in two domains - social categorization and self-control. We conclude with future directions and a discussion of the limitations of mouse-tracking as a method.","container-title":"Trends in Cognitive Sciences","DOI":"10.1016/j.tics.2018.03.012","ISSN":"1879-307X","issue":"6","journalAbbreviation":"Trends Cogn Sci","language":"eng","note":"PMID: 29731415","page":"531-543","source":"PubMed","title":"How mouse-tracking can advance social cognitive theory","volume":"22","author":[{"family":"Stillman","given":"Paul E."},{"family":"Shen","given":"Xi"},{"family":"Ferguson","given":"Melissa J."}],"issued":{"date-parts":[["2018",6]]}},"label":"act"}],"schema":"https://github.com/citation-style-language/schema/raw/master/csl-citation.json"} </w:instrText>
      </w:r>
      <w:r w:rsidR="009E420C">
        <w:rPr>
          <w:rFonts w:asciiTheme="majorBidi" w:hAnsiTheme="majorBidi" w:cstheme="majorBidi"/>
        </w:rPr>
        <w:fldChar w:fldCharType="separate"/>
      </w:r>
      <w:r w:rsidR="009E420C" w:rsidRPr="009E420C">
        <w:rPr>
          <w:rFonts w:ascii="Times New Roman" w:hAnsi="Times New Roman" w:cs="Times New Roman"/>
        </w:rPr>
        <w:t>(Freeman et al., 2011; Stillman et al., 2018)</w:t>
      </w:r>
      <w:r w:rsidR="009E420C">
        <w:rPr>
          <w:rFonts w:asciiTheme="majorBidi" w:hAnsiTheme="majorBidi" w:cstheme="majorBidi"/>
        </w:rPr>
        <w:fldChar w:fldCharType="end"/>
      </w:r>
      <w:r w:rsidRPr="0067750A">
        <w:rPr>
          <w:rFonts w:asciiTheme="majorBidi" w:hAnsiTheme="majorBidi" w:cstheme="majorBidi"/>
        </w:rPr>
        <w:t xml:space="preserve">. Two key metrics produced from this software are area under the curve (AUC) and maximum deviation (MD). AUC reflects the area between a person’s mouse trajectory and a straight trajectory towards the response option: the more conflict that is inherent in the choice, the less direct the mouse trajectory will be, which results in a greater AUC (Freeman &amp; </w:t>
      </w:r>
      <w:proofErr w:type="spellStart"/>
      <w:r w:rsidRPr="0067750A">
        <w:rPr>
          <w:rFonts w:asciiTheme="majorBidi" w:hAnsiTheme="majorBidi" w:cstheme="majorBidi"/>
        </w:rPr>
        <w:t>Ambady</w:t>
      </w:r>
      <w:proofErr w:type="spellEnd"/>
      <w:r w:rsidRPr="0067750A">
        <w:rPr>
          <w:rFonts w:asciiTheme="majorBidi" w:hAnsiTheme="majorBidi" w:cstheme="majorBidi"/>
        </w:rPr>
        <w:t xml:space="preserve">, 2010). Maximum deviation similarly measures conflict; however, it is calculated by how far the furthest point on the person’s mouse trajectory is from a straight trajectory (Freeman &amp; </w:t>
      </w:r>
      <w:proofErr w:type="spellStart"/>
      <w:r w:rsidRPr="0067750A">
        <w:rPr>
          <w:rFonts w:asciiTheme="majorBidi" w:hAnsiTheme="majorBidi" w:cstheme="majorBidi"/>
        </w:rPr>
        <w:t>Ambady</w:t>
      </w:r>
      <w:proofErr w:type="spellEnd"/>
      <w:r w:rsidRPr="0067750A">
        <w:rPr>
          <w:rFonts w:asciiTheme="majorBidi" w:hAnsiTheme="majorBidi" w:cstheme="majorBidi"/>
        </w:rPr>
        <w:t xml:space="preserve">, 2010). An advantage of mouse-tracking is that it generates metrics (e.g., AUC) that are dissociable from RT </w:t>
      </w:r>
      <w:r w:rsidR="009E420C">
        <w:rPr>
          <w:rFonts w:asciiTheme="majorBidi" w:hAnsiTheme="majorBidi" w:cstheme="majorBidi"/>
        </w:rPr>
        <w:fldChar w:fldCharType="begin"/>
      </w:r>
      <w:r w:rsidR="00996CF6">
        <w:rPr>
          <w:rFonts w:asciiTheme="majorBidi" w:hAnsiTheme="majorBidi" w:cstheme="majorBidi"/>
        </w:rPr>
        <w:instrText xml:space="preserve"> ADDIN ZOTERO_ITEM CSL_CITATION {"citationID":"0czo0fMk","properties":{"formattedCitation":"(Stillman et al., 2017)","plainCitation":"(Stillman et al., 2017)","noteIndex":0},"citationItems":[{"id":1627,"uris":["http://zotero.org/users/7873587/items/Z838EEF5"],"itemData":{"id":1627,"type":"article-journal","abstract":"Across four studies, we used mouse tracking to identify the dynamic, on-line cognitive processes that underlie successful self-control decisions. First, we showed that individuals display real-time conflict when choosing options consistent with their long-term goal over short-term temptations. Second, we found that individuals who are more successful at self-control—whether measured or manipulated—show significantly less real-time conflict in only self-control-relevant choices. Third, we demonstrated that successful individuals who choose a long-term goal over a short-term temptation display movements that are smooth rather than abrupt, which suggests dynamic rather than stage-based resolution of self-control conflicts. These findings have important implications for contemporary theories of self-control.","container-title":"Psychological Science","DOI":"10.1177/0956797617705386","ISSN":"0956-7976","issue":"9","journalAbbreviation":"Psychol Sci","language":"en","note":"publisher: SAGE Publications Inc","page":"1240-1258","source":"SAGE Journals","title":"Resisting temptation: Tracking how self-control conflicts are successfully resolved in real time","title-short":"Resisting Temptation","volume":"28","author":[{"family":"Stillman","given":"Paul E."},{"family":"Medvedev","given":"Danila"},{"family":"Ferguson","given":"Melissa J."}],"issued":{"date-parts":[["2017",9,1]]}}}],"schema":"https://github.com/citation-style-language/schema/raw/master/csl-citation.json"} </w:instrText>
      </w:r>
      <w:r w:rsidR="009E420C">
        <w:rPr>
          <w:rFonts w:asciiTheme="majorBidi" w:hAnsiTheme="majorBidi" w:cstheme="majorBidi"/>
        </w:rPr>
        <w:fldChar w:fldCharType="separate"/>
      </w:r>
      <w:r w:rsidR="00E6585B" w:rsidRPr="00E6585B">
        <w:rPr>
          <w:rFonts w:ascii="Times New Roman" w:hAnsi="Times New Roman" w:cs="Times New Roman"/>
        </w:rPr>
        <w:t>(Stillman et al., 2017)</w:t>
      </w:r>
      <w:r w:rsidR="009E420C">
        <w:rPr>
          <w:rFonts w:asciiTheme="majorBidi" w:hAnsiTheme="majorBidi" w:cstheme="majorBidi"/>
        </w:rPr>
        <w:fldChar w:fldCharType="end"/>
      </w:r>
      <w:r w:rsidRPr="0067750A">
        <w:rPr>
          <w:rFonts w:asciiTheme="majorBidi" w:hAnsiTheme="majorBidi" w:cstheme="majorBidi"/>
        </w:rPr>
        <w:t>, therefore providing a more in-depth insight into the decision process by isolating additional components that contribute to RT</w:t>
      </w:r>
      <w:r w:rsidR="00E6585B">
        <w:rPr>
          <w:rFonts w:asciiTheme="majorBidi" w:hAnsiTheme="majorBidi" w:cstheme="majorBidi"/>
        </w:rPr>
        <w:t xml:space="preserve"> </w:t>
      </w:r>
      <w:r w:rsidR="00E6585B">
        <w:rPr>
          <w:rFonts w:asciiTheme="majorBidi" w:hAnsiTheme="majorBidi" w:cstheme="majorBidi"/>
        </w:rPr>
        <w:fldChar w:fldCharType="begin"/>
      </w:r>
      <w:r w:rsidR="00996CF6">
        <w:rPr>
          <w:rFonts w:asciiTheme="majorBidi" w:hAnsiTheme="majorBidi" w:cstheme="majorBidi"/>
        </w:rPr>
        <w:instrText xml:space="preserve"> ADDIN ZOTERO_ITEM CSL_CITATION {"citationID":"qrGQccXb","properties":{"formattedCitation":"(Freeman, 2018; Stillman et al., 2018)","plainCitation":"(Freeman, 2018; Stillman et al., 2018)","noteIndex":0},"citationItems":[{"id":1825,"uris":["http://zotero.org/users/7873587/items/RWMPEBB8"],"itemData":{"id":1825,"type":"article-journal","abstract":"Over the past decade, mouse tracking in choice tasks has become a popular method across psychological science. This method exploits hand movements as a measure of multiple response activations that can be tracked continuously over hundreds of milliseconds. Whereas early mouse-tracking research focused on specific debates, researchers have realized that the methodology has far broader theoretical value. This more recent work demonstrates that mouse tracking is a widely applicable measure across the field, capable of exposing the microstructure of real-time decisions, including their component processes and millisecond-resolution time course, in ways that inform theory. In this article, recent advances in the mouse-tracking approach are described, and comparisons with the gold standard measure of reaction time and other temporally sensitive methodologies are provided. Future directions, including mapping to neural representations with brain imaging and ways to improve our theoretical understanding of mouse-tracking methodology, are discussed.","container-title":"Current Directions in Psychological Science","DOI":"10.1177/0963721417746793","ISSN":"0963-7214","issue":"5","journalAbbreviation":"Curr Dir Psychol Sci","language":"en","note":"publisher: SAGE Publications Inc","page":"315-323","source":"SAGE Journals","title":"Doing psychological science by hand","volume":"27","author":[{"family":"Freeman","given":"Jonathan B."}],"issued":{"date-parts":[["2018",10,1]]}},"label":"act"},{"id":1821,"uris":["http://zotero.org/users/7873587/items/L7DNNJ2G"],"itemData":{"id":1821,"type":"article-journal","abstract":"Mouse-tracking - measuring computer-mouse movements made by participants while they choose between response options - is an emerging tool that offers an accessible, data-rich, and real-time window into how people categorize and make decisions. In the present article we review recent research in social cognition that uses mouse-tracking to test models and advance theory. In particular, mouse-tracking allows examination of nuanced predictions about both the nature of conflict (e.g., its antecedents and consequences) as well as how this conflict is resolved (e.g., how decisions evolve). We demonstrate how mouse-tracking can further our theoretical understanding by highlighting research in two domains - social categorization and self-control. We conclude with future directions and a discussion of the limitations of mouse-tracking as a method.","container-title":"Trends in Cognitive Sciences","DOI":"10.1016/j.tics.2018.03.012","ISSN":"1879-307X","issue":"6","journalAbbreviation":"Trends Cogn Sci","language":"eng","note":"PMID: 29731415","page":"531-543","source":"PubMed","title":"How mouse-tracking can advance social cognitive theory","volume":"22","author":[{"family":"Stillman","given":"Paul E."},{"family":"Shen","given":"Xi"},{"family":"Ferguson","given":"Melissa J."}],"issued":{"date-parts":[["2018",6]]}},"label":"act"}],"schema":"https://github.com/citation-style-language/schema/raw/master/csl-citation.json"} </w:instrText>
      </w:r>
      <w:r w:rsidR="00E6585B">
        <w:rPr>
          <w:rFonts w:asciiTheme="majorBidi" w:hAnsiTheme="majorBidi" w:cstheme="majorBidi"/>
        </w:rPr>
        <w:fldChar w:fldCharType="separate"/>
      </w:r>
      <w:r w:rsidR="00E6585B" w:rsidRPr="00E6585B">
        <w:rPr>
          <w:rFonts w:ascii="Times New Roman" w:hAnsi="Times New Roman" w:cs="Times New Roman"/>
        </w:rPr>
        <w:t>(Freeman, 2018; Stillman et al., 2018)</w:t>
      </w:r>
      <w:r w:rsidR="00E6585B">
        <w:rPr>
          <w:rFonts w:asciiTheme="majorBidi" w:hAnsiTheme="majorBidi" w:cstheme="majorBidi"/>
        </w:rPr>
        <w:fldChar w:fldCharType="end"/>
      </w:r>
      <w:r w:rsidRPr="0067750A">
        <w:rPr>
          <w:rFonts w:asciiTheme="majorBidi" w:hAnsiTheme="majorBidi" w:cstheme="majorBidi"/>
        </w:rPr>
        <w:t xml:space="preserve">. </w:t>
      </w:r>
    </w:p>
    <w:p w14:paraId="616B94DA" w14:textId="77777777" w:rsidR="0067750A" w:rsidRPr="0067750A" w:rsidRDefault="0067750A" w:rsidP="0067750A">
      <w:pPr>
        <w:pStyle w:val="NoSpacing"/>
        <w:spacing w:line="480" w:lineRule="auto"/>
        <w:rPr>
          <w:rFonts w:asciiTheme="majorBidi" w:hAnsiTheme="majorBidi" w:cstheme="majorBidi"/>
        </w:rPr>
      </w:pPr>
    </w:p>
    <w:p w14:paraId="773A6488" w14:textId="68B39F8B" w:rsidR="0067750A" w:rsidRPr="0067750A" w:rsidRDefault="0067750A" w:rsidP="008B78B2">
      <w:pPr>
        <w:pStyle w:val="NoSpacing"/>
        <w:spacing w:line="480" w:lineRule="auto"/>
        <w:rPr>
          <w:rFonts w:asciiTheme="majorBidi" w:hAnsiTheme="majorBidi" w:cstheme="majorBidi"/>
        </w:rPr>
      </w:pPr>
      <w:r w:rsidRPr="0067750A">
        <w:rPr>
          <w:rFonts w:asciiTheme="majorBidi" w:hAnsiTheme="majorBidi" w:cstheme="majorBidi"/>
        </w:rPr>
        <w:t xml:space="preserve">Mouse trajectories are able to provide further insights by exploring whether the resolution of conflict when people are making decisions about substance-related cues </w:t>
      </w:r>
      <w:r w:rsidR="008B78B2">
        <w:rPr>
          <w:rFonts w:asciiTheme="majorBidi" w:hAnsiTheme="majorBidi" w:cstheme="majorBidi"/>
        </w:rPr>
        <w:t>aligns</w:t>
      </w:r>
      <w:r w:rsidRPr="0067750A">
        <w:rPr>
          <w:rFonts w:asciiTheme="majorBidi" w:hAnsiTheme="majorBidi" w:cstheme="majorBidi"/>
        </w:rPr>
        <w:t xml:space="preserve"> with</w:t>
      </w:r>
      <w:r w:rsidR="008B78B2">
        <w:rPr>
          <w:rFonts w:asciiTheme="majorBidi" w:hAnsiTheme="majorBidi" w:cstheme="majorBidi"/>
        </w:rPr>
        <w:t xml:space="preserve"> a</w:t>
      </w:r>
      <w:r w:rsidRPr="0067750A">
        <w:rPr>
          <w:rFonts w:asciiTheme="majorBidi" w:hAnsiTheme="majorBidi" w:cstheme="majorBidi"/>
        </w:rPr>
        <w:t xml:space="preserve"> dual-process or a dynamical VBDM approach. Dual-process approaches </w:t>
      </w:r>
      <w:r w:rsidR="00E6585B">
        <w:rPr>
          <w:rFonts w:asciiTheme="majorBidi" w:hAnsiTheme="majorBidi" w:cstheme="majorBidi"/>
        </w:rPr>
        <w:fldChar w:fldCharType="begin"/>
      </w:r>
      <w:r w:rsidR="00996CF6">
        <w:rPr>
          <w:rFonts w:asciiTheme="majorBidi" w:hAnsiTheme="majorBidi" w:cstheme="majorBidi"/>
        </w:rPr>
        <w:instrText xml:space="preserve"> ADDIN ZOTERO_ITEM CSL_CITATION {"citationID":"xnNBgZd8","properties":{"formattedCitation":"(Kahneman, 2011; Strack &amp; Deutsch, 2004)","plainCitation":"(Kahneman, 2011; Strack &amp; Deutsch, 2004)","noteIndex":0},"citationItems":[{"id":1827,"uris":["http://zotero.org/users/7873587/items/5VC4WY6J"],"itemData":{"id":1827,"type":"book","edition":"1st edition","event-place":"New York","ISBN":"978-0-374-53355-7","language":"English","number-of-pages":"499","publisher":"Farrar, Straus and Giroux","publisher-place":"New York","source":"Amazon","title":"Thinking, Fast and Slow","author":[{"family":"Kahneman","given":"Daniel"}],"issued":{"date-parts":[["2011"]]}},"label":"act"},{"id":1829,"uris":["http://zotero.org/users/7873587/items/GM5RXRPD"],"itemData":{"id":1829,"type":"article-journal","abstract":"This article describes a 2-systems model that explains social behavior as a joint function of reflective and impulsive processes. In particular, it is assumed that social behavior is controlled by 2 interacting systems that follow different operating principles. The reflective system generates behavioral decisions that are based on knowledge about facts and values, whereas the impulsive system elicits behavior through associative links and motivational orientations. The proposed model describes how the 2 systems interact at various stages of processing, and how their outputs may determine behavior in a synergistic or antagonistic fashion. It extends previous models by integrating motivational components that allow more precise predictions of behavior. The implications of this reflective-impulsive model are applied to various phenomena from social psychology and beyond. Extending previous dual-process accounts, this model is not limited to specific domains of mental functioning and attempts to integrate cognitive, motivational, and behavioral mechanisms.","container-title":"Personality and Social Psychology Review","DOI":"10.1207/s15327957pspr0803_1","ISSN":"1088-8683","issue":"3","journalAbbreviation":"Pers Soc Psychol Rev","language":"eng","note":"PMID: 15454347","page":"220-247","source":"PubMed","title":"Reflective and impulsive determinants of social behavior","volume":"8","author":[{"family":"Strack","given":"Fritz"},{"family":"Deutsch","given":"Roland"}],"issued":{"date-parts":[["2004"]]}},"label":"act"}],"schema":"https://github.com/citation-style-language/schema/raw/master/csl-citation.json"} </w:instrText>
      </w:r>
      <w:r w:rsidR="00E6585B">
        <w:rPr>
          <w:rFonts w:asciiTheme="majorBidi" w:hAnsiTheme="majorBidi" w:cstheme="majorBidi"/>
        </w:rPr>
        <w:fldChar w:fldCharType="separate"/>
      </w:r>
      <w:r w:rsidR="009A7FBB" w:rsidRPr="009A7FBB">
        <w:rPr>
          <w:rFonts w:ascii="Times New Roman" w:hAnsi="Times New Roman" w:cs="Times New Roman"/>
        </w:rPr>
        <w:t>(Kahneman, 2011; Strack &amp; Deutsch, 2004)</w:t>
      </w:r>
      <w:r w:rsidR="00E6585B">
        <w:rPr>
          <w:rFonts w:asciiTheme="majorBidi" w:hAnsiTheme="majorBidi" w:cstheme="majorBidi"/>
        </w:rPr>
        <w:fldChar w:fldCharType="end"/>
      </w:r>
      <w:r w:rsidRPr="0067750A">
        <w:rPr>
          <w:rFonts w:asciiTheme="majorBidi" w:hAnsiTheme="majorBidi" w:cstheme="majorBidi"/>
        </w:rPr>
        <w:t xml:space="preserve"> assume that successful self-control </w:t>
      </w:r>
      <w:r w:rsidR="008B78B2">
        <w:rPr>
          <w:rFonts w:asciiTheme="majorBidi" w:hAnsiTheme="majorBidi" w:cstheme="majorBidi"/>
        </w:rPr>
        <w:t xml:space="preserve">is characterised by the ability to inhibit impulses for alternative options that are tempting. Put another way, controlled processes override automatic processes </w:t>
      </w:r>
      <w:r w:rsidR="003B17C2">
        <w:rPr>
          <w:rFonts w:asciiTheme="majorBidi" w:hAnsiTheme="majorBidi" w:cstheme="majorBidi"/>
        </w:rPr>
        <w:fldChar w:fldCharType="begin"/>
      </w:r>
      <w:r w:rsidR="003B17C2">
        <w:rPr>
          <w:rFonts w:asciiTheme="majorBidi" w:hAnsiTheme="majorBidi" w:cstheme="majorBidi"/>
        </w:rPr>
        <w:instrText xml:space="preserve"> ADDIN ZOTERO_ITEM CSL_CITATION {"citationID":"0kFlXANe","properties":{"formattedCitation":"(Veling et al., 2008)","plainCitation":"(Veling et al., 2008)","noteIndex":0},"citationItems":[{"id":1604,"uris":["http://zotero.org/users/7873587/items/LRRDVBLQ"],"itemData":{"id":1604,"type":"article-journal","abstract":"In the present article a theory is outlined that explains why and when behavioral inhibition alters stimulus evaluations. In addition, some initial evidence is presented that supports the theory. Specifically, results of three experiments show that refraining from responding to stimuli results in devaluation of these stimuli, but only when these stimuli are positive. These findings suggest automatic behavior-regulation, in terms of devaluation of positive stimuli, in situations in which environmental cues triggering approach (because of the positive valence of the stimulus) run counter to situational demands (cues that elicit behavioral inhibition). Relations of the present research to self-perception, cognitive dissonance, and psychological reactance are discussed.","container-title":"Journal of Experimental Social Psychology","DOI":"10.1016/j.jesp.2008.03.004","ISSN":"0022-1031","issue":"4","journalAbbreviation":"Journal of Experimental Social Psychology","language":"en","page":"1013-1019","source":"ScienceDirect","title":"When approach motivation and behavioral inhibition collide: Behavior regulation through stimulus devaluation","title-short":"When approach motivation and behavioral inhibition collide","volume":"44","author":[{"family":"Veling","given":"Harm"},{"family":"Holland","given":"Rob W."},{"family":"Knippenberg","given":"Ad","non-dropping-particle":"van"}],"issued":{"date-parts":[["2008",7,1]]}}}],"schema":"https://github.com/citation-style-language/schema/raw/master/csl-citation.json"} </w:instrText>
      </w:r>
      <w:r w:rsidR="003B17C2">
        <w:rPr>
          <w:rFonts w:asciiTheme="majorBidi" w:hAnsiTheme="majorBidi" w:cstheme="majorBidi"/>
        </w:rPr>
        <w:fldChar w:fldCharType="separate"/>
      </w:r>
      <w:r w:rsidR="003B17C2" w:rsidRPr="003B17C2">
        <w:rPr>
          <w:rFonts w:ascii="Times New Roman" w:hAnsi="Times New Roman" w:cs="Times New Roman"/>
        </w:rPr>
        <w:t>(Veling et al., 2008)</w:t>
      </w:r>
      <w:r w:rsidR="003B17C2">
        <w:rPr>
          <w:rFonts w:asciiTheme="majorBidi" w:hAnsiTheme="majorBidi" w:cstheme="majorBidi"/>
        </w:rPr>
        <w:fldChar w:fldCharType="end"/>
      </w:r>
      <w:r w:rsidRPr="0067750A">
        <w:rPr>
          <w:rFonts w:asciiTheme="majorBidi" w:hAnsiTheme="majorBidi" w:cstheme="majorBidi"/>
        </w:rPr>
        <w:t xml:space="preserve">. This would be reflected in abrupt mouse movements that initially move towards a temptation (automatic process), but then experience a mid-flight correction in favour of the other option (controlled process). </w:t>
      </w:r>
      <w:r w:rsidR="008B78B2">
        <w:rPr>
          <w:rFonts w:asciiTheme="majorBidi" w:hAnsiTheme="majorBidi" w:cstheme="majorBidi"/>
        </w:rPr>
        <w:t>Conversely</w:t>
      </w:r>
      <w:r w:rsidRPr="0067750A">
        <w:rPr>
          <w:rFonts w:asciiTheme="majorBidi" w:hAnsiTheme="majorBidi" w:cstheme="majorBidi"/>
        </w:rPr>
        <w:t xml:space="preserve">, dynamical approaches such as </w:t>
      </w:r>
      <w:r w:rsidR="008B78B2">
        <w:rPr>
          <w:rFonts w:asciiTheme="majorBidi" w:hAnsiTheme="majorBidi" w:cstheme="majorBidi"/>
        </w:rPr>
        <w:t>the</w:t>
      </w:r>
      <w:r w:rsidRPr="0067750A">
        <w:rPr>
          <w:rFonts w:asciiTheme="majorBidi" w:hAnsiTheme="majorBidi" w:cstheme="majorBidi"/>
        </w:rPr>
        <w:t xml:space="preserve"> VBDM framework (Berkman et al., 2017) theorise that </w:t>
      </w:r>
      <w:r w:rsidRPr="0067750A">
        <w:rPr>
          <w:rFonts w:asciiTheme="majorBidi" w:hAnsiTheme="majorBidi" w:cstheme="majorBidi"/>
        </w:rPr>
        <w:lastRenderedPageBreak/>
        <w:t>information from different response options compete against each-other dynamically over time until a final response emerges. This would be reflected in smooth mouse trajectories.</w:t>
      </w:r>
    </w:p>
    <w:p w14:paraId="162FA07B" w14:textId="77777777" w:rsidR="0067750A" w:rsidRPr="0067750A" w:rsidRDefault="0067750A" w:rsidP="0067750A">
      <w:pPr>
        <w:pStyle w:val="NoSpacing"/>
        <w:spacing w:line="480" w:lineRule="auto"/>
        <w:rPr>
          <w:rFonts w:asciiTheme="majorBidi" w:hAnsiTheme="majorBidi" w:cstheme="majorBidi"/>
        </w:rPr>
      </w:pPr>
    </w:p>
    <w:p w14:paraId="3C2C57E4" w14:textId="2C3FF876" w:rsidR="0067750A" w:rsidRPr="0067750A" w:rsidRDefault="0067750A" w:rsidP="003B17C2">
      <w:pPr>
        <w:pStyle w:val="NoSpacing"/>
        <w:spacing w:line="480" w:lineRule="auto"/>
        <w:rPr>
          <w:rFonts w:asciiTheme="majorBidi" w:hAnsiTheme="majorBidi" w:cstheme="majorBidi"/>
        </w:rPr>
      </w:pPr>
      <w:r w:rsidRPr="0067750A">
        <w:rPr>
          <w:rFonts w:asciiTheme="majorBidi" w:hAnsiTheme="majorBidi" w:cstheme="majorBidi"/>
        </w:rPr>
        <w:t xml:space="preserve">Previous mouse-tracking studies have demonstrated that people with greater self-report self-control experience a lesser magnitude of conflict when choosing long-term goals over short term temptations </w:t>
      </w:r>
      <w:r w:rsidR="003B17C2">
        <w:rPr>
          <w:rFonts w:asciiTheme="majorBidi" w:hAnsiTheme="majorBidi" w:cstheme="majorBidi"/>
        </w:rPr>
        <w:fldChar w:fldCharType="begin"/>
      </w:r>
      <w:r w:rsidR="00996CF6">
        <w:rPr>
          <w:rFonts w:asciiTheme="majorBidi" w:hAnsiTheme="majorBidi" w:cstheme="majorBidi"/>
        </w:rPr>
        <w:instrText xml:space="preserve"> ADDIN ZOTERO_ITEM CSL_CITATION {"citationID":"SAW73kQ1","properties":{"formattedCitation":"(Gillebaart et al., 2016; Stillman et al., 2017)","plainCitation":"(Gillebaart et al., 2016; Stillman et al., 2017)","noteIndex":0},"citationItems":[{"id":1832,"uris":["http://zotero.org/users/7873587/items/84YPCFU2"],"itemData":{"id":1832,"type":"article-journal","abstract":"Self-control leads to positive life outcomes, but it is poorly understood. While previous research has focused on self-control failure, self-control success remains unexplored. The current studies aim to shed more light on the mechanisms of self-control by focusing on the resolution of response conflict as a key component in self-control success. Trait self-control was measured, and participants reported on the magnitude of response conflict they experienced about healthy and unhealthy foods in Study 1 (N = 146; Mage = 33.03; 59 females, 83 males, 4 unknown). The response conflict process was assessed in Study 2 (N = 118; Mage = 21.45; 68 females, 41 males, 9 unknown). Outcomes showed that self-reported evaluative response conflict about food items was smaller for people high in trait self-control. Study 2 revealed that higher trait self-control predicted faster resolution of self-control conflict, and an earlier peak of the response conflict. Taken together, these results provide insight into what makes people with high trait self-control successful, namely, how they handle response conflict. Implications for self-control theories and future directions are discussed.","container-title":"Journal of Personality","DOI":"10.1111/jopy.12219","ISSN":"1467-6494","issue":"6","language":"en","note":"_eprint: https://onlinelibrary.wiley.com/doi/pdf/10.1111/jopy.12219","page":"789-798","source":"Wiley Online Library","title":"Effects of trait self-control on response conflict about healthy and unhealthy food","volume":"84","author":[{"family":"Gillebaart","given":"Marleen"},{"family":"Schneider","given":"Iris K."},{"family":"De Ridder","given":"Denise T. D."}],"issued":{"date-parts":[["2016"]]}},"label":"page"},{"id":1627,"uris":["http://zotero.org/users/7873587/items/Z838EEF5"],"itemData":{"id":1627,"type":"article-journal","abstract":"Across four studies, we used mouse tracking to identify the dynamic, on-line cognitive processes that underlie successful self-control decisions. First, we showed that individuals display real-time conflict when choosing options consistent with their long-term goal over short-term temptations. Second, we found that individuals who are more successful at self-control—whether measured or manipulated—show significantly less real-time conflict in only self-control-relevant choices. Third, we demonstrated that successful individuals who choose a long-term goal over a short-term temptation display movements that are smooth rather than abrupt, which suggests dynamic rather than stage-based resolution of self-control conflicts. These findings have important implications for contemporary theories of self-control.","container-title":"Psychological Science","DOI":"10.1177/0956797617705386","ISSN":"0956-7976","issue":"9","journalAbbreviation":"Psychol Sci","language":"en","note":"publisher: SAGE Publications Inc","page":"1240-1258","source":"SAGE Journals","title":"Resisting temptation: Tracking how self-control conflicts are successfully resolved in real time","title-short":"Resisting Temptation","volume":"28","author":[{"family":"Stillman","given":"Paul E."},{"family":"Medvedev","given":"Danila"},{"family":"Ferguson","given":"Melissa J."}],"issued":{"date-parts":[["2017",9,1]]}},"label":"act"}],"schema":"https://github.com/citation-style-language/schema/raw/master/csl-citation.json"} </w:instrText>
      </w:r>
      <w:r w:rsidR="003B17C2">
        <w:rPr>
          <w:rFonts w:asciiTheme="majorBidi" w:hAnsiTheme="majorBidi" w:cstheme="majorBidi"/>
        </w:rPr>
        <w:fldChar w:fldCharType="separate"/>
      </w:r>
      <w:r w:rsidR="003B17C2" w:rsidRPr="003B17C2">
        <w:rPr>
          <w:rFonts w:ascii="Times New Roman" w:hAnsi="Times New Roman" w:cs="Times New Roman"/>
        </w:rPr>
        <w:t>(Gillebaart et al., 2016; Stillman et al., 2017)</w:t>
      </w:r>
      <w:r w:rsidR="003B17C2">
        <w:rPr>
          <w:rFonts w:asciiTheme="majorBidi" w:hAnsiTheme="majorBidi" w:cstheme="majorBidi"/>
        </w:rPr>
        <w:fldChar w:fldCharType="end"/>
      </w:r>
      <w:r w:rsidRPr="0067750A">
        <w:rPr>
          <w:rFonts w:asciiTheme="majorBidi" w:hAnsiTheme="majorBidi" w:cstheme="majorBidi"/>
        </w:rPr>
        <w:t xml:space="preserve">. Indeed, increased self-control is an important predictor of recovery from addiction </w:t>
      </w:r>
      <w:r w:rsidR="003B17C2">
        <w:rPr>
          <w:rFonts w:asciiTheme="majorBidi" w:hAnsiTheme="majorBidi" w:cstheme="majorBidi"/>
        </w:rPr>
        <w:fldChar w:fldCharType="begin"/>
      </w:r>
      <w:r w:rsidR="00440359">
        <w:rPr>
          <w:rFonts w:asciiTheme="majorBidi" w:hAnsiTheme="majorBidi" w:cstheme="majorBidi"/>
        </w:rPr>
        <w:instrText xml:space="preserve"> ADDIN ZOTERO_ITEM CSL_CITATION {"citationID":"XKYepX6h","properties":{"formattedCitation":"(E. Stein &amp; Witkiewitz, 2019)","plainCitation":"(E. Stein &amp; Witkiewitz, 2019)","dontUpdate":true,"noteIndex":0},"citationItems":[{"id":1587,"uris":["http://zotero.org/users/7873587/items/YS4GMASM"],"itemData":{"id":1587,"type":"article-journal","abstract":"To more fully understand recovery from alcohol use disorder, we must consider several ways in which reductions in drinking and improvements in psychosocial functioning may occur. Previous research has demonstrated various patterns of drinking and functioning during and after behavioral treatment for alcohol use disorder, including groups of individuals who consume alcohol at low-risk levels and those that report occasional heavy drinking yet good psychosocial functioning. This study aimed to identify whether trait self-control, which has previously been associated with alcohol treatment outcomes, was a predictor of drinking patterns during treatment as well as three years following treatment. Latent variable mixture modeling was used to identify seven classes of drinking patterns during treatment and four profiles of drinking and psychosocial function after treatment. We found that membership in the low-risk drinking class was predicted by greater trait self-control than several of the other classes, including the consistent abstinence class. Furthermore, we found that greater trait self-control predicted membership in two high-functioning recovery profiles at three years following treatment, including a high functioning occasional heavy drinking profile. These findings suggest that self-control is an important predictor of recovery, particularly for a non-abstinent recovery.","container-title":"Addictive Behaviors","DOI":"10.1016/j.addbeh.2019.106083","ISSN":"0306-4603","journalAbbreviation":"Addictive Behaviors","language":"en","page":"106083","source":"ScienceDirect","title":"Trait self-control predicts drinking patterns during treatment for alcohol use disorder and recovery up to three years following treatment","volume":"99","author":[{"family":"Stein","given":"Elena"},{"family":"Witkiewitz","given":"Katie"}],"issued":{"date-parts":[["2019",12,1]]}}}],"schema":"https://github.com/citation-style-language/schema/raw/master/csl-citation.json"} </w:instrText>
      </w:r>
      <w:r w:rsidR="003B17C2">
        <w:rPr>
          <w:rFonts w:asciiTheme="majorBidi" w:hAnsiTheme="majorBidi" w:cstheme="majorBidi"/>
        </w:rPr>
        <w:fldChar w:fldCharType="separate"/>
      </w:r>
      <w:r w:rsidR="003B17C2" w:rsidRPr="003B17C2">
        <w:rPr>
          <w:rFonts w:ascii="Times New Roman" w:hAnsi="Times New Roman" w:cs="Times New Roman"/>
        </w:rPr>
        <w:t>(Stein &amp; Witkiewitz, 2019)</w:t>
      </w:r>
      <w:r w:rsidR="003B17C2">
        <w:rPr>
          <w:rFonts w:asciiTheme="majorBidi" w:hAnsiTheme="majorBidi" w:cstheme="majorBidi"/>
        </w:rPr>
        <w:fldChar w:fldCharType="end"/>
      </w:r>
      <w:r w:rsidRPr="0067750A">
        <w:rPr>
          <w:rFonts w:asciiTheme="majorBidi" w:hAnsiTheme="majorBidi" w:cstheme="majorBidi"/>
        </w:rPr>
        <w:t>. Therefore, when faced with the decision between a long-term goal (e.g., health benefits) and a short-term temptation (e.g., smoking a cigarette), a person in recovery may experience decreases in the magnitude of conflict</w:t>
      </w:r>
      <w:r w:rsidR="003B17C2">
        <w:rPr>
          <w:rFonts w:asciiTheme="majorBidi" w:hAnsiTheme="majorBidi" w:cstheme="majorBidi"/>
        </w:rPr>
        <w:t xml:space="preserve"> experienced</w:t>
      </w:r>
      <w:r w:rsidRPr="0067750A">
        <w:rPr>
          <w:rFonts w:asciiTheme="majorBidi" w:hAnsiTheme="majorBidi" w:cstheme="majorBidi"/>
        </w:rPr>
        <w:t xml:space="preserve">. However, although research has demonstrated the advantages of mouse-tracking techniques in relation to revealing underlying cognitive processes during decision-making and the potential to advance theory </w:t>
      </w:r>
      <w:r w:rsidR="003B17C2">
        <w:rPr>
          <w:rFonts w:asciiTheme="majorBidi" w:hAnsiTheme="majorBidi" w:cstheme="majorBidi"/>
        </w:rPr>
        <w:fldChar w:fldCharType="begin"/>
      </w:r>
      <w:r w:rsidR="00996CF6">
        <w:rPr>
          <w:rFonts w:asciiTheme="majorBidi" w:hAnsiTheme="majorBidi" w:cstheme="majorBidi"/>
        </w:rPr>
        <w:instrText xml:space="preserve"> ADDIN ZOTERO_ITEM CSL_CITATION {"citationID":"FDM3PDQZ","properties":{"formattedCitation":"(Stillman et al., 2018)","plainCitation":"(Stillman et al., 2018)","noteIndex":0},"citationItems":[{"id":1821,"uris":["http://zotero.org/users/7873587/items/L7DNNJ2G"],"itemData":{"id":1821,"type":"article-journal","abstract":"Mouse-tracking - measuring computer-mouse movements made by participants while they choose between response options - is an emerging tool that offers an accessible, data-rich, and real-time window into how people categorize and make decisions. In the present article we review recent research in social cognition that uses mouse-tracking to test models and advance theory. In particular, mouse-tracking allows examination of nuanced predictions about both the nature of conflict (e.g., its antecedents and consequences) as well as how this conflict is resolved (e.g., how decisions evolve). We demonstrate how mouse-tracking can further our theoretical understanding by highlighting research in two domains - social categorization and self-control. We conclude with future directions and a discussion of the limitations of mouse-tracking as a method.","container-title":"Trends in Cognitive Sciences","DOI":"10.1016/j.tics.2018.03.012","ISSN":"1879-307X","issue":"6","journalAbbreviation":"Trends Cogn Sci","language":"eng","note":"PMID: 29731415","page":"531-543","source":"PubMed","title":"How mouse-tracking can advance social cognitive theory","volume":"22","author":[{"family":"Stillman","given":"Paul E."},{"family":"Shen","given":"Xi"},{"family":"Ferguson","given":"Melissa J."}],"issued":{"date-parts":[["2018",6]]}}}],"schema":"https://github.com/citation-style-language/schema/raw/master/csl-citation.json"} </w:instrText>
      </w:r>
      <w:r w:rsidR="003B17C2">
        <w:rPr>
          <w:rFonts w:asciiTheme="majorBidi" w:hAnsiTheme="majorBidi" w:cstheme="majorBidi"/>
        </w:rPr>
        <w:fldChar w:fldCharType="separate"/>
      </w:r>
      <w:r w:rsidR="003B17C2" w:rsidRPr="003B17C2">
        <w:rPr>
          <w:rFonts w:ascii="Times New Roman" w:hAnsi="Times New Roman" w:cs="Times New Roman"/>
        </w:rPr>
        <w:t>(Stillman et al., 2018)</w:t>
      </w:r>
      <w:r w:rsidR="003B17C2">
        <w:rPr>
          <w:rFonts w:asciiTheme="majorBidi" w:hAnsiTheme="majorBidi" w:cstheme="majorBidi"/>
        </w:rPr>
        <w:fldChar w:fldCharType="end"/>
      </w:r>
      <w:r w:rsidRPr="0067750A">
        <w:rPr>
          <w:rFonts w:asciiTheme="majorBidi" w:hAnsiTheme="majorBidi" w:cstheme="majorBidi"/>
        </w:rPr>
        <w:t>, this has not yet been investigated in relation to recovery from addiction (Copeland et al., 2021).</w:t>
      </w:r>
    </w:p>
    <w:p w14:paraId="0C348B11" w14:textId="77777777" w:rsidR="0067750A" w:rsidRPr="0067750A" w:rsidRDefault="0067750A" w:rsidP="0067750A">
      <w:pPr>
        <w:pStyle w:val="NoSpacing"/>
        <w:spacing w:line="480" w:lineRule="auto"/>
        <w:rPr>
          <w:rFonts w:asciiTheme="majorBidi" w:hAnsiTheme="majorBidi" w:cstheme="majorBidi"/>
        </w:rPr>
      </w:pPr>
    </w:p>
    <w:p w14:paraId="56C7B85B" w14:textId="6F9E4194" w:rsidR="0067750A" w:rsidRDefault="0067750A" w:rsidP="0067750A">
      <w:pPr>
        <w:pStyle w:val="NoSpacing"/>
        <w:spacing w:line="480" w:lineRule="auto"/>
        <w:rPr>
          <w:rFonts w:asciiTheme="majorBidi" w:hAnsiTheme="majorBidi" w:cstheme="majorBidi"/>
        </w:rPr>
      </w:pPr>
      <w:r w:rsidRPr="0067750A">
        <w:rPr>
          <w:rFonts w:asciiTheme="majorBidi" w:hAnsiTheme="majorBidi" w:cstheme="majorBidi"/>
        </w:rPr>
        <w:t>This study applied a computational model of VBDM in attempt to characterise recovery from nicotine addiction. To achieve this, we used the DDM to provide a principled reconciliation of the RT and accuracy of VBDM in two groups: current smokers and ex-smokers. Using a mouse-tracking task, we also explored the strength and the temporal unfolding of conflict during VBDM and empirically distinguished between two competing accounts (dynamical VBDM and dual-process theory). Design, hypotheses, and analysis strategy were pre-registered before data collection commenced (</w:t>
      </w:r>
      <w:hyperlink r:id="rId64" w:history="1">
        <w:r w:rsidRPr="0067750A">
          <w:rPr>
            <w:rStyle w:val="Hyperlink"/>
            <w:rFonts w:asciiTheme="majorBidi" w:hAnsiTheme="majorBidi" w:cstheme="majorBidi"/>
          </w:rPr>
          <w:t>http://aspredicted.org/blind.php?x=cc4ir6</w:t>
        </w:r>
      </w:hyperlink>
      <w:r w:rsidRPr="0067750A">
        <w:rPr>
          <w:rFonts w:asciiTheme="majorBidi" w:hAnsiTheme="majorBidi" w:cstheme="majorBidi"/>
        </w:rPr>
        <w:t xml:space="preserve">). Our hypotheses were that compared to current smokers, ex-smokers will have: 1) lower EA rates and higher response thresholds for tobacco, 2) greater EA rates and lower response thresholds </w:t>
      </w:r>
      <w:r w:rsidRPr="0067750A">
        <w:rPr>
          <w:rFonts w:asciiTheme="majorBidi" w:hAnsiTheme="majorBidi" w:cstheme="majorBidi"/>
        </w:rPr>
        <w:lastRenderedPageBreak/>
        <w:t xml:space="preserve">for tobacco-unrelated (animals), 3) greater conflict when tobacco images are the ‘correct’ answer, and 4) lower conflict when tobacco-unrelated (animals) are the ‘correct’ answer. </w:t>
      </w:r>
    </w:p>
    <w:p w14:paraId="42CD31D2" w14:textId="54FD281E" w:rsidR="00883D0C" w:rsidRDefault="00883D0C" w:rsidP="0067750A">
      <w:pPr>
        <w:pStyle w:val="NoSpacing"/>
        <w:spacing w:line="480" w:lineRule="auto"/>
        <w:rPr>
          <w:rFonts w:asciiTheme="majorBidi" w:hAnsiTheme="majorBidi" w:cstheme="majorBidi"/>
        </w:rPr>
      </w:pPr>
    </w:p>
    <w:p w14:paraId="0EF8F725" w14:textId="13946428" w:rsidR="00883D0C" w:rsidRDefault="00883D0C" w:rsidP="00883D0C">
      <w:pPr>
        <w:pStyle w:val="Heading4"/>
      </w:pPr>
      <w:bookmarkStart w:id="304" w:name="_Toc110629076"/>
      <w:bookmarkStart w:id="305" w:name="_Toc110870984"/>
      <w:r>
        <w:t>7.2. Method</w:t>
      </w:r>
      <w:bookmarkEnd w:id="304"/>
      <w:bookmarkEnd w:id="305"/>
    </w:p>
    <w:p w14:paraId="1A970860" w14:textId="77777777" w:rsidR="00883D0C" w:rsidRPr="00883D0C" w:rsidRDefault="00883D0C" w:rsidP="00883D0C">
      <w:pPr>
        <w:pStyle w:val="NoSpacing"/>
        <w:spacing w:line="480" w:lineRule="auto"/>
        <w:rPr>
          <w:rFonts w:ascii="Times New Roman" w:hAnsi="Times New Roman" w:cs="Times New Roman"/>
          <w:b/>
          <w:bCs/>
          <w:iCs/>
        </w:rPr>
      </w:pPr>
      <w:r w:rsidRPr="00883D0C">
        <w:rPr>
          <w:rFonts w:ascii="Times New Roman" w:hAnsi="Times New Roman" w:cs="Times New Roman"/>
          <w:b/>
          <w:bCs/>
          <w:iCs/>
        </w:rPr>
        <w:t>Design</w:t>
      </w:r>
    </w:p>
    <w:p w14:paraId="2F2917C1" w14:textId="289B8D7A" w:rsidR="00883D0C" w:rsidRPr="00883D0C" w:rsidRDefault="00883D0C" w:rsidP="00883D0C">
      <w:pPr>
        <w:pStyle w:val="NoSpacing"/>
        <w:spacing w:line="480" w:lineRule="auto"/>
        <w:rPr>
          <w:rFonts w:ascii="Times New Roman" w:hAnsi="Times New Roman" w:cs="Times New Roman"/>
        </w:rPr>
      </w:pPr>
      <w:r>
        <w:rPr>
          <w:rFonts w:ascii="Times New Roman" w:hAnsi="Times New Roman" w:cs="Times New Roman"/>
        </w:rPr>
        <w:t>Pre-registered, b</w:t>
      </w:r>
      <w:r w:rsidRPr="00883D0C">
        <w:rPr>
          <w:rFonts w:ascii="Times New Roman" w:hAnsi="Times New Roman" w:cs="Times New Roman"/>
        </w:rPr>
        <w:t xml:space="preserve">etween-subject design. Our behavioural dependent variables were EA rates and response thresholds (estimated by fitting the DDM to reaction time and accuracy data during the VBDM task), and AUC (estimated by calculating the geometric area between a person’s </w:t>
      </w:r>
      <w:r>
        <w:rPr>
          <w:rFonts w:ascii="Times New Roman" w:hAnsi="Times New Roman" w:cs="Times New Roman"/>
        </w:rPr>
        <w:t xml:space="preserve">actual </w:t>
      </w:r>
      <w:r w:rsidRPr="00883D0C">
        <w:rPr>
          <w:rFonts w:ascii="Times New Roman" w:hAnsi="Times New Roman" w:cs="Times New Roman"/>
        </w:rPr>
        <w:t xml:space="preserve">trajectory and a straight trajectory during the </w:t>
      </w:r>
      <w:proofErr w:type="spellStart"/>
      <w:r w:rsidRPr="00883D0C">
        <w:rPr>
          <w:rFonts w:ascii="Times New Roman" w:hAnsi="Times New Roman" w:cs="Times New Roman"/>
        </w:rPr>
        <w:t>MouseTracker</w:t>
      </w:r>
      <w:proofErr w:type="spellEnd"/>
      <w:r w:rsidRPr="00883D0C">
        <w:rPr>
          <w:rFonts w:ascii="Times New Roman" w:hAnsi="Times New Roman" w:cs="Times New Roman"/>
        </w:rPr>
        <w:t xml:space="preserve"> task). Independent variables were group membership (current smoker or ex- smoker), and image type (tobacco images and tobacco-unrelated (animal) images). An </w:t>
      </w:r>
      <w:r w:rsidRPr="00883D0C">
        <w:rPr>
          <w:rFonts w:ascii="Times New Roman" w:hAnsi="Times New Roman" w:cs="Times New Roman"/>
          <w:i/>
          <w:iCs/>
        </w:rPr>
        <w:t>a priori</w:t>
      </w:r>
      <w:r w:rsidRPr="00883D0C">
        <w:rPr>
          <w:rFonts w:ascii="Times New Roman" w:hAnsi="Times New Roman" w:cs="Times New Roman"/>
        </w:rPr>
        <w:t xml:space="preserve"> power analysis conducted on G*power (</w:t>
      </w:r>
      <w:proofErr w:type="spellStart"/>
      <w:r w:rsidRPr="00883D0C">
        <w:rPr>
          <w:rFonts w:ascii="Times New Roman" w:hAnsi="Times New Roman" w:cs="Times New Roman"/>
        </w:rPr>
        <w:t>Faul</w:t>
      </w:r>
      <w:proofErr w:type="spellEnd"/>
      <w:r w:rsidRPr="00883D0C">
        <w:rPr>
          <w:rFonts w:ascii="Times New Roman" w:hAnsi="Times New Roman" w:cs="Times New Roman"/>
        </w:rPr>
        <w:t xml:space="preserve"> et al., 2007) revealed that to detect a difference between two independent groups with a medium effect (</w:t>
      </w:r>
      <w:r w:rsidRPr="00883D0C">
        <w:rPr>
          <w:rFonts w:ascii="Times New Roman" w:hAnsi="Times New Roman" w:cs="Times New Roman"/>
          <w:i/>
          <w:iCs/>
        </w:rPr>
        <w:t>d</w:t>
      </w:r>
      <w:r w:rsidRPr="00883D0C">
        <w:rPr>
          <w:rFonts w:ascii="Times New Roman" w:hAnsi="Times New Roman" w:cs="Times New Roman"/>
        </w:rPr>
        <w:t xml:space="preserve"> = 0.5; Cohen, 1988), at 80% power with an alpha of 0.05, a sample size of at least 51 per group was required. We recruited 102 volunteers in total, comprising 51 current smokers and 51 ex-smokers. </w:t>
      </w:r>
    </w:p>
    <w:p w14:paraId="70D632CA" w14:textId="77777777" w:rsidR="004D046A" w:rsidRPr="00883D0C" w:rsidRDefault="004D046A" w:rsidP="00883D0C">
      <w:pPr>
        <w:pStyle w:val="NoSpacing"/>
        <w:spacing w:line="480" w:lineRule="auto"/>
        <w:rPr>
          <w:rFonts w:ascii="Times New Roman" w:hAnsi="Times New Roman" w:cs="Times New Roman"/>
          <w:b/>
          <w:bCs/>
        </w:rPr>
      </w:pPr>
    </w:p>
    <w:p w14:paraId="2F30EC79" w14:textId="77777777" w:rsidR="00883D0C" w:rsidRPr="00883D0C" w:rsidRDefault="00883D0C" w:rsidP="00883D0C">
      <w:pPr>
        <w:pStyle w:val="NoSpacing"/>
        <w:spacing w:line="480" w:lineRule="auto"/>
        <w:rPr>
          <w:rFonts w:ascii="Times New Roman" w:hAnsi="Times New Roman" w:cs="Times New Roman"/>
          <w:b/>
          <w:bCs/>
          <w:iCs/>
        </w:rPr>
      </w:pPr>
      <w:r w:rsidRPr="00883D0C">
        <w:rPr>
          <w:rFonts w:ascii="Times New Roman" w:hAnsi="Times New Roman" w:cs="Times New Roman"/>
          <w:b/>
          <w:bCs/>
          <w:iCs/>
        </w:rPr>
        <w:t>Participants</w:t>
      </w:r>
    </w:p>
    <w:p w14:paraId="02ECB81A" w14:textId="2144882D" w:rsidR="00883D0C" w:rsidRPr="00883D0C" w:rsidRDefault="00883D0C" w:rsidP="00883D0C">
      <w:pPr>
        <w:pStyle w:val="NoSpacing"/>
        <w:spacing w:line="480" w:lineRule="auto"/>
        <w:rPr>
          <w:rFonts w:ascii="Times New Roman" w:hAnsi="Times New Roman" w:cs="Times New Roman"/>
        </w:rPr>
      </w:pPr>
      <w:r w:rsidRPr="00883D0C">
        <w:rPr>
          <w:rFonts w:ascii="Times New Roman" w:hAnsi="Times New Roman" w:cs="Times New Roman"/>
        </w:rPr>
        <w:t>We recruited 102 participants, who were aged between 18 and 71 years old (mean age = 37.04, SD = 13.92) to attend a session at the University of Sheffield’s Department of Psychology through social media platforms (</w:t>
      </w:r>
      <w:r>
        <w:rPr>
          <w:rFonts w:ascii="Times New Roman" w:hAnsi="Times New Roman" w:cs="Times New Roman"/>
        </w:rPr>
        <w:t xml:space="preserve">e.g., </w:t>
      </w:r>
      <w:r w:rsidRPr="00883D0C">
        <w:rPr>
          <w:rFonts w:ascii="Times New Roman" w:hAnsi="Times New Roman" w:cs="Times New Roman"/>
        </w:rPr>
        <w:t xml:space="preserve">Facebook and Twitter) and advertisements in the local community. Sixty-one participants were female and 41 were male. Inclusion criteria were age ≥18 years old and self-identifying as either a current smoker (defined as daily tobacco smoking) or an ex-smoker (defined as a history of daily tobacco smoking but having quit smoking for at least 6 months). The study was approved by the University of Sheffield research ethics committee, and all participants gave informed consent. Recruitment </w:t>
      </w:r>
      <w:r w:rsidRPr="00883D0C">
        <w:rPr>
          <w:rFonts w:ascii="Times New Roman" w:hAnsi="Times New Roman" w:cs="Times New Roman"/>
        </w:rPr>
        <w:lastRenderedPageBreak/>
        <w:t>took place between February 2019 and August 2019. Participants were reimbursed with a £10 high-street voucher for their time.</w:t>
      </w:r>
    </w:p>
    <w:p w14:paraId="3ED30AF4" w14:textId="4AEA995B" w:rsidR="00883D0C" w:rsidRDefault="00883D0C" w:rsidP="00883D0C">
      <w:pPr>
        <w:pStyle w:val="NoSpacing"/>
        <w:spacing w:line="480" w:lineRule="auto"/>
        <w:rPr>
          <w:rFonts w:ascii="Times New Roman" w:hAnsi="Times New Roman" w:cs="Times New Roman"/>
        </w:rPr>
      </w:pPr>
    </w:p>
    <w:p w14:paraId="6C700B80" w14:textId="77777777" w:rsidR="00883D0C" w:rsidRPr="00883D0C" w:rsidRDefault="00883D0C" w:rsidP="004D046A">
      <w:pPr>
        <w:pStyle w:val="NoSpacing"/>
        <w:spacing w:line="480" w:lineRule="auto"/>
        <w:rPr>
          <w:rFonts w:ascii="Times New Roman" w:hAnsi="Times New Roman" w:cs="Times New Roman"/>
          <w:b/>
          <w:bCs/>
          <w:iCs/>
        </w:rPr>
      </w:pPr>
      <w:r w:rsidRPr="00883D0C">
        <w:rPr>
          <w:rFonts w:ascii="Times New Roman" w:hAnsi="Times New Roman" w:cs="Times New Roman"/>
          <w:b/>
          <w:bCs/>
          <w:iCs/>
        </w:rPr>
        <w:t>Materials</w:t>
      </w:r>
    </w:p>
    <w:p w14:paraId="21762ADB" w14:textId="0B69D2CF" w:rsidR="00883D0C" w:rsidRPr="00883D0C" w:rsidRDefault="00883D0C" w:rsidP="004D046A">
      <w:pPr>
        <w:pStyle w:val="NoSpacing"/>
        <w:spacing w:line="480" w:lineRule="auto"/>
        <w:rPr>
          <w:rFonts w:ascii="Times New Roman" w:hAnsi="Times New Roman" w:cs="Times New Roman"/>
          <w:i/>
          <w:iCs/>
        </w:rPr>
      </w:pPr>
      <w:r w:rsidRPr="00883D0C">
        <w:rPr>
          <w:rFonts w:ascii="Times New Roman" w:hAnsi="Times New Roman" w:cs="Times New Roman"/>
          <w:i/>
          <w:iCs/>
        </w:rPr>
        <w:t xml:space="preserve">Pictorial stimuli for the VBDM and </w:t>
      </w:r>
      <w:proofErr w:type="spellStart"/>
      <w:r w:rsidRPr="00883D0C">
        <w:rPr>
          <w:rFonts w:ascii="Times New Roman" w:hAnsi="Times New Roman" w:cs="Times New Roman"/>
          <w:i/>
          <w:iCs/>
        </w:rPr>
        <w:t>MouseTracker</w:t>
      </w:r>
      <w:proofErr w:type="spellEnd"/>
      <w:r w:rsidRPr="00883D0C">
        <w:rPr>
          <w:rFonts w:ascii="Times New Roman" w:hAnsi="Times New Roman" w:cs="Times New Roman"/>
          <w:i/>
          <w:iCs/>
        </w:rPr>
        <w:t xml:space="preserve"> task</w:t>
      </w:r>
      <w:r w:rsidR="004D046A">
        <w:rPr>
          <w:rFonts w:ascii="Times New Roman" w:hAnsi="Times New Roman" w:cs="Times New Roman"/>
          <w:i/>
          <w:iCs/>
        </w:rPr>
        <w:t>s</w:t>
      </w:r>
    </w:p>
    <w:p w14:paraId="4D56E90D" w14:textId="5709B7C9" w:rsidR="00883D0C" w:rsidRDefault="00883D0C" w:rsidP="004D046A">
      <w:pPr>
        <w:pStyle w:val="NoSpacing"/>
        <w:spacing w:line="480" w:lineRule="auto"/>
        <w:rPr>
          <w:rFonts w:ascii="Times New Roman" w:hAnsi="Times New Roman" w:cs="Times New Roman"/>
        </w:rPr>
      </w:pPr>
      <w:r w:rsidRPr="00883D0C">
        <w:rPr>
          <w:rFonts w:ascii="Times New Roman" w:hAnsi="Times New Roman" w:cs="Times New Roman"/>
        </w:rPr>
        <w:t xml:space="preserve">The 20 tobacco-related images were selected from the Geneva smoking pictures data set </w:t>
      </w:r>
      <w:r w:rsidR="004D046A">
        <w:rPr>
          <w:rFonts w:ascii="Times New Roman" w:hAnsi="Times New Roman" w:cs="Times New Roman"/>
        </w:rPr>
        <w:fldChar w:fldCharType="begin"/>
      </w:r>
      <w:r w:rsidR="004D046A">
        <w:rPr>
          <w:rFonts w:ascii="Times New Roman" w:hAnsi="Times New Roman" w:cs="Times New Roman"/>
        </w:rPr>
        <w:instrText xml:space="preserve"> ADDIN ZOTERO_ITEM CSL_CITATION {"citationID":"Njyiv4X4","properties":{"formattedCitation":"(Khazaal et al., 2012)","plainCitation":"(Khazaal et al., 2012)","noteIndex":0},"citationItems":[{"id":883,"uris":["http://zotero.org/users/7873587/items/EIAC8EKF"],"itemData":{"id":883,"type":"article-journal","abstract":"Cue reactivity is essential to the maintenance of addictive disorders. A useful way to study cue reactivity is by means of normative pictures, but few validated tobacco-related pictures are available. This study describes a database of smoking-related pictures: The Geneva Smoking Pictures (GSP). Sixty smoking-related pictures were presented to 91 participants who assessed them according to the classic emotional pictures validation provided by the International Affective Picture System (NIMH Center for the Study of Emotion and Attention, 2002). The pictures were rated according to three dimensions: (1) valence (from positive to negative), (2) emotional arousal (from high arousing to low arousing), and (3) dominance (from submissive to dominant). Participants were also screened with the Fagerström Test for Nicotine Dependence. Normative ratings for valence, arousal and dominance of the pictures are provided for the whole sample, as well as separately for dependent (n = 46) and nondependent smokers (n = 45). Arousal and dominance were associated with greater nicotine dependence, but valence ratings were not. The GSP is a normative database providing a large number of stimuli for investigators who are conducting nicotine and tobacco research.","container-title":"European Addiction Research","DOI":"10.1159/000335083","ISSN":"1421-9891","issue":"3","journalAbbreviation":"Eur Addict Res","language":"eng","note":"PMID: 22285929","page":"103-109","source":"PubMed","title":"The Geneva Smoking Pictures: development and preliminary validation","title-short":"The Geneva Smoking Pictures","volume":"18","author":[{"family":"Khazaal","given":"Yasser"},{"family":"Zullino","given":"Daniele"},{"family":"Billieux","given":"Joël"}],"issued":{"date-parts":[["2012"]]}}}],"schema":"https://github.com/citation-style-language/schema/raw/master/csl-citation.json"} </w:instrText>
      </w:r>
      <w:r w:rsidR="004D046A">
        <w:rPr>
          <w:rFonts w:ascii="Times New Roman" w:hAnsi="Times New Roman" w:cs="Times New Roman"/>
        </w:rPr>
        <w:fldChar w:fldCharType="separate"/>
      </w:r>
      <w:r w:rsidR="004D046A" w:rsidRPr="004D046A">
        <w:rPr>
          <w:rFonts w:ascii="Times New Roman" w:hAnsi="Times New Roman" w:cs="Times New Roman"/>
        </w:rPr>
        <w:t>(Khazaal et al., 2012)</w:t>
      </w:r>
      <w:r w:rsidR="004D046A">
        <w:rPr>
          <w:rFonts w:ascii="Times New Roman" w:hAnsi="Times New Roman" w:cs="Times New Roman"/>
        </w:rPr>
        <w:fldChar w:fldCharType="end"/>
      </w:r>
      <w:r w:rsidRPr="00883D0C">
        <w:rPr>
          <w:rFonts w:ascii="Times New Roman" w:hAnsi="Times New Roman" w:cs="Times New Roman"/>
        </w:rPr>
        <w:t xml:space="preserve">, whilst the 20 tobacco-unrelated (animal) images were selected from the international affective picture system (IAPS) data set (Lang et al., 2008). To ensure that there was a wide spread of perceived valence, we used the standardised set of valence ratings accompanies both picture sets to identify some images that were likely to be evaluated as highly positive, others that were likely to be evaluated as highly negative, and others that are in-between (for more detail, see Appendix F). Stimuli were displayed on a Dell computer screen, with a spatial resolution of 1920 x 1080 pixels and a temporal resolution of 60Hz. </w:t>
      </w:r>
    </w:p>
    <w:p w14:paraId="2ADC6B65" w14:textId="77777777" w:rsidR="004D046A" w:rsidRDefault="004D046A" w:rsidP="004D046A">
      <w:pPr>
        <w:pStyle w:val="NoSpacing"/>
        <w:spacing w:line="480" w:lineRule="auto"/>
        <w:rPr>
          <w:rFonts w:ascii="Times New Roman" w:hAnsi="Times New Roman" w:cs="Times New Roman"/>
        </w:rPr>
      </w:pPr>
    </w:p>
    <w:p w14:paraId="1B2557A0" w14:textId="77777777" w:rsidR="004D046A" w:rsidRPr="004D046A" w:rsidRDefault="004D046A" w:rsidP="004D046A">
      <w:pPr>
        <w:pStyle w:val="NoSpacing"/>
        <w:spacing w:line="480" w:lineRule="auto"/>
        <w:rPr>
          <w:rFonts w:ascii="Times New Roman" w:hAnsi="Times New Roman" w:cs="Times New Roman"/>
          <w:bCs/>
          <w:i/>
          <w:iCs/>
        </w:rPr>
      </w:pPr>
      <w:r w:rsidRPr="004D046A">
        <w:rPr>
          <w:rFonts w:ascii="Times New Roman" w:hAnsi="Times New Roman" w:cs="Times New Roman"/>
          <w:bCs/>
          <w:i/>
          <w:iCs/>
        </w:rPr>
        <w:t xml:space="preserve">Questionnaire measures </w:t>
      </w:r>
    </w:p>
    <w:p w14:paraId="029F6049" w14:textId="6F8C0E7A" w:rsidR="004D046A" w:rsidRPr="004D046A" w:rsidRDefault="004D046A" w:rsidP="004D046A">
      <w:pPr>
        <w:pStyle w:val="NoSpacing"/>
        <w:spacing w:line="480" w:lineRule="auto"/>
        <w:rPr>
          <w:rFonts w:ascii="Times New Roman" w:hAnsi="Times New Roman" w:cs="Times New Roman"/>
        </w:rPr>
      </w:pPr>
      <w:r w:rsidRPr="004D046A">
        <w:rPr>
          <w:rFonts w:ascii="Times New Roman" w:hAnsi="Times New Roman" w:cs="Times New Roman"/>
          <w:i/>
        </w:rPr>
        <w:t>Brief self-control scale</w:t>
      </w:r>
      <w:r w:rsidRPr="004D046A">
        <w:rPr>
          <w:rFonts w:ascii="Times New Roman" w:hAnsi="Times New Roman" w:cs="Times New Roman"/>
        </w:rPr>
        <w:t xml:space="preserve"> (BSCS; Tangney</w:t>
      </w:r>
      <w:r>
        <w:rPr>
          <w:rFonts w:ascii="Times New Roman" w:hAnsi="Times New Roman" w:cs="Times New Roman"/>
        </w:rPr>
        <w:t xml:space="preserve"> et al., </w:t>
      </w:r>
      <w:r w:rsidRPr="004D046A">
        <w:rPr>
          <w:rFonts w:ascii="Times New Roman" w:hAnsi="Times New Roman" w:cs="Times New Roman"/>
        </w:rPr>
        <w:t xml:space="preserve">2004): This 13-item scale was used to capture the extent to which people feel that they can resist external influences and control their behaviour, for example “I am good at resisting temptation”. Participants responded on a 1 (not at all like me) to 5 (very much like me) scale. In the current sample, the BSCS had acceptable internal reliability, McDonald’s ω = .80 (McDonald, 1970, 1999). </w:t>
      </w:r>
    </w:p>
    <w:p w14:paraId="373D7041" w14:textId="77777777" w:rsidR="004D046A" w:rsidRPr="004D046A" w:rsidRDefault="004D046A" w:rsidP="004D046A">
      <w:pPr>
        <w:pStyle w:val="NoSpacing"/>
        <w:spacing w:line="480" w:lineRule="auto"/>
        <w:rPr>
          <w:rFonts w:ascii="Times New Roman" w:hAnsi="Times New Roman" w:cs="Times New Roman"/>
        </w:rPr>
      </w:pPr>
    </w:p>
    <w:p w14:paraId="4B083163" w14:textId="77777777" w:rsidR="004D046A" w:rsidRPr="004D046A" w:rsidRDefault="004D046A" w:rsidP="004D046A">
      <w:pPr>
        <w:pStyle w:val="NoSpacing"/>
        <w:spacing w:line="480" w:lineRule="auto"/>
        <w:rPr>
          <w:rFonts w:ascii="Times New Roman" w:hAnsi="Times New Roman" w:cs="Times New Roman"/>
        </w:rPr>
      </w:pPr>
      <w:proofErr w:type="spellStart"/>
      <w:r w:rsidRPr="004D046A">
        <w:rPr>
          <w:rFonts w:ascii="Times New Roman" w:hAnsi="Times New Roman" w:cs="Times New Roman"/>
          <w:i/>
        </w:rPr>
        <w:t>Fagerström</w:t>
      </w:r>
      <w:proofErr w:type="spellEnd"/>
      <w:r w:rsidRPr="004D046A">
        <w:rPr>
          <w:rFonts w:ascii="Times New Roman" w:hAnsi="Times New Roman" w:cs="Times New Roman"/>
          <w:i/>
        </w:rPr>
        <w:t xml:space="preserve"> Test for Cigarette Dependence</w:t>
      </w:r>
      <w:r w:rsidRPr="004D046A">
        <w:rPr>
          <w:rFonts w:ascii="Times New Roman" w:hAnsi="Times New Roman" w:cs="Times New Roman"/>
        </w:rPr>
        <w:t xml:space="preserve"> (</w:t>
      </w:r>
      <w:proofErr w:type="spellStart"/>
      <w:r w:rsidRPr="004D046A">
        <w:rPr>
          <w:rFonts w:ascii="Times New Roman" w:hAnsi="Times New Roman" w:cs="Times New Roman"/>
        </w:rPr>
        <w:t>Fagerström</w:t>
      </w:r>
      <w:proofErr w:type="spellEnd"/>
      <w:r w:rsidRPr="004D046A">
        <w:rPr>
          <w:rFonts w:ascii="Times New Roman" w:hAnsi="Times New Roman" w:cs="Times New Roman"/>
        </w:rPr>
        <w:t xml:space="preserve">, 2012): This scale consisted of six items, such as “Do you smoke even if you are sick in bed most of the day?”. Total scores ranged from 0 to 10, with the category labels of low dependence (1-2), low to moderate dependence (3-4), moderate dependence (5-7), and high dependence (8+). Due to a researcher </w:t>
      </w:r>
      <w:r w:rsidRPr="004D046A">
        <w:rPr>
          <w:rFonts w:ascii="Times New Roman" w:hAnsi="Times New Roman" w:cs="Times New Roman"/>
        </w:rPr>
        <w:lastRenderedPageBreak/>
        <w:t xml:space="preserve">error, the first question (“How soon after waking do you smoke your first cigarette?”) only included the first 3 response options, rather than 4. In other words, the response option “after 60 minutes” was not presented to the participants. The implication is that the current dependence scores could have potentially been 1 score lower than they are presented in the current study. However, the scores were already low, scoring in the low to moderate dependence category, and so even with the subtraction of 1, this does not substantially affect the conclusions drawn from this measure. The scale had acceptable internal reliability, ω = .72. </w:t>
      </w:r>
    </w:p>
    <w:p w14:paraId="145B8BDE" w14:textId="77777777" w:rsidR="004D046A" w:rsidRPr="004D046A" w:rsidRDefault="004D046A" w:rsidP="004D046A">
      <w:pPr>
        <w:pStyle w:val="NoSpacing"/>
        <w:spacing w:line="480" w:lineRule="auto"/>
        <w:rPr>
          <w:rFonts w:ascii="Times New Roman" w:hAnsi="Times New Roman" w:cs="Times New Roman"/>
        </w:rPr>
      </w:pPr>
    </w:p>
    <w:p w14:paraId="17118284" w14:textId="77777777" w:rsidR="004D046A" w:rsidRPr="004D046A" w:rsidRDefault="004D046A" w:rsidP="004D046A">
      <w:pPr>
        <w:pStyle w:val="NoSpacing"/>
        <w:spacing w:line="480" w:lineRule="auto"/>
        <w:rPr>
          <w:rFonts w:ascii="Times New Roman" w:hAnsi="Times New Roman" w:cs="Times New Roman"/>
        </w:rPr>
      </w:pPr>
      <w:r w:rsidRPr="004D046A">
        <w:rPr>
          <w:rFonts w:ascii="Times New Roman" w:hAnsi="Times New Roman" w:cs="Times New Roman"/>
          <w:i/>
        </w:rPr>
        <w:t xml:space="preserve">Contemplation Ladder </w:t>
      </w:r>
      <w:r w:rsidRPr="004D046A">
        <w:rPr>
          <w:rFonts w:ascii="Times New Roman" w:hAnsi="Times New Roman" w:cs="Times New Roman"/>
        </w:rPr>
        <w:t>(</w:t>
      </w:r>
      <w:proofErr w:type="spellStart"/>
      <w:r w:rsidRPr="004D046A">
        <w:rPr>
          <w:rFonts w:ascii="Times New Roman" w:hAnsi="Times New Roman" w:cs="Times New Roman"/>
        </w:rPr>
        <w:t>Biener</w:t>
      </w:r>
      <w:proofErr w:type="spellEnd"/>
      <w:r w:rsidRPr="004D046A">
        <w:rPr>
          <w:rFonts w:ascii="Times New Roman" w:hAnsi="Times New Roman" w:cs="Times New Roman"/>
        </w:rPr>
        <w:t xml:space="preserve"> &amp; Abrams, 1991): Participants completed the contemplation ladder as an index of motivation (readiness) to quit smoking. The ladder was presented on a scale that ranged from 0 “no thought about quitting” to 10 “taking action to quit”.  </w:t>
      </w:r>
    </w:p>
    <w:p w14:paraId="15C8C4A4" w14:textId="77777777" w:rsidR="004D046A" w:rsidRPr="004D046A" w:rsidRDefault="004D046A" w:rsidP="004D046A">
      <w:pPr>
        <w:pStyle w:val="NoSpacing"/>
        <w:spacing w:line="480" w:lineRule="auto"/>
        <w:rPr>
          <w:rFonts w:ascii="Times New Roman" w:hAnsi="Times New Roman" w:cs="Times New Roman"/>
        </w:rPr>
      </w:pPr>
    </w:p>
    <w:p w14:paraId="522C9461" w14:textId="131D4CC0" w:rsidR="004D046A" w:rsidRPr="004D046A" w:rsidRDefault="004D046A" w:rsidP="006C13EB">
      <w:pPr>
        <w:pStyle w:val="NoSpacing"/>
        <w:spacing w:line="480" w:lineRule="auto"/>
        <w:rPr>
          <w:rFonts w:ascii="Times New Roman" w:hAnsi="Times New Roman" w:cs="Times New Roman"/>
        </w:rPr>
      </w:pPr>
      <w:r w:rsidRPr="004D046A">
        <w:rPr>
          <w:rFonts w:ascii="Times New Roman" w:hAnsi="Times New Roman" w:cs="Times New Roman"/>
          <w:i/>
        </w:rPr>
        <w:t>One question from the cigarette purchase task</w:t>
      </w:r>
      <w:r w:rsidRPr="004D046A">
        <w:rPr>
          <w:rFonts w:ascii="Times New Roman" w:hAnsi="Times New Roman" w:cs="Times New Roman"/>
        </w:rPr>
        <w:t xml:space="preserve"> (CPT; MacKillop et al., 2008): Currently, there is no validated brief version of the CPT. Nevertheless, the single item “breakpoint” has been advocated to be a </w:t>
      </w:r>
      <w:r w:rsidR="006C13EB">
        <w:rPr>
          <w:rFonts w:ascii="Times New Roman" w:hAnsi="Times New Roman" w:cs="Times New Roman"/>
        </w:rPr>
        <w:t>valid brief</w:t>
      </w:r>
      <w:r w:rsidRPr="004D046A">
        <w:rPr>
          <w:rFonts w:ascii="Times New Roman" w:hAnsi="Times New Roman" w:cs="Times New Roman"/>
        </w:rPr>
        <w:t xml:space="preserve"> method </w:t>
      </w:r>
      <w:r w:rsidR="006C13EB">
        <w:rPr>
          <w:rFonts w:ascii="Times New Roman" w:hAnsi="Times New Roman" w:cs="Times New Roman"/>
        </w:rPr>
        <w:t>of</w:t>
      </w:r>
      <w:r w:rsidRPr="004D046A">
        <w:rPr>
          <w:rFonts w:ascii="Times New Roman" w:hAnsi="Times New Roman" w:cs="Times New Roman"/>
        </w:rPr>
        <w:t xml:space="preserve"> measuring tobacco demand </w:t>
      </w:r>
      <w:r>
        <w:rPr>
          <w:rFonts w:ascii="Times New Roman" w:hAnsi="Times New Roman" w:cs="Times New Roman"/>
        </w:rPr>
        <w:fldChar w:fldCharType="begin"/>
      </w:r>
      <w:r w:rsidR="006C13EB">
        <w:rPr>
          <w:rFonts w:ascii="Times New Roman" w:hAnsi="Times New Roman" w:cs="Times New Roman"/>
        </w:rPr>
        <w:instrText xml:space="preserve"> ADDIN ZOTERO_ITEM CSL_CITATION {"citationID":"pSGgFi6e","properties":{"formattedCitation":"(Athamneh et al., 2019)","plainCitation":"(Athamneh et al., 2019)","noteIndex":0},"citationItems":[{"id":924,"uris":["http://zotero.org/users/7873587/items/Z7EFD9TR"],"itemData":{"id":924,"type":"article-journal","abstract":"Basic and clinical addiction research use demand measures and analysis extensively to characterize drug use motivations. Hence, obtaining an accurate and brief measurement of demand that can be easily utilized in different settings is highly valued. In the current study, 2 versions of a breakpoint measure, designed to capture cigarette demand, were investigated in 119 smokers who were recruited from an online crowdsourcing platform. The first version determines the maximum price a smoker is willing to pay for one cigarette received right now when paid out of pocket, and the second determines the maximum price when paid using a hypothetical $100 gift card received for free. The breakpoint measures were administered along with the Cigarette Purchase Task (CPT), Fagerström Test for Cigarette Dependence (FTCD), and The Questionnaire of Smoking Urges (QSU-brief). Both single-item breakpoint versions were significantly correlated with CPT-derived demand measures loaded on the persistence factor (i.e., elasticity of demand, breakpoint, Pmax, and Omax), but not with those loaded on the amplitude factor (i.e., intensity of demand). In addition, both single-item measures were associated with metrics of tobacco dependence (e.g., FTCD, QSU) with effect sizes that are similar to the ones found between CPT-derived breakpoint and those same metrics. These findings suggest that the single-item breakpoint measure is a viable method for measuring demand that may provide a useful and efficient tool to capture crucial and distinct aspects of smoking. In addition, the breakpoint measures may help increase the utility of behavioral demand measures in novel research and clinical settings. (PsycINFO Database Record (c) 2019 APA, all rights reserved).","container-title":"Experimental and Clinical Psychopharmacology","DOI":"10.1037/pha0000228","ISSN":"1936-2293","issue":"1","journalAbbreviation":"Exp Clin Psychopharmacol","language":"eng","note":"PMID: 30265063\nPMCID: PMC6355365","page":"96-102","source":"PubMed","title":"Validation of a brief behavioral economic assessment of demand among cigarette smokers","volume":"27","author":[{"family":"Athamneh","given":"Liqa N."},{"family":"Stein","given":"Jeffrey S."},{"family":"Amlung","given":"Michael"},{"family":"Bickel","given":"Warren K."}],"issued":{"date-parts":[["2019",2]]}}}],"schema":"https://github.com/citation-style-language/schema/raw/master/csl-citation.json"} </w:instrText>
      </w:r>
      <w:r>
        <w:rPr>
          <w:rFonts w:ascii="Times New Roman" w:hAnsi="Times New Roman" w:cs="Times New Roman"/>
        </w:rPr>
        <w:fldChar w:fldCharType="separate"/>
      </w:r>
      <w:r w:rsidR="006C13EB" w:rsidRPr="006C13EB">
        <w:rPr>
          <w:rFonts w:ascii="Times New Roman" w:hAnsi="Times New Roman" w:cs="Times New Roman"/>
        </w:rPr>
        <w:t>(Athamneh et al., 2019)</w:t>
      </w:r>
      <w:r>
        <w:rPr>
          <w:rFonts w:ascii="Times New Roman" w:hAnsi="Times New Roman" w:cs="Times New Roman"/>
        </w:rPr>
        <w:fldChar w:fldCharType="end"/>
      </w:r>
      <w:r w:rsidRPr="004D046A">
        <w:rPr>
          <w:rFonts w:ascii="Times New Roman" w:hAnsi="Times New Roman" w:cs="Times New Roman"/>
        </w:rPr>
        <w:t xml:space="preserve">. We assessed tobacco demand by asking “What is the maximum price that you would pay for a single cigarette” </w:t>
      </w:r>
      <w:sdt>
        <w:sdtPr>
          <w:rPr>
            <w:rFonts w:ascii="Times New Roman" w:hAnsi="Times New Roman" w:cs="Times New Roman"/>
          </w:rPr>
          <w:tag w:val="goog_rdk_4"/>
          <w:id w:val="-1990008103"/>
        </w:sdtPr>
        <w:sdtContent/>
      </w:sdt>
      <w:r w:rsidRPr="004D046A">
        <w:rPr>
          <w:rFonts w:ascii="Times New Roman" w:hAnsi="Times New Roman" w:cs="Times New Roman"/>
        </w:rPr>
        <w:t xml:space="preserve">(scores ranged from £0-£15; for exact price increments see Appendix F). </w:t>
      </w:r>
    </w:p>
    <w:p w14:paraId="13452E0C" w14:textId="77777777" w:rsidR="004D046A" w:rsidRPr="004D046A" w:rsidRDefault="004D046A" w:rsidP="004D046A">
      <w:pPr>
        <w:pStyle w:val="NoSpacing"/>
        <w:spacing w:line="480" w:lineRule="auto"/>
        <w:rPr>
          <w:rFonts w:ascii="Times New Roman" w:hAnsi="Times New Roman" w:cs="Times New Roman"/>
        </w:rPr>
      </w:pPr>
    </w:p>
    <w:p w14:paraId="60044FE9" w14:textId="753BAC63" w:rsidR="004D046A" w:rsidRDefault="004D046A" w:rsidP="006C13EB">
      <w:pPr>
        <w:pStyle w:val="NoSpacing"/>
        <w:spacing w:line="480" w:lineRule="auto"/>
        <w:rPr>
          <w:rFonts w:ascii="Times New Roman" w:hAnsi="Times New Roman" w:cs="Times New Roman"/>
        </w:rPr>
      </w:pPr>
      <w:r w:rsidRPr="004D046A">
        <w:rPr>
          <w:rFonts w:ascii="Times New Roman" w:hAnsi="Times New Roman" w:cs="Times New Roman"/>
          <w:i/>
        </w:rPr>
        <w:t>Demographic and smoking questions:</w:t>
      </w:r>
      <w:r w:rsidRPr="004D046A">
        <w:rPr>
          <w:rFonts w:ascii="Times New Roman" w:hAnsi="Times New Roman" w:cs="Times New Roman"/>
        </w:rPr>
        <w:t xml:space="preserve"> Finally, we obtained demographic information such as participants’ age and gender. We asked additional questions regarding cigarette use such as smoking status, quit attempts (if any), typical cigarette consumption per day, years smoked, age of initiation of smoking, and time since quitting smoking (for ex-smokers)</w:t>
      </w:r>
      <w:sdt>
        <w:sdtPr>
          <w:rPr>
            <w:rFonts w:ascii="Times New Roman" w:hAnsi="Times New Roman" w:cs="Times New Roman"/>
          </w:rPr>
          <w:tag w:val="goog_rdk_5"/>
          <w:id w:val="2008863439"/>
        </w:sdtPr>
        <w:sdtContent/>
      </w:sdt>
      <w:r w:rsidRPr="004D046A">
        <w:rPr>
          <w:rFonts w:ascii="Times New Roman" w:hAnsi="Times New Roman" w:cs="Times New Roman"/>
        </w:rPr>
        <w:t>.</w:t>
      </w:r>
    </w:p>
    <w:p w14:paraId="21422762" w14:textId="77777777" w:rsidR="006C13EB" w:rsidRDefault="006C13EB" w:rsidP="006C13EB">
      <w:pPr>
        <w:pStyle w:val="NoSpacing"/>
        <w:spacing w:line="480" w:lineRule="auto"/>
        <w:rPr>
          <w:rFonts w:ascii="Times New Roman" w:hAnsi="Times New Roman" w:cs="Times New Roman"/>
          <w:b/>
        </w:rPr>
      </w:pPr>
    </w:p>
    <w:p w14:paraId="1ADFC066" w14:textId="4474C37B" w:rsidR="006C13EB" w:rsidRDefault="006C13EB" w:rsidP="006C13EB">
      <w:pPr>
        <w:pStyle w:val="NoSpacing"/>
        <w:spacing w:line="480" w:lineRule="auto"/>
        <w:rPr>
          <w:rFonts w:ascii="Times New Roman" w:hAnsi="Times New Roman" w:cs="Times New Roman"/>
          <w:b/>
        </w:rPr>
      </w:pPr>
      <w:r w:rsidRPr="006C13EB">
        <w:rPr>
          <w:rFonts w:ascii="Times New Roman" w:hAnsi="Times New Roman" w:cs="Times New Roman"/>
          <w:b/>
        </w:rPr>
        <w:lastRenderedPageBreak/>
        <w:t xml:space="preserve">Procedure </w:t>
      </w:r>
    </w:p>
    <w:p w14:paraId="2B784ED4" w14:textId="486A15E0" w:rsidR="006C13EB" w:rsidRDefault="006C13EB" w:rsidP="006C13EB">
      <w:pPr>
        <w:pStyle w:val="NoSpacing"/>
        <w:spacing w:line="480" w:lineRule="auto"/>
        <w:rPr>
          <w:rFonts w:ascii="Times New Roman" w:hAnsi="Times New Roman" w:cs="Times New Roman"/>
          <w:bCs/>
        </w:rPr>
      </w:pPr>
      <w:r w:rsidRPr="006C13EB">
        <w:rPr>
          <w:rFonts w:ascii="Times New Roman" w:hAnsi="Times New Roman" w:cs="Times New Roman"/>
          <w:bCs/>
        </w:rPr>
        <w:t xml:space="preserve">Participants attended a single session at the University of Sheffield’s Psychology Department, </w:t>
      </w:r>
      <w:bookmarkStart w:id="306" w:name="_Hlk110609751"/>
      <w:r w:rsidRPr="006C13EB">
        <w:rPr>
          <w:rFonts w:ascii="Times New Roman" w:hAnsi="Times New Roman" w:cs="Times New Roman"/>
          <w:bCs/>
        </w:rPr>
        <w:t>which lasted between 60–80 minutes</w:t>
      </w:r>
      <w:bookmarkEnd w:id="306"/>
      <w:r w:rsidRPr="006C13EB">
        <w:rPr>
          <w:rFonts w:ascii="Times New Roman" w:hAnsi="Times New Roman" w:cs="Times New Roman"/>
          <w:bCs/>
        </w:rPr>
        <w:t xml:space="preserve">. They first provided informed consent and then completed the questionnaire measures listed above. Subsequently, participants completed an image-rating phase, the VBDM task (programmed in </w:t>
      </w:r>
      <w:proofErr w:type="spellStart"/>
      <w:r w:rsidRPr="006C13EB">
        <w:rPr>
          <w:rFonts w:ascii="Times New Roman" w:hAnsi="Times New Roman" w:cs="Times New Roman"/>
          <w:bCs/>
        </w:rPr>
        <w:t>PsychoPy</w:t>
      </w:r>
      <w:proofErr w:type="spellEnd"/>
      <w:r w:rsidRPr="006C13EB">
        <w:rPr>
          <w:rFonts w:ascii="Times New Roman" w:hAnsi="Times New Roman" w:cs="Times New Roman"/>
          <w:bCs/>
        </w:rPr>
        <w:t xml:space="preserve">; Peirce et al., 2019) and </w:t>
      </w:r>
      <w:r>
        <w:rPr>
          <w:rFonts w:ascii="Times New Roman" w:hAnsi="Times New Roman" w:cs="Times New Roman"/>
          <w:bCs/>
        </w:rPr>
        <w:t>the</w:t>
      </w:r>
      <w:r w:rsidRPr="006C13EB">
        <w:rPr>
          <w:rFonts w:ascii="Times New Roman" w:hAnsi="Times New Roman" w:cs="Times New Roman"/>
          <w:bCs/>
        </w:rPr>
        <w:t xml:space="preserve"> </w:t>
      </w:r>
      <w:proofErr w:type="spellStart"/>
      <w:r w:rsidRPr="006C13EB">
        <w:rPr>
          <w:rFonts w:ascii="Times New Roman" w:hAnsi="Times New Roman" w:cs="Times New Roman"/>
          <w:bCs/>
        </w:rPr>
        <w:t>MouseTracker</w:t>
      </w:r>
      <w:proofErr w:type="spellEnd"/>
      <w:r w:rsidRPr="006C13EB">
        <w:rPr>
          <w:rFonts w:ascii="Times New Roman" w:hAnsi="Times New Roman" w:cs="Times New Roman"/>
          <w:bCs/>
        </w:rPr>
        <w:t xml:space="preserve"> task (programmed in </w:t>
      </w:r>
      <w:proofErr w:type="spellStart"/>
      <w:r w:rsidRPr="006C13EB">
        <w:rPr>
          <w:rFonts w:ascii="Times New Roman" w:hAnsi="Times New Roman" w:cs="Times New Roman"/>
          <w:bCs/>
        </w:rPr>
        <w:t>MouseTracker</w:t>
      </w:r>
      <w:proofErr w:type="spellEnd"/>
      <w:r w:rsidRPr="006C13EB">
        <w:rPr>
          <w:rFonts w:ascii="Times New Roman" w:hAnsi="Times New Roman" w:cs="Times New Roman"/>
          <w:bCs/>
        </w:rPr>
        <w:t xml:space="preserve">; Freeman &amp; </w:t>
      </w:r>
      <w:proofErr w:type="spellStart"/>
      <w:r w:rsidRPr="006C13EB">
        <w:rPr>
          <w:rFonts w:ascii="Times New Roman" w:hAnsi="Times New Roman" w:cs="Times New Roman"/>
          <w:bCs/>
        </w:rPr>
        <w:t>Ambady</w:t>
      </w:r>
      <w:proofErr w:type="spellEnd"/>
      <w:r w:rsidRPr="006C13EB">
        <w:rPr>
          <w:rFonts w:ascii="Times New Roman" w:hAnsi="Times New Roman" w:cs="Times New Roman"/>
          <w:bCs/>
        </w:rPr>
        <w:t>, 2010).</w:t>
      </w:r>
    </w:p>
    <w:p w14:paraId="28D61F19" w14:textId="77777777" w:rsidR="006C13EB" w:rsidRDefault="006C13EB" w:rsidP="006C13EB">
      <w:pPr>
        <w:pStyle w:val="NoSpacing"/>
        <w:spacing w:line="480" w:lineRule="auto"/>
        <w:rPr>
          <w:rFonts w:ascii="Times New Roman" w:hAnsi="Times New Roman" w:cs="Times New Roman"/>
          <w:bCs/>
        </w:rPr>
      </w:pPr>
    </w:p>
    <w:p w14:paraId="51944336" w14:textId="77777777" w:rsidR="006C13EB" w:rsidRPr="006C13EB" w:rsidRDefault="006C13EB" w:rsidP="006C13EB">
      <w:pPr>
        <w:pStyle w:val="NoSpacing"/>
        <w:spacing w:line="480" w:lineRule="auto"/>
        <w:rPr>
          <w:rFonts w:ascii="Times New Roman" w:hAnsi="Times New Roman" w:cs="Times New Roman"/>
          <w:bCs/>
          <w:i/>
        </w:rPr>
      </w:pPr>
      <w:r w:rsidRPr="006C13EB">
        <w:rPr>
          <w:rFonts w:ascii="Times New Roman" w:hAnsi="Times New Roman" w:cs="Times New Roman"/>
          <w:bCs/>
          <w:i/>
        </w:rPr>
        <w:t>Image-rating phase</w:t>
      </w:r>
    </w:p>
    <w:p w14:paraId="3FE34B87" w14:textId="77777777" w:rsidR="006C13EB" w:rsidRPr="006C13EB" w:rsidRDefault="006C13EB" w:rsidP="006C13EB">
      <w:pPr>
        <w:pStyle w:val="NoSpacing"/>
        <w:spacing w:line="480" w:lineRule="auto"/>
        <w:rPr>
          <w:rFonts w:ascii="Times New Roman" w:hAnsi="Times New Roman" w:cs="Times New Roman"/>
          <w:bCs/>
        </w:rPr>
      </w:pPr>
      <w:r w:rsidRPr="006C13EB">
        <w:rPr>
          <w:rFonts w:ascii="Times New Roman" w:hAnsi="Times New Roman" w:cs="Times New Roman"/>
          <w:bCs/>
        </w:rPr>
        <w:t>We asked participants to view two sets of 20 images (a tobacco-unrelated (animal) set and then a tobacco-related set) and make value judgements about them by placing them into categories labelled ‘Most positive’, ‘Somewhat positive’, ‘Somewhat negative’, and ‘Most negative’. For both image sets, participants assigned five images to each category by dragging and dropping them using a computer mouse. Prior to completing the VBDM task, each image from each value category was displayed in the centre of the screen for 3 seconds each, followed by a 500ms fixation cross. The purpose of this was to remind participants how they evaluated each of the images.</w:t>
      </w:r>
    </w:p>
    <w:p w14:paraId="0DD55CE0" w14:textId="77777777" w:rsidR="006C13EB" w:rsidRPr="006C13EB" w:rsidRDefault="006C13EB" w:rsidP="006C13EB">
      <w:pPr>
        <w:pStyle w:val="NoSpacing"/>
        <w:spacing w:line="480" w:lineRule="auto"/>
        <w:rPr>
          <w:rFonts w:ascii="Times New Roman" w:hAnsi="Times New Roman" w:cs="Times New Roman"/>
          <w:bCs/>
        </w:rPr>
      </w:pPr>
    </w:p>
    <w:p w14:paraId="4D58C741" w14:textId="77777777" w:rsidR="006C13EB" w:rsidRPr="006C13EB" w:rsidRDefault="006C13EB" w:rsidP="006C13EB">
      <w:pPr>
        <w:pStyle w:val="NoSpacing"/>
        <w:spacing w:line="480" w:lineRule="auto"/>
        <w:rPr>
          <w:rFonts w:ascii="Times New Roman" w:hAnsi="Times New Roman" w:cs="Times New Roman"/>
          <w:bCs/>
          <w:i/>
        </w:rPr>
      </w:pPr>
      <w:r w:rsidRPr="006C13EB">
        <w:rPr>
          <w:rFonts w:ascii="Times New Roman" w:hAnsi="Times New Roman" w:cs="Times New Roman"/>
          <w:bCs/>
          <w:i/>
        </w:rPr>
        <w:t xml:space="preserve">Value-based decision-making (VBDM) task </w:t>
      </w:r>
    </w:p>
    <w:p w14:paraId="61E0E632" w14:textId="77777777" w:rsidR="006C13EB" w:rsidRPr="006C13EB" w:rsidRDefault="006C13EB" w:rsidP="006C13EB">
      <w:pPr>
        <w:pStyle w:val="NoSpacing"/>
        <w:spacing w:line="480" w:lineRule="auto"/>
        <w:rPr>
          <w:rFonts w:ascii="Times New Roman" w:hAnsi="Times New Roman" w:cs="Times New Roman"/>
          <w:bCs/>
        </w:rPr>
      </w:pPr>
      <w:r w:rsidRPr="006C13EB">
        <w:rPr>
          <w:rFonts w:ascii="Times New Roman" w:hAnsi="Times New Roman" w:cs="Times New Roman"/>
          <w:bCs/>
        </w:rPr>
        <w:t xml:space="preserve">On each trial, two images appeared in the centre of the screen (one on the left and one on the right), and participants were instructed to use one of two keys to choose the image that they had rated higher by pressing one of two keys (‘Z’ for left and ‘M’ for right) as quickly as possible (see Figure 7.1). Before starting the VBDM task, to familiarise participants, they completed a practice block consisting of 12 trials (50% tobacco-unrelated (animal) trials and 50% tobacco-related trials). Next, they completed the task which consisted of two blocks (a </w:t>
      </w:r>
      <w:r w:rsidRPr="006C13EB">
        <w:rPr>
          <w:rFonts w:ascii="Times New Roman" w:hAnsi="Times New Roman" w:cs="Times New Roman"/>
          <w:bCs/>
        </w:rPr>
        <w:lastRenderedPageBreak/>
        <w:t xml:space="preserve">tobacco-unrelated (animal) block and a tobacco-related block; order randomized) of 150 trials each (300 trials in total) with embedded breaks after every 50 trials. Difficulty levels varied; when the differences in the value ratings between the two images were minimal, these were difficult trials (“Somewhat Positive” versus “Somewhat Negative”) because it is harder to immediately distinguish which one is higher in value. However, when the differences in the value ratings between the two images were large (“Most Positive” versus “Most Negative”), these were easier trials because it is likely to be more apparent which one is higher in value. </w:t>
      </w:r>
      <w:bookmarkStart w:id="307" w:name="_Hlk109219546"/>
      <w:r w:rsidRPr="006C13EB">
        <w:rPr>
          <w:rFonts w:ascii="Times New Roman" w:hAnsi="Times New Roman" w:cs="Times New Roman"/>
          <w:bCs/>
        </w:rPr>
        <w:t>On each trial there was an image that had been rated higher</w:t>
      </w:r>
      <w:bookmarkEnd w:id="307"/>
      <w:r w:rsidRPr="006C13EB">
        <w:rPr>
          <w:rFonts w:ascii="Times New Roman" w:hAnsi="Times New Roman" w:cs="Times New Roman"/>
          <w:bCs/>
        </w:rPr>
        <w:t>, and whether this appeared on the left or the right of the screen was random so that the ‘correct’ answer should have been a left and right key press with equal frequency. Participants were given a maximum of four seconds to respond on each trial, responses outside of this response window were classed as “miss trials” as commonly used in VBDM tasks (</w:t>
      </w:r>
      <w:proofErr w:type="spellStart"/>
      <w:r w:rsidRPr="006C13EB">
        <w:rPr>
          <w:rFonts w:ascii="Times New Roman" w:hAnsi="Times New Roman" w:cs="Times New Roman"/>
          <w:bCs/>
        </w:rPr>
        <w:t>Polanía</w:t>
      </w:r>
      <w:proofErr w:type="spellEnd"/>
      <w:r w:rsidRPr="006C13EB">
        <w:rPr>
          <w:rFonts w:ascii="Times New Roman" w:hAnsi="Times New Roman" w:cs="Times New Roman"/>
          <w:bCs/>
        </w:rPr>
        <w:t xml:space="preserve"> et al., 2014). </w:t>
      </w:r>
    </w:p>
    <w:p w14:paraId="6B9F57B1" w14:textId="77777777" w:rsidR="006C13EB" w:rsidRDefault="006C13EB" w:rsidP="006C13EB">
      <w:pPr>
        <w:pStyle w:val="NoSpacing"/>
        <w:spacing w:line="480" w:lineRule="auto"/>
        <w:rPr>
          <w:rFonts w:ascii="Times New Roman" w:hAnsi="Times New Roman" w:cs="Times New Roman"/>
          <w:b/>
          <w:bCs/>
          <w:iCs/>
        </w:rPr>
      </w:pPr>
    </w:p>
    <w:p w14:paraId="62FE004D" w14:textId="59997FD2" w:rsidR="006C13EB" w:rsidRDefault="006C13EB" w:rsidP="006C13EB">
      <w:pPr>
        <w:pStyle w:val="NoSpacing"/>
        <w:spacing w:line="480" w:lineRule="auto"/>
        <w:rPr>
          <w:rFonts w:ascii="Times New Roman" w:hAnsi="Times New Roman" w:cs="Times New Roman"/>
          <w:bCs/>
        </w:rPr>
      </w:pPr>
      <w:bookmarkStart w:id="308" w:name="_Hlk110615153"/>
      <w:r w:rsidRPr="006C13EB">
        <w:rPr>
          <w:rFonts w:ascii="Times New Roman" w:hAnsi="Times New Roman" w:cs="Times New Roman"/>
          <w:b/>
          <w:bCs/>
          <w:iCs/>
        </w:rPr>
        <w:t>Figure 7.1</w:t>
      </w:r>
    </w:p>
    <w:p w14:paraId="6C2C7226" w14:textId="52E58030" w:rsidR="006C13EB" w:rsidRPr="006C13EB" w:rsidRDefault="006C13EB" w:rsidP="006C13EB">
      <w:pPr>
        <w:pStyle w:val="NoSpacing"/>
        <w:spacing w:line="480" w:lineRule="auto"/>
        <w:rPr>
          <w:rFonts w:ascii="Times New Roman" w:hAnsi="Times New Roman" w:cs="Times New Roman"/>
          <w:bCs/>
        </w:rPr>
      </w:pPr>
      <w:r w:rsidRPr="006C13EB">
        <w:rPr>
          <w:rFonts w:ascii="Times New Roman" w:hAnsi="Times New Roman" w:cs="Times New Roman"/>
          <w:bCs/>
          <w:i/>
          <w:iCs/>
        </w:rPr>
        <w:t>Schematic depiction of typical tobacco block (left) and typical animal block (right) trials</w:t>
      </w:r>
    </w:p>
    <w:bookmarkEnd w:id="308"/>
    <w:p w14:paraId="0328DF6E" w14:textId="574615A0" w:rsidR="006C13EB" w:rsidRPr="006C13EB" w:rsidRDefault="006C13EB" w:rsidP="006C13EB">
      <w:pPr>
        <w:pStyle w:val="NoSpacing"/>
        <w:spacing w:line="480" w:lineRule="auto"/>
        <w:jc w:val="center"/>
        <w:rPr>
          <w:rFonts w:ascii="Times New Roman" w:hAnsi="Times New Roman" w:cs="Times New Roman"/>
          <w:bCs/>
        </w:rPr>
      </w:pPr>
      <w:r>
        <w:rPr>
          <w:rFonts w:ascii="Times New Roman" w:hAnsi="Times New Roman" w:cs="Times New Roman"/>
          <w:bCs/>
          <w:noProof/>
        </w:rPr>
        <w:drawing>
          <wp:inline distT="0" distB="0" distL="0" distR="0" wp14:anchorId="0D6A7135" wp14:editId="17BD612F">
            <wp:extent cx="5730875" cy="247523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0875" cy="2475230"/>
                    </a:xfrm>
                    <a:prstGeom prst="rect">
                      <a:avLst/>
                    </a:prstGeom>
                    <a:noFill/>
                  </pic:spPr>
                </pic:pic>
              </a:graphicData>
            </a:graphic>
          </wp:inline>
        </w:drawing>
      </w:r>
    </w:p>
    <w:p w14:paraId="3C42E470" w14:textId="6612B12B" w:rsidR="004A7333" w:rsidRPr="00BA090B" w:rsidRDefault="006C13EB" w:rsidP="004A7333">
      <w:pPr>
        <w:spacing w:line="480" w:lineRule="auto"/>
        <w:rPr>
          <w:rFonts w:ascii="Times New Roman" w:hAnsi="Times New Roman" w:cs="Times New Roman"/>
        </w:rPr>
      </w:pPr>
      <w:r w:rsidRPr="006C13EB">
        <w:rPr>
          <w:rFonts w:ascii="Times New Roman" w:hAnsi="Times New Roman" w:cs="Times New Roman"/>
          <w:bCs/>
          <w:i/>
          <w:iCs/>
        </w:rPr>
        <w:t>Note.</w:t>
      </w:r>
      <w:r w:rsidRPr="006C13EB">
        <w:rPr>
          <w:rFonts w:ascii="Times New Roman" w:hAnsi="Times New Roman" w:cs="Times New Roman"/>
          <w:bCs/>
        </w:rPr>
        <w:t xml:space="preserve"> The question asked was “Which did you rate higher? Press ‘Z’ for the left image or ‘M’ for the right image”. Participants had 4 seconds to make a decision per trial, and each trial was followed by a 500ms fixation cross located in the centre of the screen.</w:t>
      </w:r>
      <w:r w:rsidR="004A7333" w:rsidRPr="004A7333">
        <w:rPr>
          <w:rFonts w:ascii="Times New Roman" w:hAnsi="Times New Roman" w:cs="Times New Roman"/>
        </w:rPr>
        <w:t xml:space="preserve"> Images are taken </w:t>
      </w:r>
      <w:r w:rsidR="004A7333" w:rsidRPr="004A7333">
        <w:rPr>
          <w:rFonts w:ascii="Times New Roman" w:hAnsi="Times New Roman" w:cs="Times New Roman"/>
        </w:rPr>
        <w:lastRenderedPageBreak/>
        <w:t xml:space="preserve">from the </w:t>
      </w:r>
      <w:r w:rsidR="004A7333" w:rsidRPr="0054600F">
        <w:rPr>
          <w:rFonts w:ascii="Times New Roman" w:hAnsi="Times New Roman" w:cs="Times New Roman"/>
        </w:rPr>
        <w:t xml:space="preserve">Geneva smoking pictures data set </w:t>
      </w:r>
      <w:r w:rsidR="004A7333" w:rsidRPr="0054600F">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{"citationID":"GSIJ0GbK","properties":{"formattedCitation":"(Khazaal et al., 2012)","plainCitation":"(Khazaal et al., 2012)","noteIndex":0},"citationItems":[{"id":883,"uris":["http://zotero.org/users/7873587/items/EIAC8EKF"],"itemData":{"id":883,"type":"article-journal","abstract":"Cue reactivity is essential to the maintenance of addictive disorders. A useful way to study cue reactivity is by means of normative pictures, but few validated tobacco-related pictures are available. This study describes a database of smoking-related pictures: The Geneva Smoking Pictures (GSP). Sixty smoking-related pictures were presented to 91 participants who assessed them according to the classic emotional pictures validation provided by the International Affective Picture System (NIMH Center for the Study of Emotion and Attention, 2002). The pictures were rated according to three dimensions: (1) valence (from positive to negative), (2) emotional arousal (from high arousing to low arousing), and (3) dominance (from submissive to dominant). Participants were also screened with the Fagerström Test for Nicotine Dependence. Normative ratings for valence, arousal and dominance of the pictures are provided for the whole sample, as well as separately for dependent (n = 46) and nondependent smokers (n = 45). Arousal and dominance were associated with greater nicotine dependence, but valence ratings were not. The GSP is a normative database providing a large number of stimuli for investigators who are conducting nicotine and tobacco research.","container-title":"European Addiction Research","DOI":"10.1159/000335083","ISSN":"1421-9891","issue":"3","journalAbbreviation":"Eur Addict Res","language":"eng","note":"PMID: 22285929","page":"103-109","source":"PubMed","title":"The Geneva Smoking Pictures: development and preliminary validation","title-short":"The Geneva Smoking Pictures","volume":"18","author":[{"family":"Khazaal","given":"Yasser"},{"family":"Zullino","given":"Daniele"},{"family":"Billieux","given":"Joël"}],"issued":{"date-parts":[["2012"]]}}}],"schema":"https://github.com/citation-style-language/schema/raw/master/csl-citation.json"} </w:instrText>
      </w:r>
      <w:r w:rsidR="004A7333" w:rsidRPr="0054600F">
        <w:rPr>
          <w:rFonts w:ascii="Times New Roman" w:hAnsi="Times New Roman" w:cs="Times New Roman"/>
        </w:rPr>
        <w:fldChar w:fldCharType="separate"/>
      </w:r>
      <w:r w:rsidR="004A7333" w:rsidRPr="0054600F">
        <w:rPr>
          <w:rFonts w:ascii="Times New Roman" w:hAnsi="Times New Roman" w:cs="Times New Roman"/>
        </w:rPr>
        <w:t>(Khazaal et al., 2012)</w:t>
      </w:r>
      <w:r w:rsidR="004A7333" w:rsidRPr="0054600F">
        <w:rPr>
          <w:rFonts w:ascii="Times New Roman" w:hAnsi="Times New Roman" w:cs="Times New Roman"/>
        </w:rPr>
        <w:fldChar w:fldCharType="end"/>
      </w:r>
      <w:r w:rsidR="004A7333">
        <w:rPr>
          <w:rFonts w:ascii="Times New Roman" w:hAnsi="Times New Roman" w:cs="Times New Roman"/>
        </w:rPr>
        <w:t xml:space="preserve"> and </w:t>
      </w:r>
      <w:r w:rsidR="004A7333" w:rsidRPr="0054600F">
        <w:rPr>
          <w:rFonts w:ascii="Times New Roman" w:hAnsi="Times New Roman" w:cs="Times New Roman"/>
        </w:rPr>
        <w:t xml:space="preserve">the international affective picture system (IAPS) data set </w:t>
      </w:r>
      <w:r w:rsidR="004A7333" w:rsidRPr="0054600F">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{"citationID":"y6SSnKUB","properties":{"formattedCitation":"(Lang et al., 2008)","plainCitation":"(Lang et al., 2008)","noteIndex":0},"citationItems":[{"id":887,"uris":["http://zotero.org/users/7873587/items/JE4HN9LE"],"itemData":{"id":887,"type":"report","publisher":"University of Florida","source":"CiNii","title":"International affective picture system (IAPS): affective ratings of pictures and instruction manual","title-short":"International affective picture system (IAPS)","URL":"https://ci.nii.ac.jp/naid/20001061266/","author":[{"family":"Lang","given":"Peter J."},{"family":"Bradley","given":"M"},{"family":"Cuthbert","given":"B"}],"accessed":{"date-parts":[["2022",3,17]]},"issued":{"date-parts":[["2008"]]}}}],"schema":"https://github.com/citation-style-language/schema/raw/master/csl-citation.json"} </w:instrText>
      </w:r>
      <w:r w:rsidR="004A7333" w:rsidRPr="0054600F">
        <w:rPr>
          <w:rFonts w:ascii="Times New Roman" w:hAnsi="Times New Roman" w:cs="Times New Roman"/>
        </w:rPr>
        <w:fldChar w:fldCharType="separate"/>
      </w:r>
      <w:r w:rsidR="004A7333" w:rsidRPr="0054600F">
        <w:rPr>
          <w:rFonts w:ascii="Times New Roman" w:hAnsi="Times New Roman" w:cs="Times New Roman"/>
        </w:rPr>
        <w:t>(Lang et al., 2008)</w:t>
      </w:r>
      <w:r w:rsidR="004A7333" w:rsidRPr="0054600F">
        <w:rPr>
          <w:rFonts w:ascii="Times New Roman" w:hAnsi="Times New Roman" w:cs="Times New Roman"/>
        </w:rPr>
        <w:fldChar w:fldCharType="end"/>
      </w:r>
      <w:r w:rsidR="004A7333" w:rsidRPr="0054600F">
        <w:rPr>
          <w:rFonts w:ascii="Times New Roman" w:hAnsi="Times New Roman" w:cs="Times New Roman"/>
        </w:rPr>
        <w:t>.</w:t>
      </w:r>
    </w:p>
    <w:p w14:paraId="240553EB" w14:textId="6D4267EA" w:rsidR="006C13EB" w:rsidRPr="006C13EB" w:rsidRDefault="006C13EB" w:rsidP="006C13EB">
      <w:pPr>
        <w:pStyle w:val="NoSpacing"/>
        <w:spacing w:line="480" w:lineRule="auto"/>
        <w:rPr>
          <w:rFonts w:ascii="Times New Roman" w:hAnsi="Times New Roman" w:cs="Times New Roman"/>
          <w:bCs/>
        </w:rPr>
      </w:pPr>
    </w:p>
    <w:p w14:paraId="78E202D3" w14:textId="77777777" w:rsidR="006C13EB" w:rsidRDefault="006C13EB" w:rsidP="006C13EB">
      <w:pPr>
        <w:pStyle w:val="NoSpacing"/>
        <w:spacing w:line="480" w:lineRule="auto"/>
        <w:rPr>
          <w:rFonts w:ascii="Times New Roman" w:hAnsi="Times New Roman" w:cs="Times New Roman"/>
          <w:b/>
        </w:rPr>
      </w:pPr>
    </w:p>
    <w:p w14:paraId="3E0FDBFA" w14:textId="15B0EFB1" w:rsidR="006C13EB" w:rsidRPr="006C13EB" w:rsidRDefault="006C13EB" w:rsidP="006C13EB">
      <w:pPr>
        <w:pStyle w:val="NoSpacing"/>
        <w:spacing w:line="480" w:lineRule="auto"/>
        <w:rPr>
          <w:rFonts w:ascii="Times New Roman" w:hAnsi="Times New Roman" w:cs="Times New Roman"/>
          <w:bCs/>
          <w:i/>
        </w:rPr>
      </w:pPr>
      <w:proofErr w:type="spellStart"/>
      <w:r w:rsidRPr="006C13EB">
        <w:rPr>
          <w:rFonts w:ascii="Times New Roman" w:hAnsi="Times New Roman" w:cs="Times New Roman"/>
          <w:bCs/>
          <w:i/>
        </w:rPr>
        <w:t>MouseTracker</w:t>
      </w:r>
      <w:proofErr w:type="spellEnd"/>
      <w:r w:rsidRPr="006C13EB">
        <w:rPr>
          <w:rFonts w:ascii="Times New Roman" w:hAnsi="Times New Roman" w:cs="Times New Roman"/>
          <w:bCs/>
          <w:i/>
        </w:rPr>
        <w:t xml:space="preserve"> task </w:t>
      </w:r>
    </w:p>
    <w:p w14:paraId="4F46C53A" w14:textId="48A49258" w:rsidR="006C13EB" w:rsidRDefault="006C13EB" w:rsidP="006C13EB">
      <w:pPr>
        <w:pStyle w:val="NoSpacing"/>
        <w:spacing w:line="480" w:lineRule="auto"/>
        <w:rPr>
          <w:rFonts w:ascii="Times New Roman" w:hAnsi="Times New Roman" w:cs="Times New Roman"/>
          <w:bCs/>
          <w:iCs/>
        </w:rPr>
      </w:pPr>
      <w:r w:rsidRPr="006C13EB">
        <w:rPr>
          <w:rFonts w:ascii="Times New Roman" w:hAnsi="Times New Roman" w:cs="Times New Roman"/>
          <w:bCs/>
          <w:iCs/>
        </w:rPr>
        <w:t>Two images (one tobacco-related and one tobacco-unrelated (animal)) were displayed in the top left-hand and the top right-hand corner of the computer screen and participants were instructed to drag a mouse cursor to click on the image they rated higher. Each trial began with a “START” button at the bottom centre of the screen; once participants clicked on this the two images appeared, along with a caption that said “Choose” (see Figure 7.2). The decision in this task was between smoking and animal stimuli</w:t>
      </w:r>
      <w:sdt>
        <w:sdtPr>
          <w:rPr>
            <w:rFonts w:ascii="Times New Roman" w:hAnsi="Times New Roman" w:cs="Times New Roman"/>
            <w:bCs/>
            <w:iCs/>
          </w:rPr>
          <w:tag w:val="goog_rdk_6"/>
          <w:id w:val="1867095635"/>
        </w:sdtPr>
        <w:sdtContent/>
      </w:sdt>
      <w:r w:rsidRPr="006C13EB">
        <w:rPr>
          <w:rFonts w:ascii="Times New Roman" w:hAnsi="Times New Roman" w:cs="Times New Roman"/>
          <w:bCs/>
          <w:iCs/>
        </w:rPr>
        <w:t>. Participants firstly completed a practice block, consisting of 12 trials (50% tobacco-unrelated (animal) trials and 50% tobacco-related). Next, they completed the task which consisted of 300 trials (with embedded breaks after every 50 trials). In 150 of the trials the smoking image was the ‘correct’ answer, whilst in the other 150 trials the animal image was the ‘correct’ answer; whether this was on the left or the right side was random so that the ‘correct’ answer should have been a left and right mouse click with equal frequency. In line with previous research (Stillman et al., 2017), p</w:t>
      </w:r>
      <w:sdt>
        <w:sdtPr>
          <w:rPr>
            <w:rFonts w:ascii="Times New Roman" w:hAnsi="Times New Roman" w:cs="Times New Roman"/>
            <w:bCs/>
            <w:iCs/>
          </w:rPr>
          <w:tag w:val="goog_rdk_7"/>
          <w:id w:val="-228856033"/>
        </w:sdtPr>
        <w:sdtContent/>
      </w:sdt>
      <w:sdt>
        <w:sdtPr>
          <w:rPr>
            <w:rFonts w:ascii="Times New Roman" w:hAnsi="Times New Roman" w:cs="Times New Roman"/>
            <w:bCs/>
            <w:iCs/>
          </w:rPr>
          <w:tag w:val="goog_rdk_8"/>
          <w:id w:val="-401985834"/>
        </w:sdtPr>
        <w:sdtContent/>
      </w:sdt>
      <w:sdt>
        <w:sdtPr>
          <w:rPr>
            <w:rFonts w:ascii="Times New Roman" w:hAnsi="Times New Roman" w:cs="Times New Roman"/>
            <w:bCs/>
            <w:iCs/>
          </w:rPr>
          <w:tag w:val="goog_rdk_9"/>
          <w:id w:val="411975627"/>
        </w:sdtPr>
        <w:sdtContent/>
      </w:sdt>
      <w:r w:rsidRPr="006C13EB">
        <w:rPr>
          <w:rFonts w:ascii="Times New Roman" w:hAnsi="Times New Roman" w:cs="Times New Roman"/>
          <w:bCs/>
          <w:iCs/>
        </w:rPr>
        <w:t>articipants were asked to select the image as quickly as possible, and if they took longer than 1000ms to initiate mouse movement, a message asking them to respond quicker appeared (e.g., “Please start moving earlier on even if you are not fully certain of a response yet!”). Encouraging participants to initiate mouse movements early within the trial is important to capture varying components of cognit</w:t>
      </w:r>
      <w:r w:rsidR="00463E60">
        <w:rPr>
          <w:rFonts w:ascii="Times New Roman" w:hAnsi="Times New Roman" w:cs="Times New Roman"/>
          <w:bCs/>
          <w:iCs/>
        </w:rPr>
        <w:t>ion</w:t>
      </w:r>
      <w:r w:rsidRPr="006C13EB">
        <w:rPr>
          <w:rFonts w:ascii="Times New Roman" w:hAnsi="Times New Roman" w:cs="Times New Roman"/>
          <w:bCs/>
          <w:iCs/>
        </w:rPr>
        <w:t xml:space="preserve">, including initial response tendency and momentary changes of mind within mouse trajectories </w:t>
      </w:r>
      <w:r>
        <w:rPr>
          <w:rFonts w:ascii="Times New Roman" w:hAnsi="Times New Roman" w:cs="Times New Roman"/>
          <w:bCs/>
          <w:iCs/>
        </w:rPr>
        <w:fldChar w:fldCharType="begin"/>
      </w:r>
      <w:r>
        <w:rPr>
          <w:rFonts w:ascii="Times New Roman" w:hAnsi="Times New Roman" w:cs="Times New Roman"/>
          <w:bCs/>
          <w:iCs/>
        </w:rPr>
        <w:instrText xml:space="preserve"> ADDIN ZOTERO_ITEM CSL_CITATION {"citationID":"1asqEeSv","properties":{"formattedCitation":"(Kieslich et al., 2020)","plainCitation":"(Kieslich et al., 2020)","noteIndex":0},"citationItems":[{"id":1836,"uris":["http://zotero.org/users/7873587/items/25K7FB7D"],"itemData":{"id":1836,"type":"article-journal","abstract":"Investigating cognitive processes by analyzing mouse movements has become a popular method in many psychological disciplines. When creating mouse-tracking experiments, researchers face many design choices—for example, whether participants indicate responses by clicking a button or just by entering the button area. Hitherto, numerous different settings have been employed, but little is known about how these methodological differences affect mouse-tracking data. We systematically investigated the influences of three central design factors, using a classic mouse-tracking paradigm in which participants classified typical and atypical exemplars. In separate experiments, we manipulated the response indication, mouse sensitivity, and starting procedure. The core finding that mouse movements deviate more toward the nonchosen option for atypical exemplars was replicated in all conditions. However, the size of this effect varied. Specifically, it was larger when participants indicated responses via click and when they were instructed to initialize the movement early. Trajectory shapes also differed between setups. For example, a dynamic start led to mostly curved trajectories, responses via click led to a mix of straight and “change-of-mind” trajectories, and responses via touch led to mostly straight trajectories. Moreover, the distribution of curvature indices was classified as bimodal in some setups and as unimodal in others. Because trajectory curvature and shape are frequently used to make inferences about psychological theories, such as differentiating between dynamic and dual-system models, this study shows that the specific design must be carefully considered when drawing theoretical inferences. All methodological designs and analyses were implemented using open-source software and are available from https://osf.io/xdp7a/.","container-title":"Behavior Research Methods","DOI":"10.3758/s13428-019-01228-y","ISSN":"1554-3528","issue":"1","journalAbbreviation":"Behav Res","language":"en","page":"317-341","source":"Springer Link","title":"Design factors in mouse-tracking: What makes a difference?","title-short":"Design factors in mouse-tracking","volume":"52","author":[{"family":"Kieslich","given":"Pascal J."},{"family":"Schoemann","given":"Martin"},{"family":"Grage","given":"Tobias"},{"family":"Hepp","given":"Johanna"},{"family":"Scherbaum","given":"Stefan"}],"issued":{"date-parts":[["2020",2,1]]}}}],"schema":"https://github.com/citation-style-language/schema/raw/master/csl-citation.json"} </w:instrText>
      </w:r>
      <w:r>
        <w:rPr>
          <w:rFonts w:ascii="Times New Roman" w:hAnsi="Times New Roman" w:cs="Times New Roman"/>
          <w:bCs/>
          <w:iCs/>
        </w:rPr>
        <w:fldChar w:fldCharType="separate"/>
      </w:r>
      <w:r w:rsidRPr="006C13EB">
        <w:rPr>
          <w:rFonts w:ascii="Times New Roman" w:hAnsi="Times New Roman" w:cs="Times New Roman"/>
        </w:rPr>
        <w:t>(Kieslich et al., 2020)</w:t>
      </w:r>
      <w:r>
        <w:rPr>
          <w:rFonts w:ascii="Times New Roman" w:hAnsi="Times New Roman" w:cs="Times New Roman"/>
          <w:bCs/>
          <w:iCs/>
        </w:rPr>
        <w:fldChar w:fldCharType="end"/>
      </w:r>
      <w:r w:rsidRPr="006C13EB">
        <w:rPr>
          <w:rFonts w:ascii="Times New Roman" w:hAnsi="Times New Roman" w:cs="Times New Roman"/>
          <w:bCs/>
          <w:iCs/>
        </w:rPr>
        <w:t xml:space="preserve">. For example, if a person were to make a decision before mouse movement is initiated, their mouse trajectory would appear straight indicating minimal conflict. However, this would not </w:t>
      </w:r>
      <w:r w:rsidRPr="006C13EB">
        <w:rPr>
          <w:rFonts w:ascii="Times New Roman" w:hAnsi="Times New Roman" w:cs="Times New Roman"/>
          <w:bCs/>
          <w:iCs/>
        </w:rPr>
        <w:lastRenderedPageBreak/>
        <w:t>necessarily mean that the person did not experience conflict, but rather, because they made their choice before moving their mouse, the conflict is not reflected in the mouse trajectory (</w:t>
      </w:r>
      <w:proofErr w:type="spellStart"/>
      <w:r w:rsidRPr="006C13EB">
        <w:rPr>
          <w:rFonts w:ascii="Times New Roman" w:hAnsi="Times New Roman" w:cs="Times New Roman"/>
          <w:bCs/>
          <w:iCs/>
        </w:rPr>
        <w:t>Kieslich</w:t>
      </w:r>
      <w:proofErr w:type="spellEnd"/>
      <w:r w:rsidRPr="006C13EB">
        <w:rPr>
          <w:rFonts w:ascii="Times New Roman" w:hAnsi="Times New Roman" w:cs="Times New Roman"/>
          <w:bCs/>
          <w:iCs/>
        </w:rPr>
        <w:t xml:space="preserve"> et al., 2020).</w:t>
      </w:r>
    </w:p>
    <w:p w14:paraId="154D762D" w14:textId="77777777" w:rsidR="006C13EB" w:rsidRPr="006C13EB" w:rsidRDefault="006C13EB" w:rsidP="006C13EB">
      <w:pPr>
        <w:pStyle w:val="NoSpacing"/>
        <w:spacing w:line="480" w:lineRule="auto"/>
        <w:rPr>
          <w:rFonts w:ascii="Times New Roman" w:hAnsi="Times New Roman" w:cs="Times New Roman"/>
          <w:bCs/>
          <w:iCs/>
        </w:rPr>
      </w:pPr>
    </w:p>
    <w:p w14:paraId="319FBEAE" w14:textId="4CDD48AE" w:rsidR="006C13EB" w:rsidRDefault="006C13EB" w:rsidP="006C13EB">
      <w:pPr>
        <w:pStyle w:val="NoSpacing"/>
        <w:spacing w:line="480" w:lineRule="auto"/>
        <w:rPr>
          <w:rFonts w:ascii="Times New Roman" w:hAnsi="Times New Roman" w:cs="Times New Roman"/>
          <w:b/>
          <w:iCs/>
        </w:rPr>
      </w:pPr>
      <w:bookmarkStart w:id="309" w:name="_Hlk110615162"/>
      <w:r w:rsidRPr="006C13EB">
        <w:rPr>
          <w:rFonts w:ascii="Times New Roman" w:hAnsi="Times New Roman" w:cs="Times New Roman"/>
          <w:b/>
          <w:bCs/>
          <w:iCs/>
        </w:rPr>
        <w:t>Figure 7.2</w:t>
      </w:r>
    </w:p>
    <w:p w14:paraId="3FE8097B" w14:textId="78642BCD" w:rsidR="006C13EB" w:rsidRPr="006C13EB" w:rsidRDefault="006C13EB" w:rsidP="006C13EB">
      <w:pPr>
        <w:pStyle w:val="NoSpacing"/>
        <w:spacing w:line="480" w:lineRule="auto"/>
        <w:rPr>
          <w:rFonts w:ascii="Times New Roman" w:hAnsi="Times New Roman" w:cs="Times New Roman"/>
          <w:bCs/>
          <w:iCs/>
        </w:rPr>
      </w:pPr>
      <w:r w:rsidRPr="006C13EB">
        <w:rPr>
          <w:rFonts w:ascii="Times New Roman" w:hAnsi="Times New Roman" w:cs="Times New Roman"/>
          <w:bCs/>
          <w:i/>
          <w:iCs/>
        </w:rPr>
        <w:t xml:space="preserve">Schematic depiction of a typical </w:t>
      </w:r>
      <w:proofErr w:type="spellStart"/>
      <w:r w:rsidRPr="006C13EB">
        <w:rPr>
          <w:rFonts w:ascii="Times New Roman" w:hAnsi="Times New Roman" w:cs="Times New Roman"/>
          <w:bCs/>
          <w:i/>
          <w:iCs/>
        </w:rPr>
        <w:t>MouseTracker</w:t>
      </w:r>
      <w:proofErr w:type="spellEnd"/>
      <w:r w:rsidRPr="006C13EB">
        <w:rPr>
          <w:rFonts w:ascii="Times New Roman" w:hAnsi="Times New Roman" w:cs="Times New Roman"/>
          <w:bCs/>
          <w:i/>
          <w:iCs/>
        </w:rPr>
        <w:t xml:space="preserve"> trial</w:t>
      </w:r>
    </w:p>
    <w:bookmarkEnd w:id="309"/>
    <w:p w14:paraId="52F28CC9" w14:textId="74D1543B" w:rsidR="006C13EB" w:rsidRDefault="006C13EB" w:rsidP="006C13EB">
      <w:pPr>
        <w:pStyle w:val="NoSpacing"/>
      </w:pPr>
      <w:r w:rsidRPr="006C13EB">
        <w:rPr>
          <w:noProof/>
        </w:rPr>
        <w:drawing>
          <wp:inline distT="0" distB="0" distL="0" distR="0" wp14:anchorId="0626C8FD" wp14:editId="2870024B">
            <wp:extent cx="5730875" cy="1304925"/>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0875" cy="1304925"/>
                    </a:xfrm>
                    <a:prstGeom prst="rect">
                      <a:avLst/>
                    </a:prstGeom>
                    <a:noFill/>
                  </pic:spPr>
                </pic:pic>
              </a:graphicData>
            </a:graphic>
          </wp:inline>
        </w:drawing>
      </w:r>
    </w:p>
    <w:p w14:paraId="5FDC6592" w14:textId="1185FAF4" w:rsidR="006C13EB" w:rsidRDefault="006C13EB" w:rsidP="00A30703">
      <w:pPr>
        <w:pStyle w:val="NoSpacing"/>
        <w:spacing w:line="480" w:lineRule="auto"/>
        <w:rPr>
          <w:rFonts w:ascii="Times New Roman" w:hAnsi="Times New Roman" w:cs="Times New Roman"/>
          <w:bCs/>
        </w:rPr>
      </w:pPr>
      <w:r w:rsidRPr="006C13EB">
        <w:rPr>
          <w:rFonts w:ascii="Times New Roman" w:hAnsi="Times New Roman" w:cs="Times New Roman"/>
          <w:bCs/>
          <w:i/>
          <w:iCs/>
        </w:rPr>
        <w:t>Note.</w:t>
      </w:r>
      <w:r w:rsidRPr="006C13EB">
        <w:rPr>
          <w:rFonts w:ascii="Times New Roman" w:hAnsi="Times New Roman" w:cs="Times New Roman"/>
          <w:bCs/>
        </w:rPr>
        <w:t xml:space="preserve"> On each trial, participants clicked on the “START” button, and then were asked to choose between two images by dragging the mouse to click on the image that they rated as more positive. Participants were asked to respond as quickly as possible. A warning message appeared saying “Please start moving earlier on even if you are not fully certain of a response yet!” if participants took over 1000ms to initiate mouse movement. </w:t>
      </w:r>
      <w:r w:rsidR="00A30703" w:rsidRPr="00A30703">
        <w:rPr>
          <w:rFonts w:ascii="Times New Roman" w:hAnsi="Times New Roman" w:cs="Times New Roman"/>
          <w:bCs/>
        </w:rPr>
        <w:t>Schematics are adapted with permission from those in</w:t>
      </w:r>
      <w:r w:rsidR="00A30703">
        <w:rPr>
          <w:rFonts w:ascii="Times New Roman" w:hAnsi="Times New Roman" w:cs="Times New Roman"/>
          <w:bCs/>
        </w:rPr>
        <w:t xml:space="preserve"> </w:t>
      </w:r>
      <w:r w:rsidR="00A30703">
        <w:rPr>
          <w:rFonts w:ascii="Times New Roman" w:hAnsi="Times New Roman" w:cs="Times New Roman"/>
          <w:bCs/>
        </w:rPr>
        <w:fldChar w:fldCharType="begin"/>
      </w:r>
      <w:r w:rsidR="00996CF6">
        <w:rPr>
          <w:rFonts w:ascii="Times New Roman" w:hAnsi="Times New Roman" w:cs="Times New Roman"/>
          <w:bCs/>
        </w:rPr>
        <w:instrText xml:space="preserve"> ADDIN ZOTERO_ITEM CSL_CITATION {"citationID":"hsqgbCnj","properties":{"formattedCitation":"(Stillman et al., 2017)","plainCitation":"(Stillman et al., 2017)","noteIndex":0},"citationItems":[{"id":1627,"uris":["http://zotero.org/users/7873587/items/Z838EEF5"],"itemData":{"id":1627,"type":"article-journal","abstract":"Across four studies, we used mouse tracking to identify the dynamic, on-line cognitive processes that underlie successful self-control decisions. First, we showed that individuals display real-time conflict when choosing options consistent with their long-term goal over short-term temptations. Second, we found that individuals who are more successful at self-control—whether measured or manipulated—show significantly less real-time conflict in only self-control-relevant choices. Third, we demonstrated that successful individuals who choose a long-term goal over a short-term temptation display movements that are smooth rather than abrupt, which suggests dynamic rather than stage-based resolution of self-control conflicts. These findings have important implications for contemporary theories of self-control.","container-title":"Psychological Science","DOI":"10.1177/0956797617705386","ISSN":"0956-7976","issue":"9","journalAbbreviation":"Psychol Sci","language":"en","note":"publisher: SAGE Publications Inc","page":"1240-1258","source":"SAGE Journals","title":"Resisting temptation: Tracking how self-control conflicts are successfully resolved in real time","title-short":"Resisting Temptation","volume":"28","author":[{"family":"Stillman","given":"Paul E."},{"family":"Medvedev","given":"Danila"},{"family":"Ferguson","given":"Melissa J."}],"issued":{"date-parts":[["2017",9,1]]}}}],"schema":"https://github.com/citation-style-language/schema/raw/master/csl-citation.json"} </w:instrText>
      </w:r>
      <w:r w:rsidR="00A30703">
        <w:rPr>
          <w:rFonts w:ascii="Times New Roman" w:hAnsi="Times New Roman" w:cs="Times New Roman"/>
          <w:bCs/>
        </w:rPr>
        <w:fldChar w:fldCharType="separate"/>
      </w:r>
      <w:r w:rsidR="00A30703" w:rsidRPr="00A30703">
        <w:rPr>
          <w:rFonts w:ascii="Times New Roman" w:hAnsi="Times New Roman" w:cs="Times New Roman"/>
        </w:rPr>
        <w:t>(Stillman et al., 2017)</w:t>
      </w:r>
      <w:r w:rsidR="00A30703">
        <w:rPr>
          <w:rFonts w:ascii="Times New Roman" w:hAnsi="Times New Roman" w:cs="Times New Roman"/>
          <w:bCs/>
        </w:rPr>
        <w:fldChar w:fldCharType="end"/>
      </w:r>
      <w:r w:rsidR="00A30703" w:rsidRPr="00A30703">
        <w:rPr>
          <w:rFonts w:ascii="Times New Roman" w:hAnsi="Times New Roman" w:cs="Times New Roman"/>
          <w:bCs/>
        </w:rPr>
        <w:t>.</w:t>
      </w:r>
      <w:r w:rsidR="00A30703">
        <w:rPr>
          <w:rFonts w:ascii="Times New Roman" w:hAnsi="Times New Roman" w:cs="Times New Roman"/>
          <w:bCs/>
        </w:rPr>
        <w:t xml:space="preserve"> </w:t>
      </w:r>
    </w:p>
    <w:p w14:paraId="0EAFFF09" w14:textId="77777777" w:rsidR="00A30703" w:rsidRDefault="00A30703" w:rsidP="00A30703">
      <w:pPr>
        <w:pStyle w:val="NoSpacing"/>
        <w:spacing w:line="480" w:lineRule="auto"/>
        <w:rPr>
          <w:rFonts w:ascii="Times New Roman" w:hAnsi="Times New Roman" w:cs="Times New Roman"/>
          <w:bCs/>
        </w:rPr>
      </w:pPr>
    </w:p>
    <w:p w14:paraId="19E77269" w14:textId="77777777" w:rsidR="00A30703" w:rsidRPr="00A30703" w:rsidRDefault="00A30703" w:rsidP="00A30703">
      <w:pPr>
        <w:pStyle w:val="NoSpacing"/>
        <w:spacing w:line="480" w:lineRule="auto"/>
        <w:rPr>
          <w:rFonts w:ascii="Times New Roman" w:hAnsi="Times New Roman" w:cs="Times New Roman"/>
          <w:b/>
        </w:rPr>
      </w:pPr>
      <w:r w:rsidRPr="00A30703">
        <w:rPr>
          <w:rFonts w:ascii="Times New Roman" w:hAnsi="Times New Roman" w:cs="Times New Roman"/>
          <w:b/>
        </w:rPr>
        <w:t>Data preparation and analysis</w:t>
      </w:r>
    </w:p>
    <w:p w14:paraId="5F1CF56B" w14:textId="3BB40D68" w:rsidR="00A30703" w:rsidRDefault="00A30703" w:rsidP="00AC7E2E">
      <w:pPr>
        <w:pStyle w:val="NoSpacing"/>
        <w:spacing w:line="480" w:lineRule="auto"/>
        <w:rPr>
          <w:rFonts w:ascii="Times New Roman" w:hAnsi="Times New Roman" w:cs="Times New Roman"/>
          <w:bCs/>
        </w:rPr>
      </w:pPr>
      <w:r w:rsidRPr="00A30703">
        <w:rPr>
          <w:rFonts w:ascii="Times New Roman" w:hAnsi="Times New Roman" w:cs="Times New Roman"/>
          <w:bCs/>
        </w:rPr>
        <w:t xml:space="preserve">On the VBDM task, in addition to “miss trials” (responses exceeding 4 seconds) were removed (0.47%) in addition to trials that were under 300ms (0.14%) as these are likely to be fast guesses </w:t>
      </w:r>
      <w:r>
        <w:rPr>
          <w:rFonts w:ascii="Times New Roman" w:hAnsi="Times New Roman" w:cs="Times New Roman"/>
          <w:bCs/>
        </w:rPr>
        <w:fldChar w:fldCharType="begin"/>
      </w:r>
      <w:r w:rsidR="00AC7E2E">
        <w:rPr>
          <w:rFonts w:ascii="Times New Roman" w:hAnsi="Times New Roman" w:cs="Times New Roman"/>
          <w:bCs/>
        </w:rPr>
        <w:instrText xml:space="preserve"> ADDIN ZOTERO_ITEM CSL_CITATION {"citationID":"F340UsNL","properties":{"formattedCitation":"(Ratcliff et al., 2006b)","plainCitation":"(Ratcliff et al., 2006b)","noteIndex":0},"citationItems":[{"id":658,"uris":["http://zotero.org/users/7873587/items/GVYLJ39Z"],"itemData":{"id":658,"type":"article-journal","abstract":"Practice effects were examined in a masked letter discrimination task and a masked brightness discrimination task for college-age and 60- to 75-year-old subjects. The diffusion model (Ratcliff, 1978) was fit to the response time and accuracy data and used to extract estimates of components of processing from the data. Relative to young subjects, the older subjects began the experiments with slower and less accurate performance; however, across sessions their accuracy improved because the quality of the information on which their decisions were based improved, and this, along with reduced decision criteria, led to shorter response times. For the brightness, but not the letter, discrimination task, the older subjects' performance matched that of the younger group by the end of 4 sessions, except that their nondecision components of processing were slightly slower. These analyses illustrate how a well-specified model can provide a unified view of multiple aspects of data that are often interpreted separately.","container-title":"Psychology and Aging","DOI":"10.1037/0882-7974.21.2.353","ISSN":"0882-7974","issue":"2","journalAbbreviation":"Psychol Aging","language":"eng","note":"PMID: 16768580\nPMCID: PMC2386252","page":"353-371","source":"PubMed","title":"Aging, practice, and perceptual tasks: a diffusion model analysis","title-short":"Aging, practice, and perceptual tasks","volume":"21","author":[{"family":"Ratcliff","given":"Roger"},{"family":"Thapar","given":"Anjali"},{"family":"McKoon","given":"Gail"}],"issued":{"date-parts":[["2006",6]]}}}],"schema":"https://github.com/citation-style-language/schema/raw/master/csl-citation.json"} </w:instrText>
      </w:r>
      <w:r>
        <w:rPr>
          <w:rFonts w:ascii="Times New Roman" w:hAnsi="Times New Roman" w:cs="Times New Roman"/>
          <w:bCs/>
        </w:rPr>
        <w:fldChar w:fldCharType="separate"/>
      </w:r>
      <w:r w:rsidR="00AC7E2E" w:rsidRPr="00AC7E2E">
        <w:rPr>
          <w:rFonts w:ascii="Times New Roman" w:hAnsi="Times New Roman" w:cs="Times New Roman"/>
        </w:rPr>
        <w:t>(Ratcliff et al., 2006b)</w:t>
      </w:r>
      <w:r>
        <w:rPr>
          <w:rFonts w:ascii="Times New Roman" w:hAnsi="Times New Roman" w:cs="Times New Roman"/>
          <w:bCs/>
        </w:rPr>
        <w:fldChar w:fldCharType="end"/>
      </w:r>
      <w:r w:rsidRPr="00A30703">
        <w:rPr>
          <w:rFonts w:ascii="Times New Roman" w:hAnsi="Times New Roman" w:cs="Times New Roman"/>
          <w:bCs/>
        </w:rPr>
        <w:t xml:space="preserve">, which resulted in the overall removal of 0.61% of trials. We then fitted the DDM (Ratcliff &amp; </w:t>
      </w:r>
      <w:proofErr w:type="spellStart"/>
      <w:r w:rsidRPr="00A30703">
        <w:rPr>
          <w:rFonts w:ascii="Times New Roman" w:hAnsi="Times New Roman" w:cs="Times New Roman"/>
          <w:bCs/>
        </w:rPr>
        <w:t>McKoon</w:t>
      </w:r>
      <w:proofErr w:type="spellEnd"/>
      <w:r w:rsidRPr="00A30703">
        <w:rPr>
          <w:rFonts w:ascii="Times New Roman" w:hAnsi="Times New Roman" w:cs="Times New Roman"/>
          <w:bCs/>
        </w:rPr>
        <w:t>, 2008) using the EZ method (</w:t>
      </w:r>
      <w:proofErr w:type="spellStart"/>
      <w:r w:rsidRPr="00A30703">
        <w:rPr>
          <w:rFonts w:ascii="Times New Roman" w:hAnsi="Times New Roman" w:cs="Times New Roman"/>
          <w:bCs/>
        </w:rPr>
        <w:t>Wagenmakers</w:t>
      </w:r>
      <w:proofErr w:type="spellEnd"/>
      <w:r w:rsidR="00AC7E2E">
        <w:rPr>
          <w:rFonts w:ascii="Times New Roman" w:hAnsi="Times New Roman" w:cs="Times New Roman"/>
          <w:bCs/>
        </w:rPr>
        <w:t xml:space="preserve"> et al.,</w:t>
      </w:r>
      <w:r w:rsidRPr="00A30703">
        <w:rPr>
          <w:rFonts w:ascii="Times New Roman" w:hAnsi="Times New Roman" w:cs="Times New Roman"/>
          <w:bCs/>
        </w:rPr>
        <w:t xml:space="preserve"> 2007) to estimate the DDM parameters</w:t>
      </w:r>
      <w:r w:rsidR="00AC7E2E">
        <w:rPr>
          <w:rFonts w:ascii="Times New Roman" w:hAnsi="Times New Roman" w:cs="Times New Roman"/>
          <w:bCs/>
        </w:rPr>
        <w:t xml:space="preserve">. </w:t>
      </w:r>
      <w:r w:rsidRPr="00A30703">
        <w:rPr>
          <w:rFonts w:ascii="Times New Roman" w:hAnsi="Times New Roman" w:cs="Times New Roman"/>
          <w:bCs/>
        </w:rPr>
        <w:t>The EZ-DDM takes the mean correct response time, variance of correct response, and response accuracy as input and produces three key parameters which are: drift rate (</w:t>
      </w:r>
      <w:r w:rsidRPr="00A30703">
        <w:rPr>
          <w:rFonts w:ascii="Times New Roman" w:hAnsi="Times New Roman" w:cs="Times New Roman"/>
          <w:bCs/>
          <w:i/>
        </w:rPr>
        <w:t>v)</w:t>
      </w:r>
      <w:r w:rsidRPr="00A30703">
        <w:rPr>
          <w:rFonts w:ascii="Times New Roman" w:hAnsi="Times New Roman" w:cs="Times New Roman"/>
          <w:bCs/>
        </w:rPr>
        <w:t>, boundary separation (</w:t>
      </w:r>
      <w:r w:rsidRPr="00A30703">
        <w:rPr>
          <w:rFonts w:ascii="Times New Roman" w:hAnsi="Times New Roman" w:cs="Times New Roman"/>
          <w:bCs/>
          <w:i/>
        </w:rPr>
        <w:t>a</w:t>
      </w:r>
      <w:r w:rsidRPr="00A30703">
        <w:rPr>
          <w:rFonts w:ascii="Times New Roman" w:hAnsi="Times New Roman" w:cs="Times New Roman"/>
          <w:bCs/>
        </w:rPr>
        <w:t>), and non-decision time (</w:t>
      </w:r>
      <w:r w:rsidRPr="00A30703">
        <w:rPr>
          <w:rFonts w:ascii="Times New Roman" w:hAnsi="Times New Roman" w:cs="Times New Roman"/>
          <w:bCs/>
          <w:i/>
        </w:rPr>
        <w:t>T</w:t>
      </w:r>
      <w:r w:rsidRPr="00A30703">
        <w:rPr>
          <w:rFonts w:ascii="Times New Roman" w:hAnsi="Times New Roman" w:cs="Times New Roman"/>
          <w:bCs/>
          <w:vertAlign w:val="subscript"/>
        </w:rPr>
        <w:t>er</w:t>
      </w:r>
      <w:r w:rsidRPr="00A30703">
        <w:rPr>
          <w:rFonts w:ascii="Times New Roman" w:hAnsi="Times New Roman" w:cs="Times New Roman"/>
          <w:bCs/>
        </w:rPr>
        <w:t xml:space="preserve">). We estimated the parameters (EA rates and response thresholds) for each participant, for each </w:t>
      </w:r>
      <w:r w:rsidRPr="00A30703">
        <w:rPr>
          <w:rFonts w:ascii="Times New Roman" w:hAnsi="Times New Roman" w:cs="Times New Roman"/>
          <w:bCs/>
        </w:rPr>
        <w:lastRenderedPageBreak/>
        <w:t>difficulty level, and for each image type separately (see Appendix F for analyses on difficulty levels in isolation).</w:t>
      </w:r>
    </w:p>
    <w:p w14:paraId="057335D0" w14:textId="77777777" w:rsidR="00AC7E2E" w:rsidRPr="00A30703" w:rsidRDefault="00AC7E2E" w:rsidP="00AC7E2E">
      <w:pPr>
        <w:pStyle w:val="NoSpacing"/>
        <w:spacing w:line="480" w:lineRule="auto"/>
        <w:rPr>
          <w:rFonts w:ascii="Times New Roman" w:hAnsi="Times New Roman" w:cs="Times New Roman"/>
          <w:bCs/>
        </w:rPr>
      </w:pPr>
    </w:p>
    <w:p w14:paraId="49D405C6" w14:textId="55121315"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 xml:space="preserve">Standard recommended practices were followed in relation to preparation of </w:t>
      </w:r>
      <w:proofErr w:type="spellStart"/>
      <w:r w:rsidRPr="00AC7E2E">
        <w:rPr>
          <w:rFonts w:ascii="Times New Roman" w:hAnsi="Times New Roman" w:cs="Times New Roman"/>
          <w:bCs/>
        </w:rPr>
        <w:t>MouseTracker</w:t>
      </w:r>
      <w:proofErr w:type="spellEnd"/>
      <w:r w:rsidRPr="00AC7E2E">
        <w:rPr>
          <w:rFonts w:ascii="Times New Roman" w:hAnsi="Times New Roman" w:cs="Times New Roman"/>
          <w:bCs/>
        </w:rPr>
        <w:t xml:space="preserve"> data (see Freeman &amp; </w:t>
      </w:r>
      <w:proofErr w:type="spellStart"/>
      <w:r w:rsidRPr="00AC7E2E">
        <w:rPr>
          <w:rFonts w:ascii="Times New Roman" w:hAnsi="Times New Roman" w:cs="Times New Roman"/>
          <w:bCs/>
        </w:rPr>
        <w:t>Ambady</w:t>
      </w:r>
      <w:proofErr w:type="spellEnd"/>
      <w:r w:rsidRPr="00AC7E2E">
        <w:rPr>
          <w:rFonts w:ascii="Times New Roman" w:hAnsi="Times New Roman" w:cs="Times New Roman"/>
          <w:bCs/>
        </w:rPr>
        <w:t xml:space="preserve">, 2010). Mouse trajectories were time-normalized into 101-time bins and responses were rescaled such that the trajectory terminated at the top-right response location. Trials whereby participants made the incorrect choice (i.e., they did not choose the image that was rated higher) were removed. </w:t>
      </w:r>
      <w:sdt>
        <w:sdtPr>
          <w:rPr>
            <w:rFonts w:ascii="Times New Roman" w:hAnsi="Times New Roman" w:cs="Times New Roman"/>
            <w:bCs/>
          </w:rPr>
          <w:tag w:val="goog_rdk_10"/>
          <w:id w:val="6871324"/>
        </w:sdtPr>
        <w:sdtContent/>
      </w:sdt>
      <w:sdt>
        <w:sdtPr>
          <w:rPr>
            <w:rFonts w:ascii="Times New Roman" w:hAnsi="Times New Roman" w:cs="Times New Roman"/>
            <w:bCs/>
          </w:rPr>
          <w:tag w:val="goog_rdk_11"/>
          <w:id w:val="1666286121"/>
        </w:sdtPr>
        <w:sdtContent/>
      </w:sdt>
      <w:sdt>
        <w:sdtPr>
          <w:rPr>
            <w:rFonts w:ascii="Times New Roman" w:hAnsi="Times New Roman" w:cs="Times New Roman"/>
            <w:bCs/>
          </w:rPr>
          <w:tag w:val="goog_rdk_12"/>
          <w:id w:val="-1224664924"/>
        </w:sdtPr>
        <w:sdtContent/>
      </w:sdt>
      <w:r>
        <w:rPr>
          <w:rFonts w:ascii="Times New Roman" w:hAnsi="Times New Roman" w:cs="Times New Roman"/>
          <w:bCs/>
        </w:rPr>
        <w:t>Following established procedures (Stillman et al., 2017), o</w:t>
      </w:r>
      <w:r w:rsidRPr="00AC7E2E">
        <w:rPr>
          <w:rFonts w:ascii="Times New Roman" w:hAnsi="Times New Roman" w:cs="Times New Roman"/>
          <w:bCs/>
        </w:rPr>
        <w:t>utliers that were ±3 standard deviations from individual participant means on reaction time, AUC, and time until initial mouse movement were then removed, which resulted in the removal of 11.33% of trials. The mean time until initial mouse movement was 228.4ms (SD = 188.42) which demonstrates that participants were moving their mouse from the onset of the choices</w:t>
      </w:r>
      <w:r>
        <w:rPr>
          <w:rFonts w:ascii="Times New Roman" w:hAnsi="Times New Roman" w:cs="Times New Roman"/>
          <w:bCs/>
        </w:rPr>
        <w:t xml:space="preserve"> </w:t>
      </w:r>
      <w:r w:rsidRPr="00AC7E2E">
        <w:rPr>
          <w:rFonts w:ascii="Times New Roman" w:hAnsi="Times New Roman" w:cs="Times New Roman"/>
          <w:bCs/>
        </w:rPr>
        <w:t>rather than waiting until relatively late in their processing stream to begin moving the mouse. Difficulty levels were averaged to generate overall AUC scores for tobacco and tobacco-unrelated (animal) choices (see Appendix F for analyses on difficulty levels in isolation).</w:t>
      </w:r>
    </w:p>
    <w:p w14:paraId="65EE5B0A" w14:textId="77777777" w:rsidR="00AC7E2E" w:rsidRPr="00AC7E2E" w:rsidRDefault="00AC7E2E" w:rsidP="00AC7E2E">
      <w:pPr>
        <w:pStyle w:val="NoSpacing"/>
        <w:spacing w:line="480" w:lineRule="auto"/>
        <w:rPr>
          <w:rFonts w:ascii="Times New Roman" w:hAnsi="Times New Roman" w:cs="Times New Roman"/>
          <w:bCs/>
        </w:rPr>
      </w:pPr>
    </w:p>
    <w:p w14:paraId="04276DDF" w14:textId="0A075D22" w:rsid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 xml:space="preserve">Independent samples </w:t>
      </w:r>
      <w:r w:rsidRPr="00AC7E2E">
        <w:rPr>
          <w:rFonts w:ascii="Times New Roman" w:hAnsi="Times New Roman" w:cs="Times New Roman"/>
          <w:bCs/>
          <w:i/>
          <w:iCs/>
        </w:rPr>
        <w:t>t</w:t>
      </w:r>
      <w:r w:rsidRPr="00AC7E2E">
        <w:rPr>
          <w:rFonts w:ascii="Times New Roman" w:hAnsi="Times New Roman" w:cs="Times New Roman"/>
          <w:bCs/>
        </w:rPr>
        <w:t xml:space="preserve">-tests (one-tailed) were used to analyse the data for the pre-registered hypotheses, supplemented by mixed-design ANOVAs to establish the robustness of any group differences. Non-parametric tests were used for data that were not approximately normally distributed. Statistical analyses were conducted in RStudio version 4.0.2 (R Core Team, 2020). </w:t>
      </w:r>
    </w:p>
    <w:p w14:paraId="578C955A" w14:textId="474A79C8" w:rsidR="00AC7E2E" w:rsidRDefault="00AC7E2E" w:rsidP="00AC7E2E">
      <w:pPr>
        <w:pStyle w:val="NoSpacing"/>
        <w:spacing w:line="480" w:lineRule="auto"/>
        <w:rPr>
          <w:rFonts w:ascii="Times New Roman" w:hAnsi="Times New Roman" w:cs="Times New Roman"/>
          <w:bCs/>
        </w:rPr>
      </w:pPr>
    </w:p>
    <w:p w14:paraId="0F2ED091" w14:textId="5F4AE5EA" w:rsidR="00AC7E2E" w:rsidRPr="00AC7E2E" w:rsidRDefault="00AC7E2E" w:rsidP="00AC7E2E">
      <w:pPr>
        <w:pStyle w:val="Heading4"/>
      </w:pPr>
      <w:bookmarkStart w:id="310" w:name="_Toc110629077"/>
      <w:bookmarkStart w:id="311" w:name="_Toc110870985"/>
      <w:r>
        <w:t>7.3. Results</w:t>
      </w:r>
      <w:bookmarkEnd w:id="310"/>
      <w:bookmarkEnd w:id="311"/>
    </w:p>
    <w:p w14:paraId="7434E69C" w14:textId="6C99D548"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 xml:space="preserve">See Table </w:t>
      </w:r>
      <w:r>
        <w:rPr>
          <w:rFonts w:ascii="Times New Roman" w:hAnsi="Times New Roman" w:cs="Times New Roman"/>
          <w:bCs/>
        </w:rPr>
        <w:t>7</w:t>
      </w:r>
      <w:r w:rsidRPr="00AC7E2E">
        <w:rPr>
          <w:rFonts w:ascii="Times New Roman" w:hAnsi="Times New Roman" w:cs="Times New Roman"/>
          <w:bCs/>
        </w:rPr>
        <w:t>.1 for descriptive statistics of questionnaire measures.</w:t>
      </w:r>
    </w:p>
    <w:p w14:paraId="4076CD1A" w14:textId="77777777" w:rsidR="00AC7E2E" w:rsidRPr="00A30703" w:rsidRDefault="00AC7E2E" w:rsidP="00AC7E2E">
      <w:pPr>
        <w:pStyle w:val="NoSpacing"/>
        <w:spacing w:line="480" w:lineRule="auto"/>
        <w:rPr>
          <w:rFonts w:ascii="Times New Roman" w:hAnsi="Times New Roman" w:cs="Times New Roman"/>
          <w:bCs/>
        </w:rPr>
      </w:pPr>
    </w:p>
    <w:p w14:paraId="2F82E4E5" w14:textId="215BF88F" w:rsidR="00AC7E2E" w:rsidRDefault="00AC7E2E" w:rsidP="00AC7E2E">
      <w:pPr>
        <w:pStyle w:val="NoSpacing"/>
        <w:spacing w:line="480" w:lineRule="auto"/>
        <w:rPr>
          <w:rFonts w:ascii="Times New Roman" w:hAnsi="Times New Roman" w:cs="Times New Roman"/>
          <w:bCs/>
          <w:iCs/>
        </w:rPr>
      </w:pPr>
      <w:bookmarkStart w:id="312" w:name="_Hlk110615171"/>
      <w:r w:rsidRPr="00AC7E2E">
        <w:rPr>
          <w:rFonts w:ascii="Times New Roman" w:hAnsi="Times New Roman" w:cs="Times New Roman"/>
          <w:b/>
          <w:bCs/>
          <w:iCs/>
        </w:rPr>
        <w:t>Table 7.1</w:t>
      </w:r>
    </w:p>
    <w:p w14:paraId="2D9136F1" w14:textId="772890B3" w:rsidR="00AC7E2E" w:rsidRDefault="00AC7E2E" w:rsidP="00AC7E2E">
      <w:pPr>
        <w:pStyle w:val="NoSpacing"/>
        <w:spacing w:line="480" w:lineRule="auto"/>
        <w:rPr>
          <w:rFonts w:ascii="Times New Roman" w:hAnsi="Times New Roman" w:cs="Times New Roman"/>
          <w:bCs/>
          <w:i/>
          <w:iCs/>
        </w:rPr>
      </w:pPr>
      <w:r w:rsidRPr="00AC7E2E">
        <w:rPr>
          <w:rFonts w:ascii="Times New Roman" w:hAnsi="Times New Roman" w:cs="Times New Roman"/>
          <w:bCs/>
          <w:i/>
          <w:iCs/>
        </w:rPr>
        <w:t>Descriptive statistics split by smoking status (values represent the mean and standard deviation)</w:t>
      </w:r>
    </w:p>
    <w:bookmarkEnd w:id="312"/>
    <w:tbl>
      <w:tblPr>
        <w:tblW w:w="8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1843"/>
        <w:gridCol w:w="1701"/>
        <w:gridCol w:w="1999"/>
      </w:tblGrid>
      <w:tr w:rsidR="00AC7E2E" w:rsidRPr="00AC7E2E" w14:paraId="026147BA" w14:textId="77777777" w:rsidTr="00AC7E2E">
        <w:trPr>
          <w:trHeight w:val="748"/>
        </w:trPr>
        <w:tc>
          <w:tcPr>
            <w:tcW w:w="3402" w:type="dxa"/>
            <w:tcBorders>
              <w:top w:val="single" w:sz="18" w:space="0" w:color="000000"/>
              <w:left w:val="nil"/>
              <w:right w:val="nil"/>
            </w:tcBorders>
          </w:tcPr>
          <w:p w14:paraId="6E09E2D2" w14:textId="77777777" w:rsidR="00AC7E2E" w:rsidRPr="00AC7E2E" w:rsidRDefault="00AC7E2E" w:rsidP="00AC7E2E">
            <w:pPr>
              <w:pStyle w:val="NoSpacing"/>
            </w:pPr>
          </w:p>
        </w:tc>
        <w:tc>
          <w:tcPr>
            <w:tcW w:w="1843" w:type="dxa"/>
            <w:tcBorders>
              <w:top w:val="single" w:sz="18" w:space="0" w:color="000000"/>
              <w:left w:val="nil"/>
              <w:right w:val="nil"/>
            </w:tcBorders>
          </w:tcPr>
          <w:p w14:paraId="60162729" w14:textId="77777777" w:rsidR="00AC7E2E" w:rsidRPr="00AC7E2E" w:rsidRDefault="00AC7E2E" w:rsidP="00AC7E2E">
            <w:pPr>
              <w:pStyle w:val="NoSpacing"/>
              <w:jc w:val="center"/>
              <w:rPr>
                <w:rFonts w:ascii="Times New Roman" w:hAnsi="Times New Roman" w:cs="Times New Roman"/>
              </w:rPr>
            </w:pPr>
            <w:r w:rsidRPr="00AC7E2E">
              <w:rPr>
                <w:rFonts w:ascii="Times New Roman" w:hAnsi="Times New Roman" w:cs="Times New Roman"/>
              </w:rPr>
              <w:t>Smokers</w:t>
            </w:r>
          </w:p>
        </w:tc>
        <w:tc>
          <w:tcPr>
            <w:tcW w:w="1701" w:type="dxa"/>
            <w:tcBorders>
              <w:top w:val="single" w:sz="18" w:space="0" w:color="000000"/>
              <w:left w:val="nil"/>
              <w:right w:val="nil"/>
            </w:tcBorders>
          </w:tcPr>
          <w:p w14:paraId="2C5110AA" w14:textId="77777777" w:rsidR="00AC7E2E" w:rsidRPr="00AC7E2E" w:rsidRDefault="00AC7E2E" w:rsidP="00AC7E2E">
            <w:pPr>
              <w:pStyle w:val="NoSpacing"/>
              <w:jc w:val="center"/>
              <w:rPr>
                <w:rFonts w:ascii="Times New Roman" w:hAnsi="Times New Roman" w:cs="Times New Roman"/>
              </w:rPr>
            </w:pPr>
            <w:r w:rsidRPr="00AC7E2E">
              <w:rPr>
                <w:rFonts w:ascii="Times New Roman" w:hAnsi="Times New Roman" w:cs="Times New Roman"/>
              </w:rPr>
              <w:t>Ex-smokers</w:t>
            </w:r>
          </w:p>
        </w:tc>
        <w:tc>
          <w:tcPr>
            <w:tcW w:w="1999" w:type="dxa"/>
            <w:tcBorders>
              <w:top w:val="single" w:sz="18" w:space="0" w:color="000000"/>
              <w:left w:val="nil"/>
              <w:right w:val="nil"/>
            </w:tcBorders>
          </w:tcPr>
          <w:p w14:paraId="383FCB26" w14:textId="12A54ADE" w:rsidR="00AC7E2E" w:rsidRPr="00AC7E2E" w:rsidRDefault="00AC7E2E" w:rsidP="00AC7E2E">
            <w:pPr>
              <w:pStyle w:val="NoSpacing"/>
              <w:jc w:val="center"/>
              <w:rPr>
                <w:rFonts w:ascii="Times New Roman" w:hAnsi="Times New Roman" w:cs="Times New Roman"/>
              </w:rPr>
            </w:pPr>
            <w:r w:rsidRPr="00AC7E2E">
              <w:rPr>
                <w:rFonts w:ascii="Times New Roman" w:hAnsi="Times New Roman" w:cs="Times New Roman"/>
                <w:i/>
                <w:iCs/>
              </w:rPr>
              <w:t>p</w:t>
            </w:r>
            <w:r w:rsidRPr="00AC7E2E">
              <w:rPr>
                <w:rFonts w:ascii="Times New Roman" w:hAnsi="Times New Roman" w:cs="Times New Roman"/>
              </w:rPr>
              <w:t>-value and effect size</w:t>
            </w:r>
          </w:p>
        </w:tc>
      </w:tr>
      <w:tr w:rsidR="00AC7E2E" w:rsidRPr="00AC7E2E" w14:paraId="5C4206D7" w14:textId="77777777" w:rsidTr="00AC7E2E">
        <w:trPr>
          <w:trHeight w:val="450"/>
        </w:trPr>
        <w:tc>
          <w:tcPr>
            <w:tcW w:w="3402" w:type="dxa"/>
            <w:tcBorders>
              <w:left w:val="nil"/>
              <w:bottom w:val="nil"/>
              <w:right w:val="nil"/>
            </w:tcBorders>
          </w:tcPr>
          <w:p w14:paraId="690952A8"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Age (years)</w:t>
            </w:r>
          </w:p>
        </w:tc>
        <w:tc>
          <w:tcPr>
            <w:tcW w:w="1843" w:type="dxa"/>
            <w:tcBorders>
              <w:left w:val="nil"/>
              <w:bottom w:val="nil"/>
              <w:right w:val="nil"/>
            </w:tcBorders>
          </w:tcPr>
          <w:p w14:paraId="25B4D7B1" w14:textId="3B55226D"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31.37 (11.81)</w:t>
            </w:r>
          </w:p>
        </w:tc>
        <w:tc>
          <w:tcPr>
            <w:tcW w:w="1701" w:type="dxa"/>
            <w:tcBorders>
              <w:left w:val="nil"/>
              <w:bottom w:val="nil"/>
              <w:right w:val="nil"/>
            </w:tcBorders>
          </w:tcPr>
          <w:p w14:paraId="25C377EB" w14:textId="33A8CAAC"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42.71 (13.65)</w:t>
            </w:r>
          </w:p>
        </w:tc>
        <w:tc>
          <w:tcPr>
            <w:tcW w:w="1999" w:type="dxa"/>
            <w:tcBorders>
              <w:left w:val="nil"/>
              <w:bottom w:val="nil"/>
              <w:right w:val="nil"/>
            </w:tcBorders>
          </w:tcPr>
          <w:p w14:paraId="56DC4B4F" w14:textId="6140AE3A"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i/>
              </w:rPr>
              <w:t xml:space="preserve">p </w:t>
            </w:r>
            <w:r w:rsidRPr="00AC7E2E">
              <w:rPr>
                <w:rFonts w:ascii="Times New Roman" w:hAnsi="Times New Roman" w:cs="Times New Roman"/>
                <w:bCs/>
              </w:rPr>
              <w:t xml:space="preserve">&lt; .001, </w:t>
            </w:r>
            <w:r w:rsidRPr="00AC7E2E">
              <w:rPr>
                <w:rFonts w:ascii="Times New Roman" w:hAnsi="Times New Roman" w:cs="Times New Roman"/>
                <w:bCs/>
                <w:i/>
                <w:iCs/>
              </w:rPr>
              <w:t>d</w:t>
            </w:r>
            <w:r w:rsidRPr="00AC7E2E">
              <w:rPr>
                <w:rFonts w:ascii="Times New Roman" w:hAnsi="Times New Roman" w:cs="Times New Roman"/>
                <w:bCs/>
              </w:rPr>
              <w:t xml:space="preserve"> = .89</w:t>
            </w:r>
          </w:p>
        </w:tc>
      </w:tr>
      <w:tr w:rsidR="00AC7E2E" w:rsidRPr="00AC7E2E" w14:paraId="005757AB" w14:textId="77777777" w:rsidTr="00AC7E2E">
        <w:trPr>
          <w:trHeight w:val="454"/>
        </w:trPr>
        <w:tc>
          <w:tcPr>
            <w:tcW w:w="3402" w:type="dxa"/>
            <w:tcBorders>
              <w:top w:val="nil"/>
              <w:left w:val="nil"/>
              <w:bottom w:val="nil"/>
              <w:right w:val="nil"/>
            </w:tcBorders>
          </w:tcPr>
          <w:p w14:paraId="6C0D4A95"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BSCS</w:t>
            </w:r>
          </w:p>
        </w:tc>
        <w:tc>
          <w:tcPr>
            <w:tcW w:w="1843" w:type="dxa"/>
            <w:tcBorders>
              <w:top w:val="nil"/>
              <w:left w:val="nil"/>
              <w:bottom w:val="nil"/>
              <w:right w:val="nil"/>
            </w:tcBorders>
          </w:tcPr>
          <w:p w14:paraId="54F32638" w14:textId="4C1694E6"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36.16 (6.65)</w:t>
            </w:r>
          </w:p>
        </w:tc>
        <w:tc>
          <w:tcPr>
            <w:tcW w:w="1701" w:type="dxa"/>
            <w:tcBorders>
              <w:top w:val="nil"/>
              <w:left w:val="nil"/>
              <w:bottom w:val="nil"/>
              <w:right w:val="nil"/>
            </w:tcBorders>
          </w:tcPr>
          <w:p w14:paraId="0F0E285C" w14:textId="6D73F8E1"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39.57 (8.82)</w:t>
            </w:r>
          </w:p>
        </w:tc>
        <w:tc>
          <w:tcPr>
            <w:tcW w:w="1999" w:type="dxa"/>
            <w:tcBorders>
              <w:top w:val="nil"/>
              <w:left w:val="nil"/>
              <w:bottom w:val="nil"/>
              <w:right w:val="nil"/>
            </w:tcBorders>
          </w:tcPr>
          <w:p w14:paraId="2D2F081F" w14:textId="7B931033"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i/>
              </w:rPr>
              <w:t xml:space="preserve">p </w:t>
            </w:r>
            <w:r w:rsidRPr="00AC7E2E">
              <w:rPr>
                <w:rFonts w:ascii="Times New Roman" w:hAnsi="Times New Roman" w:cs="Times New Roman"/>
                <w:bCs/>
              </w:rPr>
              <w:t xml:space="preserve">= .03, </w:t>
            </w:r>
            <w:r w:rsidRPr="00AC7E2E">
              <w:rPr>
                <w:rFonts w:ascii="Times New Roman" w:hAnsi="Times New Roman" w:cs="Times New Roman"/>
                <w:i/>
                <w:iCs/>
              </w:rPr>
              <w:t>d</w:t>
            </w:r>
            <w:r w:rsidRPr="00AC7E2E">
              <w:rPr>
                <w:rFonts w:ascii="Times New Roman" w:hAnsi="Times New Roman" w:cs="Times New Roman"/>
              </w:rPr>
              <w:t xml:space="preserve"> = .44</w:t>
            </w:r>
          </w:p>
        </w:tc>
      </w:tr>
      <w:tr w:rsidR="00AC7E2E" w:rsidRPr="00AC7E2E" w14:paraId="7E2F145A" w14:textId="77777777" w:rsidTr="00AC7E2E">
        <w:trPr>
          <w:trHeight w:val="444"/>
        </w:trPr>
        <w:tc>
          <w:tcPr>
            <w:tcW w:w="3402" w:type="dxa"/>
            <w:tcBorders>
              <w:top w:val="nil"/>
              <w:left w:val="nil"/>
              <w:bottom w:val="nil"/>
              <w:right w:val="nil"/>
            </w:tcBorders>
          </w:tcPr>
          <w:p w14:paraId="31CAFCC2"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Quit attempts</w:t>
            </w:r>
          </w:p>
        </w:tc>
        <w:tc>
          <w:tcPr>
            <w:tcW w:w="1843" w:type="dxa"/>
            <w:tcBorders>
              <w:top w:val="nil"/>
              <w:left w:val="nil"/>
              <w:bottom w:val="nil"/>
              <w:right w:val="nil"/>
            </w:tcBorders>
          </w:tcPr>
          <w:p w14:paraId="534F7CD0" w14:textId="195B2B93"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1.98 (1.57)</w:t>
            </w:r>
          </w:p>
        </w:tc>
        <w:tc>
          <w:tcPr>
            <w:tcW w:w="1701" w:type="dxa"/>
            <w:tcBorders>
              <w:top w:val="nil"/>
              <w:left w:val="nil"/>
              <w:bottom w:val="nil"/>
              <w:right w:val="nil"/>
            </w:tcBorders>
          </w:tcPr>
          <w:p w14:paraId="2B7413BA" w14:textId="151FCC1F"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3.23 (2.64)</w:t>
            </w:r>
          </w:p>
        </w:tc>
        <w:tc>
          <w:tcPr>
            <w:tcW w:w="1999" w:type="dxa"/>
            <w:tcBorders>
              <w:top w:val="nil"/>
              <w:left w:val="nil"/>
              <w:bottom w:val="nil"/>
              <w:right w:val="nil"/>
            </w:tcBorders>
          </w:tcPr>
          <w:p w14:paraId="1F258A15" w14:textId="26A56182"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i/>
              </w:rPr>
              <w:t xml:space="preserve">p </w:t>
            </w:r>
            <w:r w:rsidRPr="00AC7E2E">
              <w:rPr>
                <w:rFonts w:ascii="Times New Roman" w:hAnsi="Times New Roman" w:cs="Times New Roman"/>
                <w:bCs/>
              </w:rPr>
              <w:t xml:space="preserve">= .01, </w:t>
            </w:r>
            <w:proofErr w:type="spellStart"/>
            <w:r w:rsidRPr="00AC7E2E">
              <w:rPr>
                <w:rFonts w:ascii="Times New Roman" w:hAnsi="Times New Roman" w:cs="Times New Roman"/>
                <w:i/>
                <w:iCs/>
                <w:color w:val="000000"/>
              </w:rPr>
              <w:t>r</w:t>
            </w:r>
            <w:r w:rsidRPr="00AC7E2E">
              <w:rPr>
                <w:rFonts w:ascii="Times New Roman" w:hAnsi="Times New Roman" w:cs="Times New Roman"/>
                <w:color w:val="000000"/>
                <w:vertAlign w:val="subscript"/>
              </w:rPr>
              <w:t>rb</w:t>
            </w:r>
            <w:proofErr w:type="spellEnd"/>
            <w:r w:rsidRPr="00AC7E2E">
              <w:rPr>
                <w:rFonts w:ascii="Times New Roman" w:hAnsi="Times New Roman" w:cs="Times New Roman"/>
                <w:color w:val="000000"/>
                <w:vertAlign w:val="subscript"/>
              </w:rPr>
              <w:t xml:space="preserve"> </w:t>
            </w:r>
            <w:r w:rsidRPr="00AC7E2E">
              <w:rPr>
                <w:rFonts w:ascii="Times New Roman" w:hAnsi="Times New Roman" w:cs="Times New Roman"/>
                <w:color w:val="000000"/>
              </w:rPr>
              <w:t>= .28</w:t>
            </w:r>
          </w:p>
        </w:tc>
      </w:tr>
      <w:tr w:rsidR="00AC7E2E" w:rsidRPr="00AC7E2E" w14:paraId="76CD0E90" w14:textId="77777777" w:rsidTr="00AC7E2E">
        <w:trPr>
          <w:trHeight w:val="452"/>
        </w:trPr>
        <w:tc>
          <w:tcPr>
            <w:tcW w:w="3402" w:type="dxa"/>
            <w:tcBorders>
              <w:top w:val="nil"/>
              <w:left w:val="nil"/>
              <w:bottom w:val="nil"/>
              <w:right w:val="nil"/>
            </w:tcBorders>
          </w:tcPr>
          <w:p w14:paraId="6F2CC0E5"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 xml:space="preserve">Cigarettes per day </w:t>
            </w:r>
          </w:p>
        </w:tc>
        <w:tc>
          <w:tcPr>
            <w:tcW w:w="1843" w:type="dxa"/>
            <w:tcBorders>
              <w:top w:val="nil"/>
              <w:left w:val="nil"/>
              <w:bottom w:val="nil"/>
              <w:right w:val="nil"/>
            </w:tcBorders>
            <w:shd w:val="clear" w:color="auto" w:fill="auto"/>
          </w:tcPr>
          <w:p w14:paraId="22F1094E" w14:textId="59A36F15"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12.01 (8.67)</w:t>
            </w:r>
          </w:p>
        </w:tc>
        <w:tc>
          <w:tcPr>
            <w:tcW w:w="1701" w:type="dxa"/>
            <w:tcBorders>
              <w:top w:val="nil"/>
              <w:left w:val="nil"/>
              <w:bottom w:val="nil"/>
              <w:right w:val="nil"/>
            </w:tcBorders>
          </w:tcPr>
          <w:p w14:paraId="13FEAF69" w14:textId="7FE688D1"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16.99 (9.83)</w:t>
            </w:r>
          </w:p>
        </w:tc>
        <w:tc>
          <w:tcPr>
            <w:tcW w:w="1999" w:type="dxa"/>
            <w:tcBorders>
              <w:top w:val="nil"/>
              <w:left w:val="nil"/>
              <w:bottom w:val="nil"/>
              <w:right w:val="nil"/>
            </w:tcBorders>
          </w:tcPr>
          <w:p w14:paraId="2C9BF9DB" w14:textId="2E095100" w:rsidR="00AC7E2E" w:rsidRPr="00AC7E2E" w:rsidRDefault="00AC7E2E" w:rsidP="00AC7E2E">
            <w:pPr>
              <w:pStyle w:val="NoSpacing"/>
              <w:spacing w:line="480" w:lineRule="auto"/>
              <w:jc w:val="center"/>
              <w:rPr>
                <w:rFonts w:ascii="Times New Roman" w:hAnsi="Times New Roman" w:cs="Times New Roman"/>
                <w:bCs/>
                <w:i/>
              </w:rPr>
            </w:pPr>
            <w:r w:rsidRPr="00AC7E2E">
              <w:rPr>
                <w:rFonts w:ascii="Times New Roman" w:hAnsi="Times New Roman" w:cs="Times New Roman"/>
                <w:bCs/>
                <w:i/>
              </w:rPr>
              <w:t xml:space="preserve">p </w:t>
            </w:r>
            <w:r w:rsidRPr="00AC7E2E">
              <w:rPr>
                <w:rFonts w:ascii="Times New Roman" w:hAnsi="Times New Roman" w:cs="Times New Roman"/>
                <w:bCs/>
              </w:rPr>
              <w:t xml:space="preserve">&lt; .01, </w:t>
            </w:r>
            <w:proofErr w:type="spellStart"/>
            <w:r w:rsidRPr="00AC7E2E">
              <w:rPr>
                <w:rFonts w:ascii="Times New Roman" w:hAnsi="Times New Roman" w:cs="Times New Roman"/>
                <w:i/>
                <w:iCs/>
                <w:color w:val="000000"/>
              </w:rPr>
              <w:t>r</w:t>
            </w:r>
            <w:r w:rsidRPr="00AC7E2E">
              <w:rPr>
                <w:rFonts w:ascii="Times New Roman" w:hAnsi="Times New Roman" w:cs="Times New Roman"/>
                <w:color w:val="000000"/>
                <w:vertAlign w:val="subscript"/>
              </w:rPr>
              <w:t>rb</w:t>
            </w:r>
            <w:proofErr w:type="spellEnd"/>
            <w:r w:rsidRPr="00AC7E2E">
              <w:rPr>
                <w:rFonts w:ascii="Times New Roman" w:hAnsi="Times New Roman" w:cs="Times New Roman"/>
                <w:color w:val="000000"/>
                <w:vertAlign w:val="subscript"/>
              </w:rPr>
              <w:t xml:space="preserve"> </w:t>
            </w:r>
            <w:r w:rsidRPr="00AC7E2E">
              <w:rPr>
                <w:rFonts w:ascii="Times New Roman" w:hAnsi="Times New Roman" w:cs="Times New Roman"/>
                <w:color w:val="000000"/>
              </w:rPr>
              <w:t>=</w:t>
            </w:r>
            <w:r w:rsidRPr="00AC7E2E">
              <w:rPr>
                <w:rFonts w:ascii="Times New Roman" w:hAnsi="Times New Roman" w:cs="Times New Roman"/>
              </w:rPr>
              <w:t xml:space="preserve"> .33</w:t>
            </w:r>
          </w:p>
        </w:tc>
      </w:tr>
      <w:tr w:rsidR="00AC7E2E" w:rsidRPr="00AC7E2E" w14:paraId="194FA7B4" w14:textId="77777777" w:rsidTr="00AC7E2E">
        <w:trPr>
          <w:trHeight w:val="456"/>
        </w:trPr>
        <w:tc>
          <w:tcPr>
            <w:tcW w:w="3402" w:type="dxa"/>
            <w:tcBorders>
              <w:top w:val="nil"/>
              <w:left w:val="nil"/>
              <w:bottom w:val="nil"/>
              <w:right w:val="nil"/>
            </w:tcBorders>
          </w:tcPr>
          <w:p w14:paraId="33B49982"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Duration of time smoked (years)</w:t>
            </w:r>
          </w:p>
        </w:tc>
        <w:tc>
          <w:tcPr>
            <w:tcW w:w="1843" w:type="dxa"/>
            <w:tcBorders>
              <w:top w:val="nil"/>
              <w:left w:val="nil"/>
              <w:bottom w:val="nil"/>
              <w:right w:val="nil"/>
            </w:tcBorders>
          </w:tcPr>
          <w:p w14:paraId="3271D8FC" w14:textId="6DE959CF"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14.92 (12.42)</w:t>
            </w:r>
          </w:p>
        </w:tc>
        <w:tc>
          <w:tcPr>
            <w:tcW w:w="1701" w:type="dxa"/>
            <w:tcBorders>
              <w:top w:val="nil"/>
              <w:left w:val="nil"/>
              <w:bottom w:val="nil"/>
              <w:right w:val="nil"/>
            </w:tcBorders>
          </w:tcPr>
          <w:p w14:paraId="549DFD55" w14:textId="4A1BA5AC"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16.79 (11.43)</w:t>
            </w:r>
          </w:p>
        </w:tc>
        <w:tc>
          <w:tcPr>
            <w:tcW w:w="1999" w:type="dxa"/>
            <w:tcBorders>
              <w:top w:val="nil"/>
              <w:left w:val="nil"/>
              <w:bottom w:val="nil"/>
              <w:right w:val="nil"/>
            </w:tcBorders>
          </w:tcPr>
          <w:p w14:paraId="4C0C9226" w14:textId="004CA6F5"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i/>
              </w:rPr>
              <w:t xml:space="preserve">p </w:t>
            </w:r>
            <w:r w:rsidRPr="00AC7E2E">
              <w:rPr>
                <w:rFonts w:ascii="Times New Roman" w:hAnsi="Times New Roman" w:cs="Times New Roman"/>
              </w:rPr>
              <w:t xml:space="preserve">= .43, </w:t>
            </w:r>
            <w:r w:rsidRPr="00AC7E2E">
              <w:rPr>
                <w:rFonts w:ascii="Times New Roman" w:hAnsi="Times New Roman" w:cs="Times New Roman"/>
                <w:i/>
                <w:iCs/>
              </w:rPr>
              <w:t>d</w:t>
            </w:r>
            <w:r w:rsidRPr="00AC7E2E">
              <w:rPr>
                <w:rFonts w:ascii="Times New Roman" w:hAnsi="Times New Roman" w:cs="Times New Roman"/>
              </w:rPr>
              <w:t xml:space="preserve"> = .16</w:t>
            </w:r>
          </w:p>
        </w:tc>
      </w:tr>
      <w:tr w:rsidR="00AC7E2E" w:rsidRPr="00AC7E2E" w14:paraId="0159A737" w14:textId="77777777" w:rsidTr="00AC7E2E">
        <w:trPr>
          <w:trHeight w:val="434"/>
        </w:trPr>
        <w:tc>
          <w:tcPr>
            <w:tcW w:w="3402" w:type="dxa"/>
            <w:tcBorders>
              <w:top w:val="nil"/>
              <w:left w:val="nil"/>
              <w:bottom w:val="nil"/>
              <w:right w:val="nil"/>
            </w:tcBorders>
          </w:tcPr>
          <w:p w14:paraId="1FE16D73"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Age of smoking initiation</w:t>
            </w:r>
          </w:p>
        </w:tc>
        <w:tc>
          <w:tcPr>
            <w:tcW w:w="1843" w:type="dxa"/>
            <w:tcBorders>
              <w:top w:val="nil"/>
              <w:left w:val="nil"/>
              <w:bottom w:val="nil"/>
              <w:right w:val="nil"/>
            </w:tcBorders>
          </w:tcPr>
          <w:p w14:paraId="26308C14" w14:textId="2C274A98"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16.31 (3.29)</w:t>
            </w:r>
          </w:p>
        </w:tc>
        <w:tc>
          <w:tcPr>
            <w:tcW w:w="1701" w:type="dxa"/>
            <w:tcBorders>
              <w:top w:val="nil"/>
              <w:left w:val="nil"/>
              <w:bottom w:val="nil"/>
              <w:right w:val="nil"/>
            </w:tcBorders>
          </w:tcPr>
          <w:p w14:paraId="2F7A90B1" w14:textId="21AF991E"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16.44 (3.14)</w:t>
            </w:r>
          </w:p>
        </w:tc>
        <w:tc>
          <w:tcPr>
            <w:tcW w:w="1999" w:type="dxa"/>
            <w:tcBorders>
              <w:top w:val="nil"/>
              <w:left w:val="nil"/>
              <w:bottom w:val="nil"/>
              <w:right w:val="nil"/>
            </w:tcBorders>
          </w:tcPr>
          <w:p w14:paraId="0C0D9D56" w14:textId="2139D84B"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i/>
              </w:rPr>
              <w:t xml:space="preserve">p </w:t>
            </w:r>
            <w:r w:rsidRPr="00AC7E2E">
              <w:rPr>
                <w:rFonts w:ascii="Times New Roman" w:hAnsi="Times New Roman" w:cs="Times New Roman"/>
              </w:rPr>
              <w:t xml:space="preserve">= .84, </w:t>
            </w:r>
            <w:r w:rsidRPr="00AC7E2E">
              <w:rPr>
                <w:rFonts w:ascii="Times New Roman" w:hAnsi="Times New Roman" w:cs="Times New Roman"/>
                <w:i/>
                <w:iCs/>
              </w:rPr>
              <w:t xml:space="preserve">d </w:t>
            </w:r>
            <w:r w:rsidRPr="00AC7E2E">
              <w:rPr>
                <w:rFonts w:ascii="Times New Roman" w:hAnsi="Times New Roman" w:cs="Times New Roman"/>
              </w:rPr>
              <w:t>= .04</w:t>
            </w:r>
          </w:p>
        </w:tc>
      </w:tr>
      <w:tr w:rsidR="00AC7E2E" w:rsidRPr="00AC7E2E" w14:paraId="65B75E43" w14:textId="77777777" w:rsidTr="00AC7E2E">
        <w:trPr>
          <w:trHeight w:val="434"/>
        </w:trPr>
        <w:tc>
          <w:tcPr>
            <w:tcW w:w="3402" w:type="dxa"/>
            <w:tcBorders>
              <w:top w:val="nil"/>
              <w:left w:val="nil"/>
              <w:bottom w:val="nil"/>
              <w:right w:val="nil"/>
            </w:tcBorders>
          </w:tcPr>
          <w:p w14:paraId="67709A95"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Duration since quitting</w:t>
            </w:r>
          </w:p>
        </w:tc>
        <w:tc>
          <w:tcPr>
            <w:tcW w:w="1843" w:type="dxa"/>
            <w:tcBorders>
              <w:top w:val="nil"/>
              <w:left w:val="nil"/>
              <w:bottom w:val="nil"/>
              <w:right w:val="nil"/>
            </w:tcBorders>
          </w:tcPr>
          <w:p w14:paraId="65E72968" w14:textId="77777777"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w:t>
            </w:r>
          </w:p>
        </w:tc>
        <w:tc>
          <w:tcPr>
            <w:tcW w:w="1701" w:type="dxa"/>
            <w:tcBorders>
              <w:top w:val="nil"/>
              <w:left w:val="nil"/>
              <w:bottom w:val="nil"/>
              <w:right w:val="nil"/>
            </w:tcBorders>
          </w:tcPr>
          <w:p w14:paraId="702C79EF" w14:textId="6891E15F"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8.37 (8.93)</w:t>
            </w:r>
          </w:p>
        </w:tc>
        <w:tc>
          <w:tcPr>
            <w:tcW w:w="1999" w:type="dxa"/>
            <w:tcBorders>
              <w:top w:val="nil"/>
              <w:left w:val="nil"/>
              <w:bottom w:val="nil"/>
              <w:right w:val="nil"/>
            </w:tcBorders>
          </w:tcPr>
          <w:p w14:paraId="754EA907" w14:textId="77777777" w:rsidR="00AC7E2E" w:rsidRPr="00AC7E2E" w:rsidRDefault="00AC7E2E" w:rsidP="00AC7E2E">
            <w:pPr>
              <w:pStyle w:val="NoSpacing"/>
              <w:spacing w:line="480" w:lineRule="auto"/>
              <w:jc w:val="center"/>
              <w:rPr>
                <w:rFonts w:ascii="Times New Roman" w:hAnsi="Times New Roman" w:cs="Times New Roman"/>
                <w:bCs/>
              </w:rPr>
            </w:pPr>
          </w:p>
        </w:tc>
      </w:tr>
      <w:tr w:rsidR="00AC7E2E" w:rsidRPr="00AC7E2E" w14:paraId="0D4F6A87" w14:textId="77777777" w:rsidTr="00AC7E2E">
        <w:trPr>
          <w:trHeight w:val="441"/>
        </w:trPr>
        <w:tc>
          <w:tcPr>
            <w:tcW w:w="3402" w:type="dxa"/>
            <w:tcBorders>
              <w:top w:val="nil"/>
              <w:left w:val="nil"/>
              <w:bottom w:val="nil"/>
              <w:right w:val="nil"/>
            </w:tcBorders>
          </w:tcPr>
          <w:p w14:paraId="46A81FC2" w14:textId="77777777" w:rsidR="00AC7E2E" w:rsidRPr="00AC7E2E" w:rsidRDefault="00AC7E2E" w:rsidP="00AC7E2E">
            <w:pPr>
              <w:pStyle w:val="NoSpacing"/>
              <w:spacing w:line="480" w:lineRule="auto"/>
              <w:rPr>
                <w:rFonts w:ascii="Times New Roman" w:hAnsi="Times New Roman" w:cs="Times New Roman"/>
                <w:bCs/>
              </w:rPr>
            </w:pPr>
            <w:proofErr w:type="spellStart"/>
            <w:r w:rsidRPr="00AC7E2E">
              <w:rPr>
                <w:rFonts w:ascii="Times New Roman" w:hAnsi="Times New Roman" w:cs="Times New Roman"/>
                <w:bCs/>
              </w:rPr>
              <w:t>Fagerström</w:t>
            </w:r>
            <w:proofErr w:type="spellEnd"/>
            <w:r w:rsidRPr="00AC7E2E">
              <w:rPr>
                <w:rFonts w:ascii="Times New Roman" w:hAnsi="Times New Roman" w:cs="Times New Roman"/>
                <w:bCs/>
              </w:rPr>
              <w:t xml:space="preserve"> dependence </w:t>
            </w:r>
          </w:p>
        </w:tc>
        <w:tc>
          <w:tcPr>
            <w:tcW w:w="1843" w:type="dxa"/>
            <w:tcBorders>
              <w:top w:val="nil"/>
              <w:left w:val="nil"/>
              <w:bottom w:val="nil"/>
              <w:right w:val="nil"/>
            </w:tcBorders>
          </w:tcPr>
          <w:p w14:paraId="3AD73323" w14:textId="16A86567"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3.55 (</w:t>
            </w:r>
            <w:r>
              <w:rPr>
                <w:rFonts w:ascii="Times New Roman" w:hAnsi="Times New Roman" w:cs="Times New Roman"/>
                <w:bCs/>
              </w:rPr>
              <w:t>2</w:t>
            </w:r>
            <w:r w:rsidRPr="00AC7E2E">
              <w:rPr>
                <w:rFonts w:ascii="Times New Roman" w:hAnsi="Times New Roman" w:cs="Times New Roman"/>
                <w:bCs/>
              </w:rPr>
              <w:t>.18)</w:t>
            </w:r>
          </w:p>
        </w:tc>
        <w:tc>
          <w:tcPr>
            <w:tcW w:w="1701" w:type="dxa"/>
            <w:tcBorders>
              <w:top w:val="nil"/>
              <w:left w:val="nil"/>
              <w:bottom w:val="nil"/>
              <w:right w:val="nil"/>
            </w:tcBorders>
          </w:tcPr>
          <w:p w14:paraId="6CD1A180" w14:textId="77777777"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w:t>
            </w:r>
          </w:p>
        </w:tc>
        <w:tc>
          <w:tcPr>
            <w:tcW w:w="1999" w:type="dxa"/>
            <w:tcBorders>
              <w:top w:val="nil"/>
              <w:left w:val="nil"/>
              <w:bottom w:val="nil"/>
              <w:right w:val="nil"/>
            </w:tcBorders>
          </w:tcPr>
          <w:p w14:paraId="412D98E5" w14:textId="77777777" w:rsidR="00AC7E2E" w:rsidRPr="00AC7E2E" w:rsidRDefault="00AC7E2E" w:rsidP="00AC7E2E">
            <w:pPr>
              <w:pStyle w:val="NoSpacing"/>
              <w:spacing w:line="480" w:lineRule="auto"/>
              <w:jc w:val="center"/>
              <w:rPr>
                <w:rFonts w:ascii="Times New Roman" w:hAnsi="Times New Roman" w:cs="Times New Roman"/>
                <w:bCs/>
              </w:rPr>
            </w:pPr>
          </w:p>
        </w:tc>
      </w:tr>
      <w:tr w:rsidR="00AC7E2E" w:rsidRPr="00AC7E2E" w14:paraId="1BF6A60F" w14:textId="77777777" w:rsidTr="00AC7E2E">
        <w:trPr>
          <w:trHeight w:val="463"/>
        </w:trPr>
        <w:tc>
          <w:tcPr>
            <w:tcW w:w="3402" w:type="dxa"/>
            <w:tcBorders>
              <w:top w:val="nil"/>
              <w:left w:val="nil"/>
              <w:bottom w:val="nil"/>
              <w:right w:val="nil"/>
            </w:tcBorders>
          </w:tcPr>
          <w:p w14:paraId="3AB66EA5"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Motivation to quit</w:t>
            </w:r>
          </w:p>
        </w:tc>
        <w:tc>
          <w:tcPr>
            <w:tcW w:w="1843" w:type="dxa"/>
            <w:tcBorders>
              <w:top w:val="nil"/>
              <w:left w:val="nil"/>
              <w:bottom w:val="nil"/>
              <w:right w:val="nil"/>
            </w:tcBorders>
          </w:tcPr>
          <w:p w14:paraId="03BF933A" w14:textId="20484BD1"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5.18 (2.84)</w:t>
            </w:r>
          </w:p>
        </w:tc>
        <w:tc>
          <w:tcPr>
            <w:tcW w:w="1701" w:type="dxa"/>
            <w:tcBorders>
              <w:top w:val="nil"/>
              <w:left w:val="nil"/>
              <w:bottom w:val="nil"/>
              <w:right w:val="nil"/>
            </w:tcBorders>
          </w:tcPr>
          <w:p w14:paraId="677FBF08" w14:textId="77777777"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w:t>
            </w:r>
          </w:p>
        </w:tc>
        <w:tc>
          <w:tcPr>
            <w:tcW w:w="1999" w:type="dxa"/>
            <w:tcBorders>
              <w:top w:val="nil"/>
              <w:left w:val="nil"/>
              <w:bottom w:val="nil"/>
              <w:right w:val="nil"/>
            </w:tcBorders>
          </w:tcPr>
          <w:p w14:paraId="2AD08121" w14:textId="77777777" w:rsidR="00AC7E2E" w:rsidRPr="00AC7E2E" w:rsidRDefault="00AC7E2E" w:rsidP="00AC7E2E">
            <w:pPr>
              <w:pStyle w:val="NoSpacing"/>
              <w:spacing w:line="480" w:lineRule="auto"/>
              <w:jc w:val="center"/>
              <w:rPr>
                <w:rFonts w:ascii="Times New Roman" w:hAnsi="Times New Roman" w:cs="Times New Roman"/>
                <w:bCs/>
              </w:rPr>
            </w:pPr>
          </w:p>
        </w:tc>
      </w:tr>
      <w:tr w:rsidR="00AC7E2E" w:rsidRPr="00AC7E2E" w14:paraId="020245BC" w14:textId="77777777" w:rsidTr="00AC7E2E">
        <w:trPr>
          <w:trHeight w:val="427"/>
        </w:trPr>
        <w:tc>
          <w:tcPr>
            <w:tcW w:w="3402" w:type="dxa"/>
            <w:tcBorders>
              <w:top w:val="nil"/>
              <w:left w:val="nil"/>
              <w:bottom w:val="single" w:sz="18" w:space="0" w:color="000000"/>
              <w:right w:val="nil"/>
            </w:tcBorders>
          </w:tcPr>
          <w:p w14:paraId="604D4379" w14:textId="77777777" w:rsidR="00AC7E2E" w:rsidRP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rPr>
              <w:t>Breakpoint (demand)</w:t>
            </w:r>
          </w:p>
        </w:tc>
        <w:tc>
          <w:tcPr>
            <w:tcW w:w="1843" w:type="dxa"/>
            <w:tcBorders>
              <w:top w:val="nil"/>
              <w:left w:val="nil"/>
              <w:bottom w:val="single" w:sz="18" w:space="0" w:color="000000"/>
              <w:right w:val="nil"/>
            </w:tcBorders>
          </w:tcPr>
          <w:p w14:paraId="0F225160" w14:textId="10915CFB"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2.12 (2.13)</w:t>
            </w:r>
          </w:p>
        </w:tc>
        <w:tc>
          <w:tcPr>
            <w:tcW w:w="1701" w:type="dxa"/>
            <w:tcBorders>
              <w:top w:val="nil"/>
              <w:left w:val="nil"/>
              <w:bottom w:val="single" w:sz="18" w:space="0" w:color="000000"/>
              <w:right w:val="nil"/>
            </w:tcBorders>
          </w:tcPr>
          <w:p w14:paraId="3298903D" w14:textId="77777777" w:rsidR="00AC7E2E" w:rsidRPr="00AC7E2E" w:rsidRDefault="00AC7E2E" w:rsidP="00AC7E2E">
            <w:pPr>
              <w:pStyle w:val="NoSpacing"/>
              <w:spacing w:line="480" w:lineRule="auto"/>
              <w:jc w:val="center"/>
              <w:rPr>
                <w:rFonts w:ascii="Times New Roman" w:hAnsi="Times New Roman" w:cs="Times New Roman"/>
                <w:bCs/>
              </w:rPr>
            </w:pPr>
            <w:r w:rsidRPr="00AC7E2E">
              <w:rPr>
                <w:rFonts w:ascii="Times New Roman" w:hAnsi="Times New Roman" w:cs="Times New Roman"/>
                <w:bCs/>
              </w:rPr>
              <w:t>-</w:t>
            </w:r>
          </w:p>
        </w:tc>
        <w:tc>
          <w:tcPr>
            <w:tcW w:w="1999" w:type="dxa"/>
            <w:tcBorders>
              <w:top w:val="nil"/>
              <w:left w:val="nil"/>
              <w:bottom w:val="single" w:sz="18" w:space="0" w:color="000000"/>
              <w:right w:val="nil"/>
            </w:tcBorders>
          </w:tcPr>
          <w:p w14:paraId="21E24F20" w14:textId="77777777" w:rsidR="00AC7E2E" w:rsidRPr="00AC7E2E" w:rsidRDefault="00AC7E2E" w:rsidP="00AC7E2E">
            <w:pPr>
              <w:pStyle w:val="NoSpacing"/>
              <w:spacing w:line="480" w:lineRule="auto"/>
              <w:jc w:val="center"/>
              <w:rPr>
                <w:rFonts w:ascii="Times New Roman" w:hAnsi="Times New Roman" w:cs="Times New Roman"/>
                <w:bCs/>
              </w:rPr>
            </w:pPr>
          </w:p>
        </w:tc>
      </w:tr>
    </w:tbl>
    <w:p w14:paraId="6A441391" w14:textId="74747F81" w:rsidR="00AC7E2E" w:rsidRDefault="00AC7E2E" w:rsidP="00AC7E2E">
      <w:pPr>
        <w:pStyle w:val="NoSpacing"/>
        <w:spacing w:line="480" w:lineRule="auto"/>
        <w:rPr>
          <w:rFonts w:ascii="Times New Roman" w:hAnsi="Times New Roman" w:cs="Times New Roman"/>
          <w:bCs/>
        </w:rPr>
      </w:pPr>
      <w:r w:rsidRPr="00AC7E2E">
        <w:rPr>
          <w:rFonts w:ascii="Times New Roman" w:hAnsi="Times New Roman" w:cs="Times New Roman"/>
          <w:bCs/>
          <w:i/>
          <w:iCs/>
        </w:rPr>
        <w:t>Note.</w:t>
      </w:r>
      <w:r w:rsidRPr="00AC7E2E">
        <w:rPr>
          <w:rFonts w:ascii="Times New Roman" w:hAnsi="Times New Roman" w:cs="Times New Roman"/>
          <w:bCs/>
        </w:rPr>
        <w:t xml:space="preserve"> Effect sizes are</w:t>
      </w:r>
      <w:r w:rsidRPr="00AC7E2E">
        <w:rPr>
          <w:rFonts w:ascii="Times New Roman" w:hAnsi="Times New Roman" w:cs="Times New Roman"/>
          <w:bCs/>
          <w:i/>
          <w:iCs/>
        </w:rPr>
        <w:t xml:space="preserve"> </w:t>
      </w:r>
      <w:r w:rsidRPr="00AC7E2E">
        <w:rPr>
          <w:rFonts w:ascii="Times New Roman" w:hAnsi="Times New Roman" w:cs="Times New Roman"/>
          <w:bCs/>
        </w:rPr>
        <w:t xml:space="preserve">Cohen’s </w:t>
      </w:r>
      <w:r w:rsidRPr="00AC7E2E">
        <w:rPr>
          <w:rFonts w:ascii="Times New Roman" w:hAnsi="Times New Roman" w:cs="Times New Roman"/>
          <w:bCs/>
          <w:i/>
          <w:iCs/>
        </w:rPr>
        <w:t>d</w:t>
      </w:r>
      <w:r w:rsidRPr="00AC7E2E">
        <w:rPr>
          <w:rFonts w:ascii="Times New Roman" w:hAnsi="Times New Roman" w:cs="Times New Roman"/>
          <w:bCs/>
        </w:rPr>
        <w:t xml:space="preserve"> (for data that are approximately normally distributed) or rank-biserial correlations (</w:t>
      </w:r>
      <w:proofErr w:type="spellStart"/>
      <w:r w:rsidRPr="00AC7E2E">
        <w:rPr>
          <w:rFonts w:ascii="Times New Roman" w:hAnsi="Times New Roman" w:cs="Times New Roman"/>
          <w:bCs/>
          <w:i/>
          <w:iCs/>
        </w:rPr>
        <w:t>r</w:t>
      </w:r>
      <w:r w:rsidRPr="00AC7E2E">
        <w:rPr>
          <w:rFonts w:ascii="Times New Roman" w:hAnsi="Times New Roman" w:cs="Times New Roman"/>
          <w:bCs/>
          <w:vertAlign w:val="subscript"/>
        </w:rPr>
        <w:t>rb</w:t>
      </w:r>
      <w:proofErr w:type="spellEnd"/>
      <w:r w:rsidRPr="00AC7E2E">
        <w:rPr>
          <w:rFonts w:ascii="Times New Roman" w:hAnsi="Times New Roman" w:cs="Times New Roman"/>
          <w:bCs/>
        </w:rPr>
        <w:t xml:space="preserve">; for data that are not approximately normally distributed). BSCS = brief self-control scale (possible range of values: 13 to 65). FTCD = </w:t>
      </w:r>
      <w:proofErr w:type="spellStart"/>
      <w:r w:rsidRPr="00AC7E2E">
        <w:rPr>
          <w:rFonts w:ascii="Times New Roman" w:hAnsi="Times New Roman" w:cs="Times New Roman"/>
          <w:bCs/>
        </w:rPr>
        <w:t>Fagerström</w:t>
      </w:r>
      <w:proofErr w:type="spellEnd"/>
      <w:r w:rsidRPr="00AC7E2E">
        <w:rPr>
          <w:rFonts w:ascii="Times New Roman" w:hAnsi="Times New Roman" w:cs="Times New Roman"/>
          <w:bCs/>
        </w:rPr>
        <w:t xml:space="preserve"> test for cigarette dependence (possible range of values: 0 to 10). Contemplation ladder provides an index of motivation to quit smoking (possible range of values: 0 to 10). Breakpoint = first price that suppresses consumption to zero (possible range of values: £0 to £15). </w:t>
      </w:r>
    </w:p>
    <w:p w14:paraId="344C6CAD" w14:textId="77777777" w:rsidR="00AC7E2E" w:rsidRPr="00AC7E2E" w:rsidRDefault="00AC7E2E" w:rsidP="00AC7E2E">
      <w:pPr>
        <w:pStyle w:val="NoSpacing"/>
        <w:spacing w:line="480" w:lineRule="auto"/>
        <w:rPr>
          <w:rFonts w:ascii="Times New Roman" w:hAnsi="Times New Roman" w:cs="Times New Roman"/>
          <w:bCs/>
        </w:rPr>
      </w:pPr>
    </w:p>
    <w:p w14:paraId="2BAD631C" w14:textId="72F20994" w:rsidR="00AC7E2E" w:rsidRDefault="00AC7E2E" w:rsidP="00AC7E2E">
      <w:pPr>
        <w:pStyle w:val="NoSpacing"/>
        <w:spacing w:line="480" w:lineRule="auto"/>
        <w:rPr>
          <w:rFonts w:ascii="Times New Roman" w:hAnsi="Times New Roman" w:cs="Times New Roman"/>
          <w:bCs/>
          <w:iCs/>
        </w:rPr>
      </w:pPr>
      <w:r w:rsidRPr="00AC7E2E">
        <w:rPr>
          <w:rFonts w:ascii="Times New Roman" w:hAnsi="Times New Roman" w:cs="Times New Roman"/>
          <w:bCs/>
          <w:i/>
          <w:iCs/>
        </w:rPr>
        <w:t>Hypothesis 1</w:t>
      </w:r>
      <w:r w:rsidRPr="00AC7E2E">
        <w:rPr>
          <w:rFonts w:ascii="Times New Roman" w:hAnsi="Times New Roman" w:cs="Times New Roman"/>
          <w:bCs/>
          <w:iCs/>
        </w:rPr>
        <w:t>: Compared to current smokers, ex-smokers will have lower EA rates and higher response thresholds for tobacco images.</w:t>
      </w:r>
    </w:p>
    <w:p w14:paraId="4D835B6F" w14:textId="77777777" w:rsidR="00AC7E2E" w:rsidRPr="00AC7E2E" w:rsidRDefault="00AC7E2E" w:rsidP="00AC7E2E">
      <w:pPr>
        <w:pStyle w:val="NoSpacing"/>
        <w:spacing w:line="480" w:lineRule="auto"/>
        <w:rPr>
          <w:rFonts w:ascii="Times New Roman" w:hAnsi="Times New Roman" w:cs="Times New Roman"/>
          <w:bCs/>
          <w:iCs/>
        </w:rPr>
      </w:pPr>
    </w:p>
    <w:p w14:paraId="6CC41D0C" w14:textId="77777777" w:rsidR="00AC7E2E" w:rsidRPr="00AC7E2E" w:rsidRDefault="00AC7E2E" w:rsidP="00AC7E2E">
      <w:pPr>
        <w:pStyle w:val="NoSpacing"/>
        <w:spacing w:line="480" w:lineRule="auto"/>
        <w:rPr>
          <w:rFonts w:ascii="Times New Roman" w:hAnsi="Times New Roman" w:cs="Times New Roman"/>
          <w:bCs/>
          <w:iCs/>
        </w:rPr>
      </w:pPr>
      <w:r w:rsidRPr="00AC7E2E">
        <w:rPr>
          <w:rFonts w:ascii="Times New Roman" w:hAnsi="Times New Roman" w:cs="Times New Roman"/>
          <w:bCs/>
          <w:iCs/>
        </w:rPr>
        <w:lastRenderedPageBreak/>
        <w:t xml:space="preserve">When making tobacco decisions, ex-smokers (M = 1.56, SD = .42) did not have significantly lower EA rates compared to current smokers (M = 1.54, SD = .42); </w:t>
      </w:r>
      <w:proofErr w:type="gramStart"/>
      <w:r w:rsidRPr="00AC7E2E">
        <w:rPr>
          <w:rFonts w:ascii="Times New Roman" w:hAnsi="Times New Roman" w:cs="Times New Roman"/>
          <w:bCs/>
          <w:i/>
          <w:iCs/>
        </w:rPr>
        <w:t>t</w:t>
      </w:r>
      <w:r w:rsidRPr="00AC7E2E">
        <w:rPr>
          <w:rFonts w:ascii="Times New Roman" w:hAnsi="Times New Roman" w:cs="Times New Roman"/>
          <w:bCs/>
          <w:iCs/>
        </w:rPr>
        <w:t>(</w:t>
      </w:r>
      <w:proofErr w:type="gramEnd"/>
      <w:r w:rsidRPr="00AC7E2E">
        <w:rPr>
          <w:rFonts w:ascii="Times New Roman" w:hAnsi="Times New Roman" w:cs="Times New Roman"/>
          <w:bCs/>
          <w:iCs/>
        </w:rPr>
        <w:t xml:space="preserve">100) = -.24, </w:t>
      </w:r>
      <w:r w:rsidRPr="00AC7E2E">
        <w:rPr>
          <w:rFonts w:ascii="Times New Roman" w:hAnsi="Times New Roman" w:cs="Times New Roman"/>
          <w:bCs/>
          <w:i/>
          <w:iCs/>
        </w:rPr>
        <w:t>p</w:t>
      </w:r>
      <w:r w:rsidRPr="00AC7E2E">
        <w:rPr>
          <w:rFonts w:ascii="Times New Roman" w:hAnsi="Times New Roman" w:cs="Times New Roman"/>
          <w:bCs/>
          <w:iCs/>
        </w:rPr>
        <w:t xml:space="preserve"> = .60, </w:t>
      </w:r>
      <w:r w:rsidRPr="00AC7E2E">
        <w:rPr>
          <w:rFonts w:ascii="Times New Roman" w:hAnsi="Times New Roman" w:cs="Times New Roman"/>
          <w:bCs/>
          <w:i/>
          <w:iCs/>
        </w:rPr>
        <w:t>d</w:t>
      </w:r>
      <w:r w:rsidRPr="00AC7E2E">
        <w:rPr>
          <w:rFonts w:ascii="Times New Roman" w:hAnsi="Times New Roman" w:cs="Times New Roman"/>
          <w:bCs/>
          <w:iCs/>
        </w:rPr>
        <w:t xml:space="preserve"> = .05. However, ex-smokers did have significantly higher response thresholds (M = 2.06, SD = .34) compared to current smokers (M = 1.91, SD = .30); </w:t>
      </w:r>
      <w:proofErr w:type="gramStart"/>
      <w:r w:rsidRPr="00AC7E2E">
        <w:rPr>
          <w:rFonts w:ascii="Times New Roman" w:hAnsi="Times New Roman" w:cs="Times New Roman"/>
          <w:bCs/>
          <w:i/>
          <w:iCs/>
        </w:rPr>
        <w:t>t</w:t>
      </w:r>
      <w:r w:rsidRPr="00AC7E2E">
        <w:rPr>
          <w:rFonts w:ascii="Times New Roman" w:hAnsi="Times New Roman" w:cs="Times New Roman"/>
          <w:bCs/>
          <w:iCs/>
        </w:rPr>
        <w:t>(</w:t>
      </w:r>
      <w:proofErr w:type="gramEnd"/>
      <w:r w:rsidRPr="00AC7E2E">
        <w:rPr>
          <w:rFonts w:ascii="Times New Roman" w:hAnsi="Times New Roman" w:cs="Times New Roman"/>
          <w:bCs/>
          <w:iCs/>
        </w:rPr>
        <w:t xml:space="preserve">100) = -2.29, </w:t>
      </w:r>
      <w:r w:rsidRPr="00AC7E2E">
        <w:rPr>
          <w:rFonts w:ascii="Times New Roman" w:hAnsi="Times New Roman" w:cs="Times New Roman"/>
          <w:bCs/>
          <w:i/>
          <w:iCs/>
        </w:rPr>
        <w:t>p</w:t>
      </w:r>
      <w:r w:rsidRPr="00AC7E2E">
        <w:rPr>
          <w:rFonts w:ascii="Times New Roman" w:hAnsi="Times New Roman" w:cs="Times New Roman"/>
          <w:bCs/>
          <w:iCs/>
        </w:rPr>
        <w:t xml:space="preserve"> = .01, </w:t>
      </w:r>
      <w:r w:rsidRPr="00AC7E2E">
        <w:rPr>
          <w:rFonts w:ascii="Times New Roman" w:hAnsi="Times New Roman" w:cs="Times New Roman"/>
          <w:bCs/>
          <w:i/>
          <w:iCs/>
        </w:rPr>
        <w:t>d</w:t>
      </w:r>
      <w:r w:rsidRPr="00AC7E2E">
        <w:rPr>
          <w:rFonts w:ascii="Times New Roman" w:hAnsi="Times New Roman" w:cs="Times New Roman"/>
          <w:bCs/>
          <w:iCs/>
        </w:rPr>
        <w:t xml:space="preserve"> = .45.</w:t>
      </w:r>
    </w:p>
    <w:p w14:paraId="7855E913" w14:textId="77777777" w:rsidR="00AC7E2E" w:rsidRDefault="00AC7E2E" w:rsidP="00AC7E2E">
      <w:pPr>
        <w:pStyle w:val="NoSpacing"/>
        <w:spacing w:line="480" w:lineRule="auto"/>
        <w:rPr>
          <w:rFonts w:ascii="Times New Roman" w:hAnsi="Times New Roman" w:cs="Times New Roman"/>
          <w:bCs/>
          <w:iCs/>
        </w:rPr>
      </w:pPr>
    </w:p>
    <w:p w14:paraId="4FD84471" w14:textId="43578A1D" w:rsidR="00AC7E2E" w:rsidRDefault="00AC7E2E" w:rsidP="00AC7E2E">
      <w:pPr>
        <w:pStyle w:val="NoSpacing"/>
        <w:spacing w:line="480" w:lineRule="auto"/>
        <w:rPr>
          <w:rFonts w:ascii="Times New Roman" w:hAnsi="Times New Roman" w:cs="Times New Roman"/>
          <w:bCs/>
          <w:iCs/>
        </w:rPr>
      </w:pPr>
      <w:r w:rsidRPr="00AC7E2E">
        <w:rPr>
          <w:rFonts w:ascii="Times New Roman" w:hAnsi="Times New Roman" w:cs="Times New Roman"/>
          <w:bCs/>
          <w:i/>
          <w:iCs/>
        </w:rPr>
        <w:t>Hypothesis 2</w:t>
      </w:r>
      <w:r w:rsidRPr="00AC7E2E">
        <w:rPr>
          <w:rFonts w:ascii="Times New Roman" w:hAnsi="Times New Roman" w:cs="Times New Roman"/>
          <w:bCs/>
          <w:iCs/>
        </w:rPr>
        <w:t>: Compared to current smokers, ex-smokers will have greater EA rates and lower response thresholds for tobacco-unrelated (animal) images.</w:t>
      </w:r>
    </w:p>
    <w:p w14:paraId="105A5DBE" w14:textId="77777777" w:rsidR="00AC7E2E" w:rsidRPr="00AC7E2E" w:rsidRDefault="00AC7E2E" w:rsidP="00AC7E2E">
      <w:pPr>
        <w:pStyle w:val="NoSpacing"/>
        <w:spacing w:line="480" w:lineRule="auto"/>
        <w:rPr>
          <w:rFonts w:ascii="Times New Roman" w:hAnsi="Times New Roman" w:cs="Times New Roman"/>
          <w:bCs/>
          <w:iCs/>
        </w:rPr>
      </w:pPr>
    </w:p>
    <w:p w14:paraId="613F0AF8" w14:textId="16DB9ACC" w:rsidR="00AC7E2E" w:rsidRDefault="00AC7E2E" w:rsidP="00AC7E2E">
      <w:pPr>
        <w:pStyle w:val="NoSpacing"/>
        <w:spacing w:line="480" w:lineRule="auto"/>
        <w:rPr>
          <w:rFonts w:ascii="Times New Roman" w:hAnsi="Times New Roman" w:cs="Times New Roman"/>
          <w:bCs/>
          <w:iCs/>
        </w:rPr>
      </w:pPr>
      <w:r w:rsidRPr="00AC7E2E">
        <w:rPr>
          <w:rFonts w:ascii="Times New Roman" w:hAnsi="Times New Roman" w:cs="Times New Roman"/>
          <w:bCs/>
          <w:iCs/>
        </w:rPr>
        <w:t xml:space="preserve">When making tobacco-unrelated (animal) decisions, ex-smokers (M = 1.88, SD = .38) did not have significantly higher EA rates compared to current smokers (M = 1.84, SD = .38); </w:t>
      </w:r>
      <w:proofErr w:type="gramStart"/>
      <w:r w:rsidRPr="00AC7E2E">
        <w:rPr>
          <w:rFonts w:ascii="Times New Roman" w:hAnsi="Times New Roman" w:cs="Times New Roman"/>
          <w:bCs/>
          <w:i/>
          <w:iCs/>
        </w:rPr>
        <w:t>t</w:t>
      </w:r>
      <w:r w:rsidRPr="00AC7E2E">
        <w:rPr>
          <w:rFonts w:ascii="Times New Roman" w:hAnsi="Times New Roman" w:cs="Times New Roman"/>
          <w:bCs/>
          <w:iCs/>
        </w:rPr>
        <w:t>(</w:t>
      </w:r>
      <w:proofErr w:type="gramEnd"/>
      <w:r w:rsidRPr="00AC7E2E">
        <w:rPr>
          <w:rFonts w:ascii="Times New Roman" w:hAnsi="Times New Roman" w:cs="Times New Roman"/>
          <w:bCs/>
          <w:iCs/>
        </w:rPr>
        <w:t xml:space="preserve">100) = -.49, </w:t>
      </w:r>
      <w:r w:rsidRPr="00AC7E2E">
        <w:rPr>
          <w:rFonts w:ascii="Times New Roman" w:hAnsi="Times New Roman" w:cs="Times New Roman"/>
          <w:bCs/>
          <w:i/>
          <w:iCs/>
        </w:rPr>
        <w:t>p</w:t>
      </w:r>
      <w:r w:rsidRPr="00AC7E2E">
        <w:rPr>
          <w:rFonts w:ascii="Times New Roman" w:hAnsi="Times New Roman" w:cs="Times New Roman"/>
          <w:bCs/>
          <w:iCs/>
        </w:rPr>
        <w:t xml:space="preserve"> = .31, </w:t>
      </w:r>
      <w:r w:rsidRPr="00AC7E2E">
        <w:rPr>
          <w:rFonts w:ascii="Times New Roman" w:hAnsi="Times New Roman" w:cs="Times New Roman"/>
          <w:bCs/>
          <w:i/>
          <w:iCs/>
        </w:rPr>
        <w:t>d</w:t>
      </w:r>
      <w:r w:rsidRPr="00AC7E2E">
        <w:rPr>
          <w:rFonts w:ascii="Times New Roman" w:hAnsi="Times New Roman" w:cs="Times New Roman"/>
          <w:bCs/>
          <w:iCs/>
        </w:rPr>
        <w:t xml:space="preserve"> = .10. Furthermore, ex-smokers (M = 2.00, SD = .31) did not have significantly lower response thresholds compared to current smokers (M = 1.96, SD = .29); </w:t>
      </w:r>
      <w:proofErr w:type="gramStart"/>
      <w:r w:rsidRPr="00AC7E2E">
        <w:rPr>
          <w:rFonts w:ascii="Times New Roman" w:hAnsi="Times New Roman" w:cs="Times New Roman"/>
          <w:bCs/>
          <w:i/>
          <w:iCs/>
        </w:rPr>
        <w:t>t</w:t>
      </w:r>
      <w:r w:rsidRPr="00AC7E2E">
        <w:rPr>
          <w:rFonts w:ascii="Times New Roman" w:hAnsi="Times New Roman" w:cs="Times New Roman"/>
          <w:bCs/>
          <w:iCs/>
        </w:rPr>
        <w:t>(</w:t>
      </w:r>
      <w:proofErr w:type="gramEnd"/>
      <w:r w:rsidRPr="00AC7E2E">
        <w:rPr>
          <w:rFonts w:ascii="Times New Roman" w:hAnsi="Times New Roman" w:cs="Times New Roman"/>
          <w:bCs/>
          <w:iCs/>
        </w:rPr>
        <w:t xml:space="preserve">100) = -.72, </w:t>
      </w:r>
      <w:r w:rsidRPr="00AC7E2E">
        <w:rPr>
          <w:rFonts w:ascii="Times New Roman" w:hAnsi="Times New Roman" w:cs="Times New Roman"/>
          <w:bCs/>
          <w:i/>
          <w:iCs/>
        </w:rPr>
        <w:t>p</w:t>
      </w:r>
      <w:r w:rsidRPr="00AC7E2E">
        <w:rPr>
          <w:rFonts w:ascii="Times New Roman" w:hAnsi="Times New Roman" w:cs="Times New Roman"/>
          <w:bCs/>
          <w:iCs/>
        </w:rPr>
        <w:t xml:space="preserve"> = .76, </w:t>
      </w:r>
      <w:r w:rsidRPr="00AC7E2E">
        <w:rPr>
          <w:rFonts w:ascii="Times New Roman" w:hAnsi="Times New Roman" w:cs="Times New Roman"/>
          <w:bCs/>
          <w:i/>
          <w:iCs/>
        </w:rPr>
        <w:t xml:space="preserve">d </w:t>
      </w:r>
      <w:r w:rsidRPr="00AC7E2E">
        <w:rPr>
          <w:rFonts w:ascii="Times New Roman" w:hAnsi="Times New Roman" w:cs="Times New Roman"/>
          <w:bCs/>
          <w:iCs/>
        </w:rPr>
        <w:t>= .14.</w:t>
      </w:r>
    </w:p>
    <w:p w14:paraId="01CE31D2" w14:textId="77777777" w:rsidR="00AC7E2E" w:rsidRDefault="00AC7E2E" w:rsidP="00AC7E2E">
      <w:pPr>
        <w:pStyle w:val="NoSpacing"/>
        <w:spacing w:line="480" w:lineRule="auto"/>
        <w:rPr>
          <w:rFonts w:ascii="Times New Roman" w:hAnsi="Times New Roman" w:cs="Times New Roman"/>
          <w:bCs/>
          <w:iCs/>
        </w:rPr>
      </w:pPr>
    </w:p>
    <w:p w14:paraId="7FB7D6FA" w14:textId="77777777" w:rsidR="00AC7E2E" w:rsidRDefault="00AC7E2E" w:rsidP="00AC7E2E">
      <w:pPr>
        <w:pStyle w:val="NoSpacing"/>
        <w:spacing w:line="480" w:lineRule="auto"/>
        <w:rPr>
          <w:rFonts w:ascii="Times New Roman" w:hAnsi="Times New Roman" w:cs="Times New Roman"/>
          <w:b/>
          <w:bCs/>
          <w:iCs/>
        </w:rPr>
      </w:pPr>
      <w:bookmarkStart w:id="313" w:name="_Hlk110615179"/>
      <w:r w:rsidRPr="00AC7E2E">
        <w:rPr>
          <w:rFonts w:ascii="Times New Roman" w:hAnsi="Times New Roman" w:cs="Times New Roman"/>
          <w:b/>
          <w:bCs/>
          <w:iCs/>
        </w:rPr>
        <w:t>Figure 7.3</w:t>
      </w:r>
    </w:p>
    <w:p w14:paraId="1ECDB956" w14:textId="4ABF23A4" w:rsidR="00AC7E2E" w:rsidRPr="00AC7E2E" w:rsidRDefault="00AC7E2E" w:rsidP="00AC7E2E">
      <w:pPr>
        <w:pStyle w:val="NoSpacing"/>
        <w:spacing w:line="480" w:lineRule="auto"/>
        <w:rPr>
          <w:rFonts w:ascii="Times New Roman" w:hAnsi="Times New Roman" w:cs="Times New Roman"/>
          <w:bCs/>
          <w:i/>
          <w:iCs/>
        </w:rPr>
      </w:pPr>
      <w:r w:rsidRPr="00AC7E2E">
        <w:rPr>
          <w:rFonts w:ascii="Times New Roman" w:hAnsi="Times New Roman" w:cs="Times New Roman"/>
          <w:bCs/>
          <w:i/>
          <w:iCs/>
        </w:rPr>
        <w:t>Mean overall EA rates for tobacco-unrelated (animal) and tobacco choices split by smokers (solid black line; circle) and ex-smokers (dashed black line; triangle)</w:t>
      </w:r>
    </w:p>
    <w:bookmarkEnd w:id="313"/>
    <w:p w14:paraId="46AE10F7" w14:textId="68AD3F2E" w:rsidR="00AC7E2E" w:rsidRPr="00AC7E2E" w:rsidRDefault="00AC7E2E" w:rsidP="00AC7E2E">
      <w:pPr>
        <w:pStyle w:val="NoSpacing"/>
        <w:jc w:val="center"/>
      </w:pPr>
      <w:r w:rsidRPr="00AC7E2E">
        <w:rPr>
          <w:noProof/>
        </w:rPr>
        <w:lastRenderedPageBreak/>
        <w:drawing>
          <wp:inline distT="0" distB="0" distL="0" distR="0" wp14:anchorId="64D8B1F0" wp14:editId="444DBF4A">
            <wp:extent cx="4791075" cy="3219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01177" cy="3226348"/>
                    </a:xfrm>
                    <a:prstGeom prst="rect">
                      <a:avLst/>
                    </a:prstGeom>
                    <a:noFill/>
                  </pic:spPr>
                </pic:pic>
              </a:graphicData>
            </a:graphic>
          </wp:inline>
        </w:drawing>
      </w:r>
    </w:p>
    <w:p w14:paraId="2270ED51" w14:textId="77777777" w:rsidR="00AC7E2E" w:rsidRPr="00AC7E2E" w:rsidRDefault="00AC7E2E" w:rsidP="00AC7E2E">
      <w:pPr>
        <w:pStyle w:val="NoSpacing"/>
        <w:spacing w:line="480" w:lineRule="auto"/>
        <w:rPr>
          <w:rFonts w:ascii="Times New Roman" w:hAnsi="Times New Roman" w:cs="Times New Roman"/>
        </w:rPr>
      </w:pPr>
      <w:r w:rsidRPr="00AC7E2E">
        <w:rPr>
          <w:rFonts w:ascii="Times New Roman" w:hAnsi="Times New Roman" w:cs="Times New Roman"/>
          <w:i/>
          <w:iCs/>
        </w:rPr>
        <w:t>Note.</w:t>
      </w:r>
      <w:r w:rsidRPr="00AC7E2E">
        <w:rPr>
          <w:rFonts w:ascii="Times New Roman" w:hAnsi="Times New Roman" w:cs="Times New Roman"/>
        </w:rPr>
        <w:t xml:space="preserve"> Error bars represent the standard error of the mean. </w:t>
      </w:r>
    </w:p>
    <w:p w14:paraId="52C6922B" w14:textId="77777777" w:rsidR="00AC7E2E" w:rsidRPr="00AC7E2E" w:rsidRDefault="00AC7E2E" w:rsidP="00AC7E2E">
      <w:pPr>
        <w:pStyle w:val="NoSpacing"/>
        <w:spacing w:line="480" w:lineRule="auto"/>
      </w:pPr>
    </w:p>
    <w:p w14:paraId="79A4D7B2" w14:textId="77777777" w:rsidR="00AC7E2E" w:rsidRDefault="00AC7E2E" w:rsidP="00AC7E2E">
      <w:pPr>
        <w:pStyle w:val="NoSpacing"/>
        <w:spacing w:line="480" w:lineRule="auto"/>
        <w:rPr>
          <w:rFonts w:ascii="Times New Roman" w:hAnsi="Times New Roman" w:cs="Times New Roman"/>
          <w:b/>
          <w:bCs/>
          <w:iCs/>
        </w:rPr>
      </w:pPr>
      <w:bookmarkStart w:id="314" w:name="_Hlk110615186"/>
      <w:r w:rsidRPr="00AC7E2E">
        <w:rPr>
          <w:rFonts w:ascii="Times New Roman" w:hAnsi="Times New Roman" w:cs="Times New Roman"/>
          <w:b/>
          <w:bCs/>
          <w:iCs/>
        </w:rPr>
        <w:t>Figure 7.4</w:t>
      </w:r>
    </w:p>
    <w:p w14:paraId="1FBB6DBE" w14:textId="26E25A08" w:rsidR="00AC7E2E" w:rsidRPr="00AC7E2E" w:rsidRDefault="00AC7E2E" w:rsidP="00AC7E2E">
      <w:pPr>
        <w:pStyle w:val="NoSpacing"/>
        <w:spacing w:line="480" w:lineRule="auto"/>
        <w:rPr>
          <w:rFonts w:ascii="Times New Roman" w:hAnsi="Times New Roman" w:cs="Times New Roman"/>
          <w:bCs/>
          <w:iCs/>
        </w:rPr>
      </w:pPr>
      <w:r w:rsidRPr="00AC7E2E">
        <w:rPr>
          <w:rFonts w:ascii="Times New Roman" w:hAnsi="Times New Roman" w:cs="Times New Roman"/>
          <w:bCs/>
          <w:i/>
          <w:iCs/>
        </w:rPr>
        <w:t>Mean overall response thresholds for tobacco-unrelated (animal) and tobacco choices split by smokers (solid black line; circle) and ex-smokers (dashed black line; triangle)</w:t>
      </w:r>
    </w:p>
    <w:bookmarkEnd w:id="314"/>
    <w:p w14:paraId="476644C2" w14:textId="35BD6639" w:rsidR="00A30703" w:rsidRPr="00AC7E2E" w:rsidRDefault="00AC7E2E" w:rsidP="00AC7E2E">
      <w:pPr>
        <w:pStyle w:val="NoSpacing"/>
        <w:jc w:val="center"/>
      </w:pPr>
      <w:r w:rsidRPr="00AC7E2E">
        <w:rPr>
          <w:noProof/>
        </w:rPr>
        <w:drawing>
          <wp:inline distT="0" distB="0" distL="0" distR="0" wp14:anchorId="0B70E0BC" wp14:editId="041E5A30">
            <wp:extent cx="4581525" cy="307874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8950" cy="3083732"/>
                    </a:xfrm>
                    <a:prstGeom prst="rect">
                      <a:avLst/>
                    </a:prstGeom>
                    <a:noFill/>
                  </pic:spPr>
                </pic:pic>
              </a:graphicData>
            </a:graphic>
          </wp:inline>
        </w:drawing>
      </w:r>
    </w:p>
    <w:p w14:paraId="3DD3A144" w14:textId="26BEB439" w:rsidR="00AC7E2E" w:rsidRDefault="00AC7E2E" w:rsidP="00AC7E2E">
      <w:pPr>
        <w:pStyle w:val="NoSpacing"/>
        <w:spacing w:line="480" w:lineRule="auto"/>
        <w:rPr>
          <w:rFonts w:ascii="Times New Roman" w:hAnsi="Times New Roman" w:cs="Times New Roman"/>
        </w:rPr>
      </w:pPr>
      <w:bookmarkStart w:id="315" w:name="_Hlk65252309"/>
      <w:r w:rsidRPr="00AC7E2E">
        <w:rPr>
          <w:rFonts w:ascii="Times New Roman" w:hAnsi="Times New Roman" w:cs="Times New Roman"/>
          <w:i/>
          <w:iCs/>
        </w:rPr>
        <w:t>Note.</w:t>
      </w:r>
      <w:r w:rsidRPr="00AC7E2E">
        <w:rPr>
          <w:rFonts w:ascii="Times New Roman" w:hAnsi="Times New Roman" w:cs="Times New Roman"/>
        </w:rPr>
        <w:t xml:space="preserve"> Error bars represent the standard error of the mean.</w:t>
      </w:r>
    </w:p>
    <w:p w14:paraId="0AF6CD87" w14:textId="77777777" w:rsidR="00AC7E2E" w:rsidRPr="00AC7E2E" w:rsidRDefault="00AC7E2E" w:rsidP="00AC7E2E">
      <w:pPr>
        <w:pStyle w:val="NoSpacing"/>
        <w:spacing w:line="480" w:lineRule="auto"/>
        <w:rPr>
          <w:rFonts w:ascii="Times New Roman" w:hAnsi="Times New Roman" w:cs="Times New Roman"/>
        </w:rPr>
      </w:pPr>
    </w:p>
    <w:bookmarkEnd w:id="315"/>
    <w:p w14:paraId="11A3F55E" w14:textId="59A95F19" w:rsidR="00AC7E2E" w:rsidRDefault="00AC7E2E" w:rsidP="00AC7E2E">
      <w:pPr>
        <w:pStyle w:val="NoSpacing"/>
        <w:spacing w:line="480" w:lineRule="auto"/>
        <w:rPr>
          <w:rFonts w:ascii="Times New Roman" w:hAnsi="Times New Roman" w:cs="Times New Roman"/>
        </w:rPr>
      </w:pPr>
      <w:r w:rsidRPr="00AC7E2E">
        <w:rPr>
          <w:rFonts w:ascii="Times New Roman" w:hAnsi="Times New Roman" w:cs="Times New Roman"/>
        </w:rPr>
        <w:lastRenderedPageBreak/>
        <w:t>To aid interpretation of the VBDM results presented above, we conducted exploratory mixed ANOVAs on EA rates and response thresholds using a within-subject factor of image type (2: tobacco; tobacco-unrelated), and a between-subject factor of smoker status (2: current smoker; ex-smoker). When looking at EA rates, there was a significant main effect of image type (</w:t>
      </w:r>
      <w:proofErr w:type="gramStart"/>
      <w:r w:rsidRPr="00AC7E2E">
        <w:rPr>
          <w:rFonts w:ascii="Times New Roman" w:hAnsi="Times New Roman" w:cs="Times New Roman"/>
          <w:i/>
          <w:iCs/>
        </w:rPr>
        <w:t>F</w:t>
      </w:r>
      <w:r w:rsidRPr="00AC7E2E">
        <w:rPr>
          <w:rFonts w:ascii="Times New Roman" w:hAnsi="Times New Roman" w:cs="Times New Roman"/>
        </w:rPr>
        <w:t>(</w:t>
      </w:r>
      <w:proofErr w:type="gramEnd"/>
      <w:r w:rsidRPr="00AC7E2E">
        <w:rPr>
          <w:rFonts w:ascii="Times New Roman" w:hAnsi="Times New Roman" w:cs="Times New Roman"/>
        </w:rPr>
        <w:t xml:space="preserve">1, 100) = 68.20, </w:t>
      </w:r>
      <w:r w:rsidRPr="00AC7E2E">
        <w:rPr>
          <w:rFonts w:ascii="Times New Roman" w:hAnsi="Times New Roman" w:cs="Times New Roman"/>
          <w:i/>
          <w:iCs/>
        </w:rPr>
        <w:t>p</w:t>
      </w:r>
      <w:r w:rsidRPr="00AC7E2E">
        <w:rPr>
          <w:rFonts w:ascii="Times New Roman" w:hAnsi="Times New Roman" w:cs="Times New Roman"/>
        </w:rPr>
        <w:t xml:space="preserve"> &lt; .001,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.41), but there was no significant main effect of smoking status (</w:t>
      </w:r>
      <w:r w:rsidRPr="00AC7E2E">
        <w:rPr>
          <w:rFonts w:ascii="Times New Roman" w:hAnsi="Times New Roman" w:cs="Times New Roman"/>
          <w:i/>
          <w:iCs/>
        </w:rPr>
        <w:t>F</w:t>
      </w:r>
      <w:r w:rsidRPr="00AC7E2E">
        <w:rPr>
          <w:rFonts w:ascii="Times New Roman" w:hAnsi="Times New Roman" w:cs="Times New Roman"/>
        </w:rPr>
        <w:t xml:space="preserve">(1, 100) = .17, </w:t>
      </w:r>
      <w:r w:rsidRPr="00AC7E2E">
        <w:rPr>
          <w:rFonts w:ascii="Times New Roman" w:hAnsi="Times New Roman" w:cs="Times New Roman"/>
          <w:i/>
          <w:iCs/>
        </w:rPr>
        <w:t>p</w:t>
      </w:r>
      <w:r w:rsidRPr="00AC7E2E">
        <w:rPr>
          <w:rFonts w:ascii="Times New Roman" w:hAnsi="Times New Roman" w:cs="Times New Roman"/>
        </w:rPr>
        <w:t xml:space="preserve"> = .68,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.00), and no interaction (</w:t>
      </w:r>
      <w:r w:rsidRPr="00AC7E2E">
        <w:rPr>
          <w:rFonts w:ascii="Times New Roman" w:hAnsi="Times New Roman" w:cs="Times New Roman"/>
          <w:i/>
          <w:iCs/>
        </w:rPr>
        <w:t>F</w:t>
      </w:r>
      <w:r w:rsidRPr="00AC7E2E">
        <w:rPr>
          <w:rFonts w:ascii="Times New Roman" w:hAnsi="Times New Roman" w:cs="Times New Roman"/>
        </w:rPr>
        <w:t xml:space="preserve">(1, 100) = .05, </w:t>
      </w:r>
      <w:r w:rsidRPr="00AC7E2E">
        <w:rPr>
          <w:rFonts w:ascii="Times New Roman" w:hAnsi="Times New Roman" w:cs="Times New Roman"/>
          <w:i/>
          <w:iCs/>
        </w:rPr>
        <w:t>p</w:t>
      </w:r>
      <w:r w:rsidRPr="00AC7E2E">
        <w:rPr>
          <w:rFonts w:ascii="Times New Roman" w:hAnsi="Times New Roman" w:cs="Times New Roman"/>
        </w:rPr>
        <w:t xml:space="preserve"> = .83,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.00). Post-hoc tests for the significant main effect of image type revealed that, collapsed across smoker status, EA rates were higher for tobacco-unrelated (animal) choices (M = 1.86, SD = .37) compared to tobacco choices (M = 1.55, SD = .42; </w:t>
      </w:r>
      <w:r w:rsidRPr="00AC7E2E">
        <w:rPr>
          <w:rFonts w:ascii="Times New Roman" w:hAnsi="Times New Roman" w:cs="Times New Roman"/>
          <w:i/>
          <w:iCs/>
        </w:rPr>
        <w:t xml:space="preserve">p </w:t>
      </w:r>
      <w:r w:rsidRPr="00AC7E2E">
        <w:rPr>
          <w:rFonts w:ascii="Times New Roman" w:hAnsi="Times New Roman" w:cs="Times New Roman"/>
        </w:rPr>
        <w:t>&lt; .001).  This analysis demonstrates that there was a main effect of image type that was not robustly moderated by smoker status. When looking at response thresholds, there was no significant main effect of image type (</w:t>
      </w:r>
      <w:proofErr w:type="gramStart"/>
      <w:r w:rsidRPr="00AC7E2E">
        <w:rPr>
          <w:rFonts w:ascii="Times New Roman" w:hAnsi="Times New Roman" w:cs="Times New Roman"/>
          <w:i/>
          <w:iCs/>
        </w:rPr>
        <w:t>F</w:t>
      </w:r>
      <w:r w:rsidRPr="00AC7E2E">
        <w:rPr>
          <w:rFonts w:ascii="Times New Roman" w:hAnsi="Times New Roman" w:cs="Times New Roman"/>
        </w:rPr>
        <w:t>(</w:t>
      </w:r>
      <w:proofErr w:type="gramEnd"/>
      <w:r w:rsidRPr="00AC7E2E">
        <w:rPr>
          <w:rFonts w:ascii="Times New Roman" w:hAnsi="Times New Roman" w:cs="Times New Roman"/>
        </w:rPr>
        <w:t xml:space="preserve">1, 100) = .00, </w:t>
      </w:r>
      <w:r w:rsidRPr="00AC7E2E">
        <w:rPr>
          <w:rFonts w:ascii="Times New Roman" w:hAnsi="Times New Roman" w:cs="Times New Roman"/>
          <w:i/>
          <w:iCs/>
        </w:rPr>
        <w:t>p</w:t>
      </w:r>
      <w:r w:rsidRPr="00AC7E2E">
        <w:rPr>
          <w:rFonts w:ascii="Times New Roman" w:hAnsi="Times New Roman" w:cs="Times New Roman"/>
        </w:rPr>
        <w:t xml:space="preserve"> = .95,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.00) or smoker status (</w:t>
      </w:r>
      <w:r w:rsidRPr="00AC7E2E">
        <w:rPr>
          <w:rFonts w:ascii="Times New Roman" w:hAnsi="Times New Roman" w:cs="Times New Roman"/>
          <w:i/>
          <w:iCs/>
        </w:rPr>
        <w:t>F</w:t>
      </w:r>
      <w:r w:rsidRPr="00AC7E2E">
        <w:rPr>
          <w:rFonts w:ascii="Times New Roman" w:hAnsi="Times New Roman" w:cs="Times New Roman"/>
        </w:rPr>
        <w:t>(1, 100) = 2.95,</w:t>
      </w:r>
      <w:r w:rsidRPr="00AC7E2E">
        <w:rPr>
          <w:rFonts w:ascii="Times New Roman" w:hAnsi="Times New Roman" w:cs="Times New Roman"/>
          <w:i/>
          <w:iCs/>
        </w:rPr>
        <w:t xml:space="preserve"> p</w:t>
      </w:r>
      <w:r w:rsidRPr="00AC7E2E">
        <w:rPr>
          <w:rFonts w:ascii="Times New Roman" w:hAnsi="Times New Roman" w:cs="Times New Roman"/>
        </w:rPr>
        <w:t xml:space="preserve"> = .09,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.03), and no interaction (</w:t>
      </w:r>
      <w:r w:rsidRPr="00AC7E2E">
        <w:rPr>
          <w:rFonts w:ascii="Times New Roman" w:hAnsi="Times New Roman" w:cs="Times New Roman"/>
          <w:i/>
          <w:iCs/>
        </w:rPr>
        <w:t>F</w:t>
      </w:r>
      <w:r w:rsidRPr="00AC7E2E">
        <w:rPr>
          <w:rFonts w:ascii="Times New Roman" w:hAnsi="Times New Roman" w:cs="Times New Roman"/>
        </w:rPr>
        <w:t xml:space="preserve">(1, 100) = 3.37, </w:t>
      </w:r>
      <w:r w:rsidRPr="00AC7E2E">
        <w:rPr>
          <w:rFonts w:ascii="Times New Roman" w:hAnsi="Times New Roman" w:cs="Times New Roman"/>
          <w:i/>
          <w:iCs/>
        </w:rPr>
        <w:t>p</w:t>
      </w:r>
      <w:r w:rsidRPr="00AC7E2E">
        <w:rPr>
          <w:rFonts w:ascii="Times New Roman" w:hAnsi="Times New Roman" w:cs="Times New Roman"/>
        </w:rPr>
        <w:t xml:space="preserve"> = .07, η</w:t>
      </w:r>
      <w:r w:rsidRPr="00AC7E2E">
        <w:rPr>
          <w:rFonts w:ascii="Times New Roman" w:hAnsi="Times New Roman" w:cs="Times New Roman"/>
          <w:vertAlign w:val="subscript"/>
        </w:rPr>
        <w:t>p</w:t>
      </w:r>
      <w:r w:rsidRPr="00AC7E2E">
        <w:rPr>
          <w:rFonts w:ascii="Times New Roman" w:hAnsi="Times New Roman" w:cs="Times New Roman"/>
          <w:vertAlign w:val="superscript"/>
        </w:rPr>
        <w:t>2</w:t>
      </w:r>
      <w:r w:rsidRPr="00AC7E2E">
        <w:rPr>
          <w:rFonts w:ascii="Times New Roman" w:hAnsi="Times New Roman" w:cs="Times New Roman"/>
        </w:rPr>
        <w:t xml:space="preserve"> = .03), although this was approaching statistical significance. This analysis demonstrates that although ex-smokers have lower tobacco-related response thresholds compared to current smokers, this is perhaps not robust. However, in line with our pre-registration, our study was powered specifically to detect differences in means between two independent groups rather than an interaction effect.</w:t>
      </w:r>
    </w:p>
    <w:p w14:paraId="51B2242A" w14:textId="77777777" w:rsidR="00AC7E2E" w:rsidRDefault="00AC7E2E" w:rsidP="00AC7E2E">
      <w:pPr>
        <w:pStyle w:val="NoSpacing"/>
        <w:spacing w:line="480" w:lineRule="auto"/>
        <w:rPr>
          <w:rFonts w:ascii="Times New Roman" w:hAnsi="Times New Roman" w:cs="Times New Roman"/>
        </w:rPr>
      </w:pPr>
    </w:p>
    <w:p w14:paraId="2712C9C5" w14:textId="2D17AF8E" w:rsidR="00AC7E2E" w:rsidRDefault="00AC7E2E" w:rsidP="00AC7E2E">
      <w:pPr>
        <w:pStyle w:val="NoSpacing"/>
        <w:spacing w:line="480" w:lineRule="auto"/>
        <w:rPr>
          <w:rFonts w:ascii="Times New Roman" w:hAnsi="Times New Roman" w:cs="Times New Roman"/>
          <w:iCs/>
        </w:rPr>
      </w:pPr>
      <w:r w:rsidRPr="00AC7E2E">
        <w:rPr>
          <w:rFonts w:ascii="Times New Roman" w:hAnsi="Times New Roman" w:cs="Times New Roman"/>
          <w:i/>
        </w:rPr>
        <w:t xml:space="preserve">Hypothesis 3 and 4: </w:t>
      </w:r>
      <w:r w:rsidRPr="00AC7E2E">
        <w:rPr>
          <w:rFonts w:ascii="Times New Roman" w:hAnsi="Times New Roman" w:cs="Times New Roman"/>
          <w:iCs/>
        </w:rPr>
        <w:t>Compared to current smokers, ex-smokers will have greater conflict when tobacco images are the ‘correct’ answer, and lower conflict when tobacco-unrelated (animal) images are the ‘correct’ answer.</w:t>
      </w:r>
    </w:p>
    <w:p w14:paraId="00B69316" w14:textId="77777777" w:rsidR="00AC7E2E" w:rsidRPr="00AC7E2E" w:rsidRDefault="00AC7E2E" w:rsidP="00AC7E2E">
      <w:pPr>
        <w:pStyle w:val="NoSpacing"/>
        <w:spacing w:line="480" w:lineRule="auto"/>
        <w:rPr>
          <w:rFonts w:ascii="Times New Roman" w:hAnsi="Times New Roman" w:cs="Times New Roman"/>
          <w:iCs/>
        </w:rPr>
      </w:pPr>
    </w:p>
    <w:p w14:paraId="6E68D9E8" w14:textId="77777777" w:rsidR="00AC7E2E" w:rsidRPr="00AC7E2E" w:rsidRDefault="00AC7E2E" w:rsidP="00AC7E2E">
      <w:pPr>
        <w:pStyle w:val="NoSpacing"/>
        <w:spacing w:line="480" w:lineRule="auto"/>
        <w:rPr>
          <w:rFonts w:ascii="Times New Roman" w:hAnsi="Times New Roman" w:cs="Times New Roman"/>
        </w:rPr>
      </w:pPr>
      <w:r w:rsidRPr="00AC7E2E">
        <w:rPr>
          <w:rFonts w:ascii="Times New Roman" w:hAnsi="Times New Roman" w:cs="Times New Roman"/>
        </w:rPr>
        <w:t xml:space="preserve">When the tobacco image was the correct answer, ex-smokers (M = 1.00, SD = .61) did not have significantly greater conflict compared to current smokers (M = 1.08, SD = .57); </w:t>
      </w:r>
      <w:proofErr w:type="gramStart"/>
      <w:r w:rsidRPr="00AC7E2E">
        <w:rPr>
          <w:rFonts w:ascii="Times New Roman" w:hAnsi="Times New Roman" w:cs="Times New Roman"/>
          <w:i/>
        </w:rPr>
        <w:t>t</w:t>
      </w:r>
      <w:r w:rsidRPr="00AC7E2E">
        <w:rPr>
          <w:rFonts w:ascii="Times New Roman" w:hAnsi="Times New Roman" w:cs="Times New Roman"/>
        </w:rPr>
        <w:t>(</w:t>
      </w:r>
      <w:proofErr w:type="gramEnd"/>
      <w:r w:rsidRPr="00AC7E2E">
        <w:rPr>
          <w:rFonts w:ascii="Times New Roman" w:hAnsi="Times New Roman" w:cs="Times New Roman"/>
        </w:rPr>
        <w:t xml:space="preserve">100) </w:t>
      </w:r>
      <w:r w:rsidRPr="00AC7E2E">
        <w:rPr>
          <w:rFonts w:ascii="Times New Roman" w:hAnsi="Times New Roman" w:cs="Times New Roman"/>
        </w:rPr>
        <w:lastRenderedPageBreak/>
        <w:t xml:space="preserve">= .72, </w:t>
      </w:r>
      <w:r w:rsidRPr="00AC7E2E">
        <w:rPr>
          <w:rFonts w:ascii="Times New Roman" w:hAnsi="Times New Roman" w:cs="Times New Roman"/>
          <w:i/>
        </w:rPr>
        <w:t>p</w:t>
      </w:r>
      <w:r w:rsidRPr="00AC7E2E">
        <w:rPr>
          <w:rFonts w:ascii="Times New Roman" w:hAnsi="Times New Roman" w:cs="Times New Roman"/>
        </w:rPr>
        <w:t xml:space="preserve"> = .76, </w:t>
      </w:r>
      <w:r w:rsidRPr="00AC7E2E">
        <w:rPr>
          <w:rFonts w:ascii="Times New Roman" w:hAnsi="Times New Roman" w:cs="Times New Roman"/>
          <w:i/>
        </w:rPr>
        <w:t>d</w:t>
      </w:r>
      <w:r w:rsidRPr="00AC7E2E">
        <w:rPr>
          <w:rFonts w:ascii="Times New Roman" w:hAnsi="Times New Roman" w:cs="Times New Roman"/>
        </w:rPr>
        <w:t xml:space="preserve"> = .14.</w:t>
      </w:r>
      <w:r w:rsidRPr="00AC7E2E">
        <w:rPr>
          <w:rFonts w:ascii="Times New Roman" w:hAnsi="Times New Roman" w:cs="Times New Roman"/>
          <w:i/>
        </w:rPr>
        <w:t xml:space="preserve"> </w:t>
      </w:r>
      <w:r w:rsidRPr="00AC7E2E">
        <w:rPr>
          <w:rFonts w:ascii="Times New Roman" w:hAnsi="Times New Roman" w:cs="Times New Roman"/>
        </w:rPr>
        <w:t xml:space="preserve">Similarly, when the tobacco-unrelated (animal) image was the correct answer, ex-smokers (M = .79, SD = .46) did not have significantly lower conflict compared to current smokers (M = .90, SD = .45); </w:t>
      </w:r>
      <w:proofErr w:type="gramStart"/>
      <w:r w:rsidRPr="00AC7E2E">
        <w:rPr>
          <w:rFonts w:ascii="Times New Roman" w:hAnsi="Times New Roman" w:cs="Times New Roman"/>
          <w:i/>
        </w:rPr>
        <w:t>t</w:t>
      </w:r>
      <w:r w:rsidRPr="00AC7E2E">
        <w:rPr>
          <w:rFonts w:ascii="Times New Roman" w:hAnsi="Times New Roman" w:cs="Times New Roman"/>
        </w:rPr>
        <w:t>(</w:t>
      </w:r>
      <w:proofErr w:type="gramEnd"/>
      <w:r w:rsidRPr="00AC7E2E">
        <w:rPr>
          <w:rFonts w:ascii="Times New Roman" w:hAnsi="Times New Roman" w:cs="Times New Roman"/>
        </w:rPr>
        <w:t xml:space="preserve">100) = 1.16, </w:t>
      </w:r>
      <w:r w:rsidRPr="00AC7E2E">
        <w:rPr>
          <w:rFonts w:ascii="Times New Roman" w:hAnsi="Times New Roman" w:cs="Times New Roman"/>
          <w:i/>
        </w:rPr>
        <w:t xml:space="preserve">p </w:t>
      </w:r>
      <w:r w:rsidRPr="00AC7E2E">
        <w:rPr>
          <w:rFonts w:ascii="Times New Roman" w:hAnsi="Times New Roman" w:cs="Times New Roman"/>
        </w:rPr>
        <w:t xml:space="preserve">= .13, </w:t>
      </w:r>
      <w:r w:rsidRPr="00AC7E2E">
        <w:rPr>
          <w:rFonts w:ascii="Times New Roman" w:hAnsi="Times New Roman" w:cs="Times New Roman"/>
          <w:i/>
        </w:rPr>
        <w:t>d</w:t>
      </w:r>
      <w:r w:rsidRPr="00AC7E2E">
        <w:rPr>
          <w:rFonts w:ascii="Times New Roman" w:hAnsi="Times New Roman" w:cs="Times New Roman"/>
        </w:rPr>
        <w:t xml:space="preserve"> = .23.</w:t>
      </w:r>
    </w:p>
    <w:p w14:paraId="3125A550" w14:textId="77777777" w:rsidR="00AC7E2E" w:rsidRPr="00AC7E2E" w:rsidRDefault="00AC7E2E" w:rsidP="00AC7E2E">
      <w:pPr>
        <w:pStyle w:val="NoSpacing"/>
        <w:spacing w:line="480" w:lineRule="auto"/>
        <w:rPr>
          <w:rFonts w:ascii="Times New Roman" w:hAnsi="Times New Roman" w:cs="Times New Roman"/>
        </w:rPr>
      </w:pPr>
    </w:p>
    <w:p w14:paraId="66433C50" w14:textId="77777777" w:rsidR="00AC7E2E" w:rsidRDefault="00AC7E2E" w:rsidP="00AC7E2E">
      <w:pPr>
        <w:pStyle w:val="NoSpacing"/>
        <w:spacing w:line="480" w:lineRule="auto"/>
        <w:rPr>
          <w:rFonts w:ascii="Times New Roman" w:hAnsi="Times New Roman" w:cs="Times New Roman"/>
          <w:b/>
          <w:bCs/>
        </w:rPr>
      </w:pPr>
      <w:bookmarkStart w:id="316" w:name="_Hlk110615194"/>
      <w:r w:rsidRPr="00AC7E2E">
        <w:rPr>
          <w:rFonts w:ascii="Times New Roman" w:hAnsi="Times New Roman" w:cs="Times New Roman"/>
          <w:b/>
          <w:bCs/>
        </w:rPr>
        <w:t>Figure 7.5</w:t>
      </w:r>
    </w:p>
    <w:p w14:paraId="1E455757" w14:textId="0C43C4AF" w:rsidR="00AC7E2E" w:rsidRPr="00AC7E2E" w:rsidRDefault="00AC7E2E" w:rsidP="00AC7E2E">
      <w:pPr>
        <w:pStyle w:val="NoSpacing"/>
        <w:spacing w:line="480" w:lineRule="auto"/>
        <w:rPr>
          <w:rFonts w:ascii="Times New Roman" w:hAnsi="Times New Roman" w:cs="Times New Roman"/>
          <w:i/>
          <w:iCs/>
        </w:rPr>
      </w:pPr>
      <w:r w:rsidRPr="00AC7E2E">
        <w:rPr>
          <w:rFonts w:ascii="Times New Roman" w:hAnsi="Times New Roman" w:cs="Times New Roman"/>
          <w:i/>
          <w:iCs/>
        </w:rPr>
        <w:t>Mean level of conflict represented by area under the curve (AUC scores) when correctly choosing the tobacco-unrelated and tobacco image split by current smoker (grey) and ex-smoker (striped)</w:t>
      </w:r>
    </w:p>
    <w:bookmarkEnd w:id="316"/>
    <w:p w14:paraId="26E70F7D" w14:textId="0013C244" w:rsidR="00AC7E2E" w:rsidRPr="00AC7E2E" w:rsidRDefault="00AC7E2E" w:rsidP="00AC7E2E">
      <w:pPr>
        <w:pStyle w:val="NoSpacing"/>
        <w:jc w:val="center"/>
      </w:pPr>
      <w:r w:rsidRPr="00AC7E2E">
        <w:rPr>
          <w:noProof/>
        </w:rPr>
        <w:drawing>
          <wp:inline distT="0" distB="0" distL="0" distR="0" wp14:anchorId="75A76DE3" wp14:editId="0B702688">
            <wp:extent cx="4552950" cy="33166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62569" cy="3323615"/>
                    </a:xfrm>
                    <a:prstGeom prst="rect">
                      <a:avLst/>
                    </a:prstGeom>
                    <a:noFill/>
                  </pic:spPr>
                </pic:pic>
              </a:graphicData>
            </a:graphic>
          </wp:inline>
        </w:drawing>
      </w:r>
    </w:p>
    <w:p w14:paraId="3C7856B2" w14:textId="29DDEEA9" w:rsidR="00AC7E2E" w:rsidRPr="00AC7E2E" w:rsidRDefault="00AC7E2E" w:rsidP="00AC7E2E">
      <w:pPr>
        <w:pStyle w:val="NoSpacing"/>
        <w:spacing w:line="480" w:lineRule="auto"/>
        <w:rPr>
          <w:rFonts w:ascii="Times New Roman" w:hAnsi="Times New Roman" w:cs="Times New Roman"/>
        </w:rPr>
      </w:pPr>
      <w:r w:rsidRPr="00AC7E2E">
        <w:rPr>
          <w:rFonts w:ascii="Times New Roman" w:hAnsi="Times New Roman" w:cs="Times New Roman"/>
          <w:i/>
          <w:iCs/>
        </w:rPr>
        <w:t>Note</w:t>
      </w:r>
      <w:r>
        <w:rPr>
          <w:rFonts w:ascii="Times New Roman" w:hAnsi="Times New Roman" w:cs="Times New Roman"/>
        </w:rPr>
        <w:t xml:space="preserve">. </w:t>
      </w:r>
      <w:r w:rsidRPr="00AC7E2E">
        <w:rPr>
          <w:rFonts w:ascii="Times New Roman" w:hAnsi="Times New Roman" w:cs="Times New Roman"/>
        </w:rPr>
        <w:t>Error bars represent the standard error of the mean.</w:t>
      </w:r>
    </w:p>
    <w:p w14:paraId="3E076C54" w14:textId="77777777" w:rsidR="00AC7E2E" w:rsidRPr="00AC7E2E" w:rsidRDefault="00AC7E2E" w:rsidP="00AC7E2E">
      <w:pPr>
        <w:pStyle w:val="NoSpacing"/>
        <w:spacing w:line="480" w:lineRule="auto"/>
      </w:pPr>
    </w:p>
    <w:p w14:paraId="5BBE6CE2" w14:textId="45EA0F17" w:rsidR="00AC7E2E" w:rsidRPr="00AC7E2E" w:rsidRDefault="00AC7E2E" w:rsidP="00AC7E2E">
      <w:pPr>
        <w:pStyle w:val="NoSpacing"/>
        <w:spacing w:line="480" w:lineRule="auto"/>
        <w:rPr>
          <w:rFonts w:ascii="Times New Roman" w:hAnsi="Times New Roman" w:cs="Times New Roman"/>
          <w:b/>
        </w:rPr>
      </w:pPr>
      <w:r>
        <w:rPr>
          <w:rFonts w:ascii="Times New Roman" w:hAnsi="Times New Roman" w:cs="Times New Roman"/>
          <w:b/>
        </w:rPr>
        <w:t>E</w:t>
      </w:r>
      <w:r w:rsidRPr="00AC7E2E">
        <w:rPr>
          <w:rFonts w:ascii="Times New Roman" w:hAnsi="Times New Roman" w:cs="Times New Roman"/>
          <w:b/>
        </w:rPr>
        <w:t xml:space="preserve">xploratory analyses </w:t>
      </w:r>
      <w:r>
        <w:rPr>
          <w:rFonts w:ascii="Times New Roman" w:hAnsi="Times New Roman" w:cs="Times New Roman"/>
          <w:b/>
        </w:rPr>
        <w:t>that were pre-registered</w:t>
      </w:r>
    </w:p>
    <w:p w14:paraId="3363F72A" w14:textId="74D67582" w:rsidR="00AC7E2E" w:rsidRPr="00AC7E2E" w:rsidRDefault="00AC7E2E" w:rsidP="00954D34">
      <w:pPr>
        <w:pStyle w:val="NoSpacing"/>
        <w:spacing w:line="480" w:lineRule="auto"/>
        <w:rPr>
          <w:rFonts w:ascii="Times New Roman" w:hAnsi="Times New Roman" w:cs="Times New Roman"/>
        </w:rPr>
      </w:pPr>
      <w:r w:rsidRPr="00AC7E2E">
        <w:rPr>
          <w:rFonts w:ascii="Times New Roman" w:hAnsi="Times New Roman" w:cs="Times New Roman"/>
        </w:rPr>
        <w:t xml:space="preserve">In our pre-registration, we stated that we were interested in exploring the nature of the mouse trajectories from the </w:t>
      </w:r>
      <w:proofErr w:type="spellStart"/>
      <w:r w:rsidRPr="00AC7E2E">
        <w:rPr>
          <w:rFonts w:ascii="Times New Roman" w:hAnsi="Times New Roman" w:cs="Times New Roman"/>
        </w:rPr>
        <w:t>MouseTracker</w:t>
      </w:r>
      <w:proofErr w:type="spellEnd"/>
      <w:r w:rsidRPr="00AC7E2E">
        <w:rPr>
          <w:rFonts w:ascii="Times New Roman" w:hAnsi="Times New Roman" w:cs="Times New Roman"/>
        </w:rPr>
        <w:t xml:space="preserve"> task to explore whether they are in line with a dual-systems model or a dynamical systems model. In previous research, it has been demonstrated that trajectories for which the MD exceeds 0.9 demonstrate the abrupt mid-flight corrections that dual-systems accounts predict </w:t>
      </w:r>
      <w:r w:rsidR="00954D34">
        <w:rPr>
          <w:rFonts w:ascii="Times New Roman" w:hAnsi="Times New Roman" w:cs="Times New Roman"/>
        </w:rPr>
        <w:fldChar w:fldCharType="begin"/>
      </w:r>
      <w:r w:rsidR="00954D34">
        <w:rPr>
          <w:rFonts w:ascii="Times New Roman" w:hAnsi="Times New Roman" w:cs="Times New Roman"/>
        </w:rPr>
        <w:instrText xml:space="preserve"> ADDIN ZOTERO_ITEM CSL_CITATION {"citationID":"jQ8DRFVi","properties":{"formattedCitation":"(Freeman, 2014)","plainCitation":"(Freeman, 2014)","noteIndex":0},"citationItems":[{"id":1840,"uris":["http://zotero.org/users/7873587/items/SRW9PT53"],"itemData":{"id":1840,"type":"article-journal","abstract":"Previous studies have suggested that real-time person perception relies on continuous competition, in which partially active categories smoothly compete over time. Here, two studies demonstrated the involvement of a different kind of competition. In Study 1, before participants selected the correct sex category for morphed faces, their mouse trajectories often exhibited a continuous attraction toward the incorrect category that increased with sex-category ambiguity, indicating continuous competition. On other trials, however, trajectories initially pursued the incorrect category and then abruptly redirected toward the correct category, suggesting early incorrect category activation that was rapidly reversed later in processing. These abrupt category reversals also increased with ambiguity. In Study 2, participants were presented with faces containing a sex-typical or sex-atypical hair cue, in a context in which the norm was either sex-typical targets (normative context) or sex-atypical targets (counternormative context). Sex-atypical targets induced greater competition in the normative context, but sex-typical targets induced greater competition in the counternormative context. Together, these results demonstrate that categorizing others involves both smooth competition and abrupt category shifts, and that these flexibly adapt to the social context.","container-title":"Psychonomic Bulletin &amp; Review","DOI":"10.3758/s13423-013-0470-8","ISSN":"1531-5320","issue":"1","journalAbbreviation":"Psychon Bull Rev","language":"en","page":"85-92","source":"Springer Link","title":"Abrupt category shifts during real-time person perception","volume":"21","author":[{"family":"Freeman","given":"Jonathan B."}],"issued":{"date-parts":[["2014",2,1]]}}}],"schema":"https://github.com/citation-style-language/schema/raw/master/csl-citation.json"} </w:instrText>
      </w:r>
      <w:r w:rsidR="00954D34">
        <w:rPr>
          <w:rFonts w:ascii="Times New Roman" w:hAnsi="Times New Roman" w:cs="Times New Roman"/>
        </w:rPr>
        <w:fldChar w:fldCharType="separate"/>
      </w:r>
      <w:r w:rsidR="00954D34" w:rsidRPr="00954D34">
        <w:rPr>
          <w:rFonts w:ascii="Times New Roman" w:hAnsi="Times New Roman" w:cs="Times New Roman"/>
        </w:rPr>
        <w:t>(Freeman, 2014)</w:t>
      </w:r>
      <w:r w:rsidR="00954D34">
        <w:rPr>
          <w:rFonts w:ascii="Times New Roman" w:hAnsi="Times New Roman" w:cs="Times New Roman"/>
        </w:rPr>
        <w:fldChar w:fldCharType="end"/>
      </w:r>
      <w:r w:rsidRPr="00AC7E2E">
        <w:rPr>
          <w:rFonts w:ascii="Times New Roman" w:hAnsi="Times New Roman" w:cs="Times New Roman"/>
        </w:rPr>
        <w:t xml:space="preserve">. Findings from our sample are in line </w:t>
      </w:r>
      <w:r w:rsidRPr="00AC7E2E">
        <w:rPr>
          <w:rFonts w:ascii="Times New Roman" w:hAnsi="Times New Roman" w:cs="Times New Roman"/>
        </w:rPr>
        <w:lastRenderedPageBreak/>
        <w:t xml:space="preserve">with dynamical systems approach, as the average MD score for both animal and smoking choices were below the .09 cut-off (see Figure 7.6). </w:t>
      </w:r>
    </w:p>
    <w:p w14:paraId="1D0DD0AA" w14:textId="77777777" w:rsidR="00AC7E2E" w:rsidRPr="00AC7E2E" w:rsidRDefault="00AC7E2E" w:rsidP="00AC7E2E">
      <w:pPr>
        <w:pStyle w:val="NoSpacing"/>
        <w:spacing w:line="480" w:lineRule="auto"/>
        <w:rPr>
          <w:rFonts w:ascii="Times New Roman" w:hAnsi="Times New Roman" w:cs="Times New Roman"/>
        </w:rPr>
      </w:pPr>
    </w:p>
    <w:p w14:paraId="360ACB65" w14:textId="63F06727" w:rsidR="00AC7E2E" w:rsidRDefault="00AC7E2E" w:rsidP="00954D34">
      <w:pPr>
        <w:pStyle w:val="NoSpacing"/>
        <w:spacing w:line="480" w:lineRule="auto"/>
        <w:rPr>
          <w:rFonts w:ascii="Times New Roman" w:hAnsi="Times New Roman" w:cs="Times New Roman"/>
        </w:rPr>
      </w:pPr>
      <w:r w:rsidRPr="00AC7E2E">
        <w:rPr>
          <w:rFonts w:ascii="Times New Roman" w:hAnsi="Times New Roman" w:cs="Times New Roman"/>
        </w:rPr>
        <w:t xml:space="preserve">Further supporting this, we conducted additional analyses to quantify the nature of mouse trajectories by exploring the modality of the distributions of conflict across </w:t>
      </w:r>
      <w:proofErr w:type="spellStart"/>
      <w:r w:rsidRPr="00AC7E2E">
        <w:rPr>
          <w:rFonts w:ascii="Times New Roman" w:hAnsi="Times New Roman" w:cs="Times New Roman"/>
        </w:rPr>
        <w:t>MouseTracker</w:t>
      </w:r>
      <w:proofErr w:type="spellEnd"/>
      <w:r w:rsidRPr="00AC7E2E">
        <w:rPr>
          <w:rFonts w:ascii="Times New Roman" w:hAnsi="Times New Roman" w:cs="Times New Roman"/>
        </w:rPr>
        <w:t xml:space="preserve"> trials </w:t>
      </w:r>
      <w:r w:rsidR="00954D34">
        <w:rPr>
          <w:rFonts w:ascii="Times New Roman" w:hAnsi="Times New Roman" w:cs="Times New Roman"/>
        </w:rPr>
        <w:fldChar w:fldCharType="begin"/>
      </w:r>
      <w:r w:rsidR="00954D34">
        <w:rPr>
          <w:rFonts w:ascii="Times New Roman" w:hAnsi="Times New Roman" w:cs="Times New Roman"/>
        </w:rPr>
        <w:instrText xml:space="preserve"> ADDIN ZOTERO_ITEM CSL_CITATION {"citationID":"cKrHz9Wx","properties":{"formattedCitation":"(Freeman &amp; Dale, 2013)","plainCitation":"(Freeman &amp; Dale, 2013)","noteIndex":0},"citationItems":[{"id":1842,"uris":["http://zotero.org/users/7873587/items/BCLZFMCC"],"itemData":{"id":1842,"type":"article-journal","abstract":"Researchers have long sought to distinguish between single-process and dual-process cognitive phenomena, using responses such as reaction times and, more recently, hand movements. Analysis of a response distribution's modality has been crucial in detecting the presence of dual processes, because they tend to introduce bimodal features. Rarely, however, have bimodality measures been systematically evaluated. We carried out tests of readily available bimodality measures that any researcher may easily employ: the bimodality coefficient (BC), Hartigan's dip statistic (HDS), and the difference in Akaike's information criterion between one-component and two-component distribution models (AIC(diff)). We simulated distributions containing two response populations and examined the influences of (1) the distances between populations, (2) proportions of responses, (3) the amount of positive skew present, and (4) sample size. Distance always had a stronger effect than did proportion, and the effects of proportion greatly differed across the measures. Skew biased the measures by increasing bimodality detection, in some cases leading to anomalous interactive effects. BC and HDS were generally convergent, but a number of important discrepancies were found. AIC(diff) was extremely sensitive to bimodality and identified nearly all distributions as bimodal. However, all measures served to detect the presence of bimodality in comparison to unimodal simulations. We provide a validation with experimental data, discuss methodological and theoretical implications, and make recommendations regarding the choice of analysis.","container-title":"Behavior Research Methods","DOI":"10.3758/s13428-012-0225-x","ISSN":"1554-3528","issue":"1","journalAbbreviation":"Behav Res Methods","language":"eng","note":"PMID: 22806703","page":"83-97","source":"PubMed","title":"Assessing bimodality to detect the presence of a dual cognitive process","volume":"45","author":[{"family":"Freeman","given":"Jonathan B."},{"family":"Dale","given":"Rick"}],"issued":{"date-parts":[["2013",3]]}}}],"schema":"https://github.com/citation-style-language/schema/raw/master/csl-citation.json"} </w:instrText>
      </w:r>
      <w:r w:rsidR="00954D34">
        <w:rPr>
          <w:rFonts w:ascii="Times New Roman" w:hAnsi="Times New Roman" w:cs="Times New Roman"/>
        </w:rPr>
        <w:fldChar w:fldCharType="separate"/>
      </w:r>
      <w:r w:rsidR="00954D34" w:rsidRPr="00954D34">
        <w:rPr>
          <w:rFonts w:ascii="Times New Roman" w:hAnsi="Times New Roman" w:cs="Times New Roman"/>
        </w:rPr>
        <w:t>(Freeman &amp; Dale, 2013)</w:t>
      </w:r>
      <w:r w:rsidR="00954D34">
        <w:rPr>
          <w:rFonts w:ascii="Times New Roman" w:hAnsi="Times New Roman" w:cs="Times New Roman"/>
        </w:rPr>
        <w:fldChar w:fldCharType="end"/>
      </w:r>
      <w:r w:rsidRPr="00AC7E2E">
        <w:rPr>
          <w:rFonts w:ascii="Times New Roman" w:hAnsi="Times New Roman" w:cs="Times New Roman"/>
        </w:rPr>
        <w:t xml:space="preserve">. Dual-process accounts posit that during decision-making, ‘automatic’ processes are either confirmed (resulting in relatively small levels of conflict) or are overridden by ‘controlled’ processes (resulting in larger amounts of conflict), which results in a bimodal distribution of conflict. Conversely, dynamical VBDM approaches posit that information from different response options compete against each-other dynamically over time until a final response emerges, which would result in a continuum of conflict that range from small to large and so a unimodal distribution of conflict. Therefore, if distributions are bimodal, that is evidence of abrupt trajectories with mid-flight corrections (in line with dual-process accounts) whereas if they are unimodal, that is evidence of smooth trajectories (in line with a dynamical VBDM account). A statistical method, referred to as Hartigan’s dip statistic, is a robust measure of bimodality </w:t>
      </w:r>
      <w:r w:rsidR="00954D34">
        <w:rPr>
          <w:rFonts w:ascii="Times New Roman" w:hAnsi="Times New Roman" w:cs="Times New Roman"/>
        </w:rPr>
        <w:fldChar w:fldCharType="begin"/>
      </w:r>
      <w:r w:rsidR="00954D34">
        <w:rPr>
          <w:rFonts w:ascii="Times New Roman" w:hAnsi="Times New Roman" w:cs="Times New Roman"/>
        </w:rPr>
        <w:instrText xml:space="preserve"> ADDIN ZOTERO_ITEM CSL_CITATION {"citationID":"gx8UZbjM","properties":{"formattedCitation":"(Freeman &amp; Dale, 2013; Hartigan &amp; Hartigan, 1985)","plainCitation":"(Freeman &amp; Dale, 2013; Hartigan &amp; Hartigan, 1985)","noteIndex":0},"citationItems":[{"id":1842,"uris":["http://zotero.org/users/7873587/items/BCLZFMCC"],"itemData":{"id":1842,"type":"article-journal","abstract":"Researchers have long sought to distinguish between single-process and dual-process cognitive phenomena, using responses such as reaction times and, more recently, hand movements. Analysis of a response distribution's modality has been crucial in detecting the presence of dual processes, because they tend to introduce bimodal features. Rarely, however, have bimodality measures been systematically evaluated. We carried out tests of readily available bimodality measures that any researcher may easily employ: the bimodality coefficient (BC), Hartigan's dip statistic (HDS), and the difference in Akaike's information criterion between one-component and two-component distribution models (AIC(diff)). We simulated distributions containing two response populations and examined the influences of (1) the distances between populations, (2) proportions of responses, (3) the amount of positive skew present, and (4) sample size. Distance always had a stronger effect than did proportion, and the effects of proportion greatly differed across the measures. Skew biased the measures by increasing bimodality detection, in some cases leading to anomalous interactive effects. BC and HDS were generally convergent, but a number of important discrepancies were found. AIC(diff) was extremely sensitive to bimodality and identified nearly all distributions as bimodal. However, all measures served to detect the presence of bimodality in comparison to unimodal simulations. We provide a validation with experimental data, discuss methodological and theoretical implications, and make recommendations regarding the choice of analysis.","container-title":"Behavior Research Methods","DOI":"10.3758/s13428-012-0225-x","ISSN":"1554-3528","issue":"1","journalAbbreviation":"Behav Res Methods","language":"eng","note":"PMID: 22806703","page":"83-97","source":"PubMed","title":"Assessing bimodality to detect the presence of a dual cognitive process","volume":"45","author":[{"family":"Freeman","given":"Jonathan B."},{"family":"Dale","given":"Rick"}],"issued":{"date-parts":[["2013",3]]}},"label":"act"},{"id":1845,"uris":["http://zotero.org/users/7873587/items/45ZYIX3V"],"itemData":{"id":1845,"type":"article-journal","abstract":"The dip test measures multimodality in a sample by the maximum difference, over all sample points, between the empirical distribution function, and the unimodal distribution function that minimizes that maximum difference. The uniform distribution is the asymptotically least favorable unimodal distribution, and the distribution of the test statistic is determined asymptotically and empirically when sampling from the uniform.","container-title":"The Annals of Statistics","ISSN":"0090-5364","issue":"1","note":"publisher: Institute of Mathematical Statistics","page":"70-84","source":"JSTOR","title":"The Dip Test of Unimodality","volume":"13","author":[{"family":"Hartigan","given":"J. A."},{"family":"Hartigan","given":"P. M."}],"issued":{"date-parts":[["1985"]]}},"label":"act"}],"schema":"https://github.com/citation-style-language/schema/raw/master/csl-citation.json"} </w:instrText>
      </w:r>
      <w:r w:rsidR="00954D34">
        <w:rPr>
          <w:rFonts w:ascii="Times New Roman" w:hAnsi="Times New Roman" w:cs="Times New Roman"/>
        </w:rPr>
        <w:fldChar w:fldCharType="separate"/>
      </w:r>
      <w:r w:rsidR="00954D34" w:rsidRPr="00954D34">
        <w:rPr>
          <w:rFonts w:ascii="Times New Roman" w:hAnsi="Times New Roman" w:cs="Times New Roman"/>
        </w:rPr>
        <w:t>(Freeman &amp; Dale, 2013; Hartigan &amp; Hartigan, 1985)</w:t>
      </w:r>
      <w:r w:rsidR="00954D34">
        <w:rPr>
          <w:rFonts w:ascii="Times New Roman" w:hAnsi="Times New Roman" w:cs="Times New Roman"/>
        </w:rPr>
        <w:fldChar w:fldCharType="end"/>
      </w:r>
      <w:r w:rsidRPr="00AC7E2E">
        <w:rPr>
          <w:rFonts w:ascii="Times New Roman" w:hAnsi="Times New Roman" w:cs="Times New Roman"/>
        </w:rPr>
        <w:t xml:space="preserve">. If the test is significant, this is evidence against the null hypothesis of a unimodal distribution. Using Hartigan’s dip statistic we found no evidence for bimodality in either tobacco-unrelated (animal) trials, </w:t>
      </w:r>
      <w:r w:rsidRPr="00AC7E2E">
        <w:rPr>
          <w:rFonts w:ascii="Times New Roman" w:hAnsi="Times New Roman" w:cs="Times New Roman"/>
          <w:i/>
        </w:rPr>
        <w:t xml:space="preserve">p </w:t>
      </w:r>
      <w:r w:rsidRPr="00AC7E2E">
        <w:rPr>
          <w:rFonts w:ascii="Times New Roman" w:hAnsi="Times New Roman" w:cs="Times New Roman"/>
        </w:rPr>
        <w:t xml:space="preserve">= .96, or tobacco trials, </w:t>
      </w:r>
      <w:r w:rsidRPr="00AC7E2E">
        <w:rPr>
          <w:rFonts w:ascii="Times New Roman" w:hAnsi="Times New Roman" w:cs="Times New Roman"/>
          <w:i/>
        </w:rPr>
        <w:t>p</w:t>
      </w:r>
      <w:r w:rsidRPr="00AC7E2E">
        <w:rPr>
          <w:rFonts w:ascii="Times New Roman" w:hAnsi="Times New Roman" w:cs="Times New Roman"/>
        </w:rPr>
        <w:t xml:space="preserve"> = .20. Therefore, trials were unimodal in nature, and this further supports the notion that making value-based decisions appear to unfold in a smooth and dynamical, rather than abrupt, manner.</w:t>
      </w:r>
    </w:p>
    <w:p w14:paraId="55BAFCD2" w14:textId="77777777" w:rsidR="00954D34" w:rsidRDefault="00954D34" w:rsidP="00954D34">
      <w:pPr>
        <w:pStyle w:val="NoSpacing"/>
        <w:spacing w:line="480" w:lineRule="auto"/>
        <w:rPr>
          <w:rFonts w:ascii="Times New Roman" w:hAnsi="Times New Roman" w:cs="Times New Roman"/>
        </w:rPr>
      </w:pPr>
    </w:p>
    <w:p w14:paraId="5AC04A72" w14:textId="77777777" w:rsidR="00954D34" w:rsidRDefault="00954D34" w:rsidP="00954D34">
      <w:pPr>
        <w:pStyle w:val="NoSpacing"/>
        <w:spacing w:line="480" w:lineRule="auto"/>
        <w:rPr>
          <w:rFonts w:ascii="Times New Roman" w:hAnsi="Times New Roman" w:cs="Times New Roman"/>
          <w:b/>
          <w:bCs/>
          <w:iCs/>
        </w:rPr>
      </w:pPr>
      <w:bookmarkStart w:id="317" w:name="_Hlk110615204"/>
      <w:r w:rsidRPr="00954D34">
        <w:rPr>
          <w:rFonts w:ascii="Times New Roman" w:hAnsi="Times New Roman" w:cs="Times New Roman"/>
          <w:b/>
          <w:bCs/>
          <w:iCs/>
        </w:rPr>
        <w:t>Figure 7.6</w:t>
      </w:r>
    </w:p>
    <w:p w14:paraId="34E31724" w14:textId="0181E374" w:rsidR="00954D34" w:rsidRPr="00AC7E2E" w:rsidRDefault="00954D34" w:rsidP="00954D34">
      <w:pPr>
        <w:pStyle w:val="NoSpacing"/>
        <w:spacing w:line="480" w:lineRule="auto"/>
        <w:rPr>
          <w:rFonts w:ascii="Times New Roman" w:hAnsi="Times New Roman" w:cs="Times New Roman"/>
        </w:rPr>
      </w:pPr>
      <w:r w:rsidRPr="00954D34">
        <w:rPr>
          <w:rFonts w:ascii="Times New Roman" w:hAnsi="Times New Roman" w:cs="Times New Roman"/>
          <w:i/>
          <w:iCs/>
        </w:rPr>
        <w:t>Mean maximum deviation (MD) for tobacco and tobacco-unrelated trials split by current smoker (grey) and ex-smoker (striped)</w:t>
      </w:r>
    </w:p>
    <w:bookmarkEnd w:id="317"/>
    <w:p w14:paraId="2E8D8BC6" w14:textId="6E83B4C6" w:rsidR="00954D34" w:rsidRDefault="00954D34" w:rsidP="00954D34">
      <w:pPr>
        <w:pStyle w:val="NoSpacing"/>
        <w:jc w:val="center"/>
      </w:pPr>
      <w:r w:rsidRPr="00954D34">
        <w:rPr>
          <w:noProof/>
        </w:rPr>
        <w:lastRenderedPageBreak/>
        <w:drawing>
          <wp:inline distT="0" distB="0" distL="0" distR="0" wp14:anchorId="22BF353A" wp14:editId="63B94747">
            <wp:extent cx="4615709" cy="3362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1559" cy="3373871"/>
                    </a:xfrm>
                    <a:prstGeom prst="rect">
                      <a:avLst/>
                    </a:prstGeom>
                    <a:noFill/>
                  </pic:spPr>
                </pic:pic>
              </a:graphicData>
            </a:graphic>
          </wp:inline>
        </w:drawing>
      </w:r>
    </w:p>
    <w:p w14:paraId="024C926F" w14:textId="0078721C" w:rsidR="00954D34" w:rsidRDefault="00954D34" w:rsidP="00954D34">
      <w:pPr>
        <w:pStyle w:val="NoSpacing"/>
        <w:spacing w:line="480" w:lineRule="auto"/>
        <w:rPr>
          <w:rFonts w:ascii="Times New Roman" w:hAnsi="Times New Roman" w:cs="Times New Roman"/>
        </w:rPr>
      </w:pPr>
      <w:r w:rsidRPr="00954D34">
        <w:rPr>
          <w:rFonts w:ascii="Times New Roman" w:hAnsi="Times New Roman" w:cs="Times New Roman"/>
          <w:i/>
          <w:iCs/>
        </w:rPr>
        <w:t>Note.</w:t>
      </w:r>
      <w:r w:rsidRPr="00954D34">
        <w:rPr>
          <w:rFonts w:ascii="Times New Roman" w:hAnsi="Times New Roman" w:cs="Times New Roman"/>
        </w:rPr>
        <w:t xml:space="preserve"> The red dashed line represents the 0.9 cut-off for abrupt trajectories with mid-flight corrections that dual processes theories predict. Error bars represent the standard error of the mean.</w:t>
      </w:r>
    </w:p>
    <w:p w14:paraId="27BE3CFE" w14:textId="77777777" w:rsidR="00954D34" w:rsidRPr="00954D34" w:rsidRDefault="00954D34" w:rsidP="00954D34">
      <w:pPr>
        <w:pStyle w:val="NoSpacing"/>
        <w:spacing w:line="480" w:lineRule="auto"/>
        <w:rPr>
          <w:rFonts w:ascii="Times New Roman" w:hAnsi="Times New Roman" w:cs="Times New Roman"/>
        </w:rPr>
      </w:pPr>
    </w:p>
    <w:p w14:paraId="0007B055" w14:textId="77777777" w:rsidR="00954D34" w:rsidRPr="00954D34" w:rsidRDefault="00954D34" w:rsidP="00954D34">
      <w:pPr>
        <w:pStyle w:val="NoSpacing"/>
        <w:spacing w:line="480" w:lineRule="auto"/>
        <w:rPr>
          <w:rFonts w:ascii="Times New Roman" w:hAnsi="Times New Roman" w:cs="Times New Roman"/>
          <w:b/>
        </w:rPr>
      </w:pPr>
      <w:r w:rsidRPr="00954D34">
        <w:rPr>
          <w:rFonts w:ascii="Times New Roman" w:hAnsi="Times New Roman" w:cs="Times New Roman"/>
          <w:b/>
        </w:rPr>
        <w:t>Establishing a ‘difficulty effect’ on the VBDM task</w:t>
      </w:r>
    </w:p>
    <w:p w14:paraId="7F358387" w14:textId="4888CEB7" w:rsidR="00954D34" w:rsidRDefault="00954D34" w:rsidP="00954D34">
      <w:pPr>
        <w:pStyle w:val="NoSpacing"/>
        <w:spacing w:line="480" w:lineRule="auto"/>
        <w:rPr>
          <w:rFonts w:ascii="Times New Roman" w:hAnsi="Times New Roman" w:cs="Times New Roman"/>
        </w:rPr>
      </w:pPr>
      <w:r w:rsidRPr="00954D34">
        <w:rPr>
          <w:rFonts w:ascii="Times New Roman" w:hAnsi="Times New Roman" w:cs="Times New Roman"/>
        </w:rPr>
        <w:t xml:space="preserve">We interested in establishing whether there is a ‘difficulty effect’, such that on trials where the difference between the value ratings for the competing images is large (i.e., easier trials), EA rates on the VBDM task should be increased whereas conflict in the </w:t>
      </w:r>
      <w:proofErr w:type="spellStart"/>
      <w:r w:rsidRPr="00954D34">
        <w:rPr>
          <w:rFonts w:ascii="Times New Roman" w:hAnsi="Times New Roman" w:cs="Times New Roman"/>
        </w:rPr>
        <w:t>MouseTracker</w:t>
      </w:r>
      <w:proofErr w:type="spellEnd"/>
      <w:r w:rsidRPr="00954D34">
        <w:rPr>
          <w:rFonts w:ascii="Times New Roman" w:hAnsi="Times New Roman" w:cs="Times New Roman"/>
        </w:rPr>
        <w:t xml:space="preserve"> task should be reduced, compared to when the differences between the value ratings for the competing images are minimal (i.e., difficult trials). One-way </w:t>
      </w:r>
      <w:r w:rsidRPr="00954D34">
        <w:rPr>
          <w:rFonts w:ascii="Times New Roman" w:hAnsi="Times New Roman" w:cs="Times New Roman"/>
          <w:iCs/>
        </w:rPr>
        <w:t xml:space="preserve">repeated measures ANOVAs were used to compare EA rates and response conflict on each of the different difficulty levels (easy, medium, and difficult trials). There was a significant main effect of difficulty on tobacco-unrelated (animal) EA rates, </w:t>
      </w:r>
      <w:proofErr w:type="gramStart"/>
      <w:r w:rsidRPr="00954D34">
        <w:rPr>
          <w:rFonts w:ascii="Times New Roman" w:hAnsi="Times New Roman" w:cs="Times New Roman"/>
          <w:i/>
        </w:rPr>
        <w:t>F</w:t>
      </w:r>
      <w:r w:rsidRPr="00954D34">
        <w:rPr>
          <w:rFonts w:ascii="Times New Roman" w:hAnsi="Times New Roman" w:cs="Times New Roman"/>
          <w:iCs/>
        </w:rPr>
        <w:t>(</w:t>
      </w:r>
      <w:proofErr w:type="gramEnd"/>
      <w:r w:rsidRPr="00954D34">
        <w:rPr>
          <w:rFonts w:ascii="Times New Roman" w:hAnsi="Times New Roman" w:cs="Times New Roman"/>
          <w:iCs/>
        </w:rPr>
        <w:t xml:space="preserve">1.77, 179.07) = 215.16, </w:t>
      </w:r>
      <w:r w:rsidRPr="00954D34">
        <w:rPr>
          <w:rFonts w:ascii="Times New Roman" w:hAnsi="Times New Roman" w:cs="Times New Roman"/>
          <w:i/>
        </w:rPr>
        <w:t xml:space="preserve">p </w:t>
      </w:r>
      <w:r w:rsidRPr="00954D34">
        <w:rPr>
          <w:rFonts w:ascii="Times New Roman" w:hAnsi="Times New Roman" w:cs="Times New Roman"/>
        </w:rPr>
        <w:t>&lt; .001, ηp</w:t>
      </w:r>
      <w:r w:rsidRPr="00954D34">
        <w:rPr>
          <w:rFonts w:ascii="Times New Roman" w:hAnsi="Times New Roman" w:cs="Times New Roman"/>
          <w:vertAlign w:val="superscript"/>
        </w:rPr>
        <w:t>2</w:t>
      </w:r>
      <w:r w:rsidRPr="00954D34">
        <w:rPr>
          <w:rFonts w:ascii="Times New Roman" w:hAnsi="Times New Roman" w:cs="Times New Roman"/>
        </w:rPr>
        <w:t xml:space="preserve"> =.68.</w:t>
      </w:r>
      <w:r>
        <w:rPr>
          <w:rFonts w:ascii="Times New Roman" w:hAnsi="Times New Roman" w:cs="Times New Roman"/>
        </w:rPr>
        <w:t xml:space="preserve"> </w:t>
      </w:r>
      <w:r w:rsidRPr="00954D34">
        <w:rPr>
          <w:rFonts w:ascii="Times New Roman" w:hAnsi="Times New Roman" w:cs="Times New Roman"/>
        </w:rPr>
        <w:t>Subsequent post-hoc contrasts (</w:t>
      </w:r>
      <w:r w:rsidR="006E131E" w:rsidRPr="006E131E">
        <w:rPr>
          <w:rFonts w:ascii="Times New Roman" w:hAnsi="Times New Roman" w:cs="Times New Roman"/>
        </w:rPr>
        <w:t xml:space="preserve">applying the Holm-Bonferroni correction to </w:t>
      </w:r>
      <w:r w:rsidR="006E131E" w:rsidRPr="006E131E">
        <w:rPr>
          <w:rFonts w:ascii="Times New Roman" w:hAnsi="Times New Roman" w:cs="Times New Roman"/>
          <w:i/>
          <w:iCs/>
        </w:rPr>
        <w:t>p</w:t>
      </w:r>
      <w:r w:rsidR="006E131E" w:rsidRPr="006E131E">
        <w:rPr>
          <w:rFonts w:ascii="Times New Roman" w:hAnsi="Times New Roman" w:cs="Times New Roman"/>
        </w:rPr>
        <w:t>-values for multiple comparison</w:t>
      </w:r>
      <w:r w:rsidRPr="00954D34">
        <w:rPr>
          <w:rFonts w:ascii="Times New Roman" w:hAnsi="Times New Roman" w:cs="Times New Roman"/>
        </w:rPr>
        <w:t xml:space="preserve">) revealed that tobacco-unrelated (animal) EA rates in the easier trials (M = 2.23, SD = .53) were significantly increased compared to medium trials (M = 2.02, SD = </w:t>
      </w:r>
      <w:r w:rsidRPr="00954D34">
        <w:rPr>
          <w:rFonts w:ascii="Times New Roman" w:hAnsi="Times New Roman" w:cs="Times New Roman"/>
        </w:rPr>
        <w:lastRenderedPageBreak/>
        <w:t xml:space="preserve">.46; </w:t>
      </w:r>
      <w:r w:rsidRPr="00954D34">
        <w:rPr>
          <w:rFonts w:ascii="Times New Roman" w:hAnsi="Times New Roman" w:cs="Times New Roman"/>
          <w:i/>
        </w:rPr>
        <w:t>p</w:t>
      </w:r>
      <w:r w:rsidRPr="00954D34">
        <w:rPr>
          <w:rFonts w:ascii="Times New Roman" w:hAnsi="Times New Roman" w:cs="Times New Roman"/>
        </w:rPr>
        <w:t xml:space="preserve"> &lt; .001) and difficult trials (M = 1.33, SD = .36; </w:t>
      </w:r>
      <w:r w:rsidRPr="00954D34">
        <w:rPr>
          <w:rFonts w:ascii="Times New Roman" w:hAnsi="Times New Roman" w:cs="Times New Roman"/>
          <w:i/>
        </w:rPr>
        <w:t>p</w:t>
      </w:r>
      <w:r w:rsidRPr="00954D34">
        <w:rPr>
          <w:rFonts w:ascii="Times New Roman" w:hAnsi="Times New Roman" w:cs="Times New Roman"/>
        </w:rPr>
        <w:t xml:space="preserve"> &lt; .001). Furthermore, tobacco-unrelated (animal) EA rates on medium trials were significantly increased compared to EA rates on difficult trials (</w:t>
      </w:r>
      <w:r w:rsidRPr="00954D34">
        <w:rPr>
          <w:rFonts w:ascii="Times New Roman" w:hAnsi="Times New Roman" w:cs="Times New Roman"/>
          <w:i/>
        </w:rPr>
        <w:t>p</w:t>
      </w:r>
      <w:r w:rsidRPr="00954D34">
        <w:rPr>
          <w:rFonts w:ascii="Times New Roman" w:hAnsi="Times New Roman" w:cs="Times New Roman"/>
        </w:rPr>
        <w:t xml:space="preserve"> &lt; .001). There was also a significant main effect of difficulty on tobacco EA rates </w:t>
      </w:r>
      <w:proofErr w:type="gramStart"/>
      <w:r w:rsidRPr="00954D34">
        <w:rPr>
          <w:rFonts w:ascii="Times New Roman" w:hAnsi="Times New Roman" w:cs="Times New Roman"/>
          <w:i/>
          <w:iCs/>
        </w:rPr>
        <w:t>F</w:t>
      </w:r>
      <w:r w:rsidRPr="00954D34">
        <w:rPr>
          <w:rFonts w:ascii="Times New Roman" w:hAnsi="Times New Roman" w:cs="Times New Roman"/>
        </w:rPr>
        <w:t>(</w:t>
      </w:r>
      <w:proofErr w:type="gramEnd"/>
      <w:r w:rsidRPr="00954D34">
        <w:rPr>
          <w:rFonts w:ascii="Times New Roman" w:hAnsi="Times New Roman" w:cs="Times New Roman"/>
        </w:rPr>
        <w:t xml:space="preserve">1.69, 170.32) = 295.19, </w:t>
      </w:r>
      <w:r w:rsidRPr="00954D34">
        <w:rPr>
          <w:rFonts w:ascii="Times New Roman" w:hAnsi="Times New Roman" w:cs="Times New Roman"/>
          <w:i/>
        </w:rPr>
        <w:t>p</w:t>
      </w:r>
      <w:r w:rsidRPr="00954D34">
        <w:rPr>
          <w:rFonts w:ascii="Times New Roman" w:hAnsi="Times New Roman" w:cs="Times New Roman"/>
        </w:rPr>
        <w:t xml:space="preserve"> &lt; .001, ηp</w:t>
      </w:r>
      <w:r w:rsidRPr="00954D34">
        <w:rPr>
          <w:rFonts w:ascii="Times New Roman" w:hAnsi="Times New Roman" w:cs="Times New Roman"/>
          <w:vertAlign w:val="superscript"/>
        </w:rPr>
        <w:t>2</w:t>
      </w:r>
      <w:r w:rsidRPr="00954D34">
        <w:rPr>
          <w:rFonts w:ascii="Times New Roman" w:hAnsi="Times New Roman" w:cs="Times New Roman"/>
        </w:rPr>
        <w:t xml:space="preserve"> =.75. Post-hoc contrasts revealed that tobacco EA rates in the easier trials (M = 1.96, SD = .55) were increased compared to medium trials (M = 1.68, SD = .50; </w:t>
      </w:r>
      <w:r w:rsidRPr="00954D34">
        <w:rPr>
          <w:rFonts w:ascii="Times New Roman" w:hAnsi="Times New Roman" w:cs="Times New Roman"/>
          <w:i/>
        </w:rPr>
        <w:t>p</w:t>
      </w:r>
      <w:r w:rsidRPr="00954D34">
        <w:rPr>
          <w:rFonts w:ascii="Times New Roman" w:hAnsi="Times New Roman" w:cs="Times New Roman"/>
        </w:rPr>
        <w:t xml:space="preserve"> &lt; .001) and difficult trials (M = 1.02, SD = .37; </w:t>
      </w:r>
      <w:r w:rsidRPr="00954D34">
        <w:rPr>
          <w:rFonts w:ascii="Times New Roman" w:hAnsi="Times New Roman" w:cs="Times New Roman"/>
          <w:i/>
        </w:rPr>
        <w:t>p</w:t>
      </w:r>
      <w:r w:rsidRPr="00954D34">
        <w:rPr>
          <w:rFonts w:ascii="Times New Roman" w:hAnsi="Times New Roman" w:cs="Times New Roman"/>
        </w:rPr>
        <w:t xml:space="preserve"> &lt; .001). Furthermore, tobacco EA rates on medium trials were significantly increased compared to EA rates on difficult trials (</w:t>
      </w:r>
      <w:r w:rsidRPr="00954D34">
        <w:rPr>
          <w:rFonts w:ascii="Times New Roman" w:hAnsi="Times New Roman" w:cs="Times New Roman"/>
          <w:i/>
        </w:rPr>
        <w:t>p</w:t>
      </w:r>
      <w:r w:rsidRPr="00954D34">
        <w:rPr>
          <w:rFonts w:ascii="Times New Roman" w:hAnsi="Times New Roman" w:cs="Times New Roman"/>
        </w:rPr>
        <w:t xml:space="preserve"> &lt; .001). </w:t>
      </w:r>
    </w:p>
    <w:p w14:paraId="4EB2A8FE" w14:textId="77777777" w:rsidR="00954D34" w:rsidRDefault="00954D34" w:rsidP="00954D34">
      <w:pPr>
        <w:pStyle w:val="NoSpacing"/>
        <w:spacing w:line="480" w:lineRule="auto"/>
        <w:rPr>
          <w:rFonts w:ascii="Times New Roman" w:hAnsi="Times New Roman" w:cs="Times New Roman"/>
        </w:rPr>
      </w:pPr>
    </w:p>
    <w:p w14:paraId="32CF1FCA" w14:textId="77777777" w:rsidR="00954D34" w:rsidRDefault="00954D34" w:rsidP="00954D34">
      <w:pPr>
        <w:pStyle w:val="NoSpacing"/>
        <w:spacing w:line="480" w:lineRule="auto"/>
        <w:rPr>
          <w:rFonts w:ascii="Times New Roman" w:hAnsi="Times New Roman" w:cs="Times New Roman"/>
          <w:b/>
          <w:bCs/>
        </w:rPr>
      </w:pPr>
      <w:bookmarkStart w:id="318" w:name="_Hlk110615214"/>
      <w:r w:rsidRPr="00954D34">
        <w:rPr>
          <w:rFonts w:ascii="Times New Roman" w:hAnsi="Times New Roman" w:cs="Times New Roman"/>
          <w:b/>
          <w:bCs/>
        </w:rPr>
        <w:t>Figure 7.7</w:t>
      </w:r>
    </w:p>
    <w:p w14:paraId="2A7B1108" w14:textId="545C5013" w:rsidR="00954D34" w:rsidRDefault="00954D34" w:rsidP="00954D34">
      <w:pPr>
        <w:pStyle w:val="NoSpacing"/>
        <w:spacing w:line="480" w:lineRule="auto"/>
        <w:rPr>
          <w:rFonts w:ascii="Times New Roman" w:hAnsi="Times New Roman" w:cs="Times New Roman"/>
          <w:i/>
          <w:iCs/>
        </w:rPr>
      </w:pPr>
      <w:r w:rsidRPr="00954D34">
        <w:rPr>
          <w:rFonts w:ascii="Times New Roman" w:hAnsi="Times New Roman" w:cs="Times New Roman"/>
          <w:i/>
          <w:iCs/>
        </w:rPr>
        <w:t>Mean evidence accumulation rates (including all participants) for tobacco-unrelated (animal) and tobacco choices split by trial difficulty level</w:t>
      </w:r>
    </w:p>
    <w:bookmarkEnd w:id="318"/>
    <w:p w14:paraId="7478B973" w14:textId="171A5E90" w:rsidR="00954D34" w:rsidRPr="00954D34" w:rsidRDefault="00954D34" w:rsidP="00954D34">
      <w:pPr>
        <w:pStyle w:val="NoSpacing"/>
        <w:jc w:val="center"/>
      </w:pPr>
      <w:r w:rsidRPr="00954D34">
        <w:rPr>
          <w:noProof/>
        </w:rPr>
        <w:drawing>
          <wp:inline distT="0" distB="0" distL="0" distR="0" wp14:anchorId="08126FC4" wp14:editId="6BCF9F2C">
            <wp:extent cx="4867275" cy="30893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4291" cy="3093809"/>
                    </a:xfrm>
                    <a:prstGeom prst="rect">
                      <a:avLst/>
                    </a:prstGeom>
                    <a:noFill/>
                  </pic:spPr>
                </pic:pic>
              </a:graphicData>
            </a:graphic>
          </wp:inline>
        </w:drawing>
      </w:r>
    </w:p>
    <w:p w14:paraId="3FCEEC7E" w14:textId="77777777" w:rsidR="00954D34" w:rsidRPr="00954D34" w:rsidRDefault="00954D34" w:rsidP="00954D34">
      <w:pPr>
        <w:pStyle w:val="NoSpacing"/>
        <w:spacing w:line="480" w:lineRule="auto"/>
        <w:rPr>
          <w:rFonts w:asciiTheme="majorBidi" w:hAnsiTheme="majorBidi" w:cstheme="majorBidi"/>
        </w:rPr>
      </w:pPr>
      <w:bookmarkStart w:id="319" w:name="_Hlk67481456"/>
      <w:r w:rsidRPr="00954D34">
        <w:rPr>
          <w:rFonts w:asciiTheme="majorBidi" w:hAnsiTheme="majorBidi" w:cstheme="majorBidi"/>
          <w:i/>
          <w:iCs/>
        </w:rPr>
        <w:t>Note.</w:t>
      </w:r>
      <w:r w:rsidRPr="00954D34">
        <w:rPr>
          <w:rFonts w:asciiTheme="majorBidi" w:hAnsiTheme="majorBidi" w:cstheme="majorBidi"/>
        </w:rPr>
        <w:t xml:space="preserve"> Error bars represent the standard error of the mean (SE).</w:t>
      </w:r>
    </w:p>
    <w:bookmarkEnd w:id="319"/>
    <w:p w14:paraId="69AA6C4A" w14:textId="77777777" w:rsidR="00954D34" w:rsidRPr="00954D34" w:rsidRDefault="00954D34" w:rsidP="00954D34">
      <w:pPr>
        <w:pStyle w:val="NoSpacing"/>
        <w:spacing w:line="480" w:lineRule="auto"/>
      </w:pPr>
    </w:p>
    <w:p w14:paraId="387FBEE2" w14:textId="77777777" w:rsidR="00954D34" w:rsidRPr="00954D34" w:rsidRDefault="00954D34" w:rsidP="00954D34">
      <w:pPr>
        <w:pStyle w:val="NoSpacing"/>
        <w:spacing w:line="480" w:lineRule="auto"/>
        <w:rPr>
          <w:rFonts w:ascii="Times New Roman" w:hAnsi="Times New Roman" w:cs="Times New Roman"/>
        </w:rPr>
      </w:pPr>
      <w:r w:rsidRPr="00954D34">
        <w:rPr>
          <w:rFonts w:ascii="Times New Roman" w:hAnsi="Times New Roman" w:cs="Times New Roman"/>
        </w:rPr>
        <w:t xml:space="preserve">There was also significant main effect of difficulty on response conflict on trials where the tobacco-unrelated (animal) image was the correct answer, </w:t>
      </w:r>
      <w:proofErr w:type="gramStart"/>
      <w:r w:rsidRPr="00954D34">
        <w:rPr>
          <w:rFonts w:ascii="Times New Roman" w:hAnsi="Times New Roman" w:cs="Times New Roman"/>
          <w:i/>
          <w:iCs/>
        </w:rPr>
        <w:t>F</w:t>
      </w:r>
      <w:r w:rsidRPr="00954D34">
        <w:rPr>
          <w:rFonts w:ascii="Times New Roman" w:hAnsi="Times New Roman" w:cs="Times New Roman"/>
        </w:rPr>
        <w:t>(</w:t>
      </w:r>
      <w:proofErr w:type="gramEnd"/>
      <w:r w:rsidRPr="00954D34">
        <w:rPr>
          <w:rFonts w:ascii="Times New Roman" w:hAnsi="Times New Roman" w:cs="Times New Roman"/>
        </w:rPr>
        <w:t xml:space="preserve">1.78, 180.16) = 220.30, </w:t>
      </w:r>
      <w:r w:rsidRPr="00954D34">
        <w:rPr>
          <w:rFonts w:ascii="Times New Roman" w:hAnsi="Times New Roman" w:cs="Times New Roman"/>
          <w:i/>
        </w:rPr>
        <w:t>p</w:t>
      </w:r>
      <w:r w:rsidRPr="00954D34">
        <w:rPr>
          <w:rFonts w:ascii="Times New Roman" w:hAnsi="Times New Roman" w:cs="Times New Roman"/>
        </w:rPr>
        <w:t xml:space="preserve"> &lt; .001, </w:t>
      </w:r>
      <w:r w:rsidRPr="00954D34">
        <w:rPr>
          <w:rFonts w:ascii="Times New Roman" w:hAnsi="Times New Roman" w:cs="Times New Roman"/>
        </w:rPr>
        <w:lastRenderedPageBreak/>
        <w:t>ηp</w:t>
      </w:r>
      <w:r w:rsidRPr="00954D34">
        <w:rPr>
          <w:rFonts w:ascii="Times New Roman" w:hAnsi="Times New Roman" w:cs="Times New Roman"/>
          <w:vertAlign w:val="superscript"/>
        </w:rPr>
        <w:t>2</w:t>
      </w:r>
      <w:r w:rsidRPr="00954D34">
        <w:rPr>
          <w:rFonts w:ascii="Times New Roman" w:hAnsi="Times New Roman" w:cs="Times New Roman"/>
        </w:rPr>
        <w:t xml:space="preserve"> =.69. Post-hoc tests revealed that tobacco-unrelated (animal) response conflict in the easier trials (M = .55, SD = .45) was reduced compared to medium trials (M = .70, SD = .46; </w:t>
      </w:r>
      <w:r w:rsidRPr="00954D34">
        <w:rPr>
          <w:rFonts w:ascii="Times New Roman" w:hAnsi="Times New Roman" w:cs="Times New Roman"/>
          <w:i/>
        </w:rPr>
        <w:t>p</w:t>
      </w:r>
      <w:r w:rsidRPr="00954D34">
        <w:rPr>
          <w:rFonts w:ascii="Times New Roman" w:hAnsi="Times New Roman" w:cs="Times New Roman"/>
        </w:rPr>
        <w:t xml:space="preserve"> &lt; .001) and difficult trials (M = 1.07, SD = .50; </w:t>
      </w:r>
      <w:r w:rsidRPr="00954D34">
        <w:rPr>
          <w:rFonts w:ascii="Times New Roman" w:hAnsi="Times New Roman" w:cs="Times New Roman"/>
          <w:i/>
        </w:rPr>
        <w:t>p</w:t>
      </w:r>
      <w:r w:rsidRPr="00954D34">
        <w:rPr>
          <w:rFonts w:ascii="Times New Roman" w:hAnsi="Times New Roman" w:cs="Times New Roman"/>
        </w:rPr>
        <w:t xml:space="preserve"> &lt; .001). Furthermore, tobacco-unrelated (animal) response conflict on medium trials was reduced compared to conflict on difficult trials (</w:t>
      </w:r>
      <w:r w:rsidRPr="00954D34">
        <w:rPr>
          <w:rFonts w:ascii="Times New Roman" w:hAnsi="Times New Roman" w:cs="Times New Roman"/>
          <w:i/>
        </w:rPr>
        <w:t>p</w:t>
      </w:r>
      <w:r w:rsidRPr="00954D34">
        <w:rPr>
          <w:rFonts w:ascii="Times New Roman" w:hAnsi="Times New Roman" w:cs="Times New Roman"/>
        </w:rPr>
        <w:t xml:space="preserve"> &lt; .001). There was also significant main effect of difficulty on conflict on trials where the tobacco image was the correct answer, </w:t>
      </w:r>
      <w:proofErr w:type="gramStart"/>
      <w:r w:rsidRPr="00954D34">
        <w:rPr>
          <w:rFonts w:ascii="Times New Roman" w:hAnsi="Times New Roman" w:cs="Times New Roman"/>
          <w:i/>
          <w:iCs/>
        </w:rPr>
        <w:t>F</w:t>
      </w:r>
      <w:r w:rsidRPr="00954D34">
        <w:rPr>
          <w:rFonts w:ascii="Times New Roman" w:hAnsi="Times New Roman" w:cs="Times New Roman"/>
        </w:rPr>
        <w:t>(</w:t>
      </w:r>
      <w:proofErr w:type="gramEnd"/>
      <w:r w:rsidRPr="00954D34">
        <w:rPr>
          <w:rFonts w:ascii="Times New Roman" w:hAnsi="Times New Roman" w:cs="Times New Roman"/>
        </w:rPr>
        <w:t xml:space="preserve">2, 202) = 233.12, </w:t>
      </w:r>
      <w:r w:rsidRPr="00954D34">
        <w:rPr>
          <w:rFonts w:ascii="Times New Roman" w:hAnsi="Times New Roman" w:cs="Times New Roman"/>
          <w:i/>
        </w:rPr>
        <w:t>p</w:t>
      </w:r>
      <w:r w:rsidRPr="00954D34">
        <w:rPr>
          <w:rFonts w:ascii="Times New Roman" w:hAnsi="Times New Roman" w:cs="Times New Roman"/>
        </w:rPr>
        <w:t xml:space="preserve"> &lt; .001, ηp</w:t>
      </w:r>
      <w:r w:rsidRPr="00954D34">
        <w:rPr>
          <w:rFonts w:ascii="Times New Roman" w:hAnsi="Times New Roman" w:cs="Times New Roman"/>
          <w:vertAlign w:val="superscript"/>
        </w:rPr>
        <w:t>2</w:t>
      </w:r>
      <w:r w:rsidRPr="00954D34">
        <w:rPr>
          <w:rFonts w:ascii="Times New Roman" w:hAnsi="Times New Roman" w:cs="Times New Roman"/>
        </w:rPr>
        <w:t xml:space="preserve"> = .70. Post-hoc tests revealed that tobacco response conflict in the easier trials (M = .63, SD = .54) was reduced compared to medium trials (M = .90, SD = .65; </w:t>
      </w:r>
      <w:r w:rsidRPr="00954D34">
        <w:rPr>
          <w:rFonts w:ascii="Times New Roman" w:hAnsi="Times New Roman" w:cs="Times New Roman"/>
          <w:i/>
        </w:rPr>
        <w:t xml:space="preserve">p </w:t>
      </w:r>
      <w:r w:rsidRPr="00954D34">
        <w:rPr>
          <w:rFonts w:ascii="Times New Roman" w:hAnsi="Times New Roman" w:cs="Times New Roman"/>
        </w:rPr>
        <w:t xml:space="preserve">&lt; .001) and difficult trials (M = 1.36, SD = .65; </w:t>
      </w:r>
      <w:r w:rsidRPr="00954D34">
        <w:rPr>
          <w:rFonts w:ascii="Times New Roman" w:hAnsi="Times New Roman" w:cs="Times New Roman"/>
          <w:i/>
        </w:rPr>
        <w:t>p</w:t>
      </w:r>
      <w:r w:rsidRPr="00954D34">
        <w:rPr>
          <w:rFonts w:ascii="Times New Roman" w:hAnsi="Times New Roman" w:cs="Times New Roman"/>
        </w:rPr>
        <w:t xml:space="preserve"> &lt; .001). Furthermore, tobacco response conflict on medium trials was significantly reduced compared to conflict on difficult trials (</w:t>
      </w:r>
      <w:r w:rsidRPr="00954D34">
        <w:rPr>
          <w:rFonts w:ascii="Times New Roman" w:hAnsi="Times New Roman" w:cs="Times New Roman"/>
          <w:i/>
        </w:rPr>
        <w:t>p</w:t>
      </w:r>
      <w:r w:rsidRPr="00954D34">
        <w:rPr>
          <w:rFonts w:ascii="Times New Roman" w:hAnsi="Times New Roman" w:cs="Times New Roman"/>
        </w:rPr>
        <w:t xml:space="preserve"> &lt; .001). </w:t>
      </w:r>
    </w:p>
    <w:p w14:paraId="17CAB8B3" w14:textId="77777777" w:rsidR="00954D34" w:rsidRPr="00954D34" w:rsidRDefault="00954D34" w:rsidP="00954D34">
      <w:pPr>
        <w:pStyle w:val="NoSpacing"/>
        <w:spacing w:line="480" w:lineRule="auto"/>
        <w:rPr>
          <w:rFonts w:ascii="Times New Roman" w:hAnsi="Times New Roman" w:cs="Times New Roman"/>
        </w:rPr>
      </w:pPr>
    </w:p>
    <w:p w14:paraId="6AC30122" w14:textId="77777777" w:rsidR="00954D34" w:rsidRDefault="00954D34" w:rsidP="00954D34">
      <w:pPr>
        <w:pStyle w:val="NoSpacing"/>
        <w:spacing w:line="480" w:lineRule="auto"/>
        <w:rPr>
          <w:rFonts w:ascii="Times New Roman" w:hAnsi="Times New Roman" w:cs="Times New Roman"/>
          <w:b/>
          <w:bCs/>
        </w:rPr>
      </w:pPr>
      <w:bookmarkStart w:id="320" w:name="_Hlk110615223"/>
      <w:r w:rsidRPr="00954D34">
        <w:rPr>
          <w:rFonts w:ascii="Times New Roman" w:hAnsi="Times New Roman" w:cs="Times New Roman"/>
          <w:b/>
          <w:bCs/>
        </w:rPr>
        <w:t>Figure 7.8</w:t>
      </w:r>
    </w:p>
    <w:p w14:paraId="571C6146" w14:textId="259CEE1F" w:rsidR="00954D34" w:rsidRDefault="00954D34" w:rsidP="00954D34">
      <w:pPr>
        <w:pStyle w:val="NoSpacing"/>
        <w:spacing w:line="480" w:lineRule="auto"/>
        <w:rPr>
          <w:rFonts w:ascii="Times New Roman" w:hAnsi="Times New Roman" w:cs="Times New Roman"/>
          <w:i/>
          <w:iCs/>
        </w:rPr>
      </w:pPr>
      <w:r w:rsidRPr="00954D34">
        <w:rPr>
          <w:rFonts w:ascii="Times New Roman" w:hAnsi="Times New Roman" w:cs="Times New Roman"/>
          <w:i/>
          <w:iCs/>
        </w:rPr>
        <w:t>Mean level of conflict (AUC scores; including all participants) for tobacco-unrelated (animal) and tobacco choices split by trial difficulty level</w:t>
      </w:r>
    </w:p>
    <w:bookmarkEnd w:id="320"/>
    <w:p w14:paraId="1067D137" w14:textId="5B6D0299" w:rsidR="00954D34" w:rsidRPr="00954D34" w:rsidRDefault="00954D34" w:rsidP="00954D34">
      <w:pPr>
        <w:pStyle w:val="NoSpacing"/>
        <w:jc w:val="center"/>
      </w:pPr>
      <w:r>
        <w:rPr>
          <w:noProof/>
        </w:rPr>
        <w:drawing>
          <wp:inline distT="0" distB="0" distL="0" distR="0" wp14:anchorId="65C23812" wp14:editId="05FA1AB8">
            <wp:extent cx="5128220" cy="3276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3730" cy="3286510"/>
                    </a:xfrm>
                    <a:prstGeom prst="rect">
                      <a:avLst/>
                    </a:prstGeom>
                    <a:noFill/>
                  </pic:spPr>
                </pic:pic>
              </a:graphicData>
            </a:graphic>
          </wp:inline>
        </w:drawing>
      </w:r>
    </w:p>
    <w:p w14:paraId="30EF6440" w14:textId="77777777" w:rsidR="00954D34" w:rsidRDefault="00954D34" w:rsidP="00954D34">
      <w:pPr>
        <w:pStyle w:val="NoSpacing"/>
        <w:rPr>
          <w:rFonts w:asciiTheme="majorBidi" w:hAnsiTheme="majorBidi" w:cstheme="majorBidi"/>
          <w:color w:val="000000"/>
        </w:rPr>
      </w:pPr>
      <w:r w:rsidRPr="00663448">
        <w:rPr>
          <w:rFonts w:asciiTheme="majorBidi" w:hAnsiTheme="majorBidi" w:cstheme="majorBidi"/>
          <w:i/>
          <w:iCs/>
          <w:color w:val="000000"/>
        </w:rPr>
        <w:t>Note.</w:t>
      </w:r>
      <w:r w:rsidRPr="00663448">
        <w:rPr>
          <w:rFonts w:asciiTheme="majorBidi" w:hAnsiTheme="majorBidi" w:cstheme="majorBidi"/>
          <w:color w:val="000000"/>
        </w:rPr>
        <w:t xml:space="preserve"> Error bars represent the standard error of the mean.</w:t>
      </w:r>
    </w:p>
    <w:p w14:paraId="348697D2" w14:textId="77777777" w:rsidR="00954D34" w:rsidRPr="00954D34" w:rsidRDefault="00954D34" w:rsidP="00954D34">
      <w:pPr>
        <w:pStyle w:val="NoSpacing"/>
        <w:spacing w:line="480" w:lineRule="auto"/>
        <w:rPr>
          <w:rFonts w:ascii="Times New Roman" w:hAnsi="Times New Roman" w:cs="Times New Roman"/>
        </w:rPr>
      </w:pPr>
    </w:p>
    <w:p w14:paraId="341ACF21" w14:textId="5051BAD4" w:rsidR="006C13EB" w:rsidRPr="004D046A" w:rsidRDefault="00954D34" w:rsidP="00954D34">
      <w:pPr>
        <w:pStyle w:val="Heading4"/>
      </w:pPr>
      <w:bookmarkStart w:id="321" w:name="_Toc110629078"/>
      <w:bookmarkStart w:id="322" w:name="_Toc110870986"/>
      <w:r>
        <w:lastRenderedPageBreak/>
        <w:t>7.4. Discussion</w:t>
      </w:r>
      <w:bookmarkEnd w:id="321"/>
      <w:bookmarkEnd w:id="322"/>
    </w:p>
    <w:p w14:paraId="278945DD" w14:textId="053D0A00" w:rsidR="00954D34" w:rsidRPr="00954D34" w:rsidRDefault="00954D34" w:rsidP="003D0520">
      <w:pPr>
        <w:pStyle w:val="NoSpacing"/>
        <w:spacing w:line="480" w:lineRule="auto"/>
        <w:rPr>
          <w:rFonts w:ascii="Times New Roman" w:hAnsi="Times New Roman" w:cs="Times New Roman"/>
        </w:rPr>
      </w:pPr>
      <w:r w:rsidRPr="00954D34">
        <w:rPr>
          <w:rFonts w:ascii="Times New Roman" w:hAnsi="Times New Roman" w:cs="Times New Roman"/>
        </w:rPr>
        <w:t xml:space="preserve">The aim of this study was to expand upon existing behavioural economic research by modelling the internal processes that determine discrete choices in current smokers and ex-smokers. Specifically, we explored whether recovery from nicotine addiction is characterised by alterations in the internal processes that precede decision-making regarding tobacco cues and control cues that were unrelated to tobacco </w:t>
      </w:r>
      <w:r>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{"citationID":"bZCVDnqt","properties":{"formattedCitation":"(Field,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sidR="003D0520" w:rsidRPr="003D0520">
        <w:rPr>
          <w:rFonts w:ascii="Times New Roman" w:hAnsi="Times New Roman" w:cs="Times New Roman"/>
        </w:rPr>
        <w:t>(Field, Heather, et al., 2020)</w:t>
      </w:r>
      <w:r>
        <w:rPr>
          <w:rFonts w:ascii="Times New Roman" w:hAnsi="Times New Roman" w:cs="Times New Roman"/>
        </w:rPr>
        <w:fldChar w:fldCharType="end"/>
      </w:r>
      <w:r w:rsidRPr="00954D34">
        <w:rPr>
          <w:rFonts w:ascii="Times New Roman" w:hAnsi="Times New Roman" w:cs="Times New Roman"/>
        </w:rPr>
        <w:t>. We found partial support for our first hypothesis: there were no significant differences in tobacco EA rates, however, ex-smokers had significantly higher response thresholds when making tobacco-related choices compared to current smokers. Our second hypothesis was not supported as we found no significant differences in EA rates or response thresholds when making tobacco-unrelated (animal) choices in ex-smokers compared to current smokers.</w:t>
      </w:r>
    </w:p>
    <w:p w14:paraId="5849E95A" w14:textId="77777777" w:rsidR="00954D34" w:rsidRPr="00954D34" w:rsidRDefault="00954D34" w:rsidP="00954D34">
      <w:pPr>
        <w:pStyle w:val="NoSpacing"/>
        <w:spacing w:line="480" w:lineRule="auto"/>
        <w:rPr>
          <w:rFonts w:ascii="Times New Roman" w:hAnsi="Times New Roman" w:cs="Times New Roman"/>
        </w:rPr>
      </w:pPr>
    </w:p>
    <w:p w14:paraId="268A1922" w14:textId="11B56729" w:rsidR="00954D34" w:rsidRPr="00954D34" w:rsidRDefault="00954D34" w:rsidP="003D0520">
      <w:pPr>
        <w:pStyle w:val="NoSpacing"/>
        <w:spacing w:line="480" w:lineRule="auto"/>
        <w:rPr>
          <w:rFonts w:ascii="Times New Roman" w:hAnsi="Times New Roman" w:cs="Times New Roman"/>
        </w:rPr>
      </w:pPr>
      <w:r w:rsidRPr="00954D34">
        <w:rPr>
          <w:rFonts w:ascii="Times New Roman" w:hAnsi="Times New Roman" w:cs="Times New Roman"/>
        </w:rPr>
        <w:t xml:space="preserve">The primary novel finding from this study is that in line with predictions from </w:t>
      </w:r>
      <w:r w:rsidR="003D0520">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{"citationID":"UWuO9yOg","properties":{"formattedCitation":"(Field,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3D0520">
        <w:rPr>
          <w:rFonts w:ascii="Times New Roman" w:hAnsi="Times New Roman" w:cs="Times New Roman"/>
        </w:rPr>
        <w:fldChar w:fldCharType="separate"/>
      </w:r>
      <w:r w:rsidR="003D0520" w:rsidRPr="003D0520">
        <w:rPr>
          <w:rFonts w:ascii="Times New Roman" w:hAnsi="Times New Roman" w:cs="Times New Roman"/>
        </w:rPr>
        <w:t>Field, Heather, et al.</w:t>
      </w:r>
      <w:r w:rsidR="003D0520">
        <w:rPr>
          <w:rFonts w:ascii="Times New Roman" w:hAnsi="Times New Roman" w:cs="Times New Roman"/>
        </w:rPr>
        <w:t xml:space="preserve"> (</w:t>
      </w:r>
      <w:r w:rsidR="003D0520" w:rsidRPr="003D0520">
        <w:rPr>
          <w:rFonts w:ascii="Times New Roman" w:hAnsi="Times New Roman" w:cs="Times New Roman"/>
        </w:rPr>
        <w:t>2020)</w:t>
      </w:r>
      <w:r w:rsidR="003D0520">
        <w:rPr>
          <w:rFonts w:ascii="Times New Roman" w:hAnsi="Times New Roman" w:cs="Times New Roman"/>
        </w:rPr>
        <w:fldChar w:fldCharType="end"/>
      </w:r>
      <w:r w:rsidRPr="00954D34">
        <w:rPr>
          <w:rFonts w:ascii="Times New Roman" w:hAnsi="Times New Roman" w:cs="Times New Roman"/>
        </w:rPr>
        <w:t xml:space="preserve"> ex-smokers have significantly higher response thresholds when making tobacco-related choices compared to current smokers. In other words, ex-smokers require significantly more value evidence to be accumulated before they reach a threshold for committing to a tobacco decision. This upwards shift in substance-related response thresholds in ex-smokers suggests that recovery is characterised by cautious substance-related decision-making because the DDM adjusts response thresholds based upon the SATO a person maintains—higher response thresholds reflect slower and more accurate decisions (Stafford et al., 2020).</w:t>
      </w:r>
    </w:p>
    <w:p w14:paraId="1AF2F55C" w14:textId="77777777" w:rsidR="00954D34" w:rsidRPr="00954D34" w:rsidRDefault="00954D34" w:rsidP="00954D34">
      <w:pPr>
        <w:pStyle w:val="NoSpacing"/>
        <w:spacing w:line="480" w:lineRule="auto"/>
        <w:rPr>
          <w:rFonts w:ascii="Times New Roman" w:hAnsi="Times New Roman" w:cs="Times New Roman"/>
        </w:rPr>
      </w:pPr>
    </w:p>
    <w:p w14:paraId="75BB9340" w14:textId="3FDFA5E9" w:rsidR="00954D34" w:rsidRDefault="00954D34" w:rsidP="00FD14AE">
      <w:pPr>
        <w:pStyle w:val="NoSpacing"/>
        <w:spacing w:line="480" w:lineRule="auto"/>
        <w:rPr>
          <w:rFonts w:ascii="Times New Roman" w:hAnsi="Times New Roman" w:cs="Times New Roman"/>
        </w:rPr>
      </w:pPr>
      <w:r w:rsidRPr="00954D34">
        <w:rPr>
          <w:rFonts w:ascii="Times New Roman" w:hAnsi="Times New Roman" w:cs="Times New Roman"/>
        </w:rPr>
        <w:t xml:space="preserve">Self-control is an important predictor of recovery from addiction (Stein &amp; </w:t>
      </w:r>
      <w:proofErr w:type="spellStart"/>
      <w:r w:rsidRPr="00954D34">
        <w:rPr>
          <w:rFonts w:ascii="Times New Roman" w:hAnsi="Times New Roman" w:cs="Times New Roman"/>
        </w:rPr>
        <w:t>Witkiewitz</w:t>
      </w:r>
      <w:proofErr w:type="spellEnd"/>
      <w:r w:rsidRPr="00954D34">
        <w:rPr>
          <w:rFonts w:ascii="Times New Roman" w:hAnsi="Times New Roman" w:cs="Times New Roman"/>
        </w:rPr>
        <w:t xml:space="preserve">, 2019) and it may be that when people recover from nicotine addiction, they are able to manipulate their environment in a way that makes it easier to act in accordance with their </w:t>
      </w:r>
      <w:r w:rsidRPr="00954D34">
        <w:rPr>
          <w:rFonts w:ascii="Times New Roman" w:hAnsi="Times New Roman" w:cs="Times New Roman"/>
          <w:i/>
        </w:rPr>
        <w:t>goal-oriented</w:t>
      </w:r>
      <w:r w:rsidRPr="00954D34">
        <w:rPr>
          <w:rFonts w:ascii="Times New Roman" w:hAnsi="Times New Roman" w:cs="Times New Roman"/>
        </w:rPr>
        <w:t xml:space="preserve"> </w:t>
      </w:r>
      <w:r w:rsidRPr="00954D34">
        <w:rPr>
          <w:rFonts w:ascii="Times New Roman" w:hAnsi="Times New Roman" w:cs="Times New Roman"/>
        </w:rPr>
        <w:lastRenderedPageBreak/>
        <w:t xml:space="preserve">valuation system as opposed to their </w:t>
      </w:r>
      <w:r w:rsidRPr="00954D34">
        <w:rPr>
          <w:rFonts w:ascii="Times New Roman" w:hAnsi="Times New Roman" w:cs="Times New Roman"/>
          <w:i/>
        </w:rPr>
        <w:t>temptation-oriented</w:t>
      </w:r>
      <w:r w:rsidRPr="00954D34">
        <w:rPr>
          <w:rFonts w:ascii="Times New Roman" w:hAnsi="Times New Roman" w:cs="Times New Roman"/>
        </w:rPr>
        <w:t xml:space="preserve"> valuation system </w:t>
      </w:r>
      <w:r w:rsidR="003D052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{"citationID":"xr1IZWCy","properties":{"formattedCitation":"(Duckworth et al., 2016)","plainCitation":"(Duckworth et al., 2016)","noteIndex":0},"citationItems":[{"id":1630,"uris":["http://zotero.org/users/7873587/items/LJ92Q3BY"],"itemData":{"id":1630,"type":"article-journal","abstract":"Exercising self-control is often difficult, whether declining a drink in order to drive home safely, passing on the chocolate cake to stay on a diet, or ignoring text messages to finish reading an important paper. But enacting self-control is not always difficult, particularly when it takes the form of proactively choosing or changing situations in ways that weaken undesirable impulses or potentiate desirable ones. Examples of situational self-control include the partygoer who chooses a seat far from where drinks are being poured, the dieter who asks the waiter not to bring around the dessert cart, and the student who goes to the library without a cell phone. Using the process model of self-control, we argue that the full range of self-control strategies can be organized by considering the timeline of the developing tempting impulse. Because impulses tend to grow stronger over time, situational self-control strategies—which can nip a tempting impulse in the bud—may be especially effective in preventing undesirable action. Ironically, we may underappreciate situational self-control for the same reason it is so effective—namely, that by manipulating our circumstances to advantage, we are often able to minimize the in-the-moment experience of intrapsychic struggle typically associated with exercising self-control.","container-title":"Perspectives on Psychological Science","DOI":"10.1177/1745691615623247","ISSN":"1745-6916","issue":"1","journalAbbreviation":"Perspect Psychol Sci","language":"en","note":"publisher: SAGE Publications Inc","page":"35-55","source":"SAGE Journals","title":"Situational strategies for self-control","volume":"11","author":[{"family":"Duckworth","given":"Angela L."},{"family":"Gendler","given":"Tamar Szabó"},{"family":"Gross","given":"James J."}],"issued":{"date-parts":[["2016",1,1]]}}}],"schema":"https://github.com/citation-style-language/schema/raw/master/csl-citation.json"} </w:instrText>
      </w:r>
      <w:r w:rsidR="003D0520">
        <w:rPr>
          <w:rFonts w:ascii="Times New Roman" w:hAnsi="Times New Roman" w:cs="Times New Roman"/>
        </w:rPr>
        <w:fldChar w:fldCharType="separate"/>
      </w:r>
      <w:r w:rsidR="003D0520" w:rsidRPr="003D0520">
        <w:rPr>
          <w:rFonts w:ascii="Times New Roman" w:hAnsi="Times New Roman" w:cs="Times New Roman"/>
        </w:rPr>
        <w:t>(Duckworth et al., 2016)</w:t>
      </w:r>
      <w:r w:rsidR="003D0520">
        <w:rPr>
          <w:rFonts w:ascii="Times New Roman" w:hAnsi="Times New Roman" w:cs="Times New Roman"/>
        </w:rPr>
        <w:fldChar w:fldCharType="end"/>
      </w:r>
      <w:r w:rsidRPr="00954D34">
        <w:rPr>
          <w:rFonts w:ascii="Times New Roman" w:hAnsi="Times New Roman" w:cs="Times New Roman"/>
        </w:rPr>
        <w:t xml:space="preserve">. Indeed, qualitative research has shown that people in stable recovery from addiction cite several situational strategies that they use which minimise their temptation to use substances, many of which involve adjustments in their environment </w:t>
      </w:r>
      <w:r w:rsidR="003D0520">
        <w:rPr>
          <w:rFonts w:ascii="Times New Roman" w:hAnsi="Times New Roman" w:cs="Times New Roman"/>
        </w:rPr>
        <w:fldChar w:fldCharType="begin"/>
      </w:r>
      <w:r w:rsidR="003D0520">
        <w:rPr>
          <w:rFonts w:ascii="Times New Roman" w:hAnsi="Times New Roman" w:cs="Times New Roman"/>
        </w:rPr>
        <w:instrText xml:space="preserve"> ADDIN ZOTERO_ITEM CSL_CITATION {"citationID":"YpFCnaA4","properties":{"formattedCitation":"(Snoek et al., 2016)","plainCitation":"(Snoek et al., 2016)","noteIndex":0},"citationItems":[{"id":1629,"uris":["http://zotero.org/users/7873587/items/YU6I36YE"],"itemData":{"id":1629,"type":"article-journal","abstract":"Introduction: Philosophers, cognitive and social psychologists and laypeople often subscribe to the view that willpower is central to recovery from addiction. But there are reasons to suspect that willpower is much less important to explaining recovery than this view suggests. Methods: Here we report findings from a qualitative longitudinal study on how substance dependent people see their agency and self-control, and how their self-control develops over time. 69 opioid, alcohol and methamphetamine dependent people were interviewed over a 3 year period. Results: Most of the participants described themselves as strong willed; in fact, as very strong willed. However, there seemed no correlation between having a (self-assessed) strong will and recovery status. Rather, the number of strategies cited by participants distinguished those in stable recovery from those who were not. Participants in recovery were also more enthusiastic about strategies than those who have not succeeded in controlling substance use. Willpower remained important, but was itself used strategically. Conclusions: People with addiction seem not to be short on willpower; rather, recovery is dependent on developing strategies to preserve willpower by controlling the environment. (PsycINFO Database Record (c) 2019 APA, all rights reserved)","container-title":"Addictive Behaviors Reports","DOI":"10.1016/j.abrep.2016.09.002","ISSN":"2352-8532","note":"publisher-place: Netherlands\npublisher: Elsevier Science","page":"102-107","source":"APA PsycNet","title":"Strong-willed but not successful: The importance of strategies in recovery from addiction","title-short":"Strong-willed but not successful","volume":"4","author":[{"family":"Snoek","given":"Anke"},{"family":"Levy","given":"Neil"},{"family":"Kennett","given":"Jeanette"}],"issued":{"date-parts":[["2016"]]}}}],"schema":"https://github.com/citation-style-language/schema/raw/master/csl-citation.json"} </w:instrText>
      </w:r>
      <w:r w:rsidR="003D0520">
        <w:rPr>
          <w:rFonts w:ascii="Times New Roman" w:hAnsi="Times New Roman" w:cs="Times New Roman"/>
        </w:rPr>
        <w:fldChar w:fldCharType="separate"/>
      </w:r>
      <w:r w:rsidR="003D0520" w:rsidRPr="003D0520">
        <w:rPr>
          <w:rFonts w:ascii="Times New Roman" w:hAnsi="Times New Roman" w:cs="Times New Roman"/>
        </w:rPr>
        <w:t>(Snoek et al., 2016)</w:t>
      </w:r>
      <w:r w:rsidR="003D0520">
        <w:rPr>
          <w:rFonts w:ascii="Times New Roman" w:hAnsi="Times New Roman" w:cs="Times New Roman"/>
        </w:rPr>
        <w:fldChar w:fldCharType="end"/>
      </w:r>
      <w:r w:rsidRPr="00954D34">
        <w:rPr>
          <w:rFonts w:ascii="Times New Roman" w:hAnsi="Times New Roman" w:cs="Times New Roman"/>
        </w:rPr>
        <w:t xml:space="preserve">. For example, it may be that when a person quits smoking, they cross the road to avoid walking past people who are smoking or walk a different way home to avoid the shop that they used to buy cigarettes from. As a result of the use of situational strategies, the exposure to smoking-cues is minimised, which could lead to changes in tobacco craving </w:t>
      </w:r>
      <w:r w:rsidR="00FF5BE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{"citationID":"Ybccgdw4","properties":{"formattedCitation":"(Shiffman et al., 2013; Vafaie &amp; Kober, 2022)","plainCitation":"(Shiffman et al., 2013; Vafaie &amp; Kober, 2022)","noteIndex":0},"citationItems":[{"id":1850,"uris":["http://zotero.org/users/7873587/items/KTZYR89V"],"itemData":{"id":1850,"type":"article-journal","abstract":"We assessed craving and smoking in response to smoking-relevant cues. 207 daily smokers viewed images related to one of six cue sets (cigarettes, positive and negative affect, alcohol, smoking prohibitions, and neutral cues) in separate sessions. Compared to neutral cues, cigarette cues significantly increased craving, and positive affect cues significantly decreased craving. When subjects were then allowed to smoke during continuing cue exposure, cues did not affect the likelihood of smoking or the amount smoked (number of cigarettes, number of puffs, puff time, or increased carbon monoxide). However, craving intensity predicted likelihood of smoking, latency to smoke, and amount smoked, with craving increases after cue exposure making significant independent contributions. Some craving effects were curvilinear, suggesting that they are subject to thresholds and might not be observed under some circumstances.","container-title":"Journal of abnormal psychology","DOI":"10.1037/a0028339","ISSN":"0021-843X","issue":"1","journalAbbreviation":"J Abnorm Psychol","note":"PMID: 22708884\nPMCID: PMC3988583","page":"264-280","source":"PubMed Central","title":"Smoker reactivity to cues: Effects on craving and on smoking behavior","title-short":"Smoker Reactivity to Cues","volume":"122","author":[{"family":"Shiffman","given":"Saul"},{"family":"Dunbar","given":"Michael"},{"family":"Kirchner","given":"Thomas"},{"family":"Li","given":"Xiaoxue"},{"family":"Tindle","given":"Hilary"},{"family":"Anderson","given":"Stewart"},{"family":"Scholl","given":"Sarah"}],"issued":{"date-parts":[["2013",2]]}},"label":"act"},{"id":1567,"uris":["http://zotero.org/users/7873587/items/NEJXARMH"],"itemData":{"id":1567,"type":"article-journal","abstract":"Craving, which is a strong desire for drugs, is a new DSM-5 diagnostic criterion for substance use disorders (SUDs), which are the most prevalent, costly, and deadly forms of psychopathology. Despite decades of research, the roles of drug cues and craving in drug use and relapse remain controversial.To assess whether 4 types of drug cue and craving indicators, including cue exposure, physiological cue reactivity, cue-induced craving, and self-reported craving (without cue exposure), are prospectively associated with drug use and relapse.Google Scholar was searched for published studies from inception through December 31, 2018. In addition, backward and forward searches were performed on included articles to identify additional articles.Included studies reported a prospective statistic that linked cue and craving indicators at time 1 to drug use or relapse at time 2, in humans.The Preferred Reporting Items for Systematic Reviews and Meta-Analysis (PRISMA) guidelines were followed. Study characteristics and statistics were extracted and/or coded by 1 of the 2 authors and then checked by the other. Statistical analyses were performed from May to July 2021.Random-effects models were used to calculate prospective odds ratios (ORs) representing the association between cue and craving indicators and subsequent drug use/relapse.A total of 18 205 records were identified, and 237 studies were included. Across 656 statistics, representing 51 788 human participants (21 216 with confirmed SUDs), a significant prospective association of all cue and craving indicators with drug use/relapse was found (OR, 2.05; 95% CI, 1.94-2.15), such that a 1-unit increase in cue and craving indicators was associated with more than double the odds of future drug use or relapse. A Rosenthal fail-safe analysis revealed that 180 092 null studies would need to be published to nullify this finding. Trim-and-fill analysis brought the adjusted effect size to an OR of 1.31 (95% CI, 1.25-1.38). Moderator analyses showed that some of the strongest associations were found for cue-induced craving, real cues or images, drug use outcome, same-day time lag, studies using ecological momentary assessment, and male participants.Findings from this systematic review and meta-analysis suggest that drug cue and craving indicators play significant roles in drug use and relapse outcomes and are an important mechanism underlying SUDs. Clinically, these results support incorporating craving assessment across stages of treatment, as early as primary care.","container-title":"JAMA Psychiatry","DOI":"10.1001/jamapsychiatry.2022.1240","ISSN":"2168-622X","issue":"7","journalAbbreviation":"JAMA Psychiatry","page":"641-650","source":"Silverchair","title":"Association of drug cues and craving with drug use and relapse: A systematic review and meta-analysis","title-short":"Association of Drug Cues and Craving With Drug Use and Relapse","volume":"79","author":[{"family":"Vafaie","given":"Nilofar"},{"family":"Kober","given":"Hedy"}],"issued":{"date-parts":[["2022",7,1]]}},"label":"page"}],"schema":"https://github.com/citation-style-language/schema/raw/master/csl-citation.json"} </w:instrText>
      </w:r>
      <w:r w:rsidR="00FF5BE8">
        <w:rPr>
          <w:rFonts w:ascii="Times New Roman" w:hAnsi="Times New Roman" w:cs="Times New Roman"/>
        </w:rPr>
        <w:fldChar w:fldCharType="separate"/>
      </w:r>
      <w:r w:rsidR="00FD14AE" w:rsidRPr="00FD14AE">
        <w:rPr>
          <w:rFonts w:ascii="Times New Roman" w:hAnsi="Times New Roman" w:cs="Times New Roman"/>
        </w:rPr>
        <w:t>(Shiffman et al., 2013; Vafaie &amp; Kober, 2022)</w:t>
      </w:r>
      <w:r w:rsidR="00FF5BE8">
        <w:rPr>
          <w:rFonts w:ascii="Times New Roman" w:hAnsi="Times New Roman" w:cs="Times New Roman"/>
        </w:rPr>
        <w:fldChar w:fldCharType="end"/>
      </w:r>
      <w:r w:rsidRPr="00954D34">
        <w:rPr>
          <w:rFonts w:ascii="Times New Roman" w:hAnsi="Times New Roman" w:cs="Times New Roman"/>
        </w:rPr>
        <w:t xml:space="preserve"> and this may enable people to make more cautious decisions, potentially reflected in the increased response thresholds.</w:t>
      </w:r>
    </w:p>
    <w:p w14:paraId="380CED5F" w14:textId="77777777" w:rsidR="00954D34" w:rsidRPr="00954D34" w:rsidRDefault="00954D34" w:rsidP="00954D34">
      <w:pPr>
        <w:pStyle w:val="NoSpacing"/>
        <w:spacing w:line="480" w:lineRule="auto"/>
        <w:rPr>
          <w:rFonts w:ascii="Times New Roman" w:hAnsi="Times New Roman" w:cs="Times New Roman"/>
        </w:rPr>
      </w:pPr>
    </w:p>
    <w:p w14:paraId="62FB175F" w14:textId="6B2CDC17" w:rsidR="00954D34" w:rsidRPr="00954D34" w:rsidRDefault="00954D34" w:rsidP="00AF0AD7">
      <w:pPr>
        <w:pStyle w:val="NoSpacing"/>
        <w:spacing w:line="480" w:lineRule="auto"/>
        <w:rPr>
          <w:rFonts w:ascii="Times New Roman" w:hAnsi="Times New Roman" w:cs="Times New Roman"/>
        </w:rPr>
      </w:pPr>
      <w:r w:rsidRPr="00954D34">
        <w:rPr>
          <w:rFonts w:ascii="Times New Roman" w:hAnsi="Times New Roman" w:cs="Times New Roman"/>
        </w:rPr>
        <w:t xml:space="preserve">Another potential explanation for the increased response thresholds in ex-smokers may come from the use of psychological and/or pharmacological treatment. For example, some psychological treatments aim to increase a person’s abstinence self-efficacy </w:t>
      </w:r>
      <w:r w:rsidR="00FD14AE">
        <w:rPr>
          <w:rFonts w:ascii="Times New Roman" w:hAnsi="Times New Roman" w:cs="Times New Roman"/>
        </w:rPr>
        <w:fldChar w:fldCharType="begin"/>
      </w:r>
      <w:r w:rsidR="00AF0AD7">
        <w:rPr>
          <w:rFonts w:ascii="Times New Roman" w:hAnsi="Times New Roman" w:cs="Times New Roman"/>
        </w:rPr>
        <w:instrText xml:space="preserve"> ADDIN ZOTERO_ITEM CSL_CITATION {"citationID":"PsMQNI5M","properties":{"formattedCitation":"(Elshatarat et al., 2016; Hendricks et al., 2010; Smit et al., 2014)","plainCitation":"(Elshatarat et al., 2016; Hendricks et al., 2010; Smit et al., 2014)","noteIndex":0},"citationItems":[{"id":1746,"uris":["http://zotero.org/users/7873587/items/CWGVFBDY"],"itemData":{"id":1746,"type":"article-journal","abstract":"Globally, tobacco use continues to be a major health care concern. Despite strong recommendations to quit smoking, tobacco users are experiencing difficulties in quitting. The purpose of this integrative review is to discuss self-efficacy theory as an important behavioral therapy for treating tobacco use and nicotine dependence. Moreover, the paper proposes a literature-derived model that employs self-efficacy as a central component for treating tobacco use and nicotine dependence. Eleven relevant articles were included in this review. Self-efficacy has an important role in smoking cessation. Improving self-efficacy enhances the individual’s success in quitting tobacco use and preventing relapse. Moreover, incorporating self-efficacy as a cognitive behavioral intervention has shown various degrees of success for treating tobacco use and nicotine dependence. In order to offer guidance to health care providers assisting in quitting tobacco, a model that integrates self-efficacy as a central component of the quitting process is proposed.","container-title":"Proceedings of Singapore Healthcare","DOI":"10.1177/2010105816667137","ISSN":"2010-1058","issue":"4","journalAbbreviation":"Proceedings of Singapore Healthcare","language":"en","note":"publisher: SAGE Publications Ltd","page":"243-248","source":"SAGE Journals","title":"Self-efficacy in treating tobacco use: A review article","title-short":"Self-efficacy in treating tobacco use","volume":"25","author":[{"family":"Elshatarat","given":"Rami Azmi"},{"family":"Yacoub","given":"Mohammed Ibrahim"},{"family":"Khraim","given":"Fadi Marwan"},{"family":"Saleh","given":"Zyad Taher"},{"family":"Afaneh","given":"Tareq Rateb"}],"issued":{"date-parts":[["2016",12,1]]}},"label":"act"},{"id":1857,"uris":["http://zotero.org/users/7873587/items/PBLVCD8H"],"itemData":{"id":1857,"type":"article-journal","abstract":"Aim\nTo evaluate potential mediators of an extended cognitive behavioral smoking cessation intervention.\n\nDesign\nAnalysis of data from a randomized clinical trial of smoking cessation.\n\nSetting\nThe Habit Abatement Clinic, University of California, San Francisco.\n\nParticipants\nParticipants were older cigarette smokers (≥50 years old). Those receiving Standard Treatment (N = 100) were compared to those receiving extended cognitive behavioral treatment (N = 99).\n\nMeasurements\nNegative affect was measured with the Profile of Mood States (POMS), the Medical Outcome Studies 36-item Short-Form Health Survey (SF-36), and the Perceived Stress Scale (PSS). Abstinence-specific social support was measured with the Partner Interaction Questionnaire (PIQ). Motivation to quit and abstinence self-efficacy were measured on 1–10 scales with the Thoughts about Abstinence Questionnaire. All were measured at the beginning of treatment and week 52.\n\nResults\nAnalyses revealed that extended CBT increased abstinence self-efficacy over the first 52 weeks postcessation. This effect, in turn, was positively associated with 7-day point prevalence abstinence at week 64 while controlling for treatment condition, and eliminated the independent effect of treatment condition on abstinence. The test of mediation indicated a significant effect, and abstinence self-efficacy accounted for 61% to 83% of the total effect of treatment condition on smoking abstinence. Results failed to support a mediational role of negative affect, abstinence-specific social support, or motivation to quit.\n\nConclusions\nThe results of the present study are consistent with theories of relapse and studies of more time-limited interventions, and underscore the importance of abstinence self-efficacy in achieving long-term abstinence from cigarettes.","container-title":"Drug and alcohol dependence","DOI":"10.1016/j.drugalcdep.2009.12.021","ISSN":"0376-8716","issue":"1-3","journalAbbreviation":"Drug Alcohol Depend","note":"PMID: 20096510\nPMCID: PMC2973332","page":"114-119","source":"PubMed Central","title":"Mechanisms of change in extended cognitive behavioral treatment for tobacco dependence","volume":"109","author":[{"family":"Hendricks","given":"Peter S."},{"family":"Delucchi","given":"Kevin L."},{"family":"Hall","given":"Sharon M."}],"issued":{"date-parts":[["2010",6,1]]}},"label":"act"},{"id":1743,"uris":["http://zotero.org/users/7873587/items/NDVMCYQT"],"itemData":{"id":1743,"type":"article-journal","abstract":"INTRODUCTION: Despite their positive motivation to quit, many smokers do not attempt to quit or relapse soon after their quit attempt. This study investigated the predictors of successful and unsuccessful quit attempts among smokers motivated to quit smoking.\nMETHODS: We conducted secondary data analysis among respondents motivated to quit within 6 months, randomized to the control group (N=570) of a Web-based smoking cessation intervention study. Using chi-square tests and ANOVA with Tukey post hoc comparisons, we investigated baseline differences by smoking status (successful quitter/relapse/persistent smoker) assessed after 6 weeks (N=214). To identify independent predictors of smoking status, multivariate multinomial logistic regression analyses were conducted.\nRESULTS: Successful quitters at 6-week follow-up (26%) had reported significantly higher baseline levels of self-efficacy than relapsers (45%) and persistent smokers (29%). Furthermore, both successful quitters and relapsers had reported a significantly higher baseline intention to quit than persistent smokers and successful quitters had reported significantly more preparatory planning at baseline than persistent smokers. Results from regression analyses showed that smokers' baseline intention to quit positively predicted quit attempts reported after 6 weeks, while self-efficacy positively predicted quit attempt success.\nCONCLUSIONS: Different factors appear to play a role in predicting quit attempts and their success. Whereas intention to quit only appeared to play a role in predicting quit attempts, self-efficacy was the main factor predicting quit attempt success. More research is needed to determine the role of preparatory planning and plan enactment and to investigate whether these findings can be replicated on the long term.","container-title":"Addictive Behaviors","DOI":"10.1016/j.addbeh.2014.04.017","ISSN":"1873-6327","issue":"9","journalAbbreviation":"Addict Behav","language":"eng","note":"PMID: 24837754","page":"1318-1324","source":"PubMed","title":"Predictors of successful and unsuccessful quit attempts among smokers motivated to quit","volume":"39","author":[{"family":"Smit","given":"Eline Suzanne"},{"family":"Hoving","given":"Ciska"},{"family":"Schelleman-Offermans","given":"Karen"},{"family":"West","given":"Robert"},{"family":"Vries","given":"Hein","non-dropping-particle":"de"}],"issued":{"date-parts":[["2014",9]]}},"label":"act"}],"schema":"https://github.com/citation-style-language/schema/raw/master/csl-citation.json"} </w:instrText>
      </w:r>
      <w:r w:rsidR="00FD14AE">
        <w:rPr>
          <w:rFonts w:ascii="Times New Roman" w:hAnsi="Times New Roman" w:cs="Times New Roman"/>
        </w:rPr>
        <w:fldChar w:fldCharType="separate"/>
      </w:r>
      <w:r w:rsidR="00AF0AD7" w:rsidRPr="00AF0AD7">
        <w:rPr>
          <w:rFonts w:ascii="Times New Roman" w:hAnsi="Times New Roman" w:cs="Times New Roman"/>
        </w:rPr>
        <w:t>(Elshatarat et al., 2016; Hendricks et al., 2010; Smit et al., 2014)</w:t>
      </w:r>
      <w:r w:rsidR="00FD14AE">
        <w:rPr>
          <w:rFonts w:ascii="Times New Roman" w:hAnsi="Times New Roman" w:cs="Times New Roman"/>
        </w:rPr>
        <w:fldChar w:fldCharType="end"/>
      </w:r>
      <w:r w:rsidRPr="00954D34">
        <w:rPr>
          <w:rFonts w:ascii="Times New Roman" w:hAnsi="Times New Roman" w:cs="Times New Roman"/>
        </w:rPr>
        <w:t>. Others aim to increase the value of tobacco-</w:t>
      </w:r>
      <w:r w:rsidR="00B02736">
        <w:rPr>
          <w:rFonts w:ascii="Times New Roman" w:hAnsi="Times New Roman" w:cs="Times New Roman"/>
        </w:rPr>
        <w:t>unrelated</w:t>
      </w:r>
      <w:r w:rsidRPr="00954D34">
        <w:rPr>
          <w:rFonts w:ascii="Times New Roman" w:hAnsi="Times New Roman" w:cs="Times New Roman"/>
        </w:rPr>
        <w:t xml:space="preserve"> reinforcers by helping a person to discover alternative rewarding experiences other than substance use </w:t>
      </w:r>
      <w:r w:rsidR="00AF0AD7">
        <w:rPr>
          <w:rFonts w:ascii="Times New Roman" w:hAnsi="Times New Roman" w:cs="Times New Roman"/>
        </w:rPr>
        <w:fldChar w:fldCharType="begin"/>
      </w:r>
      <w:r w:rsidR="00AF0AD7">
        <w:rPr>
          <w:rFonts w:ascii="Times New Roman" w:hAnsi="Times New Roman" w:cs="Times New Roman"/>
        </w:rPr>
        <w:instrText xml:space="preserve"> ADDIN ZOTERO_ITEM CSL_CITATION {"citationID":"5YkrX0J7","properties":{"formattedCitation":"(Mart\\uc0\\u237{}nez-Vispo et al., 2018)","plainCitation":"(Martínez-Vispo et al., 2018)","noteIndex":0},"citationItems":[{"id":1498,"uris":["http://zotero.org/users/7873587/items/R4F7L5IM"],"itemData":{"id":1498,"type":"article-journal","abstract":"INTRODUCTION: Substance use and depression co-occurrence is a frequent phenomenon and an important public health concern. Given the clinical implications and the high prevalence of both disorders, effective interventions are needed.\nMETHODS: The aim of this study is to review Behavioural Activation (BA) intervention effects to improve substance use behaviour and depression. A systematic review was conducted using MEDLINE, EMBASE, and PsycINFO. The Effective Public Health Practice Project Quality Assessment Tool (EPHPP) was used to assess the methodological quality of included studies. Two authors independently screened titles and abstracts, reviewed selected studies, and extracted data.\nRESULTS: Of the 7286 studies identified, eight met inclusion criteria. Designs of the studies included six randomized controlled trials (RCTs), and two pre-post design studies. One trial received weak methodological quality, six moderate, and one strong. Three studies addressed smoking behaviour; two targeted opiate dependence; two focused on alcohol/drug dependence; and, one on crystal methamphetamine abuse. Results showed that BA had a positive effect on substance use outcomes in seven of the eight reviewed studies, and improved depression over time in six studies.\nCONCLUSIONS: Although studies conducted so far are limited by their heterogeneity and sample sizes, results are promising. There is a need of well controlled and powered studies to establish and to confirm the effectiveness of BA for the treatment of substance use and depression. Future studies should include stronger methodological designs, larger sample sizes, and long-term follow-ups.\nTRIAL REGISTRATION: PROSPERO registration number: CRD42016039412 .","container-title":"Substance Abuse Treatment, Prevention, and Policy","DOI":"10.1186/s13011-018-0173-2","ISSN":"1747-597X","issue":"1","journalAbbreviation":"Subst Abuse Treat Prev Policy","language":"eng","note":"PMID: 30268136\nPMCID: PMC6162964","page":"36","source":"PubMed","title":"Effects of behavioural activation on substance use and depression: a systematic review","title-short":"Effects of behavioural activation on substance use and depression","volume":"13","author":[{"family":"Martínez-Vispo","given":"Carmela"},{"family":"Martínez","given":"Úrsula"},{"family":"López-Durán","given":"Ana"},{"family":"Fernández Del Río","given":"Elena"},{"family":"Becoña","given":"Elisardo"}],"issued":{"date-parts":[["2018",9,29]]}}}],"schema":"https://github.com/citation-style-language/schema/raw/master/csl-citation.json"} </w:instrText>
      </w:r>
      <w:r w:rsidR="00AF0AD7">
        <w:rPr>
          <w:rFonts w:ascii="Times New Roman" w:hAnsi="Times New Roman" w:cs="Times New Roman"/>
        </w:rPr>
        <w:fldChar w:fldCharType="separate"/>
      </w:r>
      <w:r w:rsidR="00AF0AD7" w:rsidRPr="00AF0AD7">
        <w:rPr>
          <w:rFonts w:ascii="Times New Roman" w:hAnsi="Times New Roman" w:cs="Times New Roman"/>
        </w:rPr>
        <w:t>(Martínez-Vispo et al., 2018)</w:t>
      </w:r>
      <w:r w:rsidR="00AF0AD7">
        <w:rPr>
          <w:rFonts w:ascii="Times New Roman" w:hAnsi="Times New Roman" w:cs="Times New Roman"/>
        </w:rPr>
        <w:fldChar w:fldCharType="end"/>
      </w:r>
      <w:r w:rsidRPr="00954D34">
        <w:rPr>
          <w:rFonts w:ascii="Times New Roman" w:hAnsi="Times New Roman" w:cs="Times New Roman"/>
        </w:rPr>
        <w:t xml:space="preserve"> or by providing incentives (e.g., money) for desired behaviours, such as smoking abstinence </w:t>
      </w:r>
      <w:r w:rsidR="00AF0AD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{"citationID":"yyoq7ZYd","properties":{"formattedCitation":"(Benishek et al., 2014)","plainCitation":"(Benishek et al., 2014)","noteIndex":0},"citationItems":[{"id":1488,"uris":["http://zotero.org/users/7873587/items/IZV8GMA7"],"itemData":{"id":1488,"type":"article-journal","abstract":"AIM: To review randomized controlled trials to assess efficacy of a prize-based contingency management procedure in reducing substance use (where a drug-free breath or urine sample provides a chance of winning a prize).\nMETHODS: A meta-analysis was conducted on papers published from January 2000 to February 2013 to determine the effect size of studies comparing prize-based contingency management to a treatment-as-usual control condition (k = 19 studies). Parallel analyses evaluated the efficacy of both short- (k = nine studies) and long-term outcomes (k = six studies) of prize-based contingency management.\nRESULTS: The average end-of-treatment effect size (Cohen's d) was 0.46 [95% confidence interval (CI) = 0.37, 0.54]. This effect size decreased at the short-term (≤3-month) post-intervention follow-up to 0.33 (95% CI = 0.12, 0.54) and at the 6-month follow-up time-point there was no detectable effect [d = -0.09 (95% CI = -0.28, 0.10)].\nCONCLUSION: Adding prize-based contingency management to behavioral support for substance use disorders can increase short-term abstinence, but the effect does not appear to persist to 6 months.","container-title":"Addiction","DOI":"10.1111/add.12589","ISSN":"1360-0443","issue":"9","journalAbbreviation":"Addiction","language":"eng","note":"PMID: 24750232\nPMCID: PMC4203362","page":"1426-1436","source":"PubMed","title":"Prize-based contingency management for the treatment of substance abusers: a meta-analysis","title-short":"Prize-based contingency management for the treatment of substance abusers","volume":"109","author":[{"family":"Benishek","given":"Lois A."},{"family":"Dugosh","given":"Karen L."},{"family":"Kirby","given":"Kim C."},{"family":"Matejkowski","given":"Jason"},{"family":"Clements","given":"Nicolle T."},{"family":"Seymour","given":"Brittany L."},{"family":"Festinger","given":"David S."}],"issued":{"date-parts":[["2014",9]]}}}],"schema":"https://github.com/citation-style-language/schema/raw/master/csl-citation.json"} </w:instrText>
      </w:r>
      <w:r w:rsidR="00AF0AD7">
        <w:rPr>
          <w:rFonts w:ascii="Times New Roman" w:hAnsi="Times New Roman" w:cs="Times New Roman"/>
        </w:rPr>
        <w:fldChar w:fldCharType="separate"/>
      </w:r>
      <w:r w:rsidR="00AF0AD7" w:rsidRPr="00AF0AD7">
        <w:rPr>
          <w:rFonts w:ascii="Times New Roman" w:hAnsi="Times New Roman" w:cs="Times New Roman"/>
        </w:rPr>
        <w:t>(Benishek et al., 2014)</w:t>
      </w:r>
      <w:r w:rsidR="00AF0AD7">
        <w:rPr>
          <w:rFonts w:ascii="Times New Roman" w:hAnsi="Times New Roman" w:cs="Times New Roman"/>
        </w:rPr>
        <w:fldChar w:fldCharType="end"/>
      </w:r>
      <w:r w:rsidRPr="00954D34">
        <w:rPr>
          <w:rFonts w:ascii="Times New Roman" w:hAnsi="Times New Roman" w:cs="Times New Roman"/>
        </w:rPr>
        <w:t xml:space="preserve">. Alternatively, pharmacological treatments, such as nicotine replacement therapy </w:t>
      </w:r>
      <w:r w:rsidR="00AF0AD7">
        <w:rPr>
          <w:rFonts w:ascii="Times New Roman" w:hAnsi="Times New Roman" w:cs="Times New Roman"/>
        </w:rPr>
        <w:fldChar w:fldCharType="begin"/>
      </w:r>
      <w:r w:rsidR="00AF0AD7">
        <w:rPr>
          <w:rFonts w:ascii="Times New Roman" w:hAnsi="Times New Roman" w:cs="Times New Roman"/>
        </w:rPr>
        <w:instrText xml:space="preserve"> ADDIN ZOTERO_ITEM CSL_CITATION {"citationID":"c7TneBbW","properties":{"formattedCitation":"(Lindson et al., 2019)","plainCitation":"(Lindson et al., 2019)","noteIndex":0},"citationItems":[{"id":1862,"uris":["http://zotero.org/users/7873587/items/MHAFTA5R"],"itemData":{"id":1862,"type":"article-journal","abstract":"BACKGROUND: Nicotine replacement therapy (NRT) aims to replace nicotine from cigarettes to ease the transition from cigarette smoking to abstinence. It works by reducing the intensity of craving and withdrawal symptoms. Although there is clear evidence that NRT used after smoking cessation is effective, it is unclear whether higher doses, longer durations of treatment, or using NRT before cessation add to its effectiveness.\nOBJECTIVES: To determine the effectiveness and safety of different forms, deliveries, doses, durations and schedules of NRT, for achieving long-term smoking cessation, compared to one another.\nSEARCH METHODS: We searched the Cochrane Tobacco Addiction Group trials register, and trial registries for papers mentioning NRT in the title, abstract or keywords. Date of most recent search: April 2018.\nSELECTION CRITERIA: Randomized trials in people motivated to quit, comparing one type of NRT use with another. We excluded trials that did not assess cessation as an outcome, with follow-up less than six months, and with additional intervention components not matched between arms. Trials comparing NRT to control, and trials comparing NRT to other pharmacotherapies, are covered elsewhere.\nDATA COLLECTION AND ANALYSIS: We followed standard Cochrane methods. Smoking abstinence was measured after at least six months, using the most rigorous definition available. We extracted data on cardiac adverse events (AEs), serious adverse events (SAEs), and study withdrawals due to treatment. We calculated the risk ratio (RR) and the 95% confidence interval (CI) for each outcome for each study, where possible. We grouped eligible studies according to the type of comparison. We carried out meta-analyses where appropriate, using a Mantel-Haenszel fixed-effect model.\nMAIN RESULTS: We identified 63 trials with 41,509 participants. Most recruited adults either from the community or from healthcare clinics. People enrolled in the studies typically smoked at least 15 cigarettes a day. We judged 24 of the 63 studies to be at high risk of bias, but restricting the analysis only to those studies at low or unclear risk of bias did not significantly alter results, apart from in the case of the preloading comparison. There is high-certainty evidence that combination NRT (fast-acting form + patch) results in higher long-term quit rates than single form (RR 1.25, 95% CI 1.15 to 1.36, 14 studies, 11,356 participants; I2 = 4%). Moderate-certainty evidence, limited by imprecision, indicates that 42/44 mg are as effective as 21/22 mg (24-hour) patches (RR 1.09, 95% CI 0.93 to 1.29, 5 studies, 1655 participants; I2 = 38%), and that 21 mg are more effective than 14 mg (24-hour) patches (RR 1.48, 95% CI 1.06 to 2.08, 1 study, 537 participants). Moderate-certainty evidence (again limited by imprecision) also suggests a benefit of 25 mg over 15 mg (16-hour) patches, but the lower limit of the CI encompassed no difference (RR 1.19, 95% CI 1.00 to 1.41, 3 studies, 3446 participants; I2 = 0%). Five studies comparing 4 mg gum to 2 mg gum found a benefit of the higher dose (RR 1.43, 95% CI 1.12 to 1.83, 5 studies, 856 participants; I2 = 63%); however, results of a subgroup analysis suggest that only smokers who are highly dependent may benefit. Nine studies tested the effect of using NRT prior to quit day (preloading) in comparison to using it from quit day onward; there was moderate-certainty evidence, limited by risk of bias, of a favourable effect of preloading on abstinence (RR 1.25, 95% CI 1.08 to 1.44, 9 studies, 4395 participants; I2 = 0%). High-certainty evidence from eight studies suggests that using either a form of fast-acting NRT or a nicotine patch results in similar long-term quit rates (RR 0.90, 95% CI 0.77 to 1.05, 8 studies, 3319 participants; I2 = 0%). We found no evidence of an effect of duration of nicotine patch use (low-certainty evidence); 16-hour versus 24-hour daily patch use; duration of combination NRT use (low- and very low-certainty evidence); tapering of patch dose versus abrupt patch cessation; fast-acting NRT type (very low-certainty evidence); duration of nicotine gum use; ad lib versus fixed dosing of fast-acting NRT; free versus purchased NRT; length of provision of free NRT; ceasing versus continuing patch use on lapse; and participant- versus clinician-selected NRT. However, in most cases these findings are based on very low- or low-certainty evidence, and are the findings from single studies.AEs, SAEs and withdrawals due to treatment were all measured variably and infrequently across studies, resulting in low- or very low-certainty evidence for all comparisons. Most comparisons found no evidence of an effect on cardiac AEs, SAEs or withdrawals. Rates of these were low overall. Significantly more withdrawals due to treatment were reported in participants using nasal spray in comparison to patch in one trial (RR 3.47, 95% CI 1.15 to 10.46, 922 participants; very low certainty) and in participants using 42/44 mg patches in comparison to 21/22 mg patches across two trials (RR 4.99, 95% CI 1.60 to 15.50, 2 studies, 544 participants; I2 = 0%; low certainty).\nAUTHORS' CONCLUSIONS: There is high-certainty evidence that using combination NRT versus single-form NRT, and 4 mg versus 2 mg nicotine gum, can increase the chances of successfully stopping smoking. For patch dose comparisons, evidence was of moderate certainty, due to imprecision. Twenty-one mg patches resulted in higher quit rates than 14 mg (24-hour) patches, and using 25 mg patches resulted in higher quit rates than using 15 mg (16-hour) patches, although in the latter case the CI included one. There was no clear evidence of superiority for 42/44 mg over 21/22 mg (24-hour) patches. Using a fast-acting form of NRT, such as gum or lozenge, resulted in similar quit rates to nicotine patches. There is moderate-certainty evidence that using NRT prior to quitting may improve quit rates versus using it from quit date only; however, further research is needed to ensure the robustness of this finding. Evidence for the comparative safety and tolerability of different types of NRT use is of low and very low certainty. New studies should ensure that AEs, SAEs and withdrawals due to treatment are both measured and reported.","container-title":"The Cochrane Database of Systematic Reviews","DOI":"10.1002/14651858.CD013308","ISSN":"1469-493X","journalAbbreviation":"Cochrane Database Syst Rev","language":"eng","note":"PMID: 30997928\nPMCID: PMC6470854","page":"CD013308","source":"PubMed","title":"Different doses, durations and modes of delivery of nicotine replacement therapy for smoking cessation","volume":"4","author":[{"family":"Lindson","given":"Nicola"},{"family":"Chepkin","given":"Samantha C."},{"family":"Ye","given":"Weiyu"},{"family":"Fanshawe","given":"Thomas R."},{"family":"Bullen","given":"Chris"},{"family":"Hartmann-Boyce","given":"Jamie"}],"issued":{"date-parts":[["2019",4,18]]}}}],"schema":"https://github.com/citation-style-language/schema/raw/master/csl-citation.json"} </w:instrText>
      </w:r>
      <w:r w:rsidR="00AF0AD7">
        <w:rPr>
          <w:rFonts w:ascii="Times New Roman" w:hAnsi="Times New Roman" w:cs="Times New Roman"/>
        </w:rPr>
        <w:fldChar w:fldCharType="separate"/>
      </w:r>
      <w:r w:rsidR="00AF0AD7" w:rsidRPr="00AF0AD7">
        <w:rPr>
          <w:rFonts w:ascii="Times New Roman" w:hAnsi="Times New Roman" w:cs="Times New Roman"/>
        </w:rPr>
        <w:t>(Lindson et al., 2019)</w:t>
      </w:r>
      <w:r w:rsidR="00AF0AD7">
        <w:rPr>
          <w:rFonts w:ascii="Times New Roman" w:hAnsi="Times New Roman" w:cs="Times New Roman"/>
        </w:rPr>
        <w:fldChar w:fldCharType="end"/>
      </w:r>
      <w:r w:rsidRPr="00954D34">
        <w:rPr>
          <w:rFonts w:ascii="Times New Roman" w:hAnsi="Times New Roman" w:cs="Times New Roman"/>
        </w:rPr>
        <w:t xml:space="preserve"> and varenicline </w:t>
      </w:r>
      <w:r w:rsidR="00AF0AD7">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{"citationID":"NVtadCOY","properties":{"formattedCitation":"(G. M. J. Taylor et al., 2016)","plainCitation":"(G. M. J. Taylor et al., 2016)","dontUpdate":true,"noteIndex":0},"citationItems":[{"id":1865,"uris":["http://zotero.org/users/7873587/items/W4QQ6HFK"],"itemData":{"id":1865,"type":"article-journal","container-title":"The Lancet","DOI":"10.1016/S0140-6736(16)32343-1","ISSN":"0140-6736, 1474-547X","journalAbbreviation":"The Lancet","language":"English","note":"publisher: Elsevier","page":"S107","source":"www.thelancet.com","title":"Effectiveness of varenicline versus nicotine replacement therapy on long-term smoking cessation in primary care: a prospective, cohort study of electronic medical records","title-short":"Effectiveness of varenicline versus nicotine replacement therapy on long-term smoking cessation in primary care","volume":"388","author":[{"family":"Taylor","given":"Gemma M. J."},{"family":"Taylor","given":"Amy E."},{"family":"Thomas","given":"Kyla H."},{"family":"Jones","given":"Tim"},{"family":"Martin","given":"Richard M."},{"family":"Munafò","given":"Marcus R."},{"family":"Windmeijer","given":"Frank"},{"family":"Davies","given":"Neil M."}],"issued":{"date-parts":[["2016",11,1]]}}}],"schema":"https://github.com/citation-style-language/schema/raw/master/csl-citation.json"} </w:instrText>
      </w:r>
      <w:r w:rsidR="00AF0AD7">
        <w:rPr>
          <w:rFonts w:ascii="Times New Roman" w:hAnsi="Times New Roman" w:cs="Times New Roman"/>
        </w:rPr>
        <w:fldChar w:fldCharType="separate"/>
      </w:r>
      <w:r w:rsidR="00AF0AD7" w:rsidRPr="00AF0AD7">
        <w:rPr>
          <w:rFonts w:ascii="Times New Roman" w:hAnsi="Times New Roman" w:cs="Times New Roman"/>
        </w:rPr>
        <w:t>(Taylor et al., 2016)</w:t>
      </w:r>
      <w:r w:rsidR="00AF0AD7">
        <w:rPr>
          <w:rFonts w:ascii="Times New Roman" w:hAnsi="Times New Roman" w:cs="Times New Roman"/>
        </w:rPr>
        <w:fldChar w:fldCharType="end"/>
      </w:r>
      <w:r w:rsidRPr="00954D34">
        <w:rPr>
          <w:rFonts w:ascii="Times New Roman" w:hAnsi="Times New Roman" w:cs="Times New Roman"/>
        </w:rPr>
        <w:t xml:space="preserve"> are effective in reducing tobacco craving and blocking the reinforcing effects of smoking. It may be that increased confidence to remain abstinent, greater availability of non-tobacco reinforcers, and/or diminished craving and reinforcing effects of tobacco enable people to step back and carefully consider their options when faced with the decision to smoke versus to do something else, potentially resulting in increased response thresholds.</w:t>
      </w:r>
    </w:p>
    <w:p w14:paraId="55BC8AC0" w14:textId="77777777" w:rsidR="00954D34" w:rsidRPr="00954D34" w:rsidRDefault="00954D34" w:rsidP="00954D34">
      <w:pPr>
        <w:pStyle w:val="NoSpacing"/>
        <w:spacing w:line="480" w:lineRule="auto"/>
        <w:rPr>
          <w:rFonts w:ascii="Times New Roman" w:hAnsi="Times New Roman" w:cs="Times New Roman"/>
        </w:rPr>
      </w:pPr>
    </w:p>
    <w:p w14:paraId="3D23CF87" w14:textId="095E1D1E" w:rsidR="00954D34" w:rsidRPr="00954D34" w:rsidRDefault="00954D34" w:rsidP="00E10AA5">
      <w:pPr>
        <w:pStyle w:val="NoSpacing"/>
        <w:spacing w:line="480" w:lineRule="auto"/>
        <w:rPr>
          <w:rFonts w:ascii="Times New Roman" w:hAnsi="Times New Roman" w:cs="Times New Roman"/>
        </w:rPr>
      </w:pPr>
      <w:r w:rsidRPr="00954D34">
        <w:rPr>
          <w:rFonts w:ascii="Times New Roman" w:hAnsi="Times New Roman" w:cs="Times New Roman"/>
        </w:rPr>
        <w:t xml:space="preserve">Current smokers did not accumulate more value evidence for tobacco stimuli compared to ex-smokers, and ex-smokers did not accumulate more value evidence for tobacco-unrelated (animal) stimuli compared to current smokers. Therefore, our data did not identify the changes in EA rates that we would expect to see based on overt preferences between tobacco and tobacco-unrelated rewards that have been demonstrated in other studies </w:t>
      </w:r>
      <w:r w:rsidR="00AF0AD7">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{"citationID":"7LbhubZy","properties":{"formattedCitation":"(Chase et al., 2013; Hogarth &amp; Chase, 2011; Lawn et al., 2018)","plainCitation":"(Chase et al., 2013; Hogarth &amp; Chase, 2011; Lawn et al., 2018)","noteIndex":0},"citationItems":[{"id":832,"uris":["http://zotero.org/users/7873587/items/JSTZ3BAT"],"itemData":{"id":832,"type":"article-journal","abstract":"RATIONALE: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W."}],"issued":{"date-parts":[["2011",7]]}},"label":"act"},{"id":834,"uris":["http://zotero.org/users/7873587/items/EBXENG4P"],"itemData":{"id":834,"type":"article-journal","abstract":"Background\nDopaminergic functioning is thought to play critical roles in both motivation and addiction. There is preliminary evidence that dopamine agonists reduce the motivation for cigarettes in smokers. However, the effects of pramipexole, a dopamine D3 receptor preferring agonist, have not been investigated., The aim of this study was to examine the effects of an acute dose of pramipexole on the motivation to earn cigarettes and nondrug rewards.\n\nMethods\nTwenty dependent and 20 occasional smokers received 0.5 mg pramipexole using a double-blind, placebo-controlled crossover design. Motivation for cigarettes and consummatory nondrug rewards was measured using the DReaM-Choice task, in which participants earned, and later “consumed,” cigarettes, music, and chocolate. Demand for cigarettes was measured using the Cigarette Purchase Task (CPT). Self-reported craving, withdrawal, and drug effects were also recorded.\n\nResults\nDependent smokers chose (p &lt; .001) and button-pressed for (p &lt; .001) cigarettes more, and chose chocolate less (p &lt; .001), than occasional smokers. Pramipexole did not affect the number of choices for or amount of button-pressing for any reward including cigarettes, which was supported by a Bayesian analysis. The dependent smokers had greater demand for cigarettes than occasional smokers across all CPT outcomes (ps &lt; .021), apart from elasticity. Pramipexole did not affect demand for cigarettes, and this was supported by Bayesian analyses. Pramipexole produced greater subjective “feel drug” and “dislike drug” effects than placebo.\n\nConclusions\nDependent and occasional cigarette smokers differed in their motivation for cigarettes but not for the nondrug rewards. Pramipexole did not acutely alter motivation for cigarettes. These findings question the role of dopamine D3 receptors in cigarette-seeking behavior in dependent and occasional smokers.\n\nImplications\nThis study adds to the growing literature about cigarette versus nondrug reward processing in nicotine dependence and the role of dopamine in cigarette-seeking behavior. Our results suggest nicotine dependence is associated with a hypersensitivity to cigarette rewards but not a hyposensitivity to nondrug rewards. Furthermore, our results question the importance of dopamine D3 receptors in motivational processing of cigarettes in occasional and dependent smokers.","container-title":"Nicotine &amp; Tobacco Research","DOI":"10.1093/ntr/ntx159","ISSN":"1462-2203","issue":"7","journalAbbreviation":"Nicotine Tob Res","note":"PMID: 29065193\nPMCID: PMC5991206","page":"800-809","source":"PubMed Central","title":"The acute effects of a dopamine D3 receptor preferring agonist on motivation for cigarettes in dependent and occasional cigarette smokers","volume":"20","author":[{"family":"Lawn","given":"Will"},{"family":"Freeman","given":"Tom P"},{"family":"East","given":"Katie"},{"family":"Gaule","given":"Annie"},{"family":"Aston","given":"Elizabeth R"},{"family":"Bloomfield","given":"Michael A P"},{"family":"Das","given":"Ravi K"},{"family":"Morgan","given":"Celia J A"},{"family":"Curran","given":"H Valerie"}],"issued":{"date-parts":[["2018",7]]}},"label":"act"}],"schema":"https://github.com/citation-style-language/schema/raw/master/csl-citation.json"} </w:instrText>
      </w:r>
      <w:r w:rsidR="00AF0AD7">
        <w:rPr>
          <w:rFonts w:ascii="Times New Roman" w:hAnsi="Times New Roman" w:cs="Times New Roman"/>
        </w:rPr>
        <w:fldChar w:fldCharType="separate"/>
      </w:r>
      <w:r w:rsidR="00E10AA5" w:rsidRPr="00E10AA5">
        <w:rPr>
          <w:rFonts w:ascii="Times New Roman" w:hAnsi="Times New Roman" w:cs="Times New Roman"/>
        </w:rPr>
        <w:t>(Chase et al., 2013; Hogarth &amp; Chase, 2011; Lawn et al., 2018)</w:t>
      </w:r>
      <w:r w:rsidR="00AF0AD7">
        <w:rPr>
          <w:rFonts w:ascii="Times New Roman" w:hAnsi="Times New Roman" w:cs="Times New Roman"/>
        </w:rPr>
        <w:fldChar w:fldCharType="end"/>
      </w:r>
      <w:r w:rsidR="00E10AA5">
        <w:rPr>
          <w:rFonts w:ascii="Times New Roman" w:hAnsi="Times New Roman" w:cs="Times New Roman"/>
        </w:rPr>
        <w:t xml:space="preserve">. </w:t>
      </w:r>
      <w:r w:rsidRPr="00954D34">
        <w:rPr>
          <w:rFonts w:ascii="Times New Roman" w:hAnsi="Times New Roman" w:cs="Times New Roman"/>
        </w:rPr>
        <w:t xml:space="preserve">For example, Hardy et al. (2018) found that people who self-report themselves as having quit smoking (ex-smokers) demonstrate decreased value of tobacco, indexed by a reduction in preference for tobacco rewards compared to tobacco-unrelated alternative rewards. However, there are differences in the methodologies that make it challenging to reconcile our findings with existing research. In previous studies, for example, participants chose between tobacco (e.g., cigarette) and tobacco-unrelated alternative (e.g., chocolate) images for some type of reward (e.g., points, enlargement of image, actual consumption of the image depicted). </w:t>
      </w:r>
      <w:r w:rsidR="00E10AA5">
        <w:rPr>
          <w:rFonts w:ascii="Times New Roman" w:hAnsi="Times New Roman" w:cs="Times New Roman"/>
        </w:rPr>
        <w:t xml:space="preserve">In order to test predictions from recent conceptual accounts (e.g., </w:t>
      </w:r>
      <w:r w:rsidR="00E10AA5">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{"citationID":"DvaVOiva","properties":{"formattedCitation":"(Field,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E10AA5">
        <w:rPr>
          <w:rFonts w:ascii="Times New Roman" w:hAnsi="Times New Roman" w:cs="Times New Roman"/>
        </w:rPr>
        <w:fldChar w:fldCharType="separate"/>
      </w:r>
      <w:r w:rsidR="00E10AA5" w:rsidRPr="00E10AA5">
        <w:rPr>
          <w:rFonts w:ascii="Times New Roman" w:hAnsi="Times New Roman" w:cs="Times New Roman"/>
        </w:rPr>
        <w:t>Field, Heather, et al., 2020)</w:t>
      </w:r>
      <w:r w:rsidR="00E10AA5">
        <w:rPr>
          <w:rFonts w:ascii="Times New Roman" w:hAnsi="Times New Roman" w:cs="Times New Roman"/>
        </w:rPr>
        <w:fldChar w:fldCharType="end"/>
      </w:r>
      <w:r w:rsidRPr="00954D34">
        <w:rPr>
          <w:rFonts w:ascii="Times New Roman" w:hAnsi="Times New Roman" w:cs="Times New Roman"/>
        </w:rPr>
        <w:t>, it was not possible for us to depict tobacco and tobacco-unrelated images side-by-side simultaneously</w:t>
      </w:r>
      <w:r w:rsidR="00E10AA5">
        <w:rPr>
          <w:rFonts w:ascii="Times New Roman" w:hAnsi="Times New Roman" w:cs="Times New Roman"/>
        </w:rPr>
        <w:t xml:space="preserve">. Furthermore, </w:t>
      </w:r>
      <w:r w:rsidRPr="00954D34">
        <w:rPr>
          <w:rFonts w:ascii="Times New Roman" w:hAnsi="Times New Roman" w:cs="Times New Roman"/>
        </w:rPr>
        <w:t>participants did not receive any type of reward when selecting an image on a trial</w:t>
      </w:r>
      <w:r w:rsidR="00E10AA5">
        <w:rPr>
          <w:rFonts w:ascii="Times New Roman" w:hAnsi="Times New Roman" w:cs="Times New Roman"/>
        </w:rPr>
        <w:t xml:space="preserve"> as decisions were inconsequential</w:t>
      </w:r>
      <w:r w:rsidRPr="00954D34">
        <w:rPr>
          <w:rFonts w:ascii="Times New Roman" w:hAnsi="Times New Roman" w:cs="Times New Roman"/>
        </w:rPr>
        <w:t xml:space="preserve">. Secondly our non-tobacco alternative images were animal images and therefore not something that is </w:t>
      </w:r>
      <w:r w:rsidRPr="00954D34">
        <w:rPr>
          <w:rFonts w:ascii="Times New Roman" w:hAnsi="Times New Roman" w:cs="Times New Roman"/>
          <w:i/>
        </w:rPr>
        <w:t xml:space="preserve">appetitive </w:t>
      </w:r>
      <w:r w:rsidRPr="00954D34">
        <w:rPr>
          <w:rFonts w:ascii="Times New Roman" w:hAnsi="Times New Roman" w:cs="Times New Roman"/>
        </w:rPr>
        <w:t xml:space="preserve">unlike the stimuli that were used in the previous studies (see </w:t>
      </w:r>
      <w:r w:rsidR="00971EA9">
        <w:rPr>
          <w:rFonts w:ascii="Times New Roman" w:hAnsi="Times New Roman" w:cs="Times New Roman"/>
        </w:rPr>
        <w:t xml:space="preserve">p.247 in </w:t>
      </w:r>
      <w:r w:rsidRPr="00954D34">
        <w:rPr>
          <w:rFonts w:ascii="Times New Roman" w:hAnsi="Times New Roman" w:cs="Times New Roman"/>
        </w:rPr>
        <w:t>Chapter 8</w:t>
      </w:r>
      <w:r w:rsidR="00971EA9">
        <w:rPr>
          <w:rFonts w:ascii="Times New Roman" w:hAnsi="Times New Roman" w:cs="Times New Roman"/>
        </w:rPr>
        <w:t xml:space="preserve"> </w:t>
      </w:r>
      <w:r w:rsidRPr="00954D34">
        <w:rPr>
          <w:rFonts w:ascii="Times New Roman" w:hAnsi="Times New Roman" w:cs="Times New Roman"/>
        </w:rPr>
        <w:t>for the rationale for using animal images</w:t>
      </w:r>
      <w:r w:rsidR="00AF0AD7">
        <w:rPr>
          <w:rFonts w:ascii="Times New Roman" w:hAnsi="Times New Roman" w:cs="Times New Roman"/>
        </w:rPr>
        <w:t xml:space="preserve"> as the comparator</w:t>
      </w:r>
      <w:r w:rsidRPr="00954D34">
        <w:rPr>
          <w:rFonts w:ascii="Times New Roman" w:hAnsi="Times New Roman" w:cs="Times New Roman"/>
        </w:rPr>
        <w:t xml:space="preserve">). </w:t>
      </w:r>
    </w:p>
    <w:p w14:paraId="21DD377A" w14:textId="77777777" w:rsidR="00954D34" w:rsidRPr="00954D34" w:rsidRDefault="00954D34" w:rsidP="00954D34">
      <w:pPr>
        <w:pStyle w:val="NoSpacing"/>
        <w:spacing w:line="480" w:lineRule="auto"/>
        <w:rPr>
          <w:rFonts w:ascii="Times New Roman" w:hAnsi="Times New Roman" w:cs="Times New Roman"/>
        </w:rPr>
      </w:pPr>
    </w:p>
    <w:p w14:paraId="3EA5F719" w14:textId="7FF97A2F" w:rsidR="00954D34" w:rsidRPr="00954D34" w:rsidRDefault="00954D34" w:rsidP="00ED785E">
      <w:pPr>
        <w:pStyle w:val="NoSpacing"/>
        <w:spacing w:line="480" w:lineRule="auto"/>
        <w:rPr>
          <w:rFonts w:ascii="Times New Roman" w:hAnsi="Times New Roman" w:cs="Times New Roman"/>
        </w:rPr>
      </w:pPr>
      <w:r w:rsidRPr="00954D34">
        <w:rPr>
          <w:rFonts w:ascii="Times New Roman" w:hAnsi="Times New Roman" w:cs="Times New Roman"/>
        </w:rPr>
        <w:t xml:space="preserve">Our findings also did not reveal any significant differences in the magnitude of conflict between current smokers and ex-smokers when tobacco was the correct answer and when the tobacco-unrelated (animal) was the correct answer, refuting hypotheses 3 and 4. Self-control </w:t>
      </w:r>
      <w:r w:rsidRPr="00954D34">
        <w:rPr>
          <w:rFonts w:ascii="Times New Roman" w:hAnsi="Times New Roman" w:cs="Times New Roman"/>
        </w:rPr>
        <w:lastRenderedPageBreak/>
        <w:t xml:space="preserve">is inversely associated with conflict during decision-making </w:t>
      </w:r>
      <w:r w:rsidR="00ED785E">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{"citationID":"o9No9AAO","properties":{"formattedCitation":"(Gillebaart et al., 2016; Stillman et al., 2017)","plainCitation":"(Gillebaart et al., 2016; Stillman et al., 2017)","noteIndex":0},"citationItems":[{"id":1832,"uris":["http://zotero.org/users/7873587/items/84YPCFU2"],"itemData":{"id":1832,"type":"article-journal","abstract":"Self-control leads to positive life outcomes, but it is poorly understood. While previous research has focused on self-control failure, self-control success remains unexplored. The current studies aim to shed more light on the mechanisms of self-control by focusing on the resolution of response conflict as a key component in self-control success. Trait self-control was measured, and participants reported on the magnitude of response conflict they experienced about healthy and unhealthy foods in Study 1 (N = 146; Mage = 33.03; 59 females, 83 males, 4 unknown). The response conflict process was assessed in Study 2 (N = 118; Mage = 21.45; 68 females, 41 males, 9 unknown). Outcomes showed that self-reported evaluative response conflict about food items was smaller for people high in trait self-control. Study 2 revealed that higher trait self-control predicted faster resolution of self-control conflict, and an earlier peak of the response conflict. Taken together, these results provide insight into what makes people with high trait self-control successful, namely, how they handle response conflict. Implications for self-control theories and future directions are discussed.","container-title":"Journal of Personality","DOI":"10.1111/jopy.12219","ISSN":"1467-6494","issue":"6","language":"en","note":"_eprint: https://onlinelibrary.wiley.com/doi/pdf/10.1111/jopy.12219","page":"789-798","source":"Wiley Online Library","title":"Effects of trait self-control on response conflict about healthy and unhealthy food","volume":"84","author":[{"family":"Gillebaart","given":"Marleen"},{"family":"Schneider","given":"Iris K."},{"family":"De Ridder","given":"Denise T. D."}],"issued":{"date-parts":[["2016"]]}},"label":"act"},{"id":1627,"uris":["http://zotero.org/users/7873587/items/Z838EEF5"],"itemData":{"id":1627,"type":"article-journal","abstract":"Across four studies, we used mouse tracking to identify the dynamic, on-line cognitive processes that underlie successful self-control decisions. First, we showed that individuals display real-time conflict when choosing options consistent with their long-term goal over short-term temptations. Second, we found that individuals who are more successful at self-control—whether measured or manipulated—show significantly less real-time conflict in only self-control-relevant choices. Third, we demonstrated that successful individuals who choose a long-term goal over a short-term temptation display movements that are smooth rather than abrupt, which suggests dynamic rather than stage-based resolution of self-control conflicts. These findings have important implications for contemporary theories of self-control.","container-title":"Psychological Science","DOI":"10.1177/0956797617705386","ISSN":"0956-7976","issue":"9","journalAbbreviation":"Psychol Sci","language":"en","note":"publisher: SAGE Publications Inc","page":"1240-1258","source":"SAGE Journals","title":"Resisting temptation: Tracking how self-control conflicts are successfully resolved in real time","title-short":"Resisting Temptation","volume":"28","author":[{"family":"Stillman","given":"Paul E."},{"family":"Medvedev","given":"Danila"},{"family":"Ferguson","given":"Melissa J."}],"issued":{"date-parts":[["2017",9,1]]}},"label":"act"}],"schema":"https://github.com/citation-style-language/schema/raw/master/csl-citation.json"} </w:instrText>
      </w:r>
      <w:r w:rsidR="00ED785E">
        <w:rPr>
          <w:rFonts w:ascii="Times New Roman" w:hAnsi="Times New Roman" w:cs="Times New Roman"/>
        </w:rPr>
        <w:fldChar w:fldCharType="separate"/>
      </w:r>
      <w:r w:rsidR="00ED785E" w:rsidRPr="00ED785E">
        <w:rPr>
          <w:rFonts w:ascii="Times New Roman" w:hAnsi="Times New Roman" w:cs="Times New Roman"/>
        </w:rPr>
        <w:t>(Gillebaart et al., 2016; Stillman et al., 2017)</w:t>
      </w:r>
      <w:r w:rsidR="00ED785E">
        <w:rPr>
          <w:rFonts w:ascii="Times New Roman" w:hAnsi="Times New Roman" w:cs="Times New Roman"/>
        </w:rPr>
        <w:fldChar w:fldCharType="end"/>
      </w:r>
      <w:r w:rsidRPr="00954D34">
        <w:rPr>
          <w:rFonts w:ascii="Times New Roman" w:hAnsi="Times New Roman" w:cs="Times New Roman"/>
        </w:rPr>
        <w:t xml:space="preserve">, and positively associated with recovery from addiction (Stein &amp; </w:t>
      </w:r>
      <w:proofErr w:type="spellStart"/>
      <w:r w:rsidRPr="00954D34">
        <w:rPr>
          <w:rFonts w:ascii="Times New Roman" w:hAnsi="Times New Roman" w:cs="Times New Roman"/>
        </w:rPr>
        <w:t>Witkiewitz</w:t>
      </w:r>
      <w:proofErr w:type="spellEnd"/>
      <w:r w:rsidRPr="00954D34">
        <w:rPr>
          <w:rFonts w:ascii="Times New Roman" w:hAnsi="Times New Roman" w:cs="Times New Roman"/>
        </w:rPr>
        <w:t xml:space="preserve">, 2019). We therefore anticipated that a difference would exist between current smokers and ex-smokers, but this was not the case for our sample. However, in line with previous findings (Stillman et al., 2017), mouse trajectories during choices whereby participants correctly choose the image that they rated higher in value were unimodal in nature. These findings support the notion that value-based decisions unfold in a smooth and dynamical manner in line with a VBDM approach, rather than a dual-process approach. This demonstrates that when faced with a conflicting decision, resolution of conflict is characterised by the dynamical integration of value inputs, in line with neuroscientific work </w:t>
      </w:r>
      <w:r w:rsidR="00AF0AD7">
        <w:rPr>
          <w:rFonts w:ascii="Times New Roman" w:hAnsi="Times New Roman" w:cs="Times New Roman"/>
        </w:rPr>
        <w:fldChar w:fldCharType="begin"/>
      </w:r>
      <w:r w:rsidR="00AF0AD7">
        <w:rPr>
          <w:rFonts w:ascii="Times New Roman" w:hAnsi="Times New Roman" w:cs="Times New Roman"/>
        </w:rPr>
        <w:instrText xml:space="preserve"> ADDIN ZOTERO_ITEM CSL_CITATION {"citationID":"oExCAvEi","properties":{"formattedCitation":"(Cosme et al., 2019)","plainCitation":"(Cosme et al., 2019)","noteIndex":0},"citationItems":[{"id":1625,"uris":["http://zotero.org/users/7873587/items/WPDUPS8S"],"itemData":{"id":1625,"type":"article-journal","abstract":"Self-control is the process of favoring abstract, distal goals over concrete, proximal goals during decision-making and is an important factor in health and well-being. We directly compare two prominent neurocognitive models of human self-control with the goal of identifying which, if either, best describes behavioral and neural data of dietary decisions in a large sample of overweight and obese adults motivated to eat more healthfully. We extracted trial-by-trial estimates of neural activity during incentive-compatible choice from three brain regions implicated in self-control, dorsolateral prefrontal cortex, ventral striatum and ventromedial prefrontal cortex and assessed evidence for the dual-process and value-based choice models of self-control using multilevel modeling. Model comparison tests revealed that the value-based choice model outperformed the dual-process model and best fit the observed data. These results advance scientific knowledge of the neurobiological mechanisms underlying self-control-relevant decision-making and are consistent with a value-based choice model of self-control.","container-title":"Social Cognitive and Affective Neuroscience","DOI":"10.1093/scan/nsz068","ISSN":"1749-5016","issue":"9","journalAbbreviation":"Social Cognitive and Affective Neuroscience","page":"957-966","source":"Silverchair","title":"Comparing two neurocognitive models of self-control during dietary decisions","volume":"14","author":[{"family":"Cosme","given":"Danielle"},{"family":"Ludwig","given":"Rita M"},{"family":"Berkman","given":"Elliot T"}],"issued":{"date-parts":[["2019",9,30]]}}}],"schema":"https://github.com/citation-style-language/schema/raw/master/csl-citation.json"} </w:instrText>
      </w:r>
      <w:r w:rsidR="00AF0AD7">
        <w:rPr>
          <w:rFonts w:ascii="Times New Roman" w:hAnsi="Times New Roman" w:cs="Times New Roman"/>
        </w:rPr>
        <w:fldChar w:fldCharType="separate"/>
      </w:r>
      <w:r w:rsidR="00AF0AD7" w:rsidRPr="00AF0AD7">
        <w:rPr>
          <w:rFonts w:ascii="Times New Roman" w:hAnsi="Times New Roman" w:cs="Times New Roman"/>
        </w:rPr>
        <w:t>(Cosme et al., 2019)</w:t>
      </w:r>
      <w:r w:rsidR="00AF0AD7">
        <w:rPr>
          <w:rFonts w:ascii="Times New Roman" w:hAnsi="Times New Roman" w:cs="Times New Roman"/>
        </w:rPr>
        <w:fldChar w:fldCharType="end"/>
      </w:r>
      <w:r w:rsidRPr="00954D34">
        <w:rPr>
          <w:rFonts w:ascii="Times New Roman" w:hAnsi="Times New Roman" w:cs="Times New Roman"/>
        </w:rPr>
        <w:t xml:space="preserve"> and recent theoretical advances in the field of self-regulation (Berkman et al., 2017) as opposed to ‘controlled’ processes inhibiting ‘automatic’ processes (</w:t>
      </w:r>
      <w:proofErr w:type="spellStart"/>
      <w:r w:rsidRPr="00954D34">
        <w:rPr>
          <w:rFonts w:ascii="Times New Roman" w:hAnsi="Times New Roman" w:cs="Times New Roman"/>
        </w:rPr>
        <w:t>Veling</w:t>
      </w:r>
      <w:proofErr w:type="spellEnd"/>
      <w:r w:rsidRPr="00954D34">
        <w:rPr>
          <w:rFonts w:ascii="Times New Roman" w:hAnsi="Times New Roman" w:cs="Times New Roman"/>
        </w:rPr>
        <w:t xml:space="preserve"> et al., 2008). </w:t>
      </w:r>
    </w:p>
    <w:p w14:paraId="00054145" w14:textId="77777777" w:rsidR="00954D34" w:rsidRPr="00954D34" w:rsidRDefault="00954D34" w:rsidP="00954D34">
      <w:pPr>
        <w:pStyle w:val="NoSpacing"/>
        <w:spacing w:line="480" w:lineRule="auto"/>
        <w:rPr>
          <w:rFonts w:ascii="Times New Roman" w:hAnsi="Times New Roman" w:cs="Times New Roman"/>
        </w:rPr>
      </w:pPr>
    </w:p>
    <w:p w14:paraId="64A5969B" w14:textId="521B05F8" w:rsidR="00954D34" w:rsidRPr="00954D34" w:rsidRDefault="00954D34" w:rsidP="00ED785E">
      <w:pPr>
        <w:pStyle w:val="NoSpacing"/>
        <w:spacing w:line="480" w:lineRule="auto"/>
        <w:rPr>
          <w:rFonts w:ascii="Times New Roman" w:hAnsi="Times New Roman" w:cs="Times New Roman"/>
        </w:rPr>
      </w:pPr>
      <w:r w:rsidRPr="00954D34">
        <w:rPr>
          <w:rFonts w:ascii="Times New Roman" w:hAnsi="Times New Roman" w:cs="Times New Roman"/>
        </w:rPr>
        <w:t xml:space="preserve">Our pre-registered analyses included the exploration of whether there is a ‘difficulty effect’. Indeed, we found that EA rates on the VBDM task decreased, and magnitude of conflict on the </w:t>
      </w:r>
      <w:proofErr w:type="spellStart"/>
      <w:r w:rsidRPr="00954D34">
        <w:rPr>
          <w:rFonts w:ascii="Times New Roman" w:hAnsi="Times New Roman" w:cs="Times New Roman"/>
        </w:rPr>
        <w:t>MouseTracker</w:t>
      </w:r>
      <w:proofErr w:type="spellEnd"/>
      <w:r w:rsidRPr="00954D34">
        <w:rPr>
          <w:rFonts w:ascii="Times New Roman" w:hAnsi="Times New Roman" w:cs="Times New Roman"/>
        </w:rPr>
        <w:t xml:space="preserve"> task increased, with the level of difficulty in the trials (Figures 7.7 and 7.8). This is in line with previous research </w:t>
      </w:r>
      <w:r w:rsidR="00E10AA5">
        <w:rPr>
          <w:rFonts w:ascii="Times New Roman" w:hAnsi="Times New Roman" w:cs="Times New Roman"/>
        </w:rPr>
        <w:fldChar w:fldCharType="begin"/>
      </w:r>
      <w:r w:rsidR="00ED785E">
        <w:rPr>
          <w:rFonts w:ascii="Times New Roman" w:hAnsi="Times New Roman" w:cs="Times New Roman"/>
        </w:rPr>
        <w:instrText xml:space="preserve"> ADDIN ZOTERO_ITEM CSL_CITATION {"citationID":"ysLWM3Qh","properties":{"formattedCitation":"(Calluso et al., 2015; Dutilh &amp; Rieskamp, 2016; Fontanesi et al., 2019; Polan\\uc0\\u237{}a et al., 2014)","plainCitation":"(Calluso et al., 2015; Dutilh &amp; Rieskamp, 2016; Fontanesi et al., 2019; Polanía et al., 2014)","noteIndex":0},"citationItems":[{"id":1868,"uris":["http://zotero.org/users/7873587/items/Z4MHH9SC"],"itemData":{"id":1868,"type":"article-journal","abstract":"During intertemporal decisions, the preference for smaller, sooner reward over larger-delayed rewards (temporal discounting, TD) exhibits substantial inter-subject variability; however, it is currently unclear what are the mechanisms underlying this apparently idiosyncratic behavior. To answer this question, here we recorded and analyzed mouse movement kinematics during intertemporal choices in a large sample of participants (N = 86). Results revealed a specific pattern of decision dynamics associated with the selection of \"immediate\" versus \"delayed\" response alternatives, which well discriminated between a \"discounter\" versus a \"farsighted\" behavior-thus representing a reliable behavioral marker of TD preferences. By fitting the Drift Diffusion Model to the data, we showed that differences between discounter and farsighted subjects could be explained in terms of different model parameterizations, corresponding to the use of different choice mechanisms in the two groups. While farsighted subjects were biased toward the \"delayed\" option, discounter subjects were not correspondingly biased toward the \"immediate\" option. Rather, as shown by the dynamics of evidence accumulation over time, their behavior was characterized by high choice uncertainty.","container-title":"Experimental Brain Research","DOI":"10.1007/s00221-015-4427-1","ISSN":"1432-1106","issue":"12","journalAbbreviation":"Exp Brain Res","language":"eng","note":"PMID: 26341932","page":"3597-3611","source":"PubMed","title":"Analysis of hand kinematics reveals inter-individual differences in intertemporal decision dynamics","volume":"233","author":[{"family":"Calluso","given":"Cinzia"},{"family":"Committeri","given":"Giorgia"},{"family":"Pezzulo","given":"Giovanni"},{"family":"Lepora","given":"Nathan"},{"family":"Tosoni","given":"Annalisa"}],"issued":{"date-parts":[["2015",12]]}},"label":"act"},{"id":1871,"uris":["http://zotero.org/users/7873587/items/WI22Z4JA"],"itemData":{"id":1871,"type":"article-journal","abstract":"Perceptual and preferential decision making have been studied largely in isolation. Perceptual decisions are considered to be at a non–deliberative cognitive level and have an outside criterion that defines the quality of decisions. Preferential decisions are considered to be at a higher cognitive level and the quality of decisions depend on the decision maker’s subjective goals. Besides these crucial differences, both types of decisions also have in common that uncertain information about the choice situation has to be processed before a decision can be made. The present work aims to acknowledge the commonalities of both types of decision making to lay bare the crucial differences. For this aim we examine perceptual and preferential decisions with a novel choice paradigm that uses the identical stimulus material for both types of decisions. This paradigm allows us to model the decisions and response times of both types of decisions with the same sequential sampling model, the drift diffusion model. The results illustrate that the different incentive structure in both types of tasks changes people’s behavior so that they process information more efficiently and respond more cautiously in the perceptual as compared to the preferential task. These findings set out a perspective for further integration of perceptual and preferential decision making in a single ramework.","container-title":"Psychonomic Bulletin &amp; Review","DOI":"10.3758/s13423-015-0941-1","ISSN":"1531-5320","issue":"3","journalAbbreviation":"Psychon Bull Rev","language":"en","page":"723-737","source":"Springer Link","title":"Comparing perceptual and preferential decision making","volume":"23","author":[{"family":"Dutilh","given":"Gilles"},{"family":"Rieskamp","given":"Jörg"}],"issued":{"date-parts":[["2016",6,1]]}},"label":"act"},{"id":1875,"uris":["http://zotero.org/users/7873587/items/STGE3ACF"],"itemData":{"id":1875,"type":"article-journal","abstract":"Psychological models of value-based decision-making describe how subjective values are formed and mapped to single choices. Recently, additional efforts have been made to describe the temporal dynamics of these processes by adopting sequential sampling models from the perceptual decision-making tradition, such as the diffusion decision model (DDM). These models, when applied to value-based decision-making, allow mapping of subjective values not only to choices but also to response times. However, very few attempts have been made to adapt these models to situations in which decisions are followed by rewards, thereby producing learning effects. In this study, we propose a new combined reinforcement learning diffusion decision model (RLDDM) and test it on a learning task in which pairs of options differ with respect to both value difference and overall value. We found that participants became more accurate and faster with learning, responded faster and more accurately when options had more dissimilar values, and decided faster when confronted with more attractive (i.e., overall more valuable) pairs of options. We demonstrate that the suggested RLDDM can accommodate these effects and does so better than previously proposed models. To gain a better understanding of the model dynamics, we also compare it to standard DDMs and reinforcement learning models. Our work is a step forward towards bridging the gap between two traditions of decision-making research.","container-title":"Psychonomic Bulletin &amp; Review","DOI":"10.3758/s13423-018-1554-2","ISSN":"1531-5320","issue":"4","journalAbbreviation":"Psychon Bull Rev","language":"en","page":"1099-1121","source":"Springer Link","title":"A reinforcement learning diffusion decision model for value-based decisions","volume":"26","author":[{"family":"Fontanesi","given":"Laura"},{"family":"Gluth","given":"Sebastian"},{"family":"Spektor","given":"Mikhail S."},{"family":"Rieskamp","given":"Jörg"}],"issued":{"date-parts":[["2019",8,1]]}},"label":"act"},{"id":1544,"uris":["http://zotero.org/users/7873587/items/S2B2VYDB"],"itemData":{"id":1544,"type":"article-journal","abstract":"Organisms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C."}],"issued":{"date-parts":[["2014",5,7]]}},"label":"act"}],"schema":"https://github.com/citation-style-language/schema/raw/master/csl-citation.json"} </w:instrText>
      </w:r>
      <w:r w:rsidR="00E10AA5">
        <w:rPr>
          <w:rFonts w:ascii="Times New Roman" w:hAnsi="Times New Roman" w:cs="Times New Roman"/>
        </w:rPr>
        <w:fldChar w:fldCharType="separate"/>
      </w:r>
      <w:r w:rsidR="00ED785E" w:rsidRPr="00ED785E">
        <w:rPr>
          <w:rFonts w:ascii="Times New Roman" w:hAnsi="Times New Roman" w:cs="Times New Roman"/>
        </w:rPr>
        <w:t>(Calluso et al., 2015; Dutilh &amp; Rieskamp, 2016; Fontanesi et al., 2019; Polanía et al., 2014)</w:t>
      </w:r>
      <w:r w:rsidR="00E10AA5">
        <w:rPr>
          <w:rFonts w:ascii="Times New Roman" w:hAnsi="Times New Roman" w:cs="Times New Roman"/>
        </w:rPr>
        <w:fldChar w:fldCharType="end"/>
      </w:r>
      <w:r w:rsidR="00ED785E">
        <w:rPr>
          <w:rFonts w:ascii="Times New Roman" w:hAnsi="Times New Roman" w:cs="Times New Roman"/>
        </w:rPr>
        <w:t xml:space="preserve"> </w:t>
      </w:r>
      <w:r w:rsidRPr="00954D34">
        <w:rPr>
          <w:rFonts w:ascii="Times New Roman" w:hAnsi="Times New Roman" w:cs="Times New Roman"/>
        </w:rPr>
        <w:t xml:space="preserve">and confirms that the way that participants were responding to the stimuli during the VBDM task and </w:t>
      </w:r>
      <w:proofErr w:type="spellStart"/>
      <w:r w:rsidRPr="00954D34">
        <w:rPr>
          <w:rFonts w:ascii="Times New Roman" w:hAnsi="Times New Roman" w:cs="Times New Roman"/>
        </w:rPr>
        <w:t>MouseTracker</w:t>
      </w:r>
      <w:proofErr w:type="spellEnd"/>
      <w:r w:rsidRPr="00954D34">
        <w:rPr>
          <w:rFonts w:ascii="Times New Roman" w:hAnsi="Times New Roman" w:cs="Times New Roman"/>
        </w:rPr>
        <w:t xml:space="preserve"> task was compatible with the value judgments that they had made about those stimuli during the image-rating phase. </w:t>
      </w:r>
    </w:p>
    <w:p w14:paraId="3F8FAE66" w14:textId="77777777" w:rsidR="00954D34" w:rsidRPr="00954D34" w:rsidRDefault="00954D34" w:rsidP="00954D34">
      <w:pPr>
        <w:pStyle w:val="NoSpacing"/>
        <w:spacing w:line="480" w:lineRule="auto"/>
        <w:rPr>
          <w:rFonts w:ascii="Times New Roman" w:hAnsi="Times New Roman" w:cs="Times New Roman"/>
        </w:rPr>
      </w:pPr>
    </w:p>
    <w:p w14:paraId="06224A96" w14:textId="431FB65E" w:rsidR="00954D34" w:rsidRPr="00954D34" w:rsidRDefault="00954D34" w:rsidP="00954D34">
      <w:pPr>
        <w:pStyle w:val="NoSpacing"/>
        <w:spacing w:line="480" w:lineRule="auto"/>
        <w:rPr>
          <w:rFonts w:ascii="Times New Roman" w:hAnsi="Times New Roman" w:cs="Times New Roman"/>
        </w:rPr>
      </w:pPr>
      <w:r w:rsidRPr="00954D34">
        <w:rPr>
          <w:rFonts w:ascii="Times New Roman" w:hAnsi="Times New Roman" w:cs="Times New Roman"/>
        </w:rPr>
        <w:t xml:space="preserve">Our study has some strengths; the use of DDM has considerable statistical power gains and benefits when comparing two groups (Stafford et al., 2020). However, there are also some important limitations. Firstly, given the cross-sectional nature of the data, it is not possible to establish any causal relationships between the VBDM parameters, addiction, and recovery </w:t>
      </w:r>
      <w:r w:rsidRPr="00954D34">
        <w:rPr>
          <w:rFonts w:ascii="Times New Roman" w:hAnsi="Times New Roman" w:cs="Times New Roman"/>
        </w:rPr>
        <w:lastRenderedPageBreak/>
        <w:t xml:space="preserve">from it. Secondly, although </w:t>
      </w:r>
      <w:proofErr w:type="spellStart"/>
      <w:r w:rsidRPr="00954D34">
        <w:rPr>
          <w:rFonts w:ascii="Times New Roman" w:hAnsi="Times New Roman" w:cs="Times New Roman"/>
        </w:rPr>
        <w:t>Athamneh</w:t>
      </w:r>
      <w:proofErr w:type="spellEnd"/>
      <w:r w:rsidRPr="00954D34">
        <w:rPr>
          <w:rFonts w:ascii="Times New Roman" w:hAnsi="Times New Roman" w:cs="Times New Roman"/>
        </w:rPr>
        <w:t xml:space="preserve"> et al. (2019) found breakpoint to be a reliable index of tobacco demand, more recently González-Roz et al. (2021) contested this, instead postulating that this is an unreliable index of demand. Furthermore, the measure of breakpoint in the current study entails price points directly translated from the Brief Assessment of Alcohol Demand (Owens et al., 2015) despite differences in the typical cost of a single alcoholic beverage versus a single cigarette (see Appendix F for price points). Self-report demand within this </w:t>
      </w:r>
      <w:r w:rsidR="00ED785E">
        <w:rPr>
          <w:rFonts w:ascii="Times New Roman" w:hAnsi="Times New Roman" w:cs="Times New Roman"/>
        </w:rPr>
        <w:t xml:space="preserve">Chapter </w:t>
      </w:r>
      <w:r w:rsidRPr="00954D34">
        <w:rPr>
          <w:rFonts w:ascii="Times New Roman" w:hAnsi="Times New Roman" w:cs="Times New Roman"/>
        </w:rPr>
        <w:t xml:space="preserve">should therefore be interpreted cautiously. Finally, although the recruitment criterion of smoking at least 1 cigarette per day has been used in previous research (Hogarth et al., 2015) and increased the pool of eligible participants for the present study, this may have inadvertently resulted in a sample that are relatively low in dependence. As a result, the strength of contrast between current smoker and ex-smoker may have been weak.  </w:t>
      </w:r>
    </w:p>
    <w:p w14:paraId="6C941390" w14:textId="77777777" w:rsidR="00954D34" w:rsidRPr="00954D34" w:rsidRDefault="00954D34" w:rsidP="00954D34">
      <w:pPr>
        <w:pStyle w:val="NoSpacing"/>
        <w:spacing w:line="480" w:lineRule="auto"/>
        <w:rPr>
          <w:rFonts w:ascii="Times New Roman" w:hAnsi="Times New Roman" w:cs="Times New Roman"/>
        </w:rPr>
      </w:pPr>
    </w:p>
    <w:p w14:paraId="07BF6890" w14:textId="38424653" w:rsidR="00954D34" w:rsidRPr="00954D34" w:rsidRDefault="00954D34" w:rsidP="00ED785E">
      <w:pPr>
        <w:pStyle w:val="NoSpacing"/>
        <w:spacing w:line="480" w:lineRule="auto"/>
        <w:rPr>
          <w:rFonts w:ascii="Times New Roman" w:hAnsi="Times New Roman" w:cs="Times New Roman"/>
        </w:rPr>
      </w:pPr>
      <w:r w:rsidRPr="00954D34">
        <w:rPr>
          <w:rFonts w:ascii="Times New Roman" w:hAnsi="Times New Roman" w:cs="Times New Roman"/>
        </w:rPr>
        <w:t xml:space="preserve">To address these limitations, future studies could set a minimum threshold of smoking at least 10 cigarettes per day (see Lawn et al., 2019) in order to recruit a sample that are higher in dependence to contrast to people who are abstinent. Furthermore, longitudinal designs (e.g., following a person from early recovery and forward in time) will provide insight into the casual relationships between variables captured in the present study. Furthermore, mixed-methods approaches that integrate qualitative techniques alongside computational modelling may be useful to better understand what the parameters are reflecting from an individual perspective (we make some suggestions about what the increased response thresholds in ex-smokers represent in the current study, but these remain speculative). Interestingly, a recent study raised a similar question by speculating on whether response thresholds (the decision parameter that reflects response caution) correlate to self-reported impulsivity, finding no evidence that the two are correlated </w:t>
      </w:r>
      <w:r w:rsidR="00ED785E">
        <w:rPr>
          <w:rFonts w:ascii="Times New Roman" w:hAnsi="Times New Roman" w:cs="Times New Roman"/>
        </w:rPr>
        <w:fldChar w:fldCharType="begin"/>
      </w:r>
      <w:r w:rsidR="00ED785E">
        <w:rPr>
          <w:rFonts w:ascii="Times New Roman" w:hAnsi="Times New Roman" w:cs="Times New Roman"/>
        </w:rPr>
        <w:instrText xml:space="preserve"> ADDIN ZOTERO_ITEM CSL_CITATION {"citationID":"nfS6nb21","properties":{"formattedCitation":"(Hedge et al., 2020)","plainCitation":"(Hedge et al., 2020)","noteIndex":0},"citationItems":[{"id":1628,"uris":["http://zotero.org/users/7873587/items/I9E2ZDDM"],"itemData":{"id":1628,"type":"article-journal","abstract":"The broad construct of impulsivity is one that spans both personality and cognitive ability. Despite a common overarching construct, previous research has found no relationship between self-report measures of impulsivity and people's ability to inhibit pre-potent responses. Here, we use evidence accumulation models of choice reaction time tasks to extract a measure of \"response caution\" (boundary separation) and examine whether this correlates with self-reported impulsivity as measured by the UPPS-P questionnaire. Response caution reflects whether an individual makes decisions based on more (favouring accuracy) or less (favouring speed) evidence. We reasoned that this strategic dimension of behaviour is conceptually closer to the tendencies that self-report impulsivity measures probe than what is traditional measured by inhibition tasks. In a meta-analysis of five datasets (total N = 296), encompassing 19 correlations per subscale, we observe no evidence that response caution correlates with self-reported impulsivity. Average correlations between response caution and UPPS-P subscales ranged from rho = -0.02 to -0.04. While the construct of response caution has demonstrated value in understanding individual differences in cognition, brain functioning and aging; the factors underlying what has been called \"impulsive information processing\" appear to be distinct from the concept of impulsivity derived from self-report.","container-title":"Personality and Individual Differences","DOI":"10.1016/j.paid.2020.110257","ISSN":"0191-8869","journalAbbreviation":"Pers Individ Dif","language":"eng","note":"PMID: 33273749\nPMCID: PMC7457714","page":"110257","source":"PubMed","title":"Self-reported impulsivity does not predict response caution","volume":"167","author":[{"family":"Hedge","given":"Craig"},{"family":"Powell","given":"Georgina"},{"family":"Bompas","given":"Aline"},{"family":"Sumner","given":"Petroc"}],"issued":{"date-parts":[["2020",12,1]]}}}],"schema":"https://github.com/citation-style-language/schema/raw/master/csl-citation.json"} </w:instrText>
      </w:r>
      <w:r w:rsidR="00ED785E">
        <w:rPr>
          <w:rFonts w:ascii="Times New Roman" w:hAnsi="Times New Roman" w:cs="Times New Roman"/>
        </w:rPr>
        <w:fldChar w:fldCharType="separate"/>
      </w:r>
      <w:r w:rsidR="00ED785E" w:rsidRPr="00ED785E">
        <w:rPr>
          <w:rFonts w:ascii="Times New Roman" w:hAnsi="Times New Roman" w:cs="Times New Roman"/>
        </w:rPr>
        <w:t>(Hedge et al., 2020)</w:t>
      </w:r>
      <w:r w:rsidR="00ED785E">
        <w:rPr>
          <w:rFonts w:ascii="Times New Roman" w:hAnsi="Times New Roman" w:cs="Times New Roman"/>
        </w:rPr>
        <w:fldChar w:fldCharType="end"/>
      </w:r>
      <w:r w:rsidRPr="00954D34">
        <w:rPr>
          <w:rFonts w:ascii="Times New Roman" w:hAnsi="Times New Roman" w:cs="Times New Roman"/>
        </w:rPr>
        <w:t xml:space="preserve">. Future research in this area will </w:t>
      </w:r>
      <w:r w:rsidRPr="00954D34">
        <w:rPr>
          <w:rFonts w:ascii="Times New Roman" w:hAnsi="Times New Roman" w:cs="Times New Roman"/>
        </w:rPr>
        <w:lastRenderedPageBreak/>
        <w:t>contribute towards characterising the changes in decision-making that underlie recovery from addiction and help to identify novel targets for treatment.</w:t>
      </w:r>
    </w:p>
    <w:p w14:paraId="551B097E" w14:textId="77777777" w:rsidR="00954D34" w:rsidRPr="00954D34" w:rsidRDefault="00954D34" w:rsidP="00954D34">
      <w:pPr>
        <w:pStyle w:val="NoSpacing"/>
        <w:spacing w:line="480" w:lineRule="auto"/>
        <w:rPr>
          <w:rFonts w:ascii="Times New Roman" w:hAnsi="Times New Roman" w:cs="Times New Roman"/>
        </w:rPr>
      </w:pPr>
    </w:p>
    <w:p w14:paraId="094814EC" w14:textId="0A64E265" w:rsidR="00954D34" w:rsidRPr="00954D34" w:rsidRDefault="00954D34" w:rsidP="00ED785E">
      <w:pPr>
        <w:pStyle w:val="NoSpacing"/>
        <w:spacing w:line="480" w:lineRule="auto"/>
        <w:rPr>
          <w:rFonts w:ascii="Times New Roman" w:hAnsi="Times New Roman" w:cs="Times New Roman"/>
        </w:rPr>
      </w:pPr>
      <w:r w:rsidRPr="00954D34">
        <w:rPr>
          <w:rFonts w:ascii="Times New Roman" w:hAnsi="Times New Roman" w:cs="Times New Roman"/>
        </w:rPr>
        <w:t>To conclude, these findings contribute towards a novel insight into recovery from nicotine addiction. Our findings demonstrate that recovery was accompanied by increased cautiousness when making tobacco-related decisions, rather than decreased valuation of smoking. Therefore, this study provides partial support for the theoretical predictions put forward by</w:t>
      </w:r>
      <w:r w:rsidR="00ED785E">
        <w:rPr>
          <w:rFonts w:ascii="Times New Roman" w:hAnsi="Times New Roman" w:cs="Times New Roman"/>
        </w:rPr>
        <w:t xml:space="preserve"> </w:t>
      </w:r>
      <w:r w:rsidR="00ED785E">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{"citationID":"4Xs1At2W","properties":{"formattedCitation":"(Field,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ED785E">
        <w:rPr>
          <w:rFonts w:ascii="Times New Roman" w:hAnsi="Times New Roman" w:cs="Times New Roman"/>
        </w:rPr>
        <w:fldChar w:fldCharType="separate"/>
      </w:r>
      <w:r w:rsidR="00ED785E" w:rsidRPr="00ED785E">
        <w:rPr>
          <w:rFonts w:ascii="Times New Roman" w:hAnsi="Times New Roman" w:cs="Times New Roman"/>
        </w:rPr>
        <w:t xml:space="preserve">Field, Heather, et al. </w:t>
      </w:r>
      <w:r w:rsidR="00ED785E">
        <w:rPr>
          <w:rFonts w:ascii="Times New Roman" w:hAnsi="Times New Roman" w:cs="Times New Roman"/>
        </w:rPr>
        <w:t>(</w:t>
      </w:r>
      <w:r w:rsidR="00ED785E" w:rsidRPr="00ED785E">
        <w:rPr>
          <w:rFonts w:ascii="Times New Roman" w:hAnsi="Times New Roman" w:cs="Times New Roman"/>
        </w:rPr>
        <w:t>2020)</w:t>
      </w:r>
      <w:r w:rsidR="00ED785E">
        <w:rPr>
          <w:rFonts w:ascii="Times New Roman" w:hAnsi="Times New Roman" w:cs="Times New Roman"/>
        </w:rPr>
        <w:fldChar w:fldCharType="end"/>
      </w:r>
      <w:r w:rsidRPr="00954D34">
        <w:rPr>
          <w:rFonts w:ascii="Times New Roman" w:hAnsi="Times New Roman" w:cs="Times New Roman"/>
        </w:rPr>
        <w:t xml:space="preserve">. Although there were no differences in magnitude of conflict during decision-making, conflict resolution was quantified as dynamical in line with a VBDM approach rather than a dual-process approach. Alterations in substance-related response thresholds may be a core mechanism that underlies recovery and a novel target for treatment interventions. </w:t>
      </w:r>
    </w:p>
    <w:p w14:paraId="016F0527" w14:textId="77777777" w:rsidR="004D046A" w:rsidRPr="00883D0C" w:rsidRDefault="004D046A" w:rsidP="00954D34">
      <w:pPr>
        <w:pStyle w:val="NoSpacing"/>
        <w:spacing w:line="480" w:lineRule="auto"/>
        <w:rPr>
          <w:rFonts w:ascii="Times New Roman" w:hAnsi="Times New Roman" w:cs="Times New Roman"/>
        </w:rPr>
      </w:pPr>
    </w:p>
    <w:p w14:paraId="250A14D2" w14:textId="77777777" w:rsidR="00883D0C" w:rsidRPr="00883D0C" w:rsidRDefault="00883D0C" w:rsidP="00954D34">
      <w:pPr>
        <w:pStyle w:val="NoSpacing"/>
        <w:spacing w:line="480" w:lineRule="auto"/>
        <w:rPr>
          <w:rFonts w:ascii="Times New Roman" w:hAnsi="Times New Roman" w:cs="Times New Roman"/>
        </w:rPr>
      </w:pPr>
    </w:p>
    <w:p w14:paraId="197D4613" w14:textId="35CAC954" w:rsidR="00093B56" w:rsidRDefault="00093B56" w:rsidP="004D046A">
      <w:pPr>
        <w:pStyle w:val="NoSpacing"/>
        <w:spacing w:line="480" w:lineRule="auto"/>
      </w:pPr>
    </w:p>
    <w:p w14:paraId="3F9A5F7A" w14:textId="204D9B7F" w:rsidR="0067750A" w:rsidRDefault="0067750A" w:rsidP="00093B56">
      <w:pPr>
        <w:pStyle w:val="NoSpacing"/>
      </w:pPr>
    </w:p>
    <w:p w14:paraId="5C53183F" w14:textId="7AD6232B" w:rsidR="0067750A" w:rsidRDefault="0067750A" w:rsidP="00093B56">
      <w:pPr>
        <w:pStyle w:val="NoSpacing"/>
      </w:pPr>
    </w:p>
    <w:p w14:paraId="0410133F" w14:textId="77BF1DA4" w:rsidR="0067750A" w:rsidRDefault="0067750A" w:rsidP="00093B56">
      <w:pPr>
        <w:pStyle w:val="NoSpacing"/>
      </w:pPr>
    </w:p>
    <w:p w14:paraId="79E120E6" w14:textId="4CB80F5D" w:rsidR="0067750A" w:rsidRDefault="0067750A" w:rsidP="00093B56">
      <w:pPr>
        <w:pStyle w:val="NoSpacing"/>
      </w:pPr>
    </w:p>
    <w:p w14:paraId="4C324DB5" w14:textId="40DBFA50" w:rsidR="0067750A" w:rsidRDefault="0067750A" w:rsidP="00093B56">
      <w:pPr>
        <w:pStyle w:val="NoSpacing"/>
      </w:pPr>
    </w:p>
    <w:p w14:paraId="521E9592" w14:textId="7A5CD8F4" w:rsidR="0067750A" w:rsidRDefault="0067750A" w:rsidP="00093B56">
      <w:pPr>
        <w:pStyle w:val="NoSpacing"/>
      </w:pPr>
    </w:p>
    <w:p w14:paraId="56FBFD74" w14:textId="1C372BE0" w:rsidR="0067750A" w:rsidRDefault="0067750A" w:rsidP="00093B56">
      <w:pPr>
        <w:pStyle w:val="NoSpacing"/>
      </w:pPr>
    </w:p>
    <w:p w14:paraId="0B9AF6F6" w14:textId="5300F2E3" w:rsidR="0067750A" w:rsidRDefault="0067750A" w:rsidP="00093B56">
      <w:pPr>
        <w:pStyle w:val="NoSpacing"/>
      </w:pPr>
    </w:p>
    <w:p w14:paraId="6672DF28" w14:textId="77777777" w:rsidR="0067750A" w:rsidRDefault="0067750A" w:rsidP="00093B56">
      <w:pPr>
        <w:pStyle w:val="NoSpacing"/>
      </w:pPr>
    </w:p>
    <w:p w14:paraId="791766F5" w14:textId="11D5C702" w:rsidR="00093B56" w:rsidRDefault="00093B56" w:rsidP="00093B56">
      <w:pPr>
        <w:pStyle w:val="NoSpacing"/>
      </w:pPr>
    </w:p>
    <w:p w14:paraId="514050E5" w14:textId="2B6C51BC" w:rsidR="00093B56" w:rsidRDefault="00093B56" w:rsidP="00093B56">
      <w:pPr>
        <w:pStyle w:val="NoSpacing"/>
      </w:pPr>
    </w:p>
    <w:p w14:paraId="75886C64" w14:textId="0DB32308" w:rsidR="00093B56" w:rsidRDefault="00093B56" w:rsidP="00093B56">
      <w:pPr>
        <w:pStyle w:val="NoSpacing"/>
      </w:pPr>
    </w:p>
    <w:p w14:paraId="2C539032" w14:textId="1CCFA10A" w:rsidR="00093B56" w:rsidRDefault="00093B56" w:rsidP="00093B56">
      <w:pPr>
        <w:pStyle w:val="NoSpacing"/>
      </w:pPr>
    </w:p>
    <w:p w14:paraId="6461AC0F" w14:textId="010CAAE2" w:rsidR="00093B56" w:rsidRDefault="00093B56" w:rsidP="00093B56">
      <w:pPr>
        <w:pStyle w:val="NoSpacing"/>
      </w:pPr>
    </w:p>
    <w:p w14:paraId="5E045260" w14:textId="66D92881" w:rsidR="0067750A" w:rsidRDefault="0067750A" w:rsidP="00093B56">
      <w:pPr>
        <w:pStyle w:val="NoSpacing"/>
      </w:pPr>
    </w:p>
    <w:p w14:paraId="2D82EBC8" w14:textId="129C31B9" w:rsidR="00093B56" w:rsidRDefault="00093B56" w:rsidP="00093B56">
      <w:pPr>
        <w:pStyle w:val="NoSpacing"/>
      </w:pPr>
    </w:p>
    <w:p w14:paraId="0D2C466D" w14:textId="76966A42" w:rsidR="00093B56" w:rsidRDefault="00093B56" w:rsidP="00093B56">
      <w:pPr>
        <w:pStyle w:val="NoSpacing"/>
      </w:pPr>
    </w:p>
    <w:p w14:paraId="03775BB1" w14:textId="15055691" w:rsidR="00093B56" w:rsidRDefault="00093B56" w:rsidP="00093B56">
      <w:pPr>
        <w:pStyle w:val="NoSpacing"/>
      </w:pPr>
    </w:p>
    <w:p w14:paraId="08D6B42C" w14:textId="77777777" w:rsidR="00093B56" w:rsidRDefault="00093B56" w:rsidP="00093B56">
      <w:pPr>
        <w:pStyle w:val="NoSpacing"/>
      </w:pPr>
    </w:p>
    <w:p w14:paraId="0F01C4CD" w14:textId="4A3BDE0D" w:rsidR="00093B56" w:rsidRPr="00786365" w:rsidRDefault="00093B56" w:rsidP="00107EBB">
      <w:pPr>
        <w:pStyle w:val="Heading1"/>
      </w:pPr>
      <w:bookmarkStart w:id="323" w:name="_Toc109911336"/>
      <w:bookmarkStart w:id="324" w:name="_Toc110612739"/>
      <w:bookmarkStart w:id="325" w:name="_Toc110629079"/>
      <w:bookmarkStart w:id="326" w:name="_Toc110870987"/>
      <w:r w:rsidRPr="00786365">
        <w:lastRenderedPageBreak/>
        <w:t xml:space="preserve">Chapter 8: General </w:t>
      </w:r>
      <w:r w:rsidR="00B1635A">
        <w:t>d</w:t>
      </w:r>
      <w:r w:rsidRPr="00786365">
        <w:t>iscussion</w:t>
      </w:r>
      <w:bookmarkEnd w:id="323"/>
      <w:bookmarkEnd w:id="324"/>
      <w:bookmarkEnd w:id="325"/>
      <w:bookmarkEnd w:id="326"/>
    </w:p>
    <w:p w14:paraId="5FB0FD51" w14:textId="17DF930A" w:rsidR="00093B56" w:rsidRPr="00786365" w:rsidRDefault="00786365" w:rsidP="00786365">
      <w:pPr>
        <w:pStyle w:val="NoSpacing"/>
        <w:spacing w:line="480" w:lineRule="auto"/>
        <w:rPr>
          <w:rFonts w:ascii="Times New Roman" w:hAnsi="Times New Roman" w:cs="Times New Roman"/>
        </w:rPr>
      </w:pPr>
      <w:r w:rsidRPr="00786365">
        <w:rPr>
          <w:rFonts w:ascii="Times New Roman" w:hAnsi="Times New Roman" w:cs="Times New Roman"/>
          <w:b/>
          <w:bCs/>
        </w:rPr>
        <w:t>Contributions:</w:t>
      </w:r>
      <w:r w:rsidRPr="00786365">
        <w:rPr>
          <w:rFonts w:ascii="Times New Roman" w:hAnsi="Times New Roman" w:cs="Times New Roman"/>
        </w:rPr>
        <w:t xml:space="preserve"> I wrote the Chapter. Matt Field and Tom Stafford (primary supervisors) provided feedback on the draft.</w:t>
      </w:r>
    </w:p>
    <w:p w14:paraId="3CB71F7E" w14:textId="09217037" w:rsidR="00093B56" w:rsidRDefault="00093B56" w:rsidP="00786365">
      <w:pPr>
        <w:pStyle w:val="NoSpacing"/>
        <w:spacing w:line="480" w:lineRule="auto"/>
        <w:rPr>
          <w:rFonts w:ascii="Times New Roman" w:hAnsi="Times New Roman" w:cs="Times New Roman"/>
        </w:rPr>
      </w:pPr>
    </w:p>
    <w:p w14:paraId="62DA971D" w14:textId="76E42905" w:rsidR="00786365" w:rsidRDefault="00786365" w:rsidP="00786365">
      <w:pPr>
        <w:pStyle w:val="NoSpacing"/>
        <w:spacing w:line="480" w:lineRule="auto"/>
        <w:rPr>
          <w:rFonts w:ascii="Times New Roman" w:hAnsi="Times New Roman" w:cs="Times New Roman"/>
        </w:rPr>
      </w:pPr>
    </w:p>
    <w:p w14:paraId="2A069DD4" w14:textId="5AE18EFA" w:rsidR="00786365" w:rsidRDefault="00786365" w:rsidP="00786365">
      <w:pPr>
        <w:pStyle w:val="NoSpacing"/>
        <w:spacing w:line="480" w:lineRule="auto"/>
        <w:rPr>
          <w:rFonts w:ascii="Times New Roman" w:hAnsi="Times New Roman" w:cs="Times New Roman"/>
        </w:rPr>
      </w:pPr>
    </w:p>
    <w:p w14:paraId="1A36F92B" w14:textId="4A01B31F" w:rsidR="00786365" w:rsidRDefault="00786365" w:rsidP="00786365">
      <w:pPr>
        <w:pStyle w:val="NoSpacing"/>
        <w:spacing w:line="480" w:lineRule="auto"/>
        <w:rPr>
          <w:rFonts w:ascii="Times New Roman" w:hAnsi="Times New Roman" w:cs="Times New Roman"/>
        </w:rPr>
      </w:pPr>
    </w:p>
    <w:p w14:paraId="3E41978F" w14:textId="756026FB" w:rsidR="00786365" w:rsidRDefault="00786365" w:rsidP="00786365">
      <w:pPr>
        <w:pStyle w:val="NoSpacing"/>
        <w:spacing w:line="480" w:lineRule="auto"/>
        <w:rPr>
          <w:rFonts w:ascii="Times New Roman" w:hAnsi="Times New Roman" w:cs="Times New Roman"/>
        </w:rPr>
      </w:pPr>
    </w:p>
    <w:p w14:paraId="04C469D1" w14:textId="7E1C2980" w:rsidR="00786365" w:rsidRDefault="00786365" w:rsidP="00786365">
      <w:pPr>
        <w:pStyle w:val="NoSpacing"/>
        <w:spacing w:line="480" w:lineRule="auto"/>
        <w:rPr>
          <w:rFonts w:ascii="Times New Roman" w:hAnsi="Times New Roman" w:cs="Times New Roman"/>
        </w:rPr>
      </w:pPr>
    </w:p>
    <w:p w14:paraId="197104A5" w14:textId="1FCBEC36" w:rsidR="00786365" w:rsidRDefault="00786365" w:rsidP="00786365">
      <w:pPr>
        <w:pStyle w:val="NoSpacing"/>
        <w:spacing w:line="480" w:lineRule="auto"/>
        <w:rPr>
          <w:rFonts w:ascii="Times New Roman" w:hAnsi="Times New Roman" w:cs="Times New Roman"/>
        </w:rPr>
      </w:pPr>
    </w:p>
    <w:p w14:paraId="6D3184EB" w14:textId="77777777" w:rsidR="00786365" w:rsidRPr="00786365" w:rsidRDefault="00786365" w:rsidP="00786365">
      <w:pPr>
        <w:pStyle w:val="NoSpacing"/>
        <w:spacing w:line="480" w:lineRule="auto"/>
        <w:rPr>
          <w:rFonts w:ascii="Times New Roman" w:hAnsi="Times New Roman" w:cs="Times New Roman"/>
        </w:rPr>
      </w:pPr>
    </w:p>
    <w:p w14:paraId="268B4793" w14:textId="4845A9B2" w:rsidR="00093B56" w:rsidRDefault="00093B56" w:rsidP="00093B56">
      <w:pPr>
        <w:pStyle w:val="NoSpacing"/>
      </w:pPr>
    </w:p>
    <w:p w14:paraId="338BDC98" w14:textId="179A7F46" w:rsidR="00093B56" w:rsidRDefault="00093B56" w:rsidP="00093B56">
      <w:pPr>
        <w:pStyle w:val="NoSpacing"/>
      </w:pPr>
    </w:p>
    <w:p w14:paraId="1D1161EB" w14:textId="3EE644C5" w:rsidR="00093B56" w:rsidRDefault="00093B56" w:rsidP="00093B56">
      <w:pPr>
        <w:pStyle w:val="NoSpacing"/>
      </w:pPr>
    </w:p>
    <w:p w14:paraId="22E90F96" w14:textId="6207B50C" w:rsidR="00093B56" w:rsidRDefault="00093B56" w:rsidP="00093B56">
      <w:pPr>
        <w:pStyle w:val="NoSpacing"/>
      </w:pPr>
    </w:p>
    <w:p w14:paraId="5CB9791B" w14:textId="5267E24A" w:rsidR="00093B56" w:rsidRDefault="00093B56" w:rsidP="00093B56">
      <w:pPr>
        <w:pStyle w:val="NoSpacing"/>
      </w:pPr>
    </w:p>
    <w:p w14:paraId="766116C8" w14:textId="05B3F810" w:rsidR="00093B56" w:rsidRDefault="00093B56" w:rsidP="00093B56">
      <w:pPr>
        <w:pStyle w:val="NoSpacing"/>
      </w:pPr>
    </w:p>
    <w:p w14:paraId="64402599" w14:textId="0BEF49BC" w:rsidR="00093B56" w:rsidRDefault="00093B56" w:rsidP="00093B56">
      <w:pPr>
        <w:pStyle w:val="NoSpacing"/>
      </w:pPr>
    </w:p>
    <w:p w14:paraId="75EC5B07" w14:textId="076D226B" w:rsidR="00093B56" w:rsidRDefault="00093B56" w:rsidP="00093B56">
      <w:pPr>
        <w:pStyle w:val="NoSpacing"/>
      </w:pPr>
    </w:p>
    <w:p w14:paraId="00CE148E" w14:textId="7CF7291B" w:rsidR="00093B56" w:rsidRDefault="00093B56" w:rsidP="00093B56">
      <w:pPr>
        <w:pStyle w:val="NoSpacing"/>
      </w:pPr>
    </w:p>
    <w:p w14:paraId="30F0E061" w14:textId="23DCBA17" w:rsidR="00093B56" w:rsidRDefault="00093B56" w:rsidP="00093B56">
      <w:pPr>
        <w:pStyle w:val="NoSpacing"/>
      </w:pPr>
    </w:p>
    <w:p w14:paraId="65DBB774" w14:textId="3919D8B3" w:rsidR="00093B56" w:rsidRDefault="00093B56" w:rsidP="00093B56">
      <w:pPr>
        <w:pStyle w:val="NoSpacing"/>
      </w:pPr>
    </w:p>
    <w:p w14:paraId="2F9B12A9" w14:textId="6B27A9BF" w:rsidR="00093B56" w:rsidRDefault="00093B56" w:rsidP="00093B56">
      <w:pPr>
        <w:pStyle w:val="NoSpacing"/>
      </w:pPr>
    </w:p>
    <w:p w14:paraId="6BA7E1BF" w14:textId="228C42D1" w:rsidR="00093B56" w:rsidRDefault="00093B56" w:rsidP="00093B56">
      <w:pPr>
        <w:pStyle w:val="NoSpacing"/>
      </w:pPr>
    </w:p>
    <w:p w14:paraId="79EC0B16" w14:textId="6F724FEA" w:rsidR="00093B56" w:rsidRDefault="00093B56" w:rsidP="00093B56">
      <w:pPr>
        <w:pStyle w:val="NoSpacing"/>
      </w:pPr>
    </w:p>
    <w:p w14:paraId="0F70A6D7" w14:textId="6FBD500F" w:rsidR="00093B56" w:rsidRDefault="00093B56" w:rsidP="00093B56">
      <w:pPr>
        <w:pStyle w:val="NoSpacing"/>
      </w:pPr>
    </w:p>
    <w:p w14:paraId="4CB53401" w14:textId="5E98DB36" w:rsidR="00093B56" w:rsidRDefault="00093B56" w:rsidP="00093B56">
      <w:pPr>
        <w:pStyle w:val="NoSpacing"/>
      </w:pPr>
    </w:p>
    <w:p w14:paraId="291E8015" w14:textId="12247AD3" w:rsidR="00093B56" w:rsidRDefault="00093B56" w:rsidP="00093B56">
      <w:pPr>
        <w:pStyle w:val="NoSpacing"/>
      </w:pPr>
    </w:p>
    <w:p w14:paraId="1C88B849" w14:textId="441294DF" w:rsidR="00093B56" w:rsidRDefault="00093B56" w:rsidP="00093B56">
      <w:pPr>
        <w:pStyle w:val="NoSpacing"/>
      </w:pPr>
    </w:p>
    <w:p w14:paraId="17E60C60" w14:textId="6F757EC9" w:rsidR="00093B56" w:rsidRDefault="00093B56" w:rsidP="00093B56">
      <w:pPr>
        <w:pStyle w:val="NoSpacing"/>
      </w:pPr>
    </w:p>
    <w:p w14:paraId="098DE2E7" w14:textId="23467164" w:rsidR="00093B56" w:rsidRDefault="00093B56" w:rsidP="00093B56">
      <w:pPr>
        <w:pStyle w:val="NoSpacing"/>
      </w:pPr>
    </w:p>
    <w:p w14:paraId="6078C904" w14:textId="14C4876E" w:rsidR="00093B56" w:rsidRDefault="00093B56" w:rsidP="00093B56">
      <w:pPr>
        <w:pStyle w:val="NoSpacing"/>
      </w:pPr>
    </w:p>
    <w:p w14:paraId="528C4CCB" w14:textId="6B6AECAC" w:rsidR="00093B56" w:rsidRDefault="00093B56" w:rsidP="00093B56">
      <w:pPr>
        <w:pStyle w:val="NoSpacing"/>
      </w:pPr>
    </w:p>
    <w:p w14:paraId="00067607" w14:textId="12EAA19E" w:rsidR="00093B56" w:rsidRDefault="00093B56" w:rsidP="00093B56">
      <w:pPr>
        <w:pStyle w:val="NoSpacing"/>
      </w:pPr>
    </w:p>
    <w:p w14:paraId="4E46F148" w14:textId="12A33836" w:rsidR="00093B56" w:rsidRDefault="00093B56" w:rsidP="00093B56">
      <w:pPr>
        <w:pStyle w:val="NoSpacing"/>
      </w:pPr>
    </w:p>
    <w:p w14:paraId="1AB023D8" w14:textId="725BE018" w:rsidR="00093B56" w:rsidRDefault="00093B56" w:rsidP="00093B56">
      <w:pPr>
        <w:pStyle w:val="NoSpacing"/>
      </w:pPr>
    </w:p>
    <w:p w14:paraId="49B0F5A0" w14:textId="24CBCD2C" w:rsidR="00093B56" w:rsidRDefault="00093B56" w:rsidP="00093B56">
      <w:pPr>
        <w:pStyle w:val="NoSpacing"/>
      </w:pPr>
    </w:p>
    <w:p w14:paraId="3423A335" w14:textId="19C0BB70" w:rsidR="00786365" w:rsidRDefault="00786365" w:rsidP="00762442">
      <w:pPr>
        <w:pStyle w:val="NoSpacing"/>
        <w:spacing w:line="480" w:lineRule="auto"/>
        <w:rPr>
          <w:rFonts w:ascii="Times New Roman" w:hAnsi="Times New Roman" w:cs="Times New Roman"/>
        </w:rPr>
      </w:pPr>
      <w:r w:rsidRPr="00786365">
        <w:rPr>
          <w:rFonts w:ascii="Times New Roman" w:hAnsi="Times New Roman" w:cs="Times New Roman"/>
        </w:rPr>
        <w:lastRenderedPageBreak/>
        <w:t xml:space="preserve">This thesis had two overarching aims; the first aim was to develop a decision-making task that can be used in addiction-related research to recover decision parameters that reflect the underlying processes of value-based choice (e.g., evidence accumulation (EA) rates and response thresholds). The second aim was to empirically test predictions from recent conceptual accounts </w:t>
      </w:r>
      <w:r w:rsidR="001C0CC8">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{"citationID":"YWf7ac4d","properties":{"formattedCitation":"(Copeland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sidR="001C0CC8">
        <w:rPr>
          <w:rFonts w:ascii="Times New Roman" w:hAnsi="Times New Roman" w:cs="Times New Roman"/>
        </w:rPr>
        <w:fldChar w:fldCharType="separate"/>
      </w:r>
      <w:r w:rsidR="001C0CC8">
        <w:rPr>
          <w:rFonts w:ascii="Times New Roman" w:hAnsi="Times New Roman" w:cs="Times New Roman"/>
          <w:noProof/>
        </w:rPr>
        <w:t>(Copeland et al., 2021; Field, Heather, et al., 2020)</w:t>
      </w:r>
      <w:r w:rsidR="001C0CC8">
        <w:rPr>
          <w:rFonts w:ascii="Times New Roman" w:hAnsi="Times New Roman" w:cs="Times New Roman"/>
        </w:rPr>
        <w:fldChar w:fldCharType="end"/>
      </w:r>
      <w:r w:rsidRPr="00786365">
        <w:rPr>
          <w:rFonts w:ascii="Times New Roman" w:hAnsi="Times New Roman" w:cs="Times New Roman"/>
        </w:rPr>
        <w:t xml:space="preserve"> by exploring whether decision parameters recovered from the task are sensitive to experimental manipulations of substance value and whether they characterise stable behaviour change and recovery from addiction. In this chapter I will firstly provide a summary of the main findings from the six empirical studies presented in the thesis before discussing the theoretical, methodological, and clinical implications. I will then discuss the strengths and limitations of the research. Finally, I will discuss avenues for future research before providing a final conclusion.</w:t>
      </w:r>
    </w:p>
    <w:p w14:paraId="523D4F9E" w14:textId="77777777" w:rsidR="001C0CC8" w:rsidRDefault="001C0CC8" w:rsidP="00762442">
      <w:pPr>
        <w:pStyle w:val="NoSpacing"/>
        <w:spacing w:line="480" w:lineRule="auto"/>
        <w:rPr>
          <w:rFonts w:ascii="Times New Roman" w:hAnsi="Times New Roman" w:cs="Times New Roman"/>
        </w:rPr>
      </w:pPr>
    </w:p>
    <w:p w14:paraId="78382034" w14:textId="4FA0D971" w:rsidR="00786365" w:rsidRDefault="00786365" w:rsidP="00762442">
      <w:pPr>
        <w:pStyle w:val="Heading2"/>
      </w:pPr>
      <w:bookmarkStart w:id="327" w:name="_Toc110612740"/>
      <w:bookmarkStart w:id="328" w:name="_Toc110629080"/>
      <w:bookmarkStart w:id="329" w:name="_Toc110870988"/>
      <w:r w:rsidRPr="00786365">
        <w:t>8.1</w:t>
      </w:r>
      <w:r w:rsidR="00403E7C">
        <w:t>.</w:t>
      </w:r>
      <w:r w:rsidRPr="00786365">
        <w:t xml:space="preserve"> Summary of main findings</w:t>
      </w:r>
      <w:bookmarkEnd w:id="327"/>
      <w:bookmarkEnd w:id="328"/>
      <w:bookmarkEnd w:id="329"/>
    </w:p>
    <w:p w14:paraId="49C91CAD" w14:textId="77777777"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In Chapter 2 (online study), I investigated whether the association between meaning in life and AUDIT scores (alcohol use and related problems) can be explained via individual differences in alcohol value, reinforcement derived from alcohol-free activities, depressive symptoms, and drinking to cope. This chapter extended upon my master’s thesis (Copeland et al., 2020) by incorporating a behavioural economic measure of alcohol-free reinforcement alongside alcohol value. Results demonstrated that presence of meaning in life predicted lower AUDIT scores indirectly via lower alcohol value and drinking to cope. This was an online survey, and these findings therefore highlight the importance of alcohol value from a self-report perspective.</w:t>
      </w:r>
    </w:p>
    <w:p w14:paraId="435E0379" w14:textId="77777777" w:rsidR="001C0CC8" w:rsidRPr="001C0CC8" w:rsidRDefault="001C0CC8" w:rsidP="00762442">
      <w:pPr>
        <w:pStyle w:val="NoSpacing"/>
        <w:spacing w:line="480" w:lineRule="auto"/>
        <w:rPr>
          <w:rFonts w:ascii="Times New Roman" w:hAnsi="Times New Roman" w:cs="Times New Roman"/>
        </w:rPr>
      </w:pPr>
    </w:p>
    <w:p w14:paraId="08B7FEA5" w14:textId="77777777"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 xml:space="preserve">Following these results, in Chapter 3 (online study) I developed a value-based decision-making (VBDM) task to explore valuation processes from a behavioural perspective. In this </w:t>
      </w:r>
      <w:r w:rsidRPr="001C0CC8">
        <w:rPr>
          <w:rFonts w:ascii="Times New Roman" w:hAnsi="Times New Roman" w:cs="Times New Roman"/>
        </w:rPr>
        <w:lastRenderedPageBreak/>
        <w:t>chapter, I investigated how robust the task was to minor alterations in trial wording with the aim being to identify appropriate methodology for use in addiction-related research. After comparing participants’ EA rates (i.e., their rate of value evidence accumulation) across blocks of trials, results showed that differences in EA rates (sensitivity to whether trials are easy, medium, or hard determined by participants own value ratings) were equivalent across the variations of trial wording. Therefore, variations of trial wording which do not explicitly ask about consumption (i.e., “gold-standard” wording) may still effectively capture value-based choice. This study provided initial validation of alternative trial wording that can be implemented in future research exploring VBDM, addiction and recovery from it.</w:t>
      </w:r>
    </w:p>
    <w:p w14:paraId="15B0B093" w14:textId="77777777" w:rsidR="001C0CC8" w:rsidRPr="001C0CC8" w:rsidRDefault="001C0CC8" w:rsidP="00762442">
      <w:pPr>
        <w:pStyle w:val="NoSpacing"/>
        <w:spacing w:line="480" w:lineRule="auto"/>
        <w:rPr>
          <w:rFonts w:ascii="Times New Roman" w:hAnsi="Times New Roman" w:cs="Times New Roman"/>
        </w:rPr>
      </w:pPr>
    </w:p>
    <w:p w14:paraId="3672A675" w14:textId="0B1C0E96"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In Chapter 4 (in-person study), I applied the VBDM task to addiction-related research by investigating whether experimentally manipulating alcohol value (via videos that depict the positive and negative consequences of alcohol) in regular alcohol consumers prior to completion of the task alters decision parameters of value-based choice for alcoholic and soft</w:t>
      </w:r>
      <w:r w:rsidR="009A0BC3">
        <w:rPr>
          <w:rFonts w:ascii="Times New Roman" w:hAnsi="Times New Roman" w:cs="Times New Roman"/>
        </w:rPr>
        <w:t xml:space="preserve"> </w:t>
      </w:r>
      <w:r w:rsidRPr="001C0CC8">
        <w:rPr>
          <w:rFonts w:ascii="Times New Roman" w:hAnsi="Times New Roman" w:cs="Times New Roman"/>
        </w:rPr>
        <w:t xml:space="preserve">drink cues. The video that depicts the negative consequences of alcohol consumption was intended to decrease the value of alcohol based upon findings from </w:t>
      </w:r>
      <w:r w:rsidR="00DE5B1D">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{"citationID":"FJYlVp4R","properties":{"formattedCitation":"(Di Lemma et al., 2015)","plainCitation":"(Di Lemma et al., 2015)","noteIndex":0},"citationItems":[{"id":1638,"uris":["http://zotero.org/users/7873587/items/T7R4RMDH"],"itemData":{"id":1638,"type":"article-journal","abstract":"We report results from three experimental studies that investigated the independence of approach and avoidance motivational orientations for alcohol, both of which operate within controlled and automatic cognitive processes. In order to prime their approach or avoidance motivational orientations, participants watched brief videos, the content of which (positive or negative depictions of alcohol, or neutral) varied by experimental group. Immediately after watching the videos, participants completed self-report (Approach and Avoidance of Alcohol Questionnaire; all studies) and implicit (visual probe task in study 1, stimulus-response compatibility task in studies 2 and 3) measures of alcohol-related approach and avoidance. In study 3, we incorporated an additional experimental manipulation of thought suppression in an attempt to maximize the influence of the videos on implicit measures. Findings were consistent across all three studies: increases in self-reported approach inclinations were mirrored by decreases in avoidance inclinations, and vice versa. However, a combined analysis of data from all studies demonstrated that changes in approach inclinations were partially independent of changes in avoidance inclinations. There were no effects on implicit alcohol-related processing biases, although methodological issues may partially account for these findings. Our findings demonstrate that subjective approach and avoidance inclinations for alcohol tend to fluctuate in parallel, but changes in approach inclinations may be partially independent from changes in avoidance inclinations. We discuss methodological issues that may partially account for our findings.","container-title":"Frontiers in Psychology","ISSN":"1664-1078","page":"1465","source":"Frontiers","title":"Priming of conflicting motivational orientations in heavy drinkers: robust effects on self-report but not implicit measures","title-short":"Priming of conflicting motivational orientations in heavy drinkers","volume":"6","author":[{"family":"Di Lemma","given":"Lisa C. G."},{"family":"Dickson","given":"Joanne M."},{"family":"Jedras","given":"Pawel"},{"family":"Roefs","given":"Anne"},{"family":"Field","given":"Matt"}],"issued":{"date-parts":[["2015"]]}}}],"schema":"https://github.com/citation-style-language/schema/raw/master/csl-citation.json"} </w:instrText>
      </w:r>
      <w:r w:rsidR="00DE5B1D">
        <w:rPr>
          <w:rFonts w:ascii="Times New Roman" w:hAnsi="Times New Roman" w:cs="Times New Roman"/>
        </w:rPr>
        <w:fldChar w:fldCharType="separate"/>
      </w:r>
      <w:r w:rsidR="00DE5B1D">
        <w:rPr>
          <w:rFonts w:ascii="Times New Roman" w:hAnsi="Times New Roman" w:cs="Times New Roman"/>
          <w:noProof/>
        </w:rPr>
        <w:t xml:space="preserve">Di Lemma et al. </w:t>
      </w:r>
      <w:r w:rsidR="00107EBB">
        <w:rPr>
          <w:rFonts w:ascii="Times New Roman" w:hAnsi="Times New Roman" w:cs="Times New Roman"/>
          <w:noProof/>
        </w:rPr>
        <w:t>(</w:t>
      </w:r>
      <w:r w:rsidR="00DE5B1D">
        <w:rPr>
          <w:rFonts w:ascii="Times New Roman" w:hAnsi="Times New Roman" w:cs="Times New Roman"/>
          <w:noProof/>
        </w:rPr>
        <w:t>2015)</w:t>
      </w:r>
      <w:r w:rsidR="00DE5B1D">
        <w:rPr>
          <w:rFonts w:ascii="Times New Roman" w:hAnsi="Times New Roman" w:cs="Times New Roman"/>
        </w:rPr>
        <w:fldChar w:fldCharType="end"/>
      </w:r>
      <w:r w:rsidR="00DE5B1D">
        <w:rPr>
          <w:rFonts w:ascii="Times New Roman" w:hAnsi="Times New Roman" w:cs="Times New Roman"/>
        </w:rPr>
        <w:t xml:space="preserve">. </w:t>
      </w:r>
      <w:r w:rsidRPr="001C0CC8">
        <w:rPr>
          <w:rFonts w:ascii="Times New Roman" w:hAnsi="Times New Roman" w:cs="Times New Roman"/>
        </w:rPr>
        <w:t>Indeed, findings from self-report measures revealed that the experimental manipulation was effective: mild and strong alcohol approach tendencies decreased, while alcohol avoidance tendencies increased, compared to before the experimental manipulation. Results from a computational VBDM analysis demonstrated that when participants were primed to devalue alcohol, this led to augmented EA rates for soft</w:t>
      </w:r>
      <w:r w:rsidR="009A0BC3">
        <w:rPr>
          <w:rFonts w:ascii="Times New Roman" w:hAnsi="Times New Roman" w:cs="Times New Roman"/>
        </w:rPr>
        <w:t xml:space="preserve"> </w:t>
      </w:r>
      <w:r w:rsidRPr="001C0CC8">
        <w:rPr>
          <w:rFonts w:ascii="Times New Roman" w:hAnsi="Times New Roman" w:cs="Times New Roman"/>
        </w:rPr>
        <w:t>drinks compared to for alcoholic drinks and compared to EA rates for soft</w:t>
      </w:r>
      <w:r w:rsidR="009A0BC3">
        <w:rPr>
          <w:rFonts w:ascii="Times New Roman" w:hAnsi="Times New Roman" w:cs="Times New Roman"/>
        </w:rPr>
        <w:t xml:space="preserve"> </w:t>
      </w:r>
      <w:r w:rsidRPr="001C0CC8">
        <w:rPr>
          <w:rFonts w:ascii="Times New Roman" w:hAnsi="Times New Roman" w:cs="Times New Roman"/>
        </w:rPr>
        <w:t>drinks when participants were primed to value alcohol. However, there were no significant differences in EA rates for alcoholic drinks or in response thresholds (i.e., the amount of evidence required to reach a decision) for either drink type.</w:t>
      </w:r>
    </w:p>
    <w:p w14:paraId="6768B30A" w14:textId="77777777" w:rsidR="001C0CC8" w:rsidRPr="001C0CC8" w:rsidRDefault="001C0CC8" w:rsidP="00762442">
      <w:pPr>
        <w:pStyle w:val="NoSpacing"/>
        <w:spacing w:line="480" w:lineRule="auto"/>
        <w:rPr>
          <w:rFonts w:ascii="Times New Roman" w:hAnsi="Times New Roman" w:cs="Times New Roman"/>
        </w:rPr>
      </w:pPr>
    </w:p>
    <w:p w14:paraId="36A96CFC" w14:textId="47AAD613"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lastRenderedPageBreak/>
        <w:t xml:space="preserve">I subsequently conducted a study that investigated whether experimentally manipulating nicotine value (via videos that temporarily induce positive and negative mood) in daily tobacco smokers prior to the completion of the VBDM task alters the decision parameters of value-based choice for tobacco and tobacco-unrelated cues (Chapter 5; online study). The negative mood induction was intended to increase the value of tobacco based upon findings from </w:t>
      </w:r>
      <w:r w:rsidR="00DE5B1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{"citationID":"zj5rijQd","properties":{"formattedCitation":"(Hogarth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00DE5B1D">
        <w:rPr>
          <w:rFonts w:ascii="Times New Roman" w:hAnsi="Times New Roman" w:cs="Times New Roman"/>
        </w:rPr>
        <w:fldChar w:fldCharType="separate"/>
      </w:r>
      <w:r w:rsidR="00DE5B1D">
        <w:rPr>
          <w:rFonts w:ascii="Times New Roman" w:hAnsi="Times New Roman" w:cs="Times New Roman"/>
          <w:noProof/>
        </w:rPr>
        <w:t>Hogarth et al. (2015)</w:t>
      </w:r>
      <w:r w:rsidR="00DE5B1D">
        <w:rPr>
          <w:rFonts w:ascii="Times New Roman" w:hAnsi="Times New Roman" w:cs="Times New Roman"/>
        </w:rPr>
        <w:fldChar w:fldCharType="end"/>
      </w:r>
      <w:r w:rsidRPr="001C0CC8">
        <w:rPr>
          <w:rFonts w:ascii="Times New Roman" w:hAnsi="Times New Roman" w:cs="Times New Roman"/>
        </w:rPr>
        <w:t xml:space="preserve">. Indeed, findings self-report measures revealed that the experimental induction of negative mood was effective: happiness decreased while both sadness and craving to smoke increased compared to before the experimental manipulation (although the latter increase was of marginal significance, </w:t>
      </w:r>
      <w:r w:rsidRPr="00DE5B1D">
        <w:rPr>
          <w:rFonts w:ascii="Times New Roman" w:hAnsi="Times New Roman" w:cs="Times New Roman"/>
          <w:i/>
          <w:iCs/>
        </w:rPr>
        <w:t>p</w:t>
      </w:r>
      <w:r w:rsidRPr="001C0CC8">
        <w:rPr>
          <w:rFonts w:ascii="Times New Roman" w:hAnsi="Times New Roman" w:cs="Times New Roman"/>
        </w:rPr>
        <w:t xml:space="preserve"> = .05). Contrary to findings from Chapter 4, results from a computational VBDM analysis did not reveal any robust differences in decision parameters for tobacco versus tobacco-unrelated cues when participants were primed to value tobacco compared to when they were primed to devalue tobacco. Tobacco-unrelated (control) EA rates were consistently higher regardless of the experimental manipulation.</w:t>
      </w:r>
    </w:p>
    <w:p w14:paraId="1CC6DE09" w14:textId="77777777" w:rsidR="001C0CC8" w:rsidRPr="001C0CC8" w:rsidRDefault="001C0CC8" w:rsidP="00762442">
      <w:pPr>
        <w:pStyle w:val="NoSpacing"/>
        <w:spacing w:line="480" w:lineRule="auto"/>
        <w:rPr>
          <w:rFonts w:ascii="Times New Roman" w:hAnsi="Times New Roman" w:cs="Times New Roman"/>
        </w:rPr>
      </w:pPr>
    </w:p>
    <w:p w14:paraId="1440B49F" w14:textId="702D94B7"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In Chapter 6 (online study), I explored whether alcohol-related behaviour change is characterised by alterations in decision parameters that represent the underlying processes of value-based choice for alcoholic and soft</w:t>
      </w:r>
      <w:r w:rsidR="009A0BC3">
        <w:rPr>
          <w:rFonts w:ascii="Times New Roman" w:hAnsi="Times New Roman" w:cs="Times New Roman"/>
        </w:rPr>
        <w:t xml:space="preserve"> </w:t>
      </w:r>
      <w:r w:rsidRPr="001C0CC8">
        <w:rPr>
          <w:rFonts w:ascii="Times New Roman" w:hAnsi="Times New Roman" w:cs="Times New Roman"/>
        </w:rPr>
        <w:t>drink cues. I did this by comparing those parameters in current heavy drinkers and in people who used to consume alcohol heavily but now consume alcohol in moderation. Results did not reveal any robust differences in decision parameters for alcoholic and soft</w:t>
      </w:r>
      <w:r w:rsidR="009A0BC3">
        <w:rPr>
          <w:rFonts w:ascii="Times New Roman" w:hAnsi="Times New Roman" w:cs="Times New Roman"/>
        </w:rPr>
        <w:t xml:space="preserve"> </w:t>
      </w:r>
      <w:r w:rsidRPr="001C0CC8">
        <w:rPr>
          <w:rFonts w:ascii="Times New Roman" w:hAnsi="Times New Roman" w:cs="Times New Roman"/>
        </w:rPr>
        <w:t xml:space="preserve">drink cues across drinker type, although moderated drinkers’ response thresholds were consistently lower regardless of drink type. Interestingly, however, in this study self-report measures of alcohol reinforcing value and behavioural allocation to activities that do not involve alcohol differentiated drinker type in line with </w:t>
      </w:r>
      <w:r w:rsidRPr="001C0CC8">
        <w:rPr>
          <w:rFonts w:ascii="Times New Roman" w:hAnsi="Times New Roman" w:cs="Times New Roman"/>
        </w:rPr>
        <w:lastRenderedPageBreak/>
        <w:t>behavioural economic accounts: alcohol moderation was characterised by lower alcohol value and greater reinforcement derived from alcohol-free activities.</w:t>
      </w:r>
    </w:p>
    <w:p w14:paraId="115DF7D4" w14:textId="77777777" w:rsidR="001C0CC8" w:rsidRPr="001C0CC8" w:rsidRDefault="001C0CC8" w:rsidP="00762442">
      <w:pPr>
        <w:pStyle w:val="NoSpacing"/>
        <w:spacing w:line="480" w:lineRule="auto"/>
        <w:rPr>
          <w:rFonts w:ascii="Times New Roman" w:hAnsi="Times New Roman" w:cs="Times New Roman"/>
        </w:rPr>
      </w:pPr>
    </w:p>
    <w:p w14:paraId="5CF93F1B" w14:textId="77777777"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Following this, in Chapter 7 (in-person study) I explored whether recovery from nicotine addiction is characterised by alterations in decision parameters of value-based choice and, using a different type of decision-making task, magnitude of decision conflict for tobacco and tobacco-unrelated cues. Parameters in daily smokers and in people who used to smoke daily but have since quit smoking were compared. Results demonstrated that ex-smokers had significantly higher response thresholds when making tobacco-related decisions, but that there were no differences in response thresholds for tobacco-unrelated decisions or in EA rates for either type of decision. There were also no group differences in magnitude of decision-conflict when making value-based decisions about tobacco and tobacco-unrelated cues.</w:t>
      </w:r>
    </w:p>
    <w:p w14:paraId="60F6C666" w14:textId="77777777" w:rsidR="001C0CC8" w:rsidRPr="001C0CC8" w:rsidRDefault="001C0CC8" w:rsidP="00762442">
      <w:pPr>
        <w:pStyle w:val="NoSpacing"/>
        <w:spacing w:line="480" w:lineRule="auto"/>
        <w:rPr>
          <w:rFonts w:ascii="Times New Roman" w:hAnsi="Times New Roman" w:cs="Times New Roman"/>
        </w:rPr>
      </w:pPr>
    </w:p>
    <w:p w14:paraId="7F8DE53C" w14:textId="79B0CF3F" w:rsidR="001C0CC8" w:rsidRPr="001C0CC8" w:rsidRDefault="001C0CC8" w:rsidP="00762442">
      <w:pPr>
        <w:pStyle w:val="NoSpacing"/>
        <w:spacing w:line="480" w:lineRule="auto"/>
        <w:rPr>
          <w:rFonts w:ascii="Times New Roman" w:hAnsi="Times New Roman" w:cs="Times New Roman"/>
        </w:rPr>
      </w:pPr>
      <w:r w:rsidRPr="001C0CC8">
        <w:rPr>
          <w:rFonts w:ascii="Times New Roman" w:hAnsi="Times New Roman" w:cs="Times New Roman"/>
        </w:rPr>
        <w:t xml:space="preserve">Findings from this thesis provide partial support for speculations derived from VBDM accounts </w:t>
      </w:r>
      <w:r w:rsidR="00DE5B1D">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{"citationID":"VxjbKGq3","properties":{"formattedCitation":"(Copeland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sidR="00DE5B1D">
        <w:rPr>
          <w:rFonts w:ascii="Times New Roman" w:hAnsi="Times New Roman" w:cs="Times New Roman"/>
        </w:rPr>
        <w:fldChar w:fldCharType="separate"/>
      </w:r>
      <w:r w:rsidR="00DE5B1D">
        <w:rPr>
          <w:rFonts w:ascii="Times New Roman" w:hAnsi="Times New Roman" w:cs="Times New Roman"/>
          <w:noProof/>
        </w:rPr>
        <w:t>(Copeland et al., 2021; Field, Heather, et al., 2020)</w:t>
      </w:r>
      <w:r w:rsidR="00DE5B1D">
        <w:rPr>
          <w:rFonts w:ascii="Times New Roman" w:hAnsi="Times New Roman" w:cs="Times New Roman"/>
        </w:rPr>
        <w:fldChar w:fldCharType="end"/>
      </w:r>
      <w:r w:rsidRPr="001C0CC8">
        <w:rPr>
          <w:rFonts w:ascii="Times New Roman" w:hAnsi="Times New Roman" w:cs="Times New Roman"/>
        </w:rPr>
        <w:t>: manipulation of alcohol value (Chapter 4) and recovery from nicotine addiction (Chapter 7) were characterised by changes in VBDM parameters, although not all predictions were supported. To elaborate, changes in EA rates and response thresholds were hypothesised to be important, whereas only changes in EA rates were observed in Chapter 4 and only changes in response thresholds were observed in Chapter 7 (see Table 8.1). However, in Chapter 5 and Chapter 6, the hypothesised predictions were not supported by the findings, and therefore were not aligned with predictions from the VBDM framework, thereby demonstrating a lack of consistent support.</w:t>
      </w:r>
    </w:p>
    <w:p w14:paraId="111DC757" w14:textId="70EC56EA" w:rsidR="00093B56" w:rsidRDefault="00093B56" w:rsidP="001C0CC8">
      <w:pPr>
        <w:pStyle w:val="NoSpacing"/>
        <w:spacing w:line="480" w:lineRule="auto"/>
        <w:rPr>
          <w:rFonts w:ascii="Times New Roman" w:hAnsi="Times New Roman" w:cs="Times New Roman"/>
        </w:rPr>
      </w:pPr>
    </w:p>
    <w:p w14:paraId="35CF4459" w14:textId="6B7DCF30" w:rsidR="00DE5B1D" w:rsidRDefault="00DE5B1D" w:rsidP="001C0CC8">
      <w:pPr>
        <w:pStyle w:val="NoSpacing"/>
        <w:spacing w:line="480" w:lineRule="auto"/>
        <w:rPr>
          <w:rFonts w:ascii="Times New Roman" w:hAnsi="Times New Roman" w:cs="Times New Roman"/>
        </w:rPr>
      </w:pPr>
    </w:p>
    <w:p w14:paraId="6F36C14C" w14:textId="77777777" w:rsidR="00DE5B1D" w:rsidRDefault="00DE5B1D" w:rsidP="001C0CC8">
      <w:pPr>
        <w:pStyle w:val="NoSpacing"/>
        <w:spacing w:line="480" w:lineRule="auto"/>
        <w:rPr>
          <w:rFonts w:ascii="Times New Roman" w:hAnsi="Times New Roman" w:cs="Times New Roman"/>
          <w:b/>
          <w:bCs/>
        </w:rPr>
      </w:pPr>
      <w:bookmarkStart w:id="330" w:name="_Hlk110615236"/>
      <w:r w:rsidRPr="00DE5B1D">
        <w:rPr>
          <w:rFonts w:ascii="Times New Roman" w:hAnsi="Times New Roman" w:cs="Times New Roman"/>
          <w:b/>
          <w:bCs/>
        </w:rPr>
        <w:t>Table 8.1</w:t>
      </w:r>
    </w:p>
    <w:p w14:paraId="548261DE" w14:textId="1A81BB83" w:rsidR="00DE5B1D" w:rsidRPr="00DE5B1D" w:rsidRDefault="00DE5B1D" w:rsidP="001C0CC8">
      <w:pPr>
        <w:pStyle w:val="NoSpacing"/>
        <w:spacing w:line="480" w:lineRule="auto"/>
        <w:rPr>
          <w:rFonts w:ascii="Times New Roman" w:hAnsi="Times New Roman" w:cs="Times New Roman"/>
          <w:i/>
          <w:iCs/>
        </w:rPr>
      </w:pPr>
      <w:r w:rsidRPr="00DE5B1D">
        <w:rPr>
          <w:rFonts w:ascii="Times New Roman" w:hAnsi="Times New Roman" w:cs="Times New Roman"/>
          <w:i/>
          <w:iCs/>
        </w:rPr>
        <w:t>A brief overview of methodological details from the four empirical chapters that directly tested theoretical predictions derived from Copeland et al. (2021) and Field, Heather, et al. (2020)</w:t>
      </w:r>
    </w:p>
    <w:tbl>
      <w:tblPr>
        <w:tblStyle w:val="TableGrid"/>
        <w:tblW w:w="9217" w:type="dxa"/>
        <w:tblLook w:val="04A0" w:firstRow="1" w:lastRow="0" w:firstColumn="1" w:lastColumn="0" w:noHBand="0" w:noVBand="1"/>
      </w:tblPr>
      <w:tblGrid>
        <w:gridCol w:w="1453"/>
        <w:gridCol w:w="1469"/>
        <w:gridCol w:w="1807"/>
        <w:gridCol w:w="1475"/>
        <w:gridCol w:w="1475"/>
        <w:gridCol w:w="1538"/>
      </w:tblGrid>
      <w:tr w:rsidR="00AA28DF" w:rsidRPr="00AA28DF" w14:paraId="167C4C41" w14:textId="77777777" w:rsidTr="002A1E63">
        <w:trPr>
          <w:trHeight w:val="931"/>
        </w:trPr>
        <w:tc>
          <w:tcPr>
            <w:tcW w:w="1453" w:type="dxa"/>
            <w:tcBorders>
              <w:top w:val="single" w:sz="18" w:space="0" w:color="auto"/>
              <w:left w:val="nil"/>
              <w:bottom w:val="single" w:sz="18" w:space="0" w:color="auto"/>
              <w:right w:val="nil"/>
            </w:tcBorders>
          </w:tcPr>
          <w:bookmarkEnd w:id="330"/>
          <w:p w14:paraId="57BA7C61"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Chapter number</w:t>
            </w:r>
          </w:p>
        </w:tc>
        <w:tc>
          <w:tcPr>
            <w:tcW w:w="1469" w:type="dxa"/>
            <w:tcBorders>
              <w:top w:val="single" w:sz="18" w:space="0" w:color="auto"/>
              <w:left w:val="nil"/>
              <w:bottom w:val="single" w:sz="18" w:space="0" w:color="auto"/>
              <w:right w:val="nil"/>
            </w:tcBorders>
          </w:tcPr>
          <w:p w14:paraId="28426749"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Substance type</w:t>
            </w:r>
          </w:p>
        </w:tc>
        <w:tc>
          <w:tcPr>
            <w:tcW w:w="1807" w:type="dxa"/>
            <w:tcBorders>
              <w:top w:val="single" w:sz="18" w:space="0" w:color="auto"/>
              <w:left w:val="nil"/>
              <w:bottom w:val="single" w:sz="18" w:space="0" w:color="auto"/>
              <w:right w:val="nil"/>
            </w:tcBorders>
          </w:tcPr>
          <w:p w14:paraId="16813164"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Study design</w:t>
            </w:r>
          </w:p>
        </w:tc>
        <w:tc>
          <w:tcPr>
            <w:tcW w:w="1475" w:type="dxa"/>
            <w:tcBorders>
              <w:top w:val="single" w:sz="18" w:space="0" w:color="auto"/>
              <w:left w:val="nil"/>
              <w:bottom w:val="single" w:sz="18" w:space="0" w:color="auto"/>
              <w:right w:val="nil"/>
            </w:tcBorders>
          </w:tcPr>
          <w:p w14:paraId="755082F2"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EA rates</w:t>
            </w:r>
          </w:p>
        </w:tc>
        <w:tc>
          <w:tcPr>
            <w:tcW w:w="1475" w:type="dxa"/>
            <w:tcBorders>
              <w:top w:val="single" w:sz="18" w:space="0" w:color="auto"/>
              <w:left w:val="nil"/>
              <w:bottom w:val="single" w:sz="18" w:space="0" w:color="auto"/>
              <w:right w:val="nil"/>
            </w:tcBorders>
          </w:tcPr>
          <w:p w14:paraId="2CBC71E8"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Response thresholds</w:t>
            </w:r>
          </w:p>
        </w:tc>
        <w:tc>
          <w:tcPr>
            <w:tcW w:w="1538" w:type="dxa"/>
            <w:tcBorders>
              <w:top w:val="single" w:sz="18" w:space="0" w:color="auto"/>
              <w:left w:val="nil"/>
              <w:bottom w:val="single" w:sz="18" w:space="0" w:color="auto"/>
              <w:right w:val="nil"/>
            </w:tcBorders>
          </w:tcPr>
          <w:p w14:paraId="546A8BA6"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Data collection</w:t>
            </w:r>
          </w:p>
        </w:tc>
      </w:tr>
      <w:tr w:rsidR="00AA28DF" w:rsidRPr="00AA28DF" w14:paraId="286D5B9E" w14:textId="77777777" w:rsidTr="002A1E63">
        <w:trPr>
          <w:trHeight w:val="768"/>
        </w:trPr>
        <w:tc>
          <w:tcPr>
            <w:tcW w:w="1453" w:type="dxa"/>
            <w:tcBorders>
              <w:top w:val="single" w:sz="18" w:space="0" w:color="auto"/>
              <w:left w:val="nil"/>
              <w:bottom w:val="nil"/>
              <w:right w:val="nil"/>
            </w:tcBorders>
          </w:tcPr>
          <w:p w14:paraId="39861123"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4</w:t>
            </w:r>
          </w:p>
        </w:tc>
        <w:tc>
          <w:tcPr>
            <w:tcW w:w="1469" w:type="dxa"/>
            <w:tcBorders>
              <w:top w:val="single" w:sz="18" w:space="0" w:color="auto"/>
              <w:left w:val="nil"/>
              <w:bottom w:val="nil"/>
              <w:right w:val="nil"/>
            </w:tcBorders>
          </w:tcPr>
          <w:p w14:paraId="674C360B"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Alcohol</w:t>
            </w:r>
          </w:p>
        </w:tc>
        <w:tc>
          <w:tcPr>
            <w:tcW w:w="1807" w:type="dxa"/>
            <w:tcBorders>
              <w:top w:val="single" w:sz="18" w:space="0" w:color="auto"/>
              <w:left w:val="nil"/>
              <w:bottom w:val="nil"/>
              <w:right w:val="nil"/>
            </w:tcBorders>
          </w:tcPr>
          <w:p w14:paraId="71C22507"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Manipulation</w:t>
            </w:r>
          </w:p>
        </w:tc>
        <w:tc>
          <w:tcPr>
            <w:tcW w:w="1475" w:type="dxa"/>
            <w:tcBorders>
              <w:top w:val="single" w:sz="18" w:space="0" w:color="auto"/>
              <w:left w:val="nil"/>
              <w:bottom w:val="nil"/>
              <w:right w:val="nil"/>
            </w:tcBorders>
          </w:tcPr>
          <w:p w14:paraId="40136000"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Yes</w:t>
            </w:r>
          </w:p>
        </w:tc>
        <w:tc>
          <w:tcPr>
            <w:tcW w:w="1475" w:type="dxa"/>
            <w:tcBorders>
              <w:top w:val="single" w:sz="18" w:space="0" w:color="auto"/>
              <w:left w:val="nil"/>
              <w:bottom w:val="nil"/>
              <w:right w:val="nil"/>
            </w:tcBorders>
          </w:tcPr>
          <w:p w14:paraId="4256AD8D"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No</w:t>
            </w:r>
          </w:p>
        </w:tc>
        <w:tc>
          <w:tcPr>
            <w:tcW w:w="1538" w:type="dxa"/>
            <w:tcBorders>
              <w:top w:val="single" w:sz="18" w:space="0" w:color="auto"/>
              <w:left w:val="nil"/>
              <w:bottom w:val="nil"/>
              <w:right w:val="nil"/>
            </w:tcBorders>
          </w:tcPr>
          <w:p w14:paraId="124CD3FD"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In-person</w:t>
            </w:r>
          </w:p>
        </w:tc>
      </w:tr>
      <w:tr w:rsidR="00AA28DF" w:rsidRPr="00AA28DF" w14:paraId="42C32694" w14:textId="77777777" w:rsidTr="002A1E63">
        <w:trPr>
          <w:trHeight w:val="768"/>
        </w:trPr>
        <w:tc>
          <w:tcPr>
            <w:tcW w:w="1453" w:type="dxa"/>
            <w:tcBorders>
              <w:top w:val="nil"/>
              <w:left w:val="nil"/>
              <w:bottom w:val="nil"/>
              <w:right w:val="nil"/>
            </w:tcBorders>
          </w:tcPr>
          <w:p w14:paraId="0660738D"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5</w:t>
            </w:r>
          </w:p>
        </w:tc>
        <w:tc>
          <w:tcPr>
            <w:tcW w:w="1469" w:type="dxa"/>
            <w:tcBorders>
              <w:top w:val="nil"/>
              <w:left w:val="nil"/>
              <w:bottom w:val="nil"/>
              <w:right w:val="nil"/>
            </w:tcBorders>
          </w:tcPr>
          <w:p w14:paraId="3D3D8FB6"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Nicotine</w:t>
            </w:r>
          </w:p>
        </w:tc>
        <w:tc>
          <w:tcPr>
            <w:tcW w:w="1807" w:type="dxa"/>
            <w:tcBorders>
              <w:top w:val="nil"/>
              <w:left w:val="nil"/>
              <w:bottom w:val="nil"/>
              <w:right w:val="nil"/>
            </w:tcBorders>
          </w:tcPr>
          <w:p w14:paraId="7DBF0863"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Manipulation</w:t>
            </w:r>
          </w:p>
        </w:tc>
        <w:tc>
          <w:tcPr>
            <w:tcW w:w="1475" w:type="dxa"/>
            <w:tcBorders>
              <w:top w:val="nil"/>
              <w:left w:val="nil"/>
              <w:bottom w:val="nil"/>
              <w:right w:val="nil"/>
            </w:tcBorders>
          </w:tcPr>
          <w:p w14:paraId="24B1C4EA"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Inconclusive</w:t>
            </w:r>
          </w:p>
        </w:tc>
        <w:tc>
          <w:tcPr>
            <w:tcW w:w="1475" w:type="dxa"/>
            <w:tcBorders>
              <w:top w:val="nil"/>
              <w:left w:val="nil"/>
              <w:bottom w:val="nil"/>
              <w:right w:val="nil"/>
            </w:tcBorders>
          </w:tcPr>
          <w:p w14:paraId="52DBFDBA"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No</w:t>
            </w:r>
          </w:p>
        </w:tc>
        <w:tc>
          <w:tcPr>
            <w:tcW w:w="1538" w:type="dxa"/>
            <w:tcBorders>
              <w:top w:val="nil"/>
              <w:left w:val="nil"/>
              <w:bottom w:val="nil"/>
              <w:right w:val="nil"/>
            </w:tcBorders>
          </w:tcPr>
          <w:p w14:paraId="5CA1B5AA"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Online</w:t>
            </w:r>
          </w:p>
        </w:tc>
      </w:tr>
      <w:tr w:rsidR="00AA28DF" w:rsidRPr="00AA28DF" w14:paraId="337E3281" w14:textId="77777777" w:rsidTr="002A1E63">
        <w:trPr>
          <w:trHeight w:val="731"/>
        </w:trPr>
        <w:tc>
          <w:tcPr>
            <w:tcW w:w="1453" w:type="dxa"/>
            <w:tcBorders>
              <w:top w:val="nil"/>
              <w:left w:val="nil"/>
              <w:bottom w:val="nil"/>
              <w:right w:val="nil"/>
            </w:tcBorders>
          </w:tcPr>
          <w:p w14:paraId="53ABE437"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6</w:t>
            </w:r>
          </w:p>
        </w:tc>
        <w:tc>
          <w:tcPr>
            <w:tcW w:w="1469" w:type="dxa"/>
            <w:tcBorders>
              <w:top w:val="nil"/>
              <w:left w:val="nil"/>
              <w:bottom w:val="nil"/>
              <w:right w:val="nil"/>
            </w:tcBorders>
          </w:tcPr>
          <w:p w14:paraId="045EF3C4"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Alcohol</w:t>
            </w:r>
          </w:p>
        </w:tc>
        <w:tc>
          <w:tcPr>
            <w:tcW w:w="1807" w:type="dxa"/>
            <w:tcBorders>
              <w:top w:val="nil"/>
              <w:left w:val="nil"/>
              <w:bottom w:val="nil"/>
              <w:right w:val="nil"/>
            </w:tcBorders>
          </w:tcPr>
          <w:p w14:paraId="49BA5B41"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Cross-sectional</w:t>
            </w:r>
          </w:p>
        </w:tc>
        <w:tc>
          <w:tcPr>
            <w:tcW w:w="1475" w:type="dxa"/>
            <w:tcBorders>
              <w:top w:val="nil"/>
              <w:left w:val="nil"/>
              <w:bottom w:val="nil"/>
              <w:right w:val="nil"/>
            </w:tcBorders>
          </w:tcPr>
          <w:p w14:paraId="0D4B972C"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No</w:t>
            </w:r>
          </w:p>
        </w:tc>
        <w:tc>
          <w:tcPr>
            <w:tcW w:w="1475" w:type="dxa"/>
            <w:tcBorders>
              <w:top w:val="nil"/>
              <w:left w:val="nil"/>
              <w:bottom w:val="nil"/>
              <w:right w:val="nil"/>
            </w:tcBorders>
          </w:tcPr>
          <w:p w14:paraId="27F31C32"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Inconclusive</w:t>
            </w:r>
          </w:p>
        </w:tc>
        <w:tc>
          <w:tcPr>
            <w:tcW w:w="1538" w:type="dxa"/>
            <w:tcBorders>
              <w:top w:val="nil"/>
              <w:left w:val="nil"/>
              <w:bottom w:val="nil"/>
              <w:right w:val="nil"/>
            </w:tcBorders>
          </w:tcPr>
          <w:p w14:paraId="348D8042"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Online</w:t>
            </w:r>
          </w:p>
        </w:tc>
      </w:tr>
      <w:tr w:rsidR="00AA28DF" w:rsidRPr="00AA28DF" w14:paraId="239FBF2A" w14:textId="77777777" w:rsidTr="002A1E63">
        <w:trPr>
          <w:trHeight w:val="453"/>
        </w:trPr>
        <w:tc>
          <w:tcPr>
            <w:tcW w:w="1453" w:type="dxa"/>
            <w:tcBorders>
              <w:top w:val="nil"/>
              <w:left w:val="nil"/>
              <w:bottom w:val="single" w:sz="18" w:space="0" w:color="auto"/>
              <w:right w:val="nil"/>
            </w:tcBorders>
          </w:tcPr>
          <w:p w14:paraId="0B644021"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7</w:t>
            </w:r>
          </w:p>
        </w:tc>
        <w:tc>
          <w:tcPr>
            <w:tcW w:w="1469" w:type="dxa"/>
            <w:tcBorders>
              <w:top w:val="nil"/>
              <w:left w:val="nil"/>
              <w:bottom w:val="single" w:sz="18" w:space="0" w:color="auto"/>
              <w:right w:val="nil"/>
            </w:tcBorders>
          </w:tcPr>
          <w:p w14:paraId="1FFCED7C"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Nicotine</w:t>
            </w:r>
          </w:p>
        </w:tc>
        <w:tc>
          <w:tcPr>
            <w:tcW w:w="1807" w:type="dxa"/>
            <w:tcBorders>
              <w:top w:val="nil"/>
              <w:left w:val="nil"/>
              <w:bottom w:val="single" w:sz="18" w:space="0" w:color="auto"/>
              <w:right w:val="nil"/>
            </w:tcBorders>
          </w:tcPr>
          <w:p w14:paraId="452F6A10"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Cross-sectional</w:t>
            </w:r>
          </w:p>
        </w:tc>
        <w:tc>
          <w:tcPr>
            <w:tcW w:w="1475" w:type="dxa"/>
            <w:tcBorders>
              <w:top w:val="nil"/>
              <w:left w:val="nil"/>
              <w:bottom w:val="single" w:sz="18" w:space="0" w:color="auto"/>
              <w:right w:val="nil"/>
            </w:tcBorders>
          </w:tcPr>
          <w:p w14:paraId="4704D49C"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No</w:t>
            </w:r>
          </w:p>
        </w:tc>
        <w:tc>
          <w:tcPr>
            <w:tcW w:w="1475" w:type="dxa"/>
            <w:tcBorders>
              <w:top w:val="nil"/>
              <w:left w:val="nil"/>
              <w:bottom w:val="single" w:sz="18" w:space="0" w:color="auto"/>
              <w:right w:val="nil"/>
            </w:tcBorders>
          </w:tcPr>
          <w:p w14:paraId="1F5D349F"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Yes</w:t>
            </w:r>
          </w:p>
        </w:tc>
        <w:tc>
          <w:tcPr>
            <w:tcW w:w="1538" w:type="dxa"/>
            <w:tcBorders>
              <w:top w:val="nil"/>
              <w:left w:val="nil"/>
              <w:bottom w:val="single" w:sz="18" w:space="0" w:color="auto"/>
              <w:right w:val="nil"/>
            </w:tcBorders>
          </w:tcPr>
          <w:p w14:paraId="55B88A55" w14:textId="77777777" w:rsidR="00AA28DF" w:rsidRPr="00AA28DF" w:rsidRDefault="00AA28DF" w:rsidP="00AA28DF">
            <w:pPr>
              <w:pStyle w:val="NoSpacing"/>
              <w:jc w:val="center"/>
              <w:rPr>
                <w:rFonts w:ascii="Times New Roman" w:hAnsi="Times New Roman" w:cs="Times New Roman"/>
              </w:rPr>
            </w:pPr>
            <w:r w:rsidRPr="00AA28DF">
              <w:rPr>
                <w:rFonts w:ascii="Times New Roman" w:hAnsi="Times New Roman" w:cs="Times New Roman"/>
              </w:rPr>
              <w:t>In-person</w:t>
            </w:r>
          </w:p>
        </w:tc>
      </w:tr>
    </w:tbl>
    <w:p w14:paraId="4DC1A19C" w14:textId="535AD66A" w:rsidR="00DE5B1D" w:rsidRPr="001C0CC8" w:rsidRDefault="00DE5B1D" w:rsidP="00762442">
      <w:pPr>
        <w:pStyle w:val="NoSpacing"/>
        <w:spacing w:line="480" w:lineRule="auto"/>
        <w:rPr>
          <w:rFonts w:ascii="Times New Roman" w:hAnsi="Times New Roman" w:cs="Times New Roman"/>
        </w:rPr>
      </w:pPr>
      <w:r w:rsidRPr="00DE5B1D">
        <w:rPr>
          <w:rFonts w:ascii="Times New Roman" w:hAnsi="Times New Roman" w:cs="Times New Roman"/>
          <w:i/>
          <w:iCs/>
        </w:rPr>
        <w:t>Note</w:t>
      </w:r>
      <w:r w:rsidRPr="00DE5B1D">
        <w:rPr>
          <w:rFonts w:ascii="Times New Roman" w:hAnsi="Times New Roman" w:cs="Times New Roman"/>
        </w:rPr>
        <w:t xml:space="preserve">. EA rates and response thresholds are decision parameters estimated by fitting the behavioural data generated from the VBDM task to a drift-diffusion model (DDM). A significant difference in VBDM parameters (i.e., EA rates / response thresholds) in line with one (or more) hypotheses from recent conceptual accounts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{"citationID":"fOjuoF4X","properties":{"formattedCitation":"(Copeland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Pr>
          <w:rFonts w:ascii="Times New Roman" w:hAnsi="Times New Roman" w:cs="Times New Roman"/>
        </w:rPr>
        <w:fldChar w:fldCharType="separate"/>
      </w:r>
      <w:r w:rsidR="0063006F">
        <w:rPr>
          <w:rFonts w:ascii="Times New Roman" w:hAnsi="Times New Roman" w:cs="Times New Roman"/>
          <w:noProof/>
        </w:rPr>
        <w:t>(Copeland et al., 2021; Field, Heather, et al., 2020)</w:t>
      </w:r>
      <w:r>
        <w:rPr>
          <w:rFonts w:ascii="Times New Roman" w:hAnsi="Times New Roman" w:cs="Times New Roman"/>
        </w:rPr>
        <w:fldChar w:fldCharType="end"/>
      </w:r>
      <w:r w:rsidRPr="00DE5B1D">
        <w:rPr>
          <w:rFonts w:ascii="Times New Roman" w:hAnsi="Times New Roman" w:cs="Times New Roman"/>
        </w:rPr>
        <w:t xml:space="preserve"> is denoted by ‘Yes’, whereas ‘No’ denotes where hypotheses were not supported. ‘Inconclusive’ refers to chapters whereby the findings aligned with one (or more) hypotheses, but where the full interpretation is complicated by other factor(s)—see discussion sections within individual thesis chapters for further detail.</w:t>
      </w:r>
    </w:p>
    <w:p w14:paraId="2BCC5368" w14:textId="61317B07" w:rsidR="00093B56" w:rsidRDefault="00093B56" w:rsidP="00762442">
      <w:pPr>
        <w:pStyle w:val="NoSpacing"/>
        <w:spacing w:line="480" w:lineRule="auto"/>
        <w:rPr>
          <w:rFonts w:ascii="Times New Roman" w:hAnsi="Times New Roman" w:cs="Times New Roman"/>
        </w:rPr>
      </w:pPr>
    </w:p>
    <w:p w14:paraId="2B5D9DA0" w14:textId="68C2AEE5" w:rsidR="0063006F" w:rsidRPr="0063006F" w:rsidRDefault="0063006F" w:rsidP="00762442">
      <w:pPr>
        <w:pStyle w:val="Heading2"/>
      </w:pPr>
      <w:bookmarkStart w:id="331" w:name="_Toc110612741"/>
      <w:bookmarkStart w:id="332" w:name="_Toc110629081"/>
      <w:bookmarkStart w:id="333" w:name="_Toc110870989"/>
      <w:r w:rsidRPr="0063006F">
        <w:t>8.2</w:t>
      </w:r>
      <w:r w:rsidR="00403E7C">
        <w:t>.</w:t>
      </w:r>
      <w:r w:rsidRPr="0063006F">
        <w:t xml:space="preserve"> Theoretical implications</w:t>
      </w:r>
      <w:bookmarkEnd w:id="331"/>
      <w:bookmarkEnd w:id="332"/>
      <w:bookmarkEnd w:id="333"/>
    </w:p>
    <w:p w14:paraId="4174D9F8" w14:textId="42ED0F1E" w:rsidR="0063006F" w:rsidRPr="0063006F" w:rsidRDefault="0063006F" w:rsidP="00762442">
      <w:pPr>
        <w:pStyle w:val="NoSpacing"/>
        <w:spacing w:line="480" w:lineRule="auto"/>
        <w:rPr>
          <w:rFonts w:ascii="Times New Roman" w:hAnsi="Times New Roman" w:cs="Times New Roman"/>
        </w:rPr>
      </w:pPr>
      <w:r w:rsidRPr="0063006F">
        <w:rPr>
          <w:rFonts w:ascii="Times New Roman" w:hAnsi="Times New Roman" w:cs="Times New Roman"/>
        </w:rPr>
        <w:t xml:space="preserve">This thesis contains the first empirical test of predictions about recovery from addiction that stem from recent conceptual pieces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{"citationID":"llSDQQvF","properties":{"formattedCitation":"(Copeland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(Copeland et al., 2021; Field, Heather, et al., 2020)</w:t>
      </w:r>
      <w:r>
        <w:rPr>
          <w:rFonts w:ascii="Times New Roman" w:hAnsi="Times New Roman" w:cs="Times New Roman"/>
        </w:rPr>
        <w:fldChar w:fldCharType="end"/>
      </w:r>
      <w:r w:rsidRPr="0063006F">
        <w:rPr>
          <w:rFonts w:ascii="Times New Roman" w:hAnsi="Times New Roman" w:cs="Times New Roman"/>
        </w:rPr>
        <w:t xml:space="preserve"> that are inspired by neuroscience-informed accounts of self-control </w:t>
      </w:r>
      <w:r>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{"citationID":"cixUGuY3","properties":{"formattedCitation":"(Berkman et al., 2017)","plainCitation":"(Berkman et al., 2017)","noteIndex":0},"citationItems":[{"id":1528,"uris":["http://zotero.org/users/7873587/items/BGCGUKYV"],"itemData":{"id":1528,"type":"article-journal","abstract":"Self-control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(Berkman et al., 2017)</w:t>
      </w:r>
      <w:r>
        <w:rPr>
          <w:rFonts w:ascii="Times New Roman" w:hAnsi="Times New Roman" w:cs="Times New Roman"/>
        </w:rPr>
        <w:fldChar w:fldCharType="end"/>
      </w:r>
      <w:r w:rsidRPr="0063006F">
        <w:rPr>
          <w:rFonts w:ascii="Times New Roman" w:hAnsi="Times New Roman" w:cs="Times New Roman"/>
        </w:rPr>
        <w:t xml:space="preserve"> and </w:t>
      </w:r>
      <w:r w:rsidRPr="0063006F">
        <w:rPr>
          <w:rFonts w:ascii="Times New Roman" w:hAnsi="Times New Roman" w:cs="Times New Roman"/>
        </w:rPr>
        <w:lastRenderedPageBreak/>
        <w:t xml:space="preserve">behavioural economics </w:t>
      </w:r>
      <w:r>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{"citationID":"BTmv4j7z","properties":{"formattedCitation":"(Bickel et al., 2014)","plainCitation":"(Bickel et al., 2014)","noteIndex":0},"citationItems":[{"id":816,"uris":["http://zotero.org/users/7873587/items/R9KVGRWU"],"itemData":{"id":816,"type":"article-journal","abstract":"The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(Bickel et al., 2014)</w:t>
      </w:r>
      <w:r>
        <w:rPr>
          <w:rFonts w:ascii="Times New Roman" w:hAnsi="Times New Roman" w:cs="Times New Roman"/>
        </w:rPr>
        <w:fldChar w:fldCharType="end"/>
      </w:r>
      <w:r>
        <w:rPr>
          <w:rFonts w:ascii="Times New Roman" w:hAnsi="Times New Roman" w:cs="Times New Roman"/>
        </w:rPr>
        <w:t>.</w:t>
      </w:r>
      <w:r w:rsidRPr="0063006F">
        <w:rPr>
          <w:rFonts w:ascii="Times New Roman" w:hAnsi="Times New Roman" w:cs="Times New Roman"/>
        </w:rPr>
        <w:t xml:space="preserve"> By using novel methodology to quantify the internal mechanics of decision-making that determine value-based decisions, the findings from this thesis have a number of theoretical implications, which I discuss below.</w:t>
      </w:r>
    </w:p>
    <w:p w14:paraId="3ADAC693" w14:textId="77777777" w:rsidR="0063006F" w:rsidRPr="0063006F" w:rsidRDefault="0063006F" w:rsidP="00762442">
      <w:pPr>
        <w:pStyle w:val="NoSpacing"/>
        <w:spacing w:line="480" w:lineRule="auto"/>
      </w:pPr>
    </w:p>
    <w:p w14:paraId="7600DA2E" w14:textId="0FBC8825" w:rsidR="0063006F" w:rsidRPr="0063006F" w:rsidRDefault="0063006F" w:rsidP="00762442">
      <w:pPr>
        <w:pStyle w:val="Heading3"/>
        <w:spacing w:line="480" w:lineRule="auto"/>
      </w:pPr>
      <w:bookmarkStart w:id="334" w:name="_Toc110612742"/>
      <w:bookmarkStart w:id="335" w:name="_Toc110629082"/>
      <w:bookmarkStart w:id="336" w:name="_Toc110870990"/>
      <w:r w:rsidRPr="0063006F">
        <w:t>8.2.1</w:t>
      </w:r>
      <w:r w:rsidR="00403E7C">
        <w:t>.</w:t>
      </w:r>
      <w:r w:rsidRPr="0063006F">
        <w:t xml:space="preserve"> Goal-directed accounts</w:t>
      </w:r>
      <w:bookmarkEnd w:id="334"/>
      <w:bookmarkEnd w:id="335"/>
      <w:bookmarkEnd w:id="336"/>
      <w:r w:rsidRPr="0063006F">
        <w:t xml:space="preserve"> </w:t>
      </w:r>
    </w:p>
    <w:p w14:paraId="371A9B64" w14:textId="7036E5EE" w:rsidR="009A0BC3" w:rsidRDefault="0063006F" w:rsidP="00BA5D4A">
      <w:pPr>
        <w:pStyle w:val="NoSpacing"/>
        <w:spacing w:line="480" w:lineRule="auto"/>
        <w:rPr>
          <w:rFonts w:ascii="Times New Roman" w:hAnsi="Times New Roman" w:cs="Times New Roman"/>
        </w:rPr>
      </w:pPr>
      <w:r w:rsidRPr="0063006F">
        <w:rPr>
          <w:rFonts w:ascii="Times New Roman" w:hAnsi="Times New Roman" w:cs="Times New Roman"/>
        </w:rPr>
        <w:t xml:space="preserve">A wealth of </w:t>
      </w:r>
      <w:r w:rsidR="00CD7CCF">
        <w:rPr>
          <w:rFonts w:ascii="Times New Roman" w:hAnsi="Times New Roman" w:cs="Times New Roman"/>
        </w:rPr>
        <w:t>research supports the notion</w:t>
      </w:r>
      <w:r w:rsidRPr="0063006F">
        <w:rPr>
          <w:rFonts w:ascii="Times New Roman" w:hAnsi="Times New Roman" w:cs="Times New Roman"/>
        </w:rPr>
        <w:t xml:space="preserve"> that substance-related decisions are goal-directed in humans </w:t>
      </w:r>
      <w:r w:rsidR="00CD7CCF">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{"citationID":"2z0O4naa","properties":{"formattedCitation":"(Acuff, Amlung, et al., 2020; Hogarth, 2020, 2022; Lawn et al., 2015; Pickard, 2020b; Rose et al., 2018)","plainCitation":"(Acuff, Amlung, et al., 2020; Hogarth, 2020, 2022; Lawn et al., 2015; Pickard, 2020b; Rose et al., 2018)","noteIndex":0},"citationItems":[{"id":723,"uris":["http://zotero.org/users/7873587/items/96IHIJ5I"],"itemData":{"id":723,"type":"article-journal","abstract":"BACKGROUND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G."}],"issued":{"date-parts":[["2020"]]}},"label":"page"},{"id":1258,"uris":["http://zotero.org/users/7873587/items/9DVNYNDZ"],"itemData":{"id":1258,"type":"article-journal","abstract":"Drug addiction may be a goal-directed choice driven by excessive drug value in negative affective states, a habit driven by strong stimulus−response associations, or a compulsion driven by insensitivity to costs imposed on drug seeking. Laboratory animal and human evidence for these three theories is evaluated. Excessive goal theory is supported by dependence severity being associated with greater drug choice/economic demand. Drug choice is demonstrably goal-directed (driven by the expected value of the drug) and can be augmented by stress/negative mood induction and withdrawal—effects amplified in those with psychiatric symptoms and drug use coping motives. Furthermore, psychiatric symptoms confer risk of dependence, and coping motives mediate this risk. Habit theory of addiction has weaker support. Habitual behaviour seen in drug-exposed animals often does not occur in complex decision scenarios, or where responding is rewarded, so habit is unlikely to explain most human addictive behaviour where these conditions apply. Furthermore, most human studies have not found greater propensity to habitual behaviour in drug users or as a function of dependence severity, and the minority that have can be explained by task disengagement producing impaired explicit contingency knowledge. Compulsion theory of addiction also has weak support. The persistence of punished drug seeking in animals is better explained by greater drug value (evinced by the association with economic demand) than by insensitivity to costs. Furthermore, human studies have provided weak evidence that propensity to discount cost imposed on drug seeking is associated with dependence severity. These data suggest that human addiction is primarily driven by excessive goal-directed drug choice under negative affect, and less by habit or compulsion. Addiction is pathological because negative states powerfully increase expected drug value acutely outweighing abstinence goals.","container-title":"Neuropsychopharmacology","DOI":"10.1038/s41386-020-0600-8","ISSN":"1740-634X","issue":"5","journalAbbreviation":"Neuropsychopharmacol.","language":"en","license":"2020 The Author(s)","note":"number: 5\npublisher: Nature Publishing Group","page":"720-735","source":"www.nature.com","title":"Addiction is driven by excessive goal-directed drug choice under negative affect: translational critique of habit and compulsion theory","title-short":"Addiction is driven by excessive goal-directed drug choice under negative affect","volume":"45","author":[{"family":"Hogarth","given":"Lee"}],"issued":{"date-parts":[["2020",4]]}},"label":"page"},{"id":879,"uris":["http://zotero.org/users/7873587/items/HAB8IICP"],"itemData":{"id":879,"type":"chapter","abstract":"Since its inception, the brain disease model of addiction (BDMA) has iteratively explained the puzzle of addiction (why drug use persists despite harms) by appealing to various automaticity accounts, including (but not limited to) automatic cue reactivity, habit and compulsion theories. The current chapter evaluates these claims of the BDMA by reviewing studies which have experimentally tested whether individual variation in addiction (dependence) severity can plausibly be explained by propensity to automatic cue-elicited, habitual or compulsive control over drug choice. The evidence clearly indicates that drug choice, even in dependent individuals, is not automatic, habitual or compulsive in nature. Rather, the puzzle of addiction is better explained by factors related to socioeconomic deprivation powerfully augmenting the expected value of the drug relative to alternative rewards, promoting persistent goal-directed drug choice by outweighing expected harms. The implication is that there should be a reorientation of research funding priorities to focus on interventions that address social structural, environmental and psychosocial factors that motivate goal-directed drug choice, rather than pursuing (thus far) fruitless (in terms of therapeutic impact) investigations into proposed biomedical mechanisms underpinning automatic, habitual or compulsive drug seeking.","container-title":"Evaluating the Brain Disease Model of Addiction","event-place":"216-236","ISBN":"978-1-00-303276-2","note":"number-of-pages: 21","publisher":"Routledge","publisher-place":"216-236","title":"The persistence of addiction is better explained by socioeconomic deprivation-related factors powerfully motivating goal-directed drug choice than by automaticity, habit or compulsion theories favored by the brain disease model","author":[{"family":"Hogarth","given":"Lee"}],"editor":[{"family":"Heather","given":"Nick"},{"family":"Field","given":"Matt"},{"family":"Moss","given":"Antony C."},{"family":"Satel","given":"Sally"}],"issued":{"date-parts":[["2022"]]}},"label":"page"},{"id":858,"uris":["http://zotero.org/users/7873587/items/AZB9K6WG"],"itemData":{"id":858,"type":"article-journal","abstract":"RATIONALE: Drug addiction may be characterised by a hypersensitivity to drug rewards and a hyposensitivity to non-drug rewards. This imbalance may become further polarised during acute abstinence.\nOBJECTIVES: (i) Examine the differences between dependent and occasional smokers in choices for, motivation for and self-reported wanting and liking of cigarette and non-drug rewards. (ii) Examine the effects of 12-h nicotine abstinence on these metrics.\nMETHODS: Dependent (n = 20) and occasional, non-dependent smokers (n = 20) were tested after ad libitum smoking and ≥12-h of nicotine abstinence. A novel task was developed (Drug, Reward and Motivation-Choice (DReaM-Choice)) in which different rewards (cigarettes, music and chocolate) could be won. In each trial, participants chose between two rewards and then could earn the chosen reward via repeated button-pressing. Participants subsequently 'consumed' and rated subjective liking of the rewards they had won.\nRESULTS: Compared with occasional smokers, dependent smokers made more choices for (p &lt; 0.001), pressed more for (p = 0.046) and reported more wanting (p = 0.007) and liking (p &lt; 0.001) of cigarettes, and also made fewer choices for chocolate (p = 0.005). There were no differences between the groups on button-pressing for chocolate or music. However, the balance between drug and non-drug reward processing was different between the groups across all metrics. Twelve-hour nicotine abstinence led to more cigarette choices (p &lt; 0.001) and fewer music choices (p = 0.042) in both groups.\nCONCLUSIONS: Nicotine dependence was associated with a hypersensitivity to cigarette rewards, but we found little evidence indicating a hyposensitivity to non-drug rewards. Our findings question the moderating influence of dependence on how acute nicotine abstinence affects reward processing.","container-title":"Psychopharmacology","DOI":"10.1007/s00213-015-3883-4","ISSN":"1432-2072","issue":"14","journalAbbreviation":"Psychopharmacology (Berl)","language":"eng","note":"PMID: 25757672","page":"2503-2517","source":"PubMed","title":"The effects of nicotine dependence and acute abstinence on the processing of drug and non-drug rewards","volume":"232","author":[{"family":"Lawn","given":"W."},{"family":"Freeman","given":"T. P."},{"family":"Hindocha","given":"C."},{"family":"Mokrysz","given":"C."},{"family":"Das","given":"R. K."},{"family":"Morgan","given":"C. J. A."},{"family":"Curran","given":"H. V."}],"issued":{"date-parts":[["2015",7]]}},"label":"page"},{"id":1256,"uris":["http://zotero.org/users/7873587/items/HIM538VR"],"itemData":{"id":1256,"type":"article-journal","abstract":"The landscape of addiction is dominated by two rival models: a moral model and a model that characterizes addiction as a neurobiological disease of compulsion. Against both, I offer a scientifically and clinically informed alternative. Addiction is a highly heterogenous condition that is ill-characterized as involving compulsive use. On the whole, drug consumption in addiction remains goal directed: people take drugs because drugs have tremendous value. This view has potential implications for the claim that addiction is, in all cases, a brain disease. But more importantly, it has implications for clinical and policy interventions. To help someone overcome addiction, you need to understand and address why they persist in using drugs despite negative consequences. If they are not compelled, then the explanation must advert to the value of drugs for them as an individual. What blocks us from acknowledging this reality is not science but fear: that it will ignite moralism about drugs and condemnation of drug users. The solution is not to cleave to the concept of compulsion but to fight moralism directly.","container-title":"Hastings Center Report","DOI":"10.1002/hast.1172","ISSN":"1552-146X","issue":"4","language":"en","note":"_eprint: https://onlinelibrary.wiley.com/doi/pdf/10.1002/hast.1172","page":"37-46","source":"Wiley Online Library","title":"What we're not talking about when we talk about addiction","volume":"50","author":[{"family":"Pickard","given":"Hanna"}],"issued":{"date-parts":[["2020"]]}},"label":"page"},{"id":1352,"uris":["http://zotero.org/users/7873587/items/C77DAMBX"],"itemData":{"id":1352,"type":"article-journal","abstract":"RATIONALE: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label":"page"}],"schema":"https://github.com/citation-style-language/schema/raw/master/csl-citation.json"} </w:instrText>
      </w:r>
      <w:r w:rsidR="00CD7CCF">
        <w:rPr>
          <w:rFonts w:ascii="Times New Roman" w:hAnsi="Times New Roman" w:cs="Times New Roman"/>
        </w:rPr>
        <w:fldChar w:fldCharType="separate"/>
      </w:r>
      <w:r w:rsidR="00CD7CCF">
        <w:rPr>
          <w:rFonts w:ascii="Times New Roman" w:hAnsi="Times New Roman" w:cs="Times New Roman"/>
          <w:noProof/>
        </w:rPr>
        <w:t>(Acuff, Amlung, et al., 2020; Hogarth, 2020, 2022; Lawn et al., 2015; Pickard, 2020b; Rose et al., 2018)</w:t>
      </w:r>
      <w:r w:rsidR="00CD7CCF">
        <w:rPr>
          <w:rFonts w:ascii="Times New Roman" w:hAnsi="Times New Roman" w:cs="Times New Roman"/>
        </w:rPr>
        <w:fldChar w:fldCharType="end"/>
      </w:r>
      <w:r w:rsidR="00CD7CCF">
        <w:rPr>
          <w:rFonts w:ascii="Times New Roman" w:hAnsi="Times New Roman" w:cs="Times New Roman"/>
        </w:rPr>
        <w:t xml:space="preserve">. </w:t>
      </w:r>
      <w:r w:rsidRPr="0063006F">
        <w:rPr>
          <w:rFonts w:ascii="Times New Roman" w:hAnsi="Times New Roman" w:cs="Times New Roman"/>
        </w:rPr>
        <w:t xml:space="preserve">This line of evidence is complemented by findings from Chapter 4: </w:t>
      </w:r>
      <w:r w:rsidRPr="009F5C0D">
        <w:rPr>
          <w:rFonts w:ascii="Times New Roman" w:hAnsi="Times New Roman" w:cs="Times New Roman"/>
        </w:rPr>
        <w:t xml:space="preserve">experimentally </w:t>
      </w:r>
      <w:r w:rsidR="00107EBB" w:rsidRPr="009F5C0D">
        <w:rPr>
          <w:rFonts w:ascii="Times New Roman" w:hAnsi="Times New Roman" w:cs="Times New Roman"/>
        </w:rPr>
        <w:t>manipulating</w:t>
      </w:r>
      <w:r w:rsidRPr="009F5C0D">
        <w:rPr>
          <w:rFonts w:ascii="Times New Roman" w:hAnsi="Times New Roman" w:cs="Times New Roman"/>
        </w:rPr>
        <w:t xml:space="preserve"> the value of alcohol such that it is devalued</w:t>
      </w:r>
      <w:r w:rsidR="00107EBB" w:rsidRPr="009F5C0D">
        <w:rPr>
          <w:rFonts w:ascii="Times New Roman" w:hAnsi="Times New Roman" w:cs="Times New Roman"/>
        </w:rPr>
        <w:t xml:space="preserve"> (relative to valued)</w:t>
      </w:r>
      <w:r w:rsidRPr="009F5C0D">
        <w:rPr>
          <w:rFonts w:ascii="Times New Roman" w:hAnsi="Times New Roman" w:cs="Times New Roman"/>
        </w:rPr>
        <w:t xml:space="preserve"> in turn increased EA rates for alcohol-free alternatives,</w:t>
      </w:r>
      <w:r w:rsidRPr="0063006F">
        <w:rPr>
          <w:rFonts w:ascii="Times New Roman" w:hAnsi="Times New Roman" w:cs="Times New Roman"/>
        </w:rPr>
        <w:t xml:space="preserve"> thereby making it more likely that soft</w:t>
      </w:r>
      <w:r w:rsidR="009A0BC3">
        <w:rPr>
          <w:rFonts w:ascii="Times New Roman" w:hAnsi="Times New Roman" w:cs="Times New Roman"/>
        </w:rPr>
        <w:t xml:space="preserve"> </w:t>
      </w:r>
      <w:r w:rsidRPr="0063006F">
        <w:rPr>
          <w:rFonts w:ascii="Times New Roman" w:hAnsi="Times New Roman" w:cs="Times New Roman"/>
        </w:rPr>
        <w:t xml:space="preserve">drinks (rather than alcohol) would cross their response threshold required for committing to a decision. Chapter 5 however did not demonstrate this effect with nicotine, thereby contrasting with goal-directed accounts. Although findings from this thesis cannot be completely reconciled with existing research studies due to methodological differences (e.g., decision-making task and dependent variable of interest), they demonstrate that the experimental mood-induced increase in tobacco value may not be robust. It may also be important to consider factors that distinguish Chapter 4 and Chapter 5 when interpreting the findings presented within this thesis, such as whether the research was conducted in-person or online, whether the stimuli used for the experimental manipulation of substance value was directly (e.g., depicting benefits or consequences of alcohol consumption) or indirectly (e.g., via the induction of negative or positive mood) focused on the substance. One possibility is that nicotine value is somewhat more difficult to manipulate than alcohol value. Indeed, there are considerably fewer situational constraints on tobacco use compared to alcohol use </w:t>
      </w:r>
      <w:r w:rsidR="007D06D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{"citationID":"HYd69mYw","properties":{"formattedCitation":"(Dora et al., 2022)","plainCitation":"(Dora et al., 2022)","noteIndex":0},"citationItems":[{"id":922,"uris":["http://zotero.org/users/7873587/items/294T6PMM"],"itemData":{"id":922,"type":"article-journal","abstract":"Influential psychological theories hypothesize that people consume alcohol in response to the experience of both negative and positive emotions. Despite two decades of daily diary and ecological momentary assessment research, it remains unclear whether people consume more alcohol on days they experience higher negative and positive affect in everyday life. In this preregistered meta-analysis, we synthesized the evidence for these daily associations between affect and alcohol use. We included individual participant data from 69 studies (N = 12,394), which used daily and momentary surveys to assess affect and the number of alcoholic drinks consumed. Results indicate that people do not drink more often on days they experience high negative affect, but are more likely to drink and drink heavily on days high in positive affect. People self-reporting a motivational tendency to drink-to-cope and drink-to-enhance were estimated to consume more alcohol, but not to consume more alcohol on days they experience higher negative and positive affect. Results were robust across different operationalizations of affect, study designs, study populations, and individual characteristics. Based on our findings, we collectively propose an agenda for future research to explore open questions surrounding affect and alcohol use.","container-title":"PsyArXiv","DOI":"10.31234/osf.io/xevct","language":"en-us","note":"type: article","source":"OSF Preprints","title":"The daily association between affect and alcohol use: A meta-analysis of individual participant data","title-short":"The daily association between affect and alcohol use","URL":"https://psyarxiv.com/xevct/","author":[{"family":"Dora","given":"Jonas"},{"family":"Piccirillo","given":"Marilyn"},{"family":"Foster","given":"Katherine T."},{"family":"Arbeau","given":"Kelly"},{"family":"Armeli","given":"Stephen"},{"family":"Auriacombe","given":"Marc"},{"family":"Bartholow","given":"Bruce D."},{"family":"Beltz","given":"Adriene"},{"family":"Blumenstock","given":"Shari"},{"family":"Bold","given":"Krysten"},{"family":"Bonar","given":"Erin"},{"family":"Braitman","given":"Abby"},{"family":"Carpenter","given":"Ryan"},{"family":"Creswell","given":"Kasey"},{"family":"DeHart","given":"Tracy"},{"family":"Dvorak","given":"Robert"},{"family":"Emery","given":"Noah N."},{"family":"Enkema","given":"Matthew"},{"family":"Fairbairn","given":"Catharine"},{"family":"Fairlie","given":"Anne"},{"family":"Ferguson","given":"Stuart"},{"family":"Freire","given":"Teresa"},{"family":"Goodman","given":"Fallon"},{"family":"Gottfredson","given":"Nisha"},{"family":"Halvorson","given":"Max Andrew"},{"family":"Haroon","given":"Maleeha"},{"family":"Howard","given":"Andrea"},{"family":"Hussong","given":"Andrea"},{"family":"Jackson","given":"Kristina M."},{"family":"Jenzer","given":"Tiffany"},{"family":"Kelly","given":"Dominic"},{"family":"Kuczynski","given":"Adam M."},{"family":"Kuerbis","given":"Alexis"},{"family":"Lee","given":"Christine"},{"family":"Lewis","given":"Melissa"},{"family":"Linden-Carmichael","given":"Ashley"},{"family":"Littlefield","given":"Andrew"},{"family":"Lydon-Staley","given":"David Martin"},{"family":"Merrill","given":"Jennifer"},{"family":"Jr","given":"Robert Miranda"},{"family":"Mohr","given":"Cynthia"},{"family":"Read","given":"Jennifer"},{"family":"Richardson","given":"Clarissa"},{"family":"O'connor","given":"Roisin"},{"family":"O'malley","given":"Stephanie"},{"family":"Papp","given":"Lauren"},{"family":"Piasecki","given":"Thomas M."},{"family":"Sacco","given":"Paul"},{"family":"Scaglione","given":"Nichole"},{"family":"Serre","given":"Fuschia"},{"family":"Shadur","given":"Julia"},{"family":"Sher","given":"Kenneth J."},{"family":"Shoda","given":"Yuichi"},{"family":"Simpson","given":"Tracy"},{"family":"Stevens","given":"Angela K."},{"family":"Stevenson","given":"Brittany"},{"family":"Tennen","given":"Howard"},{"family":"Todd","given":"Michael"},{"family":"Padovano","given":"Hayley Treloar"},{"family":"Trull","given":"Timothy J."},{"family":"Waddell (MU-Student)","given":"Jack T."},{"family":"Walukevich-Dienst","given":"Katherine"},{"family":"Witkiewitz","given":"Katie"},{"family":"Wray","given":"Tyler B."},{"family":"Wright","given":"Aidan G. C."},{"family":"Wycoff","given":"Andrea M."},{"family":"King","given":"Kevin"}],"accessed":{"date-parts":[["2022",3,18]]},"issued":{"date-parts":[["2022",2,1]]}}}],"schema":"https://github.com/citation-style-language/schema/raw/master/csl-citation.json"} </w:instrText>
      </w:r>
      <w:r w:rsidR="007D06D3">
        <w:rPr>
          <w:rFonts w:ascii="Times New Roman" w:hAnsi="Times New Roman" w:cs="Times New Roman"/>
        </w:rPr>
        <w:fldChar w:fldCharType="separate"/>
      </w:r>
      <w:r w:rsidR="007D06D3">
        <w:rPr>
          <w:rFonts w:ascii="Times New Roman" w:hAnsi="Times New Roman" w:cs="Times New Roman"/>
          <w:noProof/>
        </w:rPr>
        <w:t>(Dora et al., 2022)</w:t>
      </w:r>
      <w:r w:rsidR="007D06D3">
        <w:rPr>
          <w:rFonts w:ascii="Times New Roman" w:hAnsi="Times New Roman" w:cs="Times New Roman"/>
        </w:rPr>
        <w:fldChar w:fldCharType="end"/>
      </w:r>
      <w:r w:rsidR="007D06D3">
        <w:rPr>
          <w:rFonts w:ascii="Times New Roman" w:hAnsi="Times New Roman" w:cs="Times New Roman"/>
        </w:rPr>
        <w:t>:</w:t>
      </w:r>
      <w:r w:rsidRPr="0063006F">
        <w:rPr>
          <w:rFonts w:ascii="Times New Roman" w:hAnsi="Times New Roman" w:cs="Times New Roman"/>
        </w:rPr>
        <w:t xml:space="preserve"> people typically smoke at repeated intervals throughout the day and week, and this can include when people are at work, for example. Whereas for alcohol, people are likely </w:t>
      </w:r>
      <w:r w:rsidRPr="0063006F">
        <w:rPr>
          <w:rFonts w:ascii="Times New Roman" w:hAnsi="Times New Roman" w:cs="Times New Roman"/>
        </w:rPr>
        <w:lastRenderedPageBreak/>
        <w:t xml:space="preserve">to consume this in the evening or on weekends </w:t>
      </w:r>
      <w:r w:rsidR="009A0BC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{"citationID":"SKCA4aXk","properties":{"formattedCitation":"(Kuntsche &amp; Gmel, 2013)","plainCitation":"(Kuntsche &amp; Gmel, 2013)","noteIndex":0},"citationItems":[{"id":1635,"uris":["http://zotero.org/users/7873587/items/BD4QVPS8"],"itemData":{"id":1635,"type":"article-journal","abstract":"Risky single-occasion drinking (RSOD) is more common in late adolescence and early adulthood (approximately between the ages of 16 and 30) than in any other period in life. This is also the age when young people in Switzerland and many other European countries are legally allowed to buy and drink alcohol, but they usually do not yet have adult responsibilities. This paper reviews evidence from the international literature and provides examples of studies conducted in Switzerland demonstrating that (a) RSOD is by far most prevalent on Saturday evenings followed by Friday evenings, usually because young people go out and do not have any work or study responsibilities the next day; (b) RSOD results from drinking in private before going out (\"predrinking\") and accelerating the pace of drinking (i.e. increasing the number of drinks consumed per hour); (c) RSOD is often not accidental but purposeful,. to seek excitement, to have fun and to feel the effects of alcohol; (d) RSOD occurs predominantly outside the home, mostly in bars, pubs, discos or at special events and festivals; (e) RSOD often results in intended and unintended injuries and other acute consequences, which are leading risk factors for mortality and morbidity in this age group. Effective prevention strategies should include attempts to reduce opportunities to engage in heavy drinking as well as strategies to reduce its harmful consequences.","container-title":"Swiss Medical Weekly","DOI":"10.4414/smw.2013.13826","ISSN":"1424-3997","journalAbbreviation":"Swiss Med Wkly","language":"eng","note":"PMID: 23888405","page":"w13826","source":"PubMed","title":"Alcohol consumption in late adolescence and early adulthood--where is the problem?","volume":"143","author":[{"family":"Kuntsche","given":"Emmanuel"},{"family":"Gmel","given":"Gerhard"}],"issued":{"date-parts":[["2013"]]}}}],"schema":"https://github.com/citation-style-language/schema/raw/master/csl-citation.json"} </w:instrText>
      </w:r>
      <w:r w:rsidR="009A0BC3">
        <w:rPr>
          <w:rFonts w:ascii="Times New Roman" w:hAnsi="Times New Roman" w:cs="Times New Roman"/>
        </w:rPr>
        <w:fldChar w:fldCharType="separate"/>
      </w:r>
      <w:r w:rsidR="009A0BC3">
        <w:rPr>
          <w:rFonts w:ascii="Times New Roman" w:hAnsi="Times New Roman" w:cs="Times New Roman"/>
          <w:noProof/>
        </w:rPr>
        <w:t>(Kuntsche &amp; Gmel, 2013)</w:t>
      </w:r>
      <w:r w:rsidR="009A0BC3">
        <w:rPr>
          <w:rFonts w:ascii="Times New Roman" w:hAnsi="Times New Roman" w:cs="Times New Roman"/>
        </w:rPr>
        <w:fldChar w:fldCharType="end"/>
      </w:r>
      <w:r w:rsidRPr="0063006F">
        <w:rPr>
          <w:rFonts w:ascii="Times New Roman" w:hAnsi="Times New Roman" w:cs="Times New Roman"/>
        </w:rPr>
        <w:t xml:space="preserve">, and it would not be appropriate to do so when faced with responsibilities, such as when at work. There are therefore obvious consequences to alcohol use that stem from intoxication that can be exploited within experimental manipulations to target alcohol value. Interestingly, a systematic review by </w:t>
      </w:r>
      <w:r w:rsidR="009A0BC3">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{"citationID":"5hXVbYd0","properties":{"formattedCitation":"(Acuff et al., 2019)","plainCitation":"(Acuff et al., 2019)","noteIndex":0},"citationItems":[{"id":1452,"uris":["http://zotero.org/users/7873587/items/2ENG4DDR"],"itemData":{"id":1452,"type":"article-journal","abstract":"A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G."}],"issued":{"date-parts":[["2019"]]}}}],"schema":"https://github.com/citation-style-language/schema/raw/master/csl-citation.json"} </w:instrText>
      </w:r>
      <w:r w:rsidR="009A0BC3">
        <w:rPr>
          <w:rFonts w:ascii="Times New Roman" w:hAnsi="Times New Roman" w:cs="Times New Roman"/>
        </w:rPr>
        <w:fldChar w:fldCharType="separate"/>
      </w:r>
      <w:r w:rsidR="00BA5D4A" w:rsidRPr="00BA5D4A">
        <w:rPr>
          <w:rFonts w:ascii="Times New Roman" w:hAnsi="Times New Roman" w:cs="Times New Roman"/>
        </w:rPr>
        <w:t>(Acuff et al., 2019)</w:t>
      </w:r>
      <w:r w:rsidR="009A0BC3">
        <w:rPr>
          <w:rFonts w:ascii="Times New Roman" w:hAnsi="Times New Roman" w:cs="Times New Roman"/>
        </w:rPr>
        <w:fldChar w:fldCharType="end"/>
      </w:r>
      <w:r w:rsidR="009A0BC3">
        <w:rPr>
          <w:rFonts w:ascii="Times New Roman" w:hAnsi="Times New Roman" w:cs="Times New Roman"/>
        </w:rPr>
        <w:t xml:space="preserve"> </w:t>
      </w:r>
      <w:r w:rsidRPr="0063006F">
        <w:rPr>
          <w:rFonts w:ascii="Times New Roman" w:hAnsi="Times New Roman" w:cs="Times New Roman"/>
        </w:rPr>
        <w:t>found differential results for the effect of negative affect on value depending on substance type: the effect was quantified as significant for alcohol, but non-significant for tobacco. This alludes to how tobacco value may indeed be more challenging to manipulate in comparison to other substance types, such as alcohol.</w:t>
      </w:r>
    </w:p>
    <w:p w14:paraId="7C02AE4A" w14:textId="77777777" w:rsidR="009A0BC3" w:rsidRPr="009A0BC3" w:rsidRDefault="009A0BC3" w:rsidP="00762442">
      <w:pPr>
        <w:pStyle w:val="NoSpacing"/>
        <w:spacing w:line="480" w:lineRule="auto"/>
        <w:rPr>
          <w:rFonts w:ascii="Times New Roman" w:hAnsi="Times New Roman" w:cs="Times New Roman"/>
        </w:rPr>
      </w:pPr>
    </w:p>
    <w:p w14:paraId="12C82D1D" w14:textId="4EBFBE12" w:rsidR="009A0BC3" w:rsidRPr="009A0BC3" w:rsidRDefault="009A0BC3" w:rsidP="00762442">
      <w:pPr>
        <w:pStyle w:val="Heading3"/>
        <w:spacing w:line="480" w:lineRule="auto"/>
      </w:pPr>
      <w:bookmarkStart w:id="337" w:name="_Toc110612743"/>
      <w:bookmarkStart w:id="338" w:name="_Toc110629083"/>
      <w:bookmarkStart w:id="339" w:name="_Toc110870991"/>
      <w:r w:rsidRPr="009A0BC3">
        <w:t>8.2.2</w:t>
      </w:r>
      <w:r w:rsidR="00403E7C">
        <w:t>.</w:t>
      </w:r>
      <w:r w:rsidRPr="009A0BC3">
        <w:t xml:space="preserve"> Molar behavioural economic accounts</w:t>
      </w:r>
      <w:bookmarkEnd w:id="337"/>
      <w:bookmarkEnd w:id="338"/>
      <w:bookmarkEnd w:id="339"/>
    </w:p>
    <w:p w14:paraId="13A7530D" w14:textId="4643951C" w:rsidR="009A0BC3" w:rsidRDefault="009A0BC3" w:rsidP="00762442">
      <w:pPr>
        <w:pStyle w:val="NoSpacing"/>
        <w:spacing w:line="480" w:lineRule="auto"/>
        <w:rPr>
          <w:rFonts w:ascii="Times New Roman" w:hAnsi="Times New Roman" w:cs="Times New Roman"/>
        </w:rPr>
      </w:pPr>
      <w:r w:rsidRPr="009A0BC3">
        <w:rPr>
          <w:rFonts w:ascii="Times New Roman" w:hAnsi="Times New Roman" w:cs="Times New Roman"/>
        </w:rPr>
        <w:t xml:space="preserve">Existing experimental evidence is frequently interpreted through the lens of behavioural economics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{"citationID":"8WL00bVm","properties":{"formattedCitation":"(Field, Heather, et al., 2020a; Hogarth &amp; Field, 2020)","plainCitation":"(Field, Heather, et al., 2020a; Hogarth &amp; Field, 2020)","dontUpdate":true,"noteIndex":0},"citationItems":[{"id":1445,"uris":["http://zotero.org/users/7873587/items/B629PTRW"],"itemData":{"id":1445,"type":"article-journal","abstract":"Behavioral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addiction","volume":"394","author":[{"family":"Hogarth","given":"Lee"},{"family":"Field","given":"Matt"}],"issued":{"date-parts":[["2020",9,15]]}},"label":"page"}],"schema":"https://github.com/citation-style-language/schema/raw/master/csl-citation.json"} </w:instrText>
      </w:r>
      <w:r>
        <w:rPr>
          <w:rFonts w:ascii="Times New Roman" w:hAnsi="Times New Roman" w:cs="Times New Roman"/>
        </w:rPr>
        <w:fldChar w:fldCharType="separate"/>
      </w:r>
      <w:r w:rsidR="00C47F24">
        <w:rPr>
          <w:rFonts w:ascii="Times New Roman" w:hAnsi="Times New Roman" w:cs="Times New Roman"/>
          <w:noProof/>
        </w:rPr>
        <w:t>(Field, Heather, et al., 2020; Hogarth &amp; Field, 2020)</w:t>
      </w:r>
      <w:r>
        <w:rPr>
          <w:rFonts w:ascii="Times New Roman" w:hAnsi="Times New Roman" w:cs="Times New Roman"/>
        </w:rPr>
        <w:fldChar w:fldCharType="end"/>
      </w:r>
      <w:r w:rsidR="00C47F24">
        <w:rPr>
          <w:rFonts w:ascii="Times New Roman" w:hAnsi="Times New Roman" w:cs="Times New Roman"/>
        </w:rPr>
        <w:t xml:space="preserve"> </w:t>
      </w:r>
      <w:r w:rsidRPr="009A0BC3">
        <w:rPr>
          <w:rFonts w:ascii="Times New Roman" w:hAnsi="Times New Roman" w:cs="Times New Roman"/>
        </w:rPr>
        <w:t xml:space="preserve">which recognise the importance of the environment (e.g., the availability and access to substances versus substance-free alternative reinforcers) in order to contextualise decisions made over time. Importantly, however, findings from this thesis also expand upon behavioural economic accounts. This is because behavioural economic accounts are molar in nature; they are primarily concerned with the exploration of final causes, that is, the placing of behaviour within broader patterns of behaviour over time </w:t>
      </w:r>
      <w:r w:rsidR="00C47F24">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{"citationID":"4Qr1luJC","properties":{"formattedCitation":"(Rachlin et al., 2018; Tucker &amp; Vuchinich, 2015)","plainCitation":"(Rachlin et al., 2018; Tucker &amp; Vuchinich, 2015)","noteIndex":0},"citationItems":[{"id":498,"uris":["http://zotero.org/users/7873587/items/5EUVR4B7"],"itemData":{"id":498,"type":"chapter","abstract":"Behaviorism has a key role in the history of behavioral medicine, both through the development of models of biological and behavioral interaction, such as in the foundational work of Neil Miller, and through applied science, such as in the development of behavior therapy which led to much of the work of behavioral medicine in risk reduction and disease management. Focusing on operant psychology, the chapter counters views of behaviorism as looking only at “stimuli and responses” by articulating relationships among complex aspects of past experience and behaviors, emphasizing models of choice and behavioral economics. It extends those models to diverse behavioral medicine challenges, including cigarette smoking and “self-control.” It then describes the development of teleological behaviorism that emphasizes patterns of behavior and the patterns of consequences that influence them. It explores how this teleological perspective may provide new insights regarding obesity and weight loss. It closes with consideration of broad convergence between behavioral and ecological approaches with their shared emphases on contexts and how an ecological behaviorism might guide future work in behavioral medicine and public health.","container-title":"Principles and Concepts of Behavioral Medicine","event-place":"New York, NY.","ISBN":"978-0-387-93825-7","note":"DOI: 10.1007/978-0-387-93826-4_9","page":"241-275","publisher":"Springer","publisher-place":"New York, NY.","source":"ResearchGate","title":"Behavioral Medicine’s Roots in Behaviorism: Concepts and Applications","title-short":"Behavioral Medicine’s Roots in Behaviorism","author":[{"family":"Rachlin","given":"Howard"},{"family":"Green","given":"Leonard"},{"family":"Vanderveldt","given":"Ariana"},{"family":"Fisher","given":"Edwin B"}],"editor":[{"family":"Fisher","given":"Edwin B"},{"family":"Cameron","given":"Linda"},{"family":"Christensen","given":"Alan"},{"family":"Ehlert","given":"Ulrike"},{"family":"Guo","given":"Yan"},{"family":"Oldenburg","given":"Brian"},{"family":"Snoek","given":"Frank J"}],"issued":{"date-parts":[["2018",1,1]]}},"label":"page"},{"id":1387,"uris":["http://zotero.org/users/7873587/items/SR6AQKE7"],"itemData":{"id":1387,"type":"article-journal","abstract":"Comments on an article by M. Amlung et al. (see record 2015-15671-001). Amlung et al. truncated the Alcohol Purchase Task (APT) by asking only one question for each of three demand curve measures. As with the k parameter in discounting research, the demand curve measures from the APT and from Amlung et al. can be given either an efficient cause or a final cause interpretation. The authors clearly favor the efficient cause interpretation that 'alcohol demand could represent an intermediate step between craving and consumption, such that dynamic increases in craving produce a corresponding increase in the relative value of alcohol that, in turn, influences drinking decisions.' This efficient cause interpretation of the demand curve measures is consistent with mainstream psychological science, but it is counter to the historical development and current status of BE. The authors also noted that: 'An advantage of behavioral economics is that it quantifies a construct such as alcohol motivation into externally relevant metrics such as number of drinks and money spent.' (PsycINFO Database Record (c) 2016 APA, all rights reserved)","container-title":"Addiction","DOI":"10.1111/add.12983","ISSN":"1360-0443","issue":"9","note":"publisher-place: United Kingdom\npublisher: Wiley-Blackwell Publishing Ltd.","page":"1429-1430","source":"APA PsycNet","title":"Efficient and final causes of alcohol consumption","volume":"110","author":[{"family":"Tucker","given":"Jalie A."},{"family":"Vuchinich","given":"Rudy E."}],"issued":{"date-parts":[["2015"]]}},"label":"page"}],"schema":"https://github.com/citation-style-language/schema/raw/master/csl-citation.json"} </w:instrText>
      </w:r>
      <w:r w:rsidR="00C47F24">
        <w:rPr>
          <w:rFonts w:ascii="Times New Roman" w:hAnsi="Times New Roman" w:cs="Times New Roman"/>
        </w:rPr>
        <w:fldChar w:fldCharType="separate"/>
      </w:r>
      <w:r w:rsidR="00C47F24">
        <w:rPr>
          <w:rFonts w:ascii="Times New Roman" w:hAnsi="Times New Roman" w:cs="Times New Roman"/>
          <w:noProof/>
        </w:rPr>
        <w:t>(Rachlin et al., 2018; Tucker &amp; Vuchinich, 2015)</w:t>
      </w:r>
      <w:r w:rsidR="00C47F24">
        <w:rPr>
          <w:rFonts w:ascii="Times New Roman" w:hAnsi="Times New Roman" w:cs="Times New Roman"/>
        </w:rPr>
        <w:fldChar w:fldCharType="end"/>
      </w:r>
      <w:r w:rsidR="00C47F24">
        <w:rPr>
          <w:rFonts w:ascii="Times New Roman" w:hAnsi="Times New Roman" w:cs="Times New Roman"/>
        </w:rPr>
        <w:t xml:space="preserve">. </w:t>
      </w:r>
      <w:r w:rsidRPr="009A0BC3">
        <w:rPr>
          <w:rFonts w:ascii="Times New Roman" w:hAnsi="Times New Roman" w:cs="Times New Roman"/>
        </w:rPr>
        <w:t xml:space="preserve">Thus, they do not, and cannot, provide insight into the processes that occur during “in-the-moment” decisions (i.e., the molecular perspective). VBDM, informed by neuroscience, explores </w:t>
      </w:r>
      <w:r w:rsidRPr="00AA28DF">
        <w:rPr>
          <w:rFonts w:ascii="Times New Roman" w:hAnsi="Times New Roman" w:cs="Times New Roman"/>
          <w:i/>
          <w:iCs/>
        </w:rPr>
        <w:t>efficient</w:t>
      </w:r>
      <w:r w:rsidRPr="009A0BC3">
        <w:rPr>
          <w:rFonts w:ascii="Times New Roman" w:hAnsi="Times New Roman" w:cs="Times New Roman"/>
        </w:rPr>
        <w:t xml:space="preserve"> causes </w:t>
      </w:r>
      <w:r w:rsidR="003E40E0">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{"citationID":"AtuqAovx","properties":{"formattedCitation":"(Rachlin, 1992)","plainCitation":"(Rachlin, 1992)","noteIndex":0},"citationItems":[{"id":497,"uris":["http://zotero.org/users/7873587/items/X82CDKKF"],"itemData":{"id":497,"type":"article-journal","abstract":"A psychological science of efficient causes, using internal mechanisms to explain overt behavior, is distinguished from another psychological science, based on Aristotelian final causes, using external objects and goals to explain overt behavior. Efficient-cause psychology is designed to answer the question of how a particular act is emitted; final-cause psychology is designed to answer the question of why a particular act is emitted. Physiological psychology, modern cognitive psychology, and some parts of behaviorism including Skinnerian behaviorism are efficient-cause psychologies; final-cause psychology, a development of Skinnerian behaviorism, is here called teleological behaviorism. Each of these two conceptions of causality in psychology implies a different view of the mind, hence a different meaning of mental terms.","container-title":"The American Psychologist","DOI":"10.1037//0003-066x.47.11.1371","ISSN":"0003-066X","issue":"11","journalAbbreviation":"Am Psychol","language":"eng","note":"PMID: 1482004","page":"1371-1382","source":"PubMed","title":"Teleological behaviorism","volume":"47","author":[{"family":"Rachlin","given":"H."}],"issued":{"date-parts":[["1992",11]]}}}],"schema":"https://github.com/citation-style-language/schema/raw/master/csl-citation.json"} </w:instrText>
      </w:r>
      <w:r w:rsidR="003E40E0">
        <w:rPr>
          <w:rFonts w:ascii="Times New Roman" w:hAnsi="Times New Roman" w:cs="Times New Roman"/>
        </w:rPr>
        <w:fldChar w:fldCharType="separate"/>
      </w:r>
      <w:r w:rsidR="003E40E0">
        <w:rPr>
          <w:rFonts w:ascii="Times New Roman" w:hAnsi="Times New Roman" w:cs="Times New Roman"/>
          <w:noProof/>
        </w:rPr>
        <w:t>(Rachlin, 1992)</w:t>
      </w:r>
      <w:r w:rsidR="003E40E0">
        <w:rPr>
          <w:rFonts w:ascii="Times New Roman" w:hAnsi="Times New Roman" w:cs="Times New Roman"/>
        </w:rPr>
        <w:fldChar w:fldCharType="end"/>
      </w:r>
      <w:r w:rsidRPr="009A0BC3">
        <w:rPr>
          <w:rFonts w:ascii="Times New Roman" w:hAnsi="Times New Roman" w:cs="Times New Roman"/>
        </w:rPr>
        <w:t xml:space="preserve"> as the focus is on identification of cognitive processes that occur immediately prior to a given behaviour </w:t>
      </w:r>
      <w:r w:rsidR="003E40E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{"citationID":"uxCbXosn","properties":{"formattedCitation":"(Berkman et al., 2017; Field, Heather, et al., 2020a)","plainCitation":"(Berkman et al., 2017; Field, Heather, et al., 2020a)","dontUpdate":true,"noteIndex":0},"citationItems":[{"id":1528,"uris":["http://zotero.org/users/7873587/items/BGCGUKYV"],"itemData":{"id":1528,"type":"article-journal","abstract":"Self-control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sidR="003E40E0">
        <w:rPr>
          <w:rFonts w:ascii="Times New Roman" w:hAnsi="Times New Roman" w:cs="Times New Roman"/>
        </w:rPr>
        <w:fldChar w:fldCharType="separate"/>
      </w:r>
      <w:r w:rsidR="003E40E0">
        <w:rPr>
          <w:rFonts w:ascii="Times New Roman" w:hAnsi="Times New Roman" w:cs="Times New Roman"/>
          <w:noProof/>
        </w:rPr>
        <w:t>(Berkman et al., 2017; Field, Heather, et al., 2020)</w:t>
      </w:r>
      <w:r w:rsidR="003E40E0">
        <w:rPr>
          <w:rFonts w:ascii="Times New Roman" w:hAnsi="Times New Roman" w:cs="Times New Roman"/>
        </w:rPr>
        <w:fldChar w:fldCharType="end"/>
      </w:r>
      <w:r w:rsidRPr="009A0BC3">
        <w:rPr>
          <w:rFonts w:ascii="Times New Roman" w:hAnsi="Times New Roman" w:cs="Times New Roman"/>
        </w:rPr>
        <w:t xml:space="preserve">. It is important for research to investigate momentary decision-making: constraints of any given drinking context will impact the momentary cost-benefit ratio of alcohol </w:t>
      </w:r>
      <w:r w:rsidR="006B0E5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{"citationID":"bbOdVfb8","properties":{"formattedCitation":"(Acuff et al., 2021; Strickland, 2022)","plainCitation":"(Acuff et al., 2021; Strickland, 2022)","noteIndex":0},"citationItems":[{"id":1634,"uris":["http://zotero.org/users/7873587/items/UBT7276X"],"itemData":{"id":1634,"type":"article-journal","abstract":"BACKGROUND: Behavioral economic theory predicts decisions to drink are cost benefit analyses, and heavy episodic drinking occurs when benefits outweigh costs. Social interaction is a known benefit associated with alcohol use. Although heavy drinking is typically considered more likely during more social drinking events, people who drink heavily in isolation tend to report greater severity of use. This study explicitly disaggregates between-person and within-person effects of sociality on heavy episodic drinking and examines behavioral economic moderators.\nMETHODS: We used day-level survey data over an 18-week period in a community adult sample recruited through crowdsourcing (mTurk; N = 223). Behavioral economic indices were examined to determine if macro person-level variables (alcohol demand, delay discounting, proportionate alcohol-related reinforcement [R-ratio]) interact with event-level social context to predict heavy drinking episodes.\nRESULTS: Mixed effect models indicated significant between-person and within-person social context associations. Specifically, people with a higher proportion of total drinking occasions in social contexts had decreased odds of heavy drinking, whereas being in a social context for a specific drinking occasion was associated with increased odds of heavy drinking. Person-level R-Ratio, demand elasticity, and breakpoint variables interacted with social context to predict heavy episodic drinking, such that the event-level social context association was stronger when R-Ratios, alcohol price insensitivity, and demand breakpoints were high.\nCONCLUSIONS: These results demonstrate an ecological fallacy, in which the size and direction of effects were divergent at different levels of analysis, and highlight the potential for merging behavioral economic variables with proximal contextual effects to predict heavy drinking.","container-title":"Drug and Alcohol Dependence","DOI":"10.1016/j.drugalcdep.2021.108523","ISSN":"1879-0046","journalAbbreviation":"Drug Alcohol Depend","language":"eng","note":"PMID: 33465607\nPMCID: PMC7889694","page":"108523","source":"PubMed","title":"Behavioral economics and the aggregate versus proximal impact of sociality on heavy drinking","volume":"220","author":[{"family":"Acuff","given":"Samuel F."},{"family":"Stoops","given":"William W."},{"family":"Strickland","given":"Justin C."}],"issued":{"date-parts":[["2021",3,1]]}},"label":"page"},{"id":1633,"uris":["http://zotero.org/users/7873587/items/RL6PKW3I"],"itemData":{"id":1633,"type":"article-journal","container-title":"Addiction","DOI":"10.1111/add.15888","ISSN":"1360-0443","issue":"7","language":"en","note":"_eprint: https://onlinelibrary.wiley.com/doi/pdf/10.1111/add.15888","page":"1897-1898","source":"Wiley Online Library","title":"Commentary on Motschman et al.: Moving behavioral economic demand into the real world means moving beyond single schedules of reinforcement","title-short":"Commentary on Motschman et al.","volume":"117","author":[{"family":"Strickland","given":"Justin C."}],"issued":{"date-parts":[["2022"]]}},"label":"page"}],"schema":"https://github.com/citation-style-language/schema/raw/master/csl-citation.json"} </w:instrText>
      </w:r>
      <w:r w:rsidR="006B0E5C">
        <w:rPr>
          <w:rFonts w:ascii="Times New Roman" w:hAnsi="Times New Roman" w:cs="Times New Roman"/>
        </w:rPr>
        <w:fldChar w:fldCharType="separate"/>
      </w:r>
      <w:r w:rsidR="006B0E5C">
        <w:rPr>
          <w:rFonts w:ascii="Times New Roman" w:hAnsi="Times New Roman" w:cs="Times New Roman"/>
          <w:noProof/>
        </w:rPr>
        <w:t>(Acuff et al., 2021; Strickland, 2022)</w:t>
      </w:r>
      <w:r w:rsidR="006B0E5C">
        <w:rPr>
          <w:rFonts w:ascii="Times New Roman" w:hAnsi="Times New Roman" w:cs="Times New Roman"/>
        </w:rPr>
        <w:fldChar w:fldCharType="end"/>
      </w:r>
      <w:r w:rsidR="006B0E5C">
        <w:rPr>
          <w:rFonts w:ascii="Times New Roman" w:hAnsi="Times New Roman" w:cs="Times New Roman"/>
        </w:rPr>
        <w:t>.</w:t>
      </w:r>
      <w:r w:rsidRPr="009A0BC3">
        <w:rPr>
          <w:rFonts w:ascii="Times New Roman" w:hAnsi="Times New Roman" w:cs="Times New Roman"/>
        </w:rPr>
        <w:t xml:space="preserve"> Hypothetically, for example, if a person were </w:t>
      </w:r>
      <w:r w:rsidRPr="009A0BC3">
        <w:rPr>
          <w:rFonts w:ascii="Times New Roman" w:hAnsi="Times New Roman" w:cs="Times New Roman"/>
        </w:rPr>
        <w:lastRenderedPageBreak/>
        <w:t xml:space="preserve">at a bar where alcohol is expensive to purchase and consume, this may differentially impact their decision-making relative to if they were at an event where there is an open bar (i.e., where alcohol is served for free). This hypothetical example alludes to how, by only looking at aggregate patterns of behaviour over time, important information may be missed about the environmental and momentary context that may differentially impact upon decisions to use a substance. Overall, then, the second theoretical contribution is that VBDM can expand and complement molar accounts, and in doing so, contribute towards enhancing predictive utility </w:t>
      </w:r>
      <w:r w:rsidR="006B0E5C">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{"citationID":"qjfQMANm","properties":{"formattedCitation":"(Acuff et al., 2021; Field, Heather, et al., 2020a)","plainCitation":"(Acuff et al., 2021; Field, Heather, et al., 2020a)","dontUpdate":true,"noteIndex":0},"citationItems":[{"id":1634,"uris":["http://zotero.org/users/7873587/items/UBT7276X"],"itemData":{"id":1634,"type":"article-journal","abstract":"BACKGROUND: Behavioral economic theory predicts decisions to drink are cost benefit analyses, and heavy episodic drinking occurs when benefits outweigh costs. Social interaction is a known benefit associated with alcohol use. Although heavy drinking is typically considered more likely during more social drinking events, people who drink heavily in isolation tend to report greater severity of use. This study explicitly disaggregates between-person and within-person effects of sociality on heavy episodic drinking and examines behavioral economic moderators.\nMETHODS: We used day-level survey data over an 18-week period in a community adult sample recruited through crowdsourcing (mTurk; N = 223). Behavioral economic indices were examined to determine if macro person-level variables (alcohol demand, delay discounting, proportionate alcohol-related reinforcement [R-ratio]) interact with event-level social context to predict heavy drinking episodes.\nRESULTS: Mixed effect models indicated significant between-person and within-person social context associations. Specifically, people with a higher proportion of total drinking occasions in social contexts had decreased odds of heavy drinking, whereas being in a social context for a specific drinking occasion was associated with increased odds of heavy drinking. Person-level R-Ratio, demand elasticity, and breakpoint variables interacted with social context to predict heavy episodic drinking, such that the event-level social context association was stronger when R-Ratios, alcohol price insensitivity, and demand breakpoints were high.\nCONCLUSIONS: These results demonstrate an ecological fallacy, in which the size and direction of effects were divergent at different levels of analysis, and highlight the potential for merging behavioral economic variables with proximal contextual effects to predict heavy drinking.","container-title":"Drug and Alcohol Dependence","DOI":"10.1016/j.drugalcdep.2021.108523","ISSN":"1879-0046","journalAbbreviation":"Drug Alcohol Depend","language":"eng","note":"PMID: 33465607\nPMCID: PMC7889694","page":"108523","source":"PubMed","title":"Behavioral economics and the aggregate versus proximal impact of sociality on heavy drinking","volume":"220","author":[{"family":"Acuff","given":"Samuel F."},{"family":"Stoops","given":"William W."},{"family":"Strickland","given":"Justin C."}],"issued":{"date-parts":[["2021",3,1]]}},"label":"page"},{"id":1445,"uris":["http://zotero.org/users/7873587/items/B629PTRW"],"itemData":{"id":1445,"type":"article-journal","abstract":"Behavioral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A."},{"family":"Witkiewitz","given":"Katie"}],"issued":{"date-parts":[["2020",2]]}},"label":"page"}],"schema":"https://github.com/citation-style-language/schema/raw/master/csl-citation.json"} </w:instrText>
      </w:r>
      <w:r w:rsidR="006B0E5C">
        <w:rPr>
          <w:rFonts w:ascii="Times New Roman" w:hAnsi="Times New Roman" w:cs="Times New Roman"/>
        </w:rPr>
        <w:fldChar w:fldCharType="separate"/>
      </w:r>
      <w:r w:rsidR="006B0E5C">
        <w:rPr>
          <w:rFonts w:ascii="Times New Roman" w:hAnsi="Times New Roman" w:cs="Times New Roman"/>
          <w:noProof/>
        </w:rPr>
        <w:t>(Acuff et al., 2021; Field, Heather, et al., 2020)</w:t>
      </w:r>
      <w:r w:rsidR="006B0E5C">
        <w:rPr>
          <w:rFonts w:ascii="Times New Roman" w:hAnsi="Times New Roman" w:cs="Times New Roman"/>
        </w:rPr>
        <w:fldChar w:fldCharType="end"/>
      </w:r>
      <w:r w:rsidRPr="009A0BC3">
        <w:rPr>
          <w:rFonts w:ascii="Times New Roman" w:hAnsi="Times New Roman" w:cs="Times New Roman"/>
        </w:rPr>
        <w:t xml:space="preserve">. Indeed, various researchers are enthusiastic about interdisciplinary extensions to traditional behavioural economic accounts </w:t>
      </w:r>
      <w:r w:rsidR="00E81084">
        <w:rPr>
          <w:rFonts w:ascii="Times New Roman" w:hAnsi="Times New Roman" w:cs="Times New Roman"/>
        </w:rPr>
        <w:fldChar w:fldCharType="begin"/>
      </w:r>
      <w:r w:rsidR="00985D26">
        <w:rPr>
          <w:rFonts w:ascii="Times New Roman" w:hAnsi="Times New Roman" w:cs="Times New Roman"/>
        </w:rPr>
        <w:instrText xml:space="preserve"> ADDIN ZOTERO_ITEM CSL_CITATION {"citationID":"jHOgWgN1","properties":{"formattedCitation":"(Acuff et al., 2022; Amlung et al., 2015; Bickel &amp; Athamneh, 2020)","plainCitation":"(Acuff et al., 2022; Amlung et al., 2015; Bickel &amp; Athamneh, 2020)","noteIndex":0},"citationItems":[{"id":462,"uris":["http://zotero.org/users/7873587/items/IITQUPNA"],"itemData":{"id":462,"type":"chapter","container-title":"Evaluating the Brain Disease Model of Addiction","page":"459-474","publisher":"Routledge.","title":"Addiction is not (only) in the brain: Molar behavioral economic models of etiology and cessation of harmful substance use","author":[{"family":"Acuff","given":"Samuel F."},{"family":"Tucker","given":"Jalie A."},{"family":"Vuchinich","given":"Rudy E."},{"family":"Murphy","given":"James G."}],"editor":[{"family":"Heather","given":"Nick"},{"family":"Field","given":"Matt"},{"family":"Moss","given":"A.C."},{"family":"Satel","given":"Sally"}],"issued":{"date-parts":[["2022"]]}},"label":"page"},{"id":473,"uris":["http://zotero.org/users/7873587/items/HRDV4WHV"],"itemData":{"id":473,"type":"article-journal","container-title":"Addiction","DOI":"10.1111/add.13015","issue":"9","journalAbbreviation":"Addiction (Abingdon, England)","page":"1430-1","source":"ResearchGate","title":"Response to Tucker &amp; Vuchinich (2015): Behavioral economics in the broader context of addiction science","title-short":"Response to Tucker &amp; Vuchinich (2015)","volume":"110","author":[{"family":"Amlung","given":"Michael"},{"family":"McCarty","given":"Kayleigh"},{"family":"Morris","given":"David"},{"family":"Tsai","given":"Chia-Lin"},{"family":"Mccarthy","given":"Denis"}],"issued":{"date-parts":[["2015",9,1]]}},"label":"page"},{"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N."}],"issued":{"date-parts":[["2020"]]}},"label":"page"}],"schema":"https://github.com/citation-style-language/schema/raw/master/csl-citation.json"} </w:instrText>
      </w:r>
      <w:r w:rsidR="00E81084">
        <w:rPr>
          <w:rFonts w:ascii="Times New Roman" w:hAnsi="Times New Roman" w:cs="Times New Roman"/>
        </w:rPr>
        <w:fldChar w:fldCharType="separate"/>
      </w:r>
      <w:r w:rsidR="00E81084">
        <w:rPr>
          <w:rFonts w:ascii="Times New Roman" w:hAnsi="Times New Roman" w:cs="Times New Roman"/>
          <w:noProof/>
        </w:rPr>
        <w:t>(Acuff et al., 2022; Amlung et al., 2015; Bickel &amp; Athamneh, 2020)</w:t>
      </w:r>
      <w:r w:rsidR="00E81084">
        <w:rPr>
          <w:rFonts w:ascii="Times New Roman" w:hAnsi="Times New Roman" w:cs="Times New Roman"/>
        </w:rPr>
        <w:fldChar w:fldCharType="end"/>
      </w:r>
      <w:r w:rsidR="00E81084">
        <w:rPr>
          <w:rFonts w:ascii="Times New Roman" w:hAnsi="Times New Roman" w:cs="Times New Roman"/>
        </w:rPr>
        <w:t>.</w:t>
      </w:r>
    </w:p>
    <w:p w14:paraId="4EFDEE9C" w14:textId="77777777" w:rsidR="00E81084" w:rsidRPr="009A0BC3" w:rsidRDefault="00E81084" w:rsidP="00762442">
      <w:pPr>
        <w:pStyle w:val="NoSpacing"/>
        <w:spacing w:line="480" w:lineRule="auto"/>
        <w:rPr>
          <w:rFonts w:ascii="Times New Roman" w:hAnsi="Times New Roman" w:cs="Times New Roman"/>
        </w:rPr>
      </w:pPr>
    </w:p>
    <w:p w14:paraId="0722A26E" w14:textId="55C5A7E8" w:rsidR="009A0BC3" w:rsidRDefault="009A0BC3" w:rsidP="00762442">
      <w:pPr>
        <w:pStyle w:val="NoSpacing"/>
        <w:spacing w:line="480" w:lineRule="auto"/>
        <w:rPr>
          <w:rFonts w:ascii="Times New Roman" w:hAnsi="Times New Roman" w:cs="Times New Roman"/>
        </w:rPr>
      </w:pPr>
      <w:r w:rsidRPr="009A0BC3">
        <w:rPr>
          <w:rFonts w:ascii="Times New Roman" w:hAnsi="Times New Roman" w:cs="Times New Roman"/>
        </w:rPr>
        <w:t>In Chapter 6, self-report findings supported behavioural economic accounts; adults who had moderated their drinking were characterised by lower behavioural economic demand for alcohol and greater proportionate alcohol-free reinforcement. Evidence from a computational VBDM analysis demonstrated that alcohol moderation was not characterised by alterations in the rate at which value evidence is accumulated, but rather, by lower response caution regardless of drink type (i.e., alcoholic or soft</w:t>
      </w:r>
      <w:r w:rsidR="00E81084">
        <w:rPr>
          <w:rFonts w:ascii="Times New Roman" w:hAnsi="Times New Roman" w:cs="Times New Roman"/>
        </w:rPr>
        <w:t xml:space="preserve"> </w:t>
      </w:r>
      <w:r w:rsidRPr="009A0BC3">
        <w:rPr>
          <w:rFonts w:ascii="Times New Roman" w:hAnsi="Times New Roman" w:cs="Times New Roman"/>
        </w:rPr>
        <w:t xml:space="preserve">drink). Somewhat similar conclusions can be drawn from Chapter 7 which found that recovery from nicotine addiction was characterised by higher response caution when making substance-related decisions as opposed to alterations in rate of value evidence accumulation for either tobacco or tobacco-unrelated cues. Therefore, VBDM findings do not clearly align with behavioural economic accounts which emphasise the reversal of distortions in valuation processes </w:t>
      </w:r>
      <w:r w:rsidR="00631C3E">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{"citationID":"ydGCNHZB","properties":{"formattedCitation":"(Bickel et al., 2014; Hogarth &amp; Field, 2020; Murphy, MacKillop, et al., 2012; Tucker et al., 2021)","plainCitation":"(Bickel et al., 2014; Hogarth &amp; Field, 2020; Murphy, MacKillop, et al., 2012; Tucker et al., 2021)","noteIndex":0},"citationItems":[{"id":816,"uris":["http://zotero.org/users/7873587/items/R9KVGRWU"],"itemData":{"id":816,"type":"article-journal","abstract":"The field of behavioral economics has made important inroads into the understanding of substance use disorders through the concept of reinforcer pathology. Reinforcer pathology refers to the joint effects of (a) the persistently high valuation of a reinforcer, broadly defined to include tangible commodities and experiences, and/or (b) the excessive preference for the immediate acquisition or consumption of a commodity despite long-term negative outcomes. From this perspective, reinforcer pathology results from the recursive interactions of endogenous person-level variables and exogenous environment-level factors. The current review describes the basic principles of behavioral economics that are central to reinforcer pathology, the processes that engender reinforcer pathology, and the approaches and procedures that can repair reinforcement pathologies. The overall goal of this review is to present a new understanding of substance use disorders as viewed by recent advances in behavioral economics.","container-title":"Annual review of clinical psychology","DOI":"10.1146/annurev-clinpsy-032813-153724","ISSN":"1548-5943","journalAbbreviation":"Annu Rev Clin Psychol","note":"PMID: 24679180\nPMCID: PMC4501268","page":"641-677","source":"PubMed Central","title":"The behavioral economics of substance use disorders: Reinforcement pathologies and their repair","title-short":"The Behavioral Economics of Substance Use Disorders","volume":"10","author":[{"family":"Bickel","given":"Warren K."},{"family":"Johnson","given":"Matthew W."},{"family":"Koffarnus","given":"Mikhail N."},{"family":"MacKillop","given":"James"},{"family":"Murphy","given":"James G."}],"issued":{"date-parts":[["2014"]]}},"label":"page"},{"id":819,"uris":["http://zotero.org/users/7873587/items/QS5L4T2D"],"itemData":{"id":819,"type":"article-journal","abstract":"Behavioural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id":1383,"uris":["http://zotero.org/users/7873587/items/3LEMY2LR"],"itemData":{"id":1383,"type":"chapter","abstract":"This chapter explores the basic theory and research that underlies behavioral treatment approaches such as the community reinforcement approach (CRA) and contingency management (CM). These treatments attempt to reduce substance abuse by manipulating one or more basic behavioral mechanisms (e.g., response cost or drug price, alternative reinforcement, or alternative reward delay) that have been shown to influence substance use in laboratory research. Among substance abuse treatments, CM is somewhat unique in that it originated from experimental psychology rather than from the psychotherapy literature or from cultural and spiritual ideas about addictive behavior. In this chapter, we show how the underlying \"matching law\" theory developed, discuss some of the conceptual innovations produced by this theory, and present some ways that these innovations connect with behavioral economics. We then present the basic concepts and empirical relations in the behavioral economics of substance abuse, with an emphasis on the role of drug price, alternative reinforcement, and temporal discounting on individuals' drug use patterns. We highlight several recent studies that suggest that these variables may be critically related to the process of changing addictive behavior patterns. We conclude with a brief introduction to neuroeconomics, an emerging field that bridges behavioral economics and cognitive neuroscience. (PsycINFO Database Record (c) 2019 APA, all rights reserved)","container-title":"Treating substance abuse: Theory and technique","edition":"3rd","event-place":"New York, NY, US","ISBN":"978-1-4625-0257-8","page":"48-80","publisher":"The Guilford Press","publisher-place":"New York, NY, US","source":"APA PsycNet","title":"The behavioral economics of substance abuse","author":[{"family":"Murphy","given":"James G."},{"family":"MacKillop","given":"James"},{"family":"Vuchinich","given":"Rudy E."},{"family":"Tucker","given":"Jalie A."}],"editor":[{"family":"Walters","given":"Scott T."},{"family":"Rotgers.","given":"Frederick"}],"issued":{"date-parts":[["2012"]]}},"label":"page"},{"id":1450,"uris":["http://zotero.org/users/7873587/items/86V94KBV"],"itemData":{"id":1450,"type":"article-journal","abstract":"Background Behavioral economics predicts that recovery from Alcohol Use Disorder involves shifts in resource allocation away from drinking, toward valuable nondrinking rewards that reinforce and stabilize recovery behavior patterns. Further, these shifts should distinguish nonproblem drinking (moderation) outcomes from outcomes involving abstinence or relapse. To evaluate these hypotheses, 5 prospective studies of recent natural recovery attempts were integrated to examine changes in monetary spending during the year following the initial cessation of heavy drinking as a function of 1-year drinking outcomes. Methods Problem drinkers from Southeastern U.S. communities (N = 493, 67% male, 65% white, mean age = 46.5 years) were enrolled soon after stopping heavy drinking without treatment and followed prospectively for a year. An expanded Timeline Followback interview assessed daily drinking and monetary spending on alcohol and nondrinking commodities during the year before and after recovery initiation. Results Longitudinal associations between postresolution drinking and spending were evaluated using MPlus v.8. Initial models evaluated whether changes in spending at 4-month intervals predicted drinking outcomes at 1 year and showed significant associations in 6 commodity categories (alcohol, consumable goods, gifts, entertainment, financial/legal affairs, housing/durable goods/insurance; ps &lt; 0.05). Cross-lagged models showed that the moderation outcome group shifted spending mid-year to obtain large rewards with enduring benefits (e.g., housing), whereas the abstinent and relapsed groups spent less overall and purchased smaller rewards (e.g., consumable goods, entertainment, and gifts) throughout the year. Conclusions Dynamic changes in monetary allocation occurred during the postresolution year. As hypothesized, compared to the groups who abstained or relapsed, the moderation group shifted spending in ways that, overall, yielded higher value alcohol-free reinforcement that should reinforce recovery while they enjoyed some limited nonproblem drinking below heavy drinking thresholds. These findings add to evidence that moderation entails different behavioral regulation processes than abstinent and relapse outcomes, which were more similar to one another.","container-title":"Alcoholism: Clinical and Experimental Research","DOI":"10.1111/acer.14620","ISSN":"1530-0277","issue":"6","language":"en","note":"_eprint: https://onlinelibrary.wiley.com/doi/pdf/10.1111/acer.14620","page":"1304-1316","source":"Wiley Online Library","title":"Shifts in behavioral allocation patterns as a natural recovery mechanism: Postresolution expenditure patterns","title-short":"Shifts in behavioral allocation patterns as a natural recovery mechanism","volume":"45","author":[{"family":"Tucker","given":"Jalie A."},{"family":"Cheong","given":"JeeWon"},{"family":"Chandler","given":"Susan D."}],"issued":{"date-parts":[["2021"]]}},"label":"page"}],"schema":"https://github.com/citation-style-language/schema/raw/master/csl-citation.json"} </w:instrText>
      </w:r>
      <w:r w:rsidR="00631C3E">
        <w:rPr>
          <w:rFonts w:ascii="Times New Roman" w:hAnsi="Times New Roman" w:cs="Times New Roman"/>
        </w:rPr>
        <w:fldChar w:fldCharType="separate"/>
      </w:r>
      <w:r w:rsidR="00631C3E">
        <w:rPr>
          <w:rFonts w:ascii="Times New Roman" w:hAnsi="Times New Roman" w:cs="Times New Roman"/>
          <w:noProof/>
        </w:rPr>
        <w:t>(Bickel et al., 2014; Hogarth &amp; Field, 2020; Murphy, MacKillop, et al., 2012; Tucker et al., 2021)</w:t>
      </w:r>
      <w:r w:rsidR="00631C3E">
        <w:rPr>
          <w:rFonts w:ascii="Times New Roman" w:hAnsi="Times New Roman" w:cs="Times New Roman"/>
        </w:rPr>
        <w:fldChar w:fldCharType="end"/>
      </w:r>
      <w:r w:rsidR="00631C3E">
        <w:rPr>
          <w:rFonts w:ascii="Times New Roman" w:hAnsi="Times New Roman" w:cs="Times New Roman"/>
        </w:rPr>
        <w:t xml:space="preserve"> </w:t>
      </w:r>
      <w:r w:rsidRPr="009A0BC3">
        <w:rPr>
          <w:rFonts w:ascii="Times New Roman" w:hAnsi="Times New Roman" w:cs="Times New Roman"/>
        </w:rPr>
        <w:t xml:space="preserve">because EA rates are hypothesised to reflect the rate at which value evidence is accumulated </w:t>
      </w:r>
      <w:r w:rsidR="00631C3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{"citationID":"cgnDuBlV","properties":{"formattedCitation":"(Field,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631C3E">
        <w:rPr>
          <w:rFonts w:ascii="Times New Roman" w:hAnsi="Times New Roman" w:cs="Times New Roman"/>
        </w:rPr>
        <w:fldChar w:fldCharType="separate"/>
      </w:r>
      <w:r w:rsidR="00631C3E">
        <w:rPr>
          <w:rFonts w:ascii="Times New Roman" w:hAnsi="Times New Roman" w:cs="Times New Roman"/>
          <w:noProof/>
        </w:rPr>
        <w:t>(Field, Heather, et al., 2020)</w:t>
      </w:r>
      <w:r w:rsidR="00631C3E">
        <w:rPr>
          <w:rFonts w:ascii="Times New Roman" w:hAnsi="Times New Roman" w:cs="Times New Roman"/>
        </w:rPr>
        <w:fldChar w:fldCharType="end"/>
      </w:r>
      <w:r w:rsidRPr="009A0BC3">
        <w:rPr>
          <w:rFonts w:ascii="Times New Roman" w:hAnsi="Times New Roman" w:cs="Times New Roman"/>
        </w:rPr>
        <w:t xml:space="preserve">. However, it is somewhat difficult to directly reconcile the VBDM </w:t>
      </w:r>
      <w:r w:rsidRPr="009A0BC3">
        <w:rPr>
          <w:rFonts w:ascii="Times New Roman" w:hAnsi="Times New Roman" w:cs="Times New Roman"/>
        </w:rPr>
        <w:lastRenderedPageBreak/>
        <w:t>findings from this thesis with molar behavioural economic accounts: studies were either experimental manipulations (Chapters 4 and 5) or cross-sectional comparisons (Chapters 6 and 7), and therefore did not prospectively explore decision-making processes at repeated time points or longitudinally over time. Rather, the VBDM findings may reflect more ‘state</w:t>
      </w:r>
      <w:r w:rsidR="00AE5C11">
        <w:rPr>
          <w:rFonts w:ascii="Times New Roman" w:hAnsi="Times New Roman" w:cs="Times New Roman"/>
        </w:rPr>
        <w:t>-like’</w:t>
      </w:r>
      <w:r w:rsidRPr="009A0BC3">
        <w:rPr>
          <w:rFonts w:ascii="Times New Roman" w:hAnsi="Times New Roman" w:cs="Times New Roman"/>
        </w:rPr>
        <w:t xml:space="preserve"> processes as opposed to ‘trait</w:t>
      </w:r>
      <w:r w:rsidR="00AE5C11">
        <w:rPr>
          <w:rFonts w:ascii="Times New Roman" w:hAnsi="Times New Roman" w:cs="Times New Roman"/>
        </w:rPr>
        <w:t>-like</w:t>
      </w:r>
      <w:r w:rsidRPr="009A0BC3">
        <w:rPr>
          <w:rFonts w:ascii="Times New Roman" w:hAnsi="Times New Roman" w:cs="Times New Roman"/>
        </w:rPr>
        <w:t>’ processes.</w:t>
      </w:r>
    </w:p>
    <w:p w14:paraId="66140018" w14:textId="77777777" w:rsidR="00631C3E" w:rsidRPr="009A0BC3" w:rsidRDefault="00631C3E" w:rsidP="00762442">
      <w:pPr>
        <w:pStyle w:val="NoSpacing"/>
        <w:spacing w:line="480" w:lineRule="auto"/>
        <w:rPr>
          <w:rFonts w:ascii="Times New Roman" w:hAnsi="Times New Roman" w:cs="Times New Roman"/>
        </w:rPr>
      </w:pPr>
    </w:p>
    <w:p w14:paraId="0E6C93DC" w14:textId="2CEB8F15" w:rsidR="00631C3E" w:rsidRPr="00631C3E" w:rsidRDefault="00631C3E" w:rsidP="00762442">
      <w:pPr>
        <w:pStyle w:val="Heading3"/>
        <w:spacing w:line="480" w:lineRule="auto"/>
      </w:pPr>
      <w:bookmarkStart w:id="340" w:name="_Toc110612744"/>
      <w:bookmarkStart w:id="341" w:name="_Toc110629084"/>
      <w:bookmarkStart w:id="342" w:name="_Toc110870992"/>
      <w:r w:rsidRPr="00631C3E">
        <w:t>8.2.3</w:t>
      </w:r>
      <w:r w:rsidR="00403E7C">
        <w:t>.</w:t>
      </w:r>
      <w:r w:rsidRPr="00631C3E">
        <w:t xml:space="preserve"> The role of self-control</w:t>
      </w:r>
      <w:bookmarkEnd w:id="340"/>
      <w:bookmarkEnd w:id="341"/>
      <w:bookmarkEnd w:id="342"/>
      <w:r w:rsidRPr="00631C3E">
        <w:t xml:space="preserve"> </w:t>
      </w:r>
    </w:p>
    <w:p w14:paraId="79A9E7D6" w14:textId="73FA3A8A" w:rsidR="00093B56" w:rsidRDefault="00631C3E" w:rsidP="00996995">
      <w:pPr>
        <w:pStyle w:val="NoSpacing"/>
        <w:spacing w:line="480" w:lineRule="auto"/>
        <w:rPr>
          <w:rFonts w:ascii="Times New Roman" w:hAnsi="Times New Roman" w:cs="Times New Roman"/>
        </w:rPr>
      </w:pPr>
      <w:r w:rsidRPr="00631C3E">
        <w:rPr>
          <w:rFonts w:ascii="Times New Roman" w:hAnsi="Times New Roman" w:cs="Times New Roman"/>
        </w:rPr>
        <w:t xml:space="preserve">By viewing relative drug value as the key underlying mechanism of vulnerability for addiction and recovery (Hogarth &amp; Field 2020), what VBDM can offer is theoretical parsimony. A benefit of such parsimony is that the VBDM framework can contribute to important on-going theoretical debates regarding the role of self-control—an important predictor of recovery from addiction </w:t>
      </w:r>
      <w:r w:rsidR="00004012">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{"citationID":"riJBM8NC","properties":{"formattedCitation":"(E. Stein &amp; Witkiewitz, 2019)","plainCitation":"(E. Stein &amp; Witkiewitz, 2019)","dontUpdate":true,"noteIndex":0},"citationItems":[{"id":1587,"uris":["http://zotero.org/users/7873587/items/YS4GMASM"],"itemData":{"id":1587,"type":"article-journal","abstract":"To more fully understand recovery from alcohol use disorder, we must consider several ways in which reductions in drinking and improvements in psychosocial functioning may occur. Previous research has demonstrated various patterns of drinking and functioning during and after behavioral treatment for alcohol use disorder, including groups of individuals who consume alcohol at low-risk levels and those that report occasional heavy drinking yet good psychosocial functioning. This study aimed to identify whether trait self-control, which has previously been associated with alcohol treatment outcomes, was a predictor of drinking patterns during treatment as well as three years following treatment. Latent variable mixture modeling was used to identify seven classes of drinking patterns during treatment and four profiles of drinking and psychosocial function after treatment. We found that membership in the low-risk drinking class was predicted by greater trait self-control than several of the other classes, including the consistent abstinence class. Furthermore, we found that greater trait self-control predicted membership in two high-functioning recovery profiles at three years following treatment, including a high functioning occasional heavy drinking profile. These findings suggest that self-control is an important predictor of recovery, particularly for a non-abstinent recovery.","container-title":"Addictive Behaviors","DOI":"10.1016/j.addbeh.2019.106083","ISSN":"0306-4603","journalAbbreviation":"Addictive Behaviors","language":"en","page":"106083","source":"ScienceDirect","title":"Trait self-control predicts drinking patterns during treatment for alcohol use disorder and recovery up to three years following treatment","volume":"99","author":[{"family":"Stein","given":"Elena"},{"family":"Witkiewitz","given":"Katie"}],"issued":{"date-parts":[["2019",12,1]]}}}],"schema":"https://github.com/citation-style-language/schema/raw/master/csl-citation.json"} </w:instrText>
      </w:r>
      <w:r w:rsidR="00004012">
        <w:rPr>
          <w:rFonts w:ascii="Times New Roman" w:hAnsi="Times New Roman" w:cs="Times New Roman"/>
        </w:rPr>
        <w:fldChar w:fldCharType="separate"/>
      </w:r>
      <w:r w:rsidR="00996995" w:rsidRPr="00996995">
        <w:rPr>
          <w:rFonts w:ascii="Times New Roman" w:hAnsi="Times New Roman" w:cs="Times New Roman"/>
        </w:rPr>
        <w:t>(Stein &amp; Witkiewitz, 2019)</w:t>
      </w:r>
      <w:r w:rsidR="00004012">
        <w:rPr>
          <w:rFonts w:ascii="Times New Roman" w:hAnsi="Times New Roman" w:cs="Times New Roman"/>
        </w:rPr>
        <w:fldChar w:fldCharType="end"/>
      </w:r>
      <w:r w:rsidRPr="00631C3E">
        <w:rPr>
          <w:rFonts w:ascii="Times New Roman" w:hAnsi="Times New Roman" w:cs="Times New Roman"/>
        </w:rPr>
        <w:t xml:space="preserve">. Broadly, there are two theoretical viewpoints by which the role of self-control might be important. The VBDM account explored within this thesis adheres to a dynamical, as opposed to dual-process, account of self-control (Berkman et al., 2017). More specifically, this account posits that although self-control choices may feel like a duality (i.e., a battle between automatic and controlled processes), rather, they can be understood as a form of value-based choice (Berkman et al., 2017). This account (Berkman et al., 2017; Berkman, 2018) acknowledges that the pathways to self-control success may be diverse, extending beyond “effortful inhibition” </w:t>
      </w:r>
      <w:r w:rsidR="008C6170">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{"citationID":"TzT5XFJJ","properties":{"formattedCitation":"(Fujita, 2011)","plainCitation":"(Fujita, 2011)","noteIndex":0},"citationItems":[{"id":1631,"uris":["http://zotero.org/users/7873587/items/C5LZ4XXM"],"itemData":{"id":1631,"type":"article-journal","abstract":"The notion that self-control entails effortful inhibition of impulses dominates prevailing psychological models of self-control. This article describes some of the conceptual and empirical limitations of defining self-control as the effortful inhibition of impulses. The present article instead advocates for a dual-motive conceptualization, which describes self-control as the process of advancing distal rather than proximal motivations when the two compete. Effortful impulse inhibition in this model represents only one of many means by which people promote their self-control efforts. Adopting a dual-motive approach offers new insight and proposes several new research directions. This article discusses these implications and calls for psychologists to reconsider the way self-control is currently understood.","container-title":"Personality and Social Psychology Review","DOI":"10.1177/1088868311411165","ISSN":"1088-8683","issue":"4","journalAbbreviation":"Pers Soc Psychol Rev","language":"en","note":"publisher: SAGE Publications Inc","page":"352-366","source":"SAGE Journals","title":"On conceptualizing self-control as more than the effortful inhibition of impulses","volume":"15","author":[{"family":"Fujita","given":"Kentaro"}],"issued":{"date-parts":[["2011",11,1]]}}}],"schema":"https://github.com/citation-style-language/schema/raw/master/csl-citation.json"} </w:instrText>
      </w:r>
      <w:r w:rsidR="008C6170">
        <w:rPr>
          <w:rFonts w:ascii="Times New Roman" w:hAnsi="Times New Roman" w:cs="Times New Roman"/>
        </w:rPr>
        <w:fldChar w:fldCharType="separate"/>
      </w:r>
      <w:r w:rsidR="008C6170">
        <w:rPr>
          <w:rFonts w:ascii="Times New Roman" w:hAnsi="Times New Roman" w:cs="Times New Roman"/>
          <w:noProof/>
        </w:rPr>
        <w:t>(Fujita, 2011)</w:t>
      </w:r>
      <w:r w:rsidR="008C6170">
        <w:rPr>
          <w:rFonts w:ascii="Times New Roman" w:hAnsi="Times New Roman" w:cs="Times New Roman"/>
        </w:rPr>
        <w:fldChar w:fldCharType="end"/>
      </w:r>
      <w:r w:rsidR="008C6170">
        <w:rPr>
          <w:rFonts w:ascii="Times New Roman" w:hAnsi="Times New Roman" w:cs="Times New Roman"/>
        </w:rPr>
        <w:t xml:space="preserve">. </w:t>
      </w:r>
      <w:r w:rsidRPr="00631C3E">
        <w:rPr>
          <w:rFonts w:ascii="Times New Roman" w:hAnsi="Times New Roman" w:cs="Times New Roman"/>
        </w:rPr>
        <w:t xml:space="preserve">For example, if faced with the self-control relevant decision between a </w:t>
      </w:r>
      <w:r w:rsidR="008C6170">
        <w:rPr>
          <w:rFonts w:ascii="Times New Roman" w:hAnsi="Times New Roman" w:cs="Times New Roman"/>
        </w:rPr>
        <w:t xml:space="preserve">pizza </w:t>
      </w:r>
      <w:r w:rsidRPr="00631C3E">
        <w:rPr>
          <w:rFonts w:ascii="Times New Roman" w:hAnsi="Times New Roman" w:cs="Times New Roman"/>
        </w:rPr>
        <w:t>and salad for lunch, a person could focus on specific attributes such as by noticing the juicy tomatoes in the salad, or they could choose a restaurant that only serves healthy food. In relation to the DDM, self-control is proposed to interact with the integration of value attributes during decision-making such that evidence accumulates most rapidly for immediately</w:t>
      </w:r>
      <w:r w:rsidR="00461423">
        <w:rPr>
          <w:rFonts w:ascii="Times New Roman" w:hAnsi="Times New Roman" w:cs="Times New Roman"/>
        </w:rPr>
        <w:t xml:space="preserve"> available outcomes</w:t>
      </w:r>
      <w:r w:rsidRPr="00631C3E">
        <w:rPr>
          <w:rFonts w:ascii="Times New Roman" w:hAnsi="Times New Roman" w:cs="Times New Roman"/>
        </w:rPr>
        <w:t xml:space="preserve">. Indeed, there are robust associations between delay </w:t>
      </w:r>
      <w:r w:rsidRPr="00631C3E">
        <w:rPr>
          <w:rFonts w:ascii="Times New Roman" w:hAnsi="Times New Roman" w:cs="Times New Roman"/>
        </w:rPr>
        <w:lastRenderedPageBreak/>
        <w:t xml:space="preserve">discounting </w:t>
      </w:r>
      <w:r w:rsidR="00461423">
        <w:rPr>
          <w:rFonts w:ascii="Times New Roman" w:hAnsi="Times New Roman" w:cs="Times New Roman"/>
        </w:rPr>
        <w:t xml:space="preserve">(DD) </w:t>
      </w:r>
      <w:r w:rsidRPr="00631C3E">
        <w:rPr>
          <w:rFonts w:ascii="Times New Roman" w:hAnsi="Times New Roman" w:cs="Times New Roman"/>
        </w:rPr>
        <w:t xml:space="preserve">and addiction severity </w:t>
      </w:r>
      <w:r w:rsidR="00461423">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{"citationID":"T1Cocwgu","properties":{"formattedCitation":"(Amlung et al., 2017)","plainCitation":"(Amlung et al., 2017)","noteIndex":0},"citationItems":[{"id":1442,"uris":["http://zotero.org/users/7873587/items/J8CU6N2V"],"itemData":{"id":1442,"type":"article-journal","abstract":"AIMS: To synthesize continuous associations between delayed reward discounting (DRD) and both addiction severity and quantity-frequency (QF); to examine moderators of these relationships; and to investigate publication bias.\nMETHODS: Meta-analysis of published studies examining continuous associations between DRD and addictive behaviors. Published, peer-reviewed studies on addictive behaviors (alcohol, tobacco, cannabis, stimulants, opiates and gambling) were identified via PubMed, MEDLINE and PsycInfo. Studies were restricted to DRD measures of monetary gains. Random-effects meta-analysis was conducted using Pearson's r as the effect size. Publication bias was evaluated using fail-safe N, Begg-Mazumdar and Egger's tests, meta-regression of publication year and effect size and imputation of missing studies.\nRESULTS: The primary meta-analysis revealed a small magnitude effect size that was highly significant (r = 0.14, P &lt; 10-14 ). Significantly larger effect sizes were observed for studies examining severity compared with QF (P = 0.01), but not between the type of addictive behavior (P = 0.30) or DRD assessment (P = 0.90). Indices of publication bias suggested a modest impact of unpublished findings.\nCONCLUSIONS: Delayed reward discounting is associated robustly with continuous measures of addiction severity and quantity-frequency. This relation is generally robust across type of addictive behavior and delayed reward discounting assessment modality.","container-title":"Addiction","DOI":"10.1111/add.13535","ISSN":"1360-0443","issue":"1","journalAbbreviation":"Addiction","language":"eng","note":"PMID: 27450931\nPMCID: PMC5148639","page":"51-62","source":"PubMed","title":"Steep delay discounting and addictive behavior: a meta-analysis of continuous associations","title-short":"Steep delay discounting and addictive behavior","volume":"112","author":[{"family":"Amlung","given":"Michael"},{"family":"Vedelago","given":"Lana"},{"family":"Acker","given":"John"},{"family":"Balodis","given":"Iris"},{"family":"MacKillop","given":"James"}],"issued":{"date-parts":[["2017",1]]}}}],"schema":"https://github.com/citation-style-language/schema/raw/master/csl-citation.json"} </w:instrText>
      </w:r>
      <w:r w:rsidR="00461423">
        <w:rPr>
          <w:rFonts w:ascii="Times New Roman" w:hAnsi="Times New Roman" w:cs="Times New Roman"/>
        </w:rPr>
        <w:fldChar w:fldCharType="separate"/>
      </w:r>
      <w:r w:rsidR="00461423">
        <w:rPr>
          <w:rFonts w:ascii="Times New Roman" w:hAnsi="Times New Roman" w:cs="Times New Roman"/>
          <w:noProof/>
        </w:rPr>
        <w:t>(Amlung et al., 2017)</w:t>
      </w:r>
      <w:r w:rsidR="00461423">
        <w:rPr>
          <w:rFonts w:ascii="Times New Roman" w:hAnsi="Times New Roman" w:cs="Times New Roman"/>
        </w:rPr>
        <w:fldChar w:fldCharType="end"/>
      </w:r>
      <w:r w:rsidRPr="00631C3E">
        <w:rPr>
          <w:rFonts w:ascii="Times New Roman" w:hAnsi="Times New Roman" w:cs="Times New Roman"/>
        </w:rPr>
        <w:t>. Given findings from Chapter 4, it may be that when temporarily primed to devalue alcohol, this may enable a person to employ better self-control. To elaborate, evidence may no longer accumulate most rapidly for alcohol which often has immediate rewards (e.g., intoxication) relative to soft</w:t>
      </w:r>
      <w:r w:rsidR="00461423">
        <w:rPr>
          <w:rFonts w:ascii="Times New Roman" w:hAnsi="Times New Roman" w:cs="Times New Roman"/>
        </w:rPr>
        <w:t xml:space="preserve"> </w:t>
      </w:r>
      <w:r w:rsidRPr="00631C3E">
        <w:rPr>
          <w:rFonts w:ascii="Times New Roman" w:hAnsi="Times New Roman" w:cs="Times New Roman"/>
        </w:rPr>
        <w:t xml:space="preserve">drinks. An alternative speculation regarding findings from Chapter 7 may be that elevated response thresholds signify increased self-control, given that these index response caution characterised by slower and more accurate decisions </w:t>
      </w:r>
      <w:r w:rsidR="00461423">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{"citationID":"A33Yy21b","properties":{"formattedCitation":"(Stafford et al., 2020)","plainCitation":"(Stafford et al., 2020)","noteIndex":0},"citationItems":[{"id":54,"uris":["http://zotero.org/users/7873587/items/UE7Y9KMI"],"itemData":{"id":54,"type":"article-journal","abstract":"Response time and accuracy are fundamental measures of behavioral science, but discerning participants’ underlying abilities can be masked by speed–accuracy trade-offs (SATOs). SATOs are often inadequately addressed in experiment analyses which focus on a single variable or which involve a suboptimal analytic correction. Models of decision-making, such as the drift diffusion model (DDM), provide a principled account of the decision-making process, allowing the recovery of SATO-unconfounded decision parameters from observed behavioral variables. For plausible parameters of a typical between-groups experiment, we simulate experimental data, for both real and null group differences in participants’ ability to discriminate stimuli (represented by differences in the drift rate parameter of the DDM used to generate the simulated data), for both systematic and null SATOs. We then use the DDM to fit the generated data. This allows the direct comparison of the specificity and sensitivity for testing of group differences of different measures (accuracy, reaction time, and the drift rate from the model fitting). Our purpose here is not to make a theoretical innovation in decision modeling, but to use established decision models to demonstrate and quantify the benefits of decision modeling for experimentalists. We show, in terms of reduction of required sample size, how decision modeling can allow dramatically more efficient data collection for set statistical power; we confirm and depict the non-linear speed–accuracy relation; and we show how accuracy can be a more sensitive measure than response time given decision parameters which reasonably reflect a typical experiment.","container-title":"Behavior Research Methods","DOI":"10.3758/s13428-020-01372-w","ISSN":"1554-3528","issue":"5","journalAbbreviation":"Behav Res","language":"en","page":"2142-2155","source":"Springer Link","title":"Quantifying the benefits of using decision models with response time and accuracy data","volume":"52","author":[{"family":"Stafford","given":"Tom"},{"family":"Pirrone","given":"Angelo"},{"family":"Croucher","given":"Mike"},{"family":"Krystalli","given":"Anna"}],"issued":{"date-parts":[["2020"]]}}}],"schema":"https://github.com/citation-style-language/schema/raw/master/csl-citation.json"} </w:instrText>
      </w:r>
      <w:r w:rsidR="00461423">
        <w:rPr>
          <w:rFonts w:ascii="Times New Roman" w:hAnsi="Times New Roman" w:cs="Times New Roman"/>
        </w:rPr>
        <w:fldChar w:fldCharType="separate"/>
      </w:r>
      <w:r w:rsidR="00461423">
        <w:rPr>
          <w:rFonts w:ascii="Times New Roman" w:hAnsi="Times New Roman" w:cs="Times New Roman"/>
          <w:noProof/>
        </w:rPr>
        <w:t>(Stafford et al., 2020)</w:t>
      </w:r>
      <w:r w:rsidR="00461423">
        <w:rPr>
          <w:rFonts w:ascii="Times New Roman" w:hAnsi="Times New Roman" w:cs="Times New Roman"/>
        </w:rPr>
        <w:fldChar w:fldCharType="end"/>
      </w:r>
      <w:r w:rsidRPr="00631C3E">
        <w:rPr>
          <w:rFonts w:ascii="Times New Roman" w:hAnsi="Times New Roman" w:cs="Times New Roman"/>
        </w:rPr>
        <w:t xml:space="preserve">. In the context of behaviour change, this may represent the ability to implement situational strategies such as changing the environment to act in accordance with goals as opposed to temptations </w:t>
      </w:r>
      <w:r w:rsidR="00A225F1">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{"citationID":"JNz1s3ut","properties":{"formattedCitation":"(Duckworth et al., 2016; Snoek et al., 2016)","plainCitation":"(Duckworth et al., 2016; Snoek et al., 2016)","noteIndex":0},"citationItems":[{"id":1630,"uris":["http://zotero.org/users/7873587/items/LJ92Q3BY"],"itemData":{"id":1630,"type":"article-journal","abstract":"Exercising self-control is often difficult, whether declining a drink in order to drive home safely, passing on the chocolate cake to stay on a diet, or ignoring text messages to finish reading an important paper. But enacting self-control is not always difficult, particularly when it takes the form of proactively choosing or changing situations in ways that weaken undesirable impulses or potentiate desirable ones. Examples of situational self-control include the partygoer who chooses a seat far from where drinks are being poured, the dieter who asks the waiter not to bring around the dessert cart, and the student who goes to the library without a cell phone. Using the process model of self-control, we argue that the full range of self-control strategies can be organized by considering the timeline of the developing tempting impulse. Because impulses tend to grow stronger over time, situational self-control strategies—which can nip a tempting impulse in the bud—may be especially effective in preventing undesirable action. Ironically, we may underappreciate situational self-control for the same reason it is so effective—namely, that by manipulating our circumstances to advantage, we are often able to minimize the in-the-moment experience of intrapsychic struggle typically associated with exercising self-control.","container-title":"Perspectives on Psychological Science","DOI":"10.1177/1745691615623247","ISSN":"1745-6916","issue":"1","journalAbbreviation":"Perspect Psychol Sci","language":"en","note":"publisher: SAGE Publications Inc","page":"35-55","source":"SAGE Journals","title":"Situational strategies for self-control","volume":"11","author":[{"family":"Duckworth","given":"Angela L."},{"family":"Gendler","given":"Tamar Szabó"},{"family":"Gross","given":"James J."}],"issued":{"date-parts":[["2016",1,1]]}},"label":"page"},{"id":1629,"uris":["http://zotero.org/users/7873587/items/YU6I36YE"],"itemData":{"id":1629,"type":"article-journal","abstract":"Introduction: Philosophers, cognitive and social psychologists and laypeople often subscribe to the view that willpower is central to recovery from addiction. But there are reasons to suspect that willpower is much less important to explaining recovery than this view suggests. Methods: Here we report findings from a qualitative longitudinal study on how substance dependent people see their agency and self-control, and how their self-control develops over time. 69 opioid, alcohol and methamphetamine dependent people were interviewed over a 3 year period. Results: Most of the participants described themselves as strong willed; in fact, as very strong willed. However, there seemed no correlation between having a (self-assessed) strong will and recovery status. Rather, the number of strategies cited by participants distinguished those in stable recovery from those who were not. Participants in recovery were also more enthusiastic about strategies than those who have not succeeded in controlling substance use. Willpower remained important, but was itself used strategically. Conclusions: People with addiction seem not to be short on willpower; rather, recovery is dependent on developing strategies to preserve willpower by controlling the environment. (PsycINFO Database Record (c) 2019 APA, all rights reserved)","container-title":"Addictive Behaviors Reports","DOI":"10.1016/j.abrep.2016.09.002","ISSN":"2352-8532","note":"publisher-place: Netherlands\npublisher: Elsevier Science","page":"102-107","source":"APA PsycNet","title":"Strong-willed but not successful: The importance of strategies in recovery from addiction","title-short":"Strong-willed but not successful","volume":"4","author":[{"family":"Snoek","given":"Anke"},{"family":"Levy","given":"Neil"},{"family":"Kennett","given":"Jeanette"}],"issued":{"date-parts":[["2016"]]}},"label":"page"}],"schema":"https://github.com/citation-style-language/schema/raw/master/csl-citation.json"} </w:instrText>
      </w:r>
      <w:r w:rsidR="00A225F1">
        <w:rPr>
          <w:rFonts w:ascii="Times New Roman" w:hAnsi="Times New Roman" w:cs="Times New Roman"/>
        </w:rPr>
        <w:fldChar w:fldCharType="separate"/>
      </w:r>
      <w:r w:rsidR="00A225F1">
        <w:rPr>
          <w:rFonts w:ascii="Times New Roman" w:hAnsi="Times New Roman" w:cs="Times New Roman"/>
          <w:noProof/>
        </w:rPr>
        <w:t>(Duckworth et al., 2016; Snoek et al., 2016)</w:t>
      </w:r>
      <w:r w:rsidR="00A225F1">
        <w:rPr>
          <w:rFonts w:ascii="Times New Roman" w:hAnsi="Times New Roman" w:cs="Times New Roman"/>
        </w:rPr>
        <w:fldChar w:fldCharType="end"/>
      </w:r>
      <w:r w:rsidRPr="00631C3E">
        <w:rPr>
          <w:rFonts w:ascii="Times New Roman" w:hAnsi="Times New Roman" w:cs="Times New Roman"/>
        </w:rPr>
        <w:t xml:space="preserve">. However, it should be noted that there were no significant correlations between self-report self-control and response thresholds in </w:t>
      </w:r>
      <w:r w:rsidR="00A225F1">
        <w:rPr>
          <w:rFonts w:ascii="Times New Roman" w:hAnsi="Times New Roman" w:cs="Times New Roman"/>
        </w:rPr>
        <w:t>C</w:t>
      </w:r>
      <w:r w:rsidRPr="00631C3E">
        <w:rPr>
          <w:rFonts w:ascii="Times New Roman" w:hAnsi="Times New Roman" w:cs="Times New Roman"/>
        </w:rPr>
        <w:t>hapter</w:t>
      </w:r>
      <w:r w:rsidR="00F4344E">
        <w:rPr>
          <w:rFonts w:ascii="Times New Roman" w:hAnsi="Times New Roman" w:cs="Times New Roman"/>
        </w:rPr>
        <w:t xml:space="preserve"> 7</w:t>
      </w:r>
      <w:r w:rsidRPr="00631C3E">
        <w:rPr>
          <w:rFonts w:ascii="Times New Roman" w:hAnsi="Times New Roman" w:cs="Times New Roman"/>
        </w:rPr>
        <w:t xml:space="preserve"> (see Appendi</w:t>
      </w:r>
      <w:r w:rsidR="00F4344E">
        <w:rPr>
          <w:rFonts w:ascii="Times New Roman" w:hAnsi="Times New Roman" w:cs="Times New Roman"/>
        </w:rPr>
        <w:t>x F</w:t>
      </w:r>
      <w:r w:rsidRPr="00631C3E">
        <w:rPr>
          <w:rFonts w:ascii="Times New Roman" w:hAnsi="Times New Roman" w:cs="Times New Roman"/>
        </w:rPr>
        <w:t xml:space="preserve">), and the general question of what exactly response caution represents (indexed by thresholds) is an on-going question of interest </w:t>
      </w:r>
      <w:r w:rsidR="00A225F1">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{"citationID":"agJMGsLz","properties":{"formattedCitation":"(Hedge et al., 2020)","plainCitation":"(Hedge et al., 2020)","noteIndex":0},"citationItems":[{"id":1628,"uris":["http://zotero.org/users/7873587/items/I9E2ZDDM"],"itemData":{"id":1628,"type":"article-journal","abstract":"The broad construct of impulsivity is one that spans both personality and cognitive ability. Despite a common overarching construct, previous research has found no relationship between self-report measures of impulsivity and people's ability to inhibit pre-potent responses. Here, we use evidence accumulation models of choice reaction time tasks to extract a measure of \"response caution\" (boundary separation) and examine whether this correlates with self-reported impulsivity as measured by the UPPS-P questionnaire. Response caution reflects whether an individual makes decisions based on more (favouring accuracy) or less (favouring speed) evidence. We reasoned that this strategic dimension of behaviour is conceptually closer to the tendencies that self-report impulsivity measures probe than what is traditional measured by inhibition tasks. In a meta-analysis of five datasets (total N = 296), encompassing 19 correlations per subscale, we observe no evidence that response caution correlates with self-reported impulsivity. Average correlations between response caution and UPPS-P subscales ranged from rho = -0.02 to -0.04. While the construct of response caution has demonstrated value in understanding individual differences in cognition, brain functioning and aging; the factors underlying what has been called \"impulsive information processing\" appear to be distinct from the concept of impulsivity derived from self-report.","container-title":"Personality and Individual Differences","DOI":"10.1016/j.paid.2020.110257","ISSN":"0191-8869","journalAbbreviation":"Pers Individ Dif","language":"eng","note":"PMID: 33273749\nPMCID: PMC7457714","page":"110257","source":"PubMed","title":"Self-reported impulsivity does not predict response caution","volume":"167","author":[{"family":"Hedge","given":"Craig"},{"family":"Powell","given":"Georgina"},{"family":"Bompas","given":"Aline"},{"family":"Sumner","given":"Petroc"}],"issued":{"date-parts":[["2020",12,1]]}}}],"schema":"https://github.com/citation-style-language/schema/raw/master/csl-citation.json"} </w:instrText>
      </w:r>
      <w:r w:rsidR="00A225F1">
        <w:rPr>
          <w:rFonts w:ascii="Times New Roman" w:hAnsi="Times New Roman" w:cs="Times New Roman"/>
        </w:rPr>
        <w:fldChar w:fldCharType="separate"/>
      </w:r>
      <w:r w:rsidR="00A225F1">
        <w:rPr>
          <w:rFonts w:ascii="Times New Roman" w:hAnsi="Times New Roman" w:cs="Times New Roman"/>
          <w:noProof/>
        </w:rPr>
        <w:t>(Hedge et al., 2020)</w:t>
      </w:r>
      <w:r w:rsidR="00A225F1">
        <w:rPr>
          <w:rFonts w:ascii="Times New Roman" w:hAnsi="Times New Roman" w:cs="Times New Roman"/>
        </w:rPr>
        <w:fldChar w:fldCharType="end"/>
      </w:r>
      <w:r w:rsidRPr="00631C3E">
        <w:rPr>
          <w:rFonts w:ascii="Times New Roman" w:hAnsi="Times New Roman" w:cs="Times New Roman"/>
        </w:rPr>
        <w:t xml:space="preserve">. Interestingly, Chapter 7 implemented a technique which enabled the nature of the mouse trajectories during decision-making to be quantified as either unfolding in a manner that is consistent with dual-process accounts (i.e., initial response towards an option with an abrupt mid-flight correction) or dynamical VBDM accounts (i.e., trajectories that comprise a smooth curvature). As found in </w:t>
      </w:r>
      <w:r w:rsidR="00F4344E">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{"citationID":"mXkTG42D","properties":{"formattedCitation":"(Stillman et al., 2017)","plainCitation":"(Stillman et al., 2017)","dontUpdate":true,"noteIndex":0},"citationItems":[{"id":1627,"uris":["http://zotero.org/users/7873587/items/Z838EEF5"],"itemData":{"id":1627,"type":"article-journal","abstract":"Across four studies, we used mouse tracking to identify the dynamic, on-line cognitive processes that underlie successful self-control decisions. First, we showed that individuals display real-time conflict when choosing options consistent with their long-term goal over short-term temptations. Second, we found that individuals who are more successful at self-control—whether measured or manipulated—show significantly less real-time conflict in only self-control-relevant choices. Third, we demonstrated that successful individuals who choose a long-term goal over a short-term temptation display movements that are smooth rather than abrupt, which suggests dynamic rather than stage-based resolution of self-control conflicts. These findings have important implications for contemporary theories of self-control.","container-title":"Psychological Science","DOI":"10.1177/0956797617705386","ISSN":"0956-7976","issue":"9","journalAbbreviation":"Psychol Sci","language":"en","note":"publisher: SAGE Publications Inc","page":"1240-1258","source":"SAGE Journals","title":"Resisting temptation: Tracking how self-control conflicts are successfully resolved in real time","title-short":"Resisting Temptation","volume":"28","author":[{"family":"Stillman","given":"Paul E."},{"family":"Medvedev","given":"Danila"},{"family":"Ferguson","given":"Melissa J."}],"issued":{"date-parts":[["2017",9,1]]}}}],"schema":"https://github.com/citation-style-language/schema/raw/master/csl-citation.json"} </w:instrText>
      </w:r>
      <w:r w:rsidR="00F4344E">
        <w:rPr>
          <w:rFonts w:ascii="Times New Roman" w:hAnsi="Times New Roman" w:cs="Times New Roman"/>
        </w:rPr>
        <w:fldChar w:fldCharType="separate"/>
      </w:r>
      <w:r w:rsidR="00F4344E">
        <w:rPr>
          <w:rFonts w:ascii="Times New Roman" w:hAnsi="Times New Roman" w:cs="Times New Roman"/>
          <w:noProof/>
        </w:rPr>
        <w:t>Stillman et al. (2017)</w:t>
      </w:r>
      <w:r w:rsidR="00F4344E">
        <w:rPr>
          <w:rFonts w:ascii="Times New Roman" w:hAnsi="Times New Roman" w:cs="Times New Roman"/>
        </w:rPr>
        <w:fldChar w:fldCharType="end"/>
      </w:r>
      <w:r w:rsidRPr="00631C3E">
        <w:rPr>
          <w:rFonts w:ascii="Times New Roman" w:hAnsi="Times New Roman" w:cs="Times New Roman"/>
        </w:rPr>
        <w:t xml:space="preserve">, in Chapter 7 decisions were quantified as unfolding in line with dynamical VBDM accounts, complementing neuroimaging research which reached the same conclusion </w:t>
      </w:r>
      <w:r w:rsidR="00F4344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{"citationID":"uyk8jui8","properties":{"formattedCitation":"(Cosme et al., 2019)","plainCitation":"(Cosme et al., 2019)","noteIndex":0},"citationItems":[{"id":1625,"uris":["http://zotero.org/users/7873587/items/WPDUPS8S"],"itemData":{"id":1625,"type":"article-journal","abstract":"Self-control is the process of favoring abstract, distal goals over concrete, proximal goals during decision-making and is an important factor in health and well-being. We directly compare two prominent neurocognitive models of human self-control with the goal of identifying which, if either, best describes behavioral and neural data of dietary decisions in a large sample of overweight and obese adults motivated to eat more healthfully. We extracted trial-by-trial estimates of neural activity during incentive-compatible choice from three brain regions implicated in self-control, dorsolateral prefrontal cortex, ventral striatum and ventromedial prefrontal cortex and assessed evidence for the dual-process and value-based choice models of self-control using multilevel modeling. Model comparison tests revealed that the value-based choice model outperformed the dual-process model and best fit the observed data. These results advance scientific knowledge of the neurobiological mechanisms underlying self-control-relevant decision-making and are consistent with a value-based choice model of self-control.","container-title":"Social Cognitive and Affective Neuroscience","DOI":"10.1093/scan/nsz068","ISSN":"1749-5016","issue":"9","journalAbbreviation":"Social Cognitive and Affective Neuroscience","page":"957-966","source":"Silverchair","title":"Comparing two neurocognitive models of self-control during dietary decisions","volume":"14","author":[{"family":"Cosme","given":"Danielle"},{"family":"Ludwig","given":"Rita M"},{"family":"Berkman","given":"Elliot T"}],"issued":{"date-parts":[["2019",9,30]]}}}],"schema":"https://github.com/citation-style-language/schema/raw/master/csl-citation.json"} </w:instrText>
      </w:r>
      <w:r w:rsidR="00F4344E">
        <w:rPr>
          <w:rFonts w:ascii="Times New Roman" w:hAnsi="Times New Roman" w:cs="Times New Roman"/>
        </w:rPr>
        <w:fldChar w:fldCharType="separate"/>
      </w:r>
      <w:r w:rsidR="00F4344E">
        <w:rPr>
          <w:rFonts w:ascii="Times New Roman" w:hAnsi="Times New Roman" w:cs="Times New Roman"/>
          <w:noProof/>
        </w:rPr>
        <w:t>(Cosme et al., 2019)</w:t>
      </w:r>
      <w:r w:rsidR="00F4344E">
        <w:rPr>
          <w:rFonts w:ascii="Times New Roman" w:hAnsi="Times New Roman" w:cs="Times New Roman"/>
        </w:rPr>
        <w:fldChar w:fldCharType="end"/>
      </w:r>
      <w:r w:rsidR="00F4344E">
        <w:rPr>
          <w:rFonts w:ascii="Times New Roman" w:hAnsi="Times New Roman" w:cs="Times New Roman"/>
        </w:rPr>
        <w:t>.</w:t>
      </w:r>
    </w:p>
    <w:p w14:paraId="2B72C011" w14:textId="77777777" w:rsidR="00DE0ACC" w:rsidRPr="00631C3E" w:rsidRDefault="00DE0ACC" w:rsidP="00762442">
      <w:pPr>
        <w:pStyle w:val="NoSpacing"/>
        <w:spacing w:line="480" w:lineRule="auto"/>
        <w:rPr>
          <w:rFonts w:ascii="Times New Roman" w:hAnsi="Times New Roman" w:cs="Times New Roman"/>
        </w:rPr>
      </w:pPr>
    </w:p>
    <w:p w14:paraId="76088EA8" w14:textId="63DCEA99" w:rsidR="00DE0ACC" w:rsidRPr="00DE0ACC" w:rsidRDefault="00DE0ACC" w:rsidP="00762442">
      <w:pPr>
        <w:pStyle w:val="Heading3"/>
        <w:spacing w:line="480" w:lineRule="auto"/>
        <w:rPr>
          <w:rFonts w:cs="Times New Roman"/>
        </w:rPr>
      </w:pPr>
      <w:bookmarkStart w:id="343" w:name="_Toc110612745"/>
      <w:bookmarkStart w:id="344" w:name="_Toc110629085"/>
      <w:bookmarkStart w:id="345" w:name="_Toc110870993"/>
      <w:r w:rsidRPr="00DE0ACC">
        <w:rPr>
          <w:rFonts w:cs="Times New Roman"/>
        </w:rPr>
        <w:t>8.2.4</w:t>
      </w:r>
      <w:r w:rsidR="00403E7C">
        <w:rPr>
          <w:rFonts w:cs="Times New Roman"/>
        </w:rPr>
        <w:t>.</w:t>
      </w:r>
      <w:r w:rsidRPr="00DE0ACC">
        <w:rPr>
          <w:rFonts w:cs="Times New Roman"/>
        </w:rPr>
        <w:t xml:space="preserve"> Mood induction procedures</w:t>
      </w:r>
      <w:bookmarkEnd w:id="343"/>
      <w:bookmarkEnd w:id="344"/>
      <w:bookmarkEnd w:id="345"/>
      <w:r w:rsidRPr="00DE0ACC">
        <w:rPr>
          <w:rFonts w:cs="Times New Roman"/>
        </w:rPr>
        <w:t xml:space="preserve"> </w:t>
      </w:r>
    </w:p>
    <w:p w14:paraId="782A7720" w14:textId="61BF3A04" w:rsidR="00093B56" w:rsidRDefault="00DE0ACC" w:rsidP="00762442">
      <w:pPr>
        <w:pStyle w:val="NoSpacing"/>
        <w:spacing w:line="480" w:lineRule="auto"/>
        <w:rPr>
          <w:rFonts w:ascii="Times New Roman" w:hAnsi="Times New Roman" w:cs="Times New Roman"/>
        </w:rPr>
      </w:pPr>
      <w:r w:rsidRPr="00DE0ACC">
        <w:rPr>
          <w:rFonts w:ascii="Times New Roman" w:hAnsi="Times New Roman" w:cs="Times New Roman"/>
        </w:rPr>
        <w:t xml:space="preserve">There are also several findings that have emerged from this thesis that were not central predictions within the computational VBDM account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{"citationID":"x28u20bJ","properties":{"formattedCitation":"(Field,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(Field, Heather, et al., 2020)</w:t>
      </w:r>
      <w:r>
        <w:rPr>
          <w:rFonts w:ascii="Times New Roman" w:hAnsi="Times New Roman" w:cs="Times New Roman"/>
        </w:rPr>
        <w:fldChar w:fldCharType="end"/>
      </w:r>
      <w:r w:rsidRPr="00DE0ACC">
        <w:rPr>
          <w:rFonts w:ascii="Times New Roman" w:hAnsi="Times New Roman" w:cs="Times New Roman"/>
        </w:rPr>
        <w:t xml:space="preserve">, but nevertheless have implications for theory development and refinement.  Indeed, experimental </w:t>
      </w:r>
      <w:r w:rsidRPr="00DE0ACC">
        <w:rPr>
          <w:rFonts w:ascii="Times New Roman" w:hAnsi="Times New Roman" w:cs="Times New Roman"/>
        </w:rPr>
        <w:lastRenderedPageBreak/>
        <w:t xml:space="preserve">studies have shown that negative mood increases the value ascribed to tobacco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{"citationID":"VsyekVcP","properties":{"formattedCitation":"(Hogarth et al., 2015)","plainCitation":"(Hogarth et al., 2015)","noteIndex":0},"citationItems":[{"id":708,"uris":["http://zotero.org/users/7873587/items/XHY9EL6E"],"itemData":{"id":708,"type":"article-journal","abstract":"Background\nTwo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(Hogarth et al., 2015)</w:t>
      </w:r>
      <w:r>
        <w:rPr>
          <w:rFonts w:ascii="Times New Roman" w:hAnsi="Times New Roman" w:cs="Times New Roman"/>
        </w:rPr>
        <w:fldChar w:fldCharType="end"/>
      </w:r>
      <w:r w:rsidRPr="00DE0ACC">
        <w:rPr>
          <w:rFonts w:ascii="Times New Roman" w:hAnsi="Times New Roman" w:cs="Times New Roman"/>
        </w:rPr>
        <w:t xml:space="preserve"> and alcohol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{"citationID":"PD3a6sTE","properties":{"formattedCitation":"(Hogarth et al., 2018)","plainCitation":"(Hogarth et al., 2018)","noteIndex":0},"citationItems":[{"id":872,"uris":["http://zotero.org/users/7873587/items/MVRX9KV6"],"itemData":{"id":872,"type":"article-journal","abstract":"Acute negative mood powerfully motivates alcohol-seeking behavior, but it remains unclear whether sensitivity to this effect is greater in drinkers who report depression symptoms, drinking to cope, and subjective reactivity. To examine these questions, 128 young adult alcohol drinkers (ages 18-25) completed questionnaires of alcohol use disorder symptoms, depression symptoms, and drinking to cope with negative affect. Baseline alcohol choice was measured by preference to enlarge alcohol versus food thumbnail images in two-alternative forced-choice trials. Negative mood was then induced by depressive statements and music, before alcohol choice was tested. Subjective reactivity was indexed by increased sadness pre- to post-mood induction. Baseline alcohol choice correlated with alcohol dependence symptoms (p = .001), and drinking coping motives (ps ≤ .01). Mood induction increased alcohol choice and subjective sadness overall (ps &lt; .001). The mood-induced increase in alcohol choice was associated with depression symptoms (p = .007), drinking to cope (ps ≤ .03), and subjective reactivity (p = .007). The relationship between mood-induced alcohol choice and drinking to cope remained significant after covarying for other drinking motives. Furthermore, the three predictors (depression, drinking to cope, and subjective reactivity) accounted for unique variance in mood-induced alcohol choice (ps ≥ .03), and collectively accounted for 18% of the variance (p &lt; .001). These findings validate the pictorial alcohol choice task as sensitive to the relative value of alcohol and acute negative mood. The findings also accord with the core prediction of negative reinforcement theory that sensitivity to the motivational impact of negative mood on alcohol-seeking behavior may be an important mechanism that links depression and alcohol dependence. (PsycINFO Database Record","container-title":"Experimental and Clinical Psychopharmacology","DOI":"10.1037/pha0000177","ISSN":"1936-2293","issue":"2","journalAbbreviation":"Exp Clin Psychopharmacol","language":"eng","note":"PMID: 29389212\nPMCID: PMC5896502","page":"138-146","source":"PubMed","title":"Negative mood-induced alcohol-seeking is greater in young adults who report depression symptoms, drinking to cope, and subjective reactivity","volume":"26","author":[{"family":"Hogarth","given":"Lee"},{"family":"Hardy","given":"Lorna"},{"family":"Mathew","given":"Amanda R."},{"family":"Hitsman","given":"Brian"}],"issued":{"date-parts":[["2018",4]]}}}],"schema":"https://github.com/citation-style-language/schema/raw/master/csl-citation.json"}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(Hogarth et al., 2018)</w:t>
      </w:r>
      <w:r>
        <w:rPr>
          <w:rFonts w:ascii="Times New Roman" w:hAnsi="Times New Roman" w:cs="Times New Roman"/>
        </w:rPr>
        <w:fldChar w:fldCharType="end"/>
      </w:r>
      <w:r>
        <w:rPr>
          <w:rFonts w:ascii="Times New Roman" w:hAnsi="Times New Roman" w:cs="Times New Roman"/>
        </w:rPr>
        <w:t>,</w:t>
      </w:r>
      <w:r w:rsidRPr="00DE0ACC">
        <w:rPr>
          <w:rFonts w:ascii="Times New Roman" w:hAnsi="Times New Roman" w:cs="Times New Roman"/>
        </w:rPr>
        <w:t xml:space="preserve"> and a recent systematic review </w:t>
      </w:r>
      <w:r w:rsidR="00D1391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{"citationID":"UJNYQMcB","properties":{"formattedCitation":"(Sliedrecht et al., 2019)","plainCitation":"(Sliedrecht et al., 2019)","noteIndex":0},"citationItems":[{"id":1624,"uris":["http://zotero.org/users/7873587/items/X6ASA5U7"],"itemData":{"id":1624,"type":"article-journal","abstract":"A relapsing-remitting course is very common in patients with an Alcohol Use Disorder (AUD). Understanding the determinants associated with alcohol resumption remains a formidable task. This paper examines relapse determinants based on a systematic review of recent alcohol literature (2000-2019). Relevant databases were consulted for articles that contained information about specific relapse determinants and reported statistical significance of each relapse determinant in predicting relapse. Relapse was broadly defined based on the characterization in the included articles. From the initial identified 4613 papers, a total of 321 articles were included. Results encompass multiple relapse determinants, which were ordered according to biopsychosocial and spiritual categories, and presented, using a descriptive methodology. Psychiatric co-morbidity, AUD severity, craving, use of other substances, health and social factors were consistently significantly associated with AUD relapse. Conversely, supportive social network factors, self efficacy, and factors related to purpose and meaning in life, were protective against AUD relapse. Despite heterogeneity in different methods, measures, and sample characteristics, these findings may contribute to a better therapeutic understanding in which specific factors are associated with relapse and those that prevent relapse. Such factors may have a role in a personalized medicine framework to improve patient outcomes.","container-title":"Psychiatry Research","DOI":"10.1016/j.psychres.2019.05.038","ISSN":"1872-7123","journalAbbreviation":"Psychiatry Res","language":"eng","note":"PMID: 31174033","page":"97-115","source":"PubMed","title":"Alcohol use disorder relapse factors: A systematic review","title-short":"Alcohol use disorder relapse factors","volume":"278","author":[{"family":"Sliedrecht","given":"Wilco"},{"family":"Waart","given":"Ranne","non-dropping-particle":"de"},{"family":"Witkiewitz","given":"Katie"},{"family":"Roozen","given":"Hendrik G."}],"issued":{"date-parts":[["2019",8]]}}}],"schema":"https://github.com/citation-style-language/schema/raw/master/csl-citation.json"} </w:instrText>
      </w:r>
      <w:r w:rsidR="00D13916">
        <w:rPr>
          <w:rFonts w:ascii="Times New Roman" w:hAnsi="Times New Roman" w:cs="Times New Roman"/>
        </w:rPr>
        <w:fldChar w:fldCharType="separate"/>
      </w:r>
      <w:r w:rsidR="00D13916">
        <w:rPr>
          <w:rFonts w:ascii="Times New Roman" w:hAnsi="Times New Roman" w:cs="Times New Roman"/>
          <w:noProof/>
        </w:rPr>
        <w:t>(Sliedrecht et al., 2019)</w:t>
      </w:r>
      <w:r w:rsidR="00D13916">
        <w:rPr>
          <w:rFonts w:ascii="Times New Roman" w:hAnsi="Times New Roman" w:cs="Times New Roman"/>
        </w:rPr>
        <w:fldChar w:fldCharType="end"/>
      </w:r>
      <w:r w:rsidRPr="00DE0ACC">
        <w:rPr>
          <w:rFonts w:ascii="Times New Roman" w:hAnsi="Times New Roman" w:cs="Times New Roman"/>
        </w:rPr>
        <w:t xml:space="preserve"> revealed negative affect to be a robust predictor of relapse for AUD. However, the null findings derived from Chapter 5 may add to existing literature which has begun to uncover complexity within the relationships between mood and substance use </w:t>
      </w:r>
      <w:r w:rsidR="00D1391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{"citationID":"9jDT7ZPS","properties":{"formattedCitation":"(Tovmasyan, Monk, &amp; Heim, 2022)","plainCitation":"(Tovmasyan, Monk, &amp; Heim, 2022)","noteIndex":0},"citationItems":[{"id":919,"uris":["http://zotero.org/users/7873587/items/LXCCLURQ"],"itemData":{"id":919,"type":"article-journal","abstract":"While self-medication and positive and negative reinforcement models of alcohol use suggest that there is an association between daily affect and alcohol consumption, findings within the academic literature have been inconsistent. This pre-registered systematic review meta-analytically interrogated the results from studies amongst non-clinical populations that examine the relationship between daily affective states and alcohol consumption volume. PRISMA guided searches of PsychINFO, PsycARTICLES, Science Direct, PubMed, SCOPUS, and JSTOR databases were conducted. When both laboratory and field studies were included, meta-analyses with robust variance estimation yielded 53 eligible studies on negative affect (8355 participants, 127 effect sizes) and 35 studies for positive affect (6384 participants, 50 effect sizes). The significant pooled associations between intra-day affect and alcohol consumption were r = .09, [.03, .14] for negative affect, and r = .17, [.04, .30] for positive affect. A small-to-medium sized effect (d = .275, [.11, .44]) of negative affect on daily alcohol consumption volume was found in laboratory studies (14 studies, 1100 participants). While publication bias was suspected, P-curve analyses suggested that the results were unlikely to be the product of publication bias and p-hacking alone, and selection model analysis revealed no significant differences in results when publication bias was accounted for. For negative affect, using number of drinks as the measure of alcohol consumption was associated with lower effect sizes. For positive affect, the results demonstrated a decline of this observed effect over time. Overall, findings point towards the possibility of developing an affect intensity regulation theory of alcohol use. Conceptualizing the mood-alcohol nexus in terms of affect intensity regulation may afford a more parsimonious explanation of alcohol consumption rather than viewing the behavior as being shaped by either positive or negative affective states.","container-title":"PLOS ONE","DOI":"10.1371/journal.pone.0262670","ISSN":"1932-6203","issue":"1","journalAbbreviation":"PLOS ONE","language":"en","note":"publisher: Public Library of Science","page":"e0262670","source":"PLoS Journals","title":"Towards an affect intensity regulation hypothesis: Systematic review and meta-analyses of the relationship between affective states and alcohol consumption","title-short":"Towards an affect intensity regulation hypothesis","volume":"17","author":[{"family":"Tovmasyan","given":"Anna"},{"family":"Monk","given":"Rebecca L."},{"family":"Heim","given":"Derek"}],"issued":{"date-parts":[["2022",1,31]]}}}],"schema":"https://github.com/citation-style-language/schema/raw/master/csl-citation.json"} </w:instrText>
      </w:r>
      <w:r w:rsidR="00D13916">
        <w:rPr>
          <w:rFonts w:ascii="Times New Roman" w:hAnsi="Times New Roman" w:cs="Times New Roman"/>
        </w:rPr>
        <w:fldChar w:fldCharType="separate"/>
      </w:r>
      <w:r w:rsidR="00A63777">
        <w:rPr>
          <w:rFonts w:ascii="Times New Roman" w:hAnsi="Times New Roman" w:cs="Times New Roman"/>
          <w:noProof/>
        </w:rPr>
        <w:t>(Tovmasyan, Monk, &amp; Heim, 2022)</w:t>
      </w:r>
      <w:r w:rsidR="00D13916">
        <w:rPr>
          <w:rFonts w:ascii="Times New Roman" w:hAnsi="Times New Roman" w:cs="Times New Roman"/>
        </w:rPr>
        <w:fldChar w:fldCharType="end"/>
      </w:r>
      <w:r w:rsidR="00D13916">
        <w:rPr>
          <w:rFonts w:ascii="Times New Roman" w:hAnsi="Times New Roman" w:cs="Times New Roman"/>
        </w:rPr>
        <w:t xml:space="preserve">. </w:t>
      </w:r>
      <w:r w:rsidRPr="00DE0ACC">
        <w:rPr>
          <w:rFonts w:ascii="Times New Roman" w:hAnsi="Times New Roman" w:cs="Times New Roman"/>
        </w:rPr>
        <w:t xml:space="preserve">For example, an individual level meta-analysis (comprising 69 studies; </w:t>
      </w:r>
      <w:r w:rsidRPr="00D13916">
        <w:rPr>
          <w:rFonts w:ascii="Times New Roman" w:hAnsi="Times New Roman" w:cs="Times New Roman"/>
          <w:i/>
          <w:iCs/>
        </w:rPr>
        <w:t>n</w:t>
      </w:r>
      <w:r w:rsidRPr="00DE0ACC">
        <w:rPr>
          <w:rFonts w:ascii="Times New Roman" w:hAnsi="Times New Roman" w:cs="Times New Roman"/>
        </w:rPr>
        <w:t xml:space="preserve"> = 12,394) on negative affect and alcohol use revealed that the predictive ability of negative affect is not robust </w:t>
      </w:r>
      <w:r w:rsidR="00D13916">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{"citationID":"NopefCHI","properties":{"formattedCitation":"(Dora et al., 2022)","plainCitation":"(Dora et al., 2022)","noteIndex":0},"citationItems":[{"id":922,"uris":["http://zotero.org/users/7873587/items/294T6PMM"],"itemData":{"id":922,"type":"article-journal","abstract":"Influential psychological theories hypothesize that people consume alcohol in response to the experience of both negative and positive emotions. Despite two decades of daily diary and ecological momentary assessment research, it remains unclear whether people consume more alcohol on days they experience higher negative and positive affect in everyday life. In this preregistered meta-analysis, we synthesized the evidence for these daily associations between affect and alcohol use. We included individual participant data from 69 studies (N = 12,394), which used daily and momentary surveys to assess affect and the number of alcoholic drinks consumed. Results indicate that people do not drink more often on days they experience high negative affect, but are more likely to drink and drink heavily on days high in positive affect. People self-reporting a motivational tendency to drink-to-cope and drink-to-enhance were estimated to consume more alcohol, but not to consume more alcohol on days they experience higher negative and positive affect. Results were robust across different operationalizations of affect, study designs, study populations, and individual characteristics. Based on our findings, we collectively propose an agenda for future research to explore open questions surrounding affect and alcohol use.","container-title":"PsyArXiv","DOI":"10.31234/osf.io/xevct","language":"en-us","note":"type: article","source":"OSF Preprints","title":"The daily association between affect and alcohol use: A meta-analysis of individual participant data","title-short":"The daily association between affect and alcohol use","URL":"https://psyarxiv.com/xevct/","author":[{"family":"Dora","given":"Jonas"},{"family":"Piccirillo","given":"Marilyn"},{"family":"Foster","given":"Katherine T."},{"family":"Arbeau","given":"Kelly"},{"family":"Armeli","given":"Stephen"},{"family":"Auriacombe","given":"Marc"},{"family":"Bartholow","given":"Bruce D."},{"family":"Beltz","given":"Adriene"},{"family":"Blumenstock","given":"Shari"},{"family":"Bold","given":"Krysten"},{"family":"Bonar","given":"Erin"},{"family":"Braitman","given":"Abby"},{"family":"Carpenter","given":"Ryan"},{"family":"Creswell","given":"Kasey"},{"family":"DeHart","given":"Tracy"},{"family":"Dvorak","given":"Robert"},{"family":"Emery","given":"Noah N."},{"family":"Enkema","given":"Matthew"},{"family":"Fairbairn","given":"Catharine"},{"family":"Fairlie","given":"Anne"},{"family":"Ferguson","given":"Stuart"},{"family":"Freire","given":"Teresa"},{"family":"Goodman","given":"Fallon"},{"family":"Gottfredson","given":"Nisha"},{"family":"Halvorson","given":"Max Andrew"},{"family":"Haroon","given":"Maleeha"},{"family":"Howard","given":"Andrea"},{"family":"Hussong","given":"Andrea"},{"family":"Jackson","given":"Kristina M."},{"family":"Jenzer","given":"Tiffany"},{"family":"Kelly","given":"Dominic"},{"family":"Kuczynski","given":"Adam M."},{"family":"Kuerbis","given":"Alexis"},{"family":"Lee","given":"Christine"},{"family":"Lewis","given":"Melissa"},{"family":"Linden-Carmichael","given":"Ashley"},{"family":"Littlefield","given":"Andrew"},{"family":"Lydon-Staley","given":"David Martin"},{"family":"Merrill","given":"Jennifer"},{"family":"Jr","given":"Robert Miranda"},{"family":"Mohr","given":"Cynthia"},{"family":"Read","given":"Jennifer"},{"family":"Richardson","given":"Clarissa"},{"family":"O'connor","given":"Roisin"},{"family":"O'malley","given":"Stephanie"},{"family":"Papp","given":"Lauren"},{"family":"Piasecki","given":"Thomas M."},{"family":"Sacco","given":"Paul"},{"family":"Scaglione","given":"Nichole"},{"family":"Serre","given":"Fuschia"},{"family":"Shadur","given":"Julia"},{"family":"Sher","given":"Kenneth J."},{"family":"Shoda","given":"Yuichi"},{"family":"Simpson","given":"Tracy"},{"family":"Stevens","given":"Angela K."},{"family":"Stevenson","given":"Brittany"},{"family":"Tennen","given":"Howard"},{"family":"Todd","given":"Michael"},{"family":"Padovano","given":"Hayley Treloar"},{"family":"Trull","given":"Timothy J."},{"family":"Waddell (MU-Student)","given":"Jack T."},{"family":"Walukevich-Dienst","given":"Katherine"},{"family":"Witkiewitz","given":"Katie"},{"family":"Wray","given":"Tyler B."},{"family":"Wright","given":"Aidan G. C."},{"family":"Wycoff","given":"Andrea M."},{"family":"King","given":"Kevin"}],"accessed":{"date-parts":[["2022",3,18]]},"issued":{"date-parts":[["2022",2,1]]}}}],"schema":"https://github.com/citation-style-language/schema/raw/master/csl-citation.json"} </w:instrText>
      </w:r>
      <w:r w:rsidR="00D13916">
        <w:rPr>
          <w:rFonts w:ascii="Times New Roman" w:hAnsi="Times New Roman" w:cs="Times New Roman"/>
        </w:rPr>
        <w:fldChar w:fldCharType="separate"/>
      </w:r>
      <w:r w:rsidR="00D13916">
        <w:rPr>
          <w:rFonts w:ascii="Times New Roman" w:hAnsi="Times New Roman" w:cs="Times New Roman"/>
          <w:noProof/>
        </w:rPr>
        <w:t>(Dora et al., 2022)</w:t>
      </w:r>
      <w:r w:rsidR="00D13916">
        <w:rPr>
          <w:rFonts w:ascii="Times New Roman" w:hAnsi="Times New Roman" w:cs="Times New Roman"/>
        </w:rPr>
        <w:fldChar w:fldCharType="end"/>
      </w:r>
      <w:r w:rsidRPr="00DE0ACC">
        <w:rPr>
          <w:rFonts w:ascii="Times New Roman" w:hAnsi="Times New Roman" w:cs="Times New Roman"/>
        </w:rPr>
        <w:t xml:space="preserve">. Instead, this meta-analysis uncovered that people are more likely to consume alcohol on days where they experience positive affect. More recently, this finding has been replicated in non-clinical samples </w:t>
      </w:r>
      <w:r w:rsidR="00A6377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{"citationID":"yiZKjYi2","properties":{"formattedCitation":"(Tovmasyan, Monk, Sawicka, et al., 2022)","plainCitation":"(Tovmasyan, Monk, Sawicka, et al., 2022)","noteIndex":0},"citationItems":[{"id":1622,"uris":["http://zotero.org/users/7873587/items/EULYEQLY"],"itemData":{"id":1622,"type":"article-journal","abstract":"Background: Recent meta-analytical findings indicate that affect regulation plays an important role in alcohol craving, consumption volume, and substance use. However, in view of mixed findings, the affect and drinking likelihood literature remains in need of clarification and consolidation.Objectives: This systematic review with meta-analyses interrogated the results from peer-reviewed studies among non-clinical populations that examined the relationship between daily affective states and intraday likelihood of alcohol consumption.Method: A PRISMA guided search of PsychINFO, PsycARTICLES, Science Direct, Wiley Online Library, PubMed, SCOPUS, and JSTOR databases was conducted. Multilevel meta-analyses yielded 11 eligible negative affect studies (2751 participants, 23 effect sizes) and nine studies on positive affect (2244 participants, 14 effect sizes).Results: The pooled associations between intra-day affect and alcohol consumption likelihood revealed no significant association between negative affective state and drinking likelihood (OR = .90, 95% CI [.73, 1.12]) and that positive affect was associated with increased drinking likelihood (OR = 1.17, 95% CI [1.09, 1.27]). Egger's test, P-curve, fail-safe N, and selection models analyses suggested that the obtained results were unlikely to be the product of publication bias and p-hacking alone.Conclusions: Results converge to suggest that, independent of age, affect measure used, and study design, a significant albeit modest relationship between positive affect and alcohol consumption likelihood exists, which does not appear to be the case for negative affect. In conjunction with other recent meta-analyses, current findings help map out a more nuanced understanding of the affect-alcohol/substance use relationship, with potential implications for interventions.","container-title":"The American Journal of Drug and Alcohol Abuse","DOI":"10.1080/00952990.2022.2082300","ISSN":"1097-9891","journalAbbreviation":"Am J Drug Alcohol Abuse","language":"eng","note":"PMID: 35767656","page":"1-15","source":"PubMed","title":"Positive but not negative affect is associated with increased daily drinking likelihood in non-clinical populations: systematic review and meta-analyses","title-short":"Positive but not negative affect is associated with increased daily drinking likelihood in non-clinical populations","author":[{"family":"Tovmasyan","given":"Anna"},{"family":"Monk","given":"Rebecca L."},{"family":"Sawicka","given":"Ilona"},{"family":"Heim","given":"Derek"}],"issued":{"date-parts":[["2022",6,29]]}}}],"schema":"https://github.com/citation-style-language/schema/raw/master/csl-citation.json"} </w:instrText>
      </w:r>
      <w:r w:rsidR="00A63777">
        <w:rPr>
          <w:rFonts w:ascii="Times New Roman" w:hAnsi="Times New Roman" w:cs="Times New Roman"/>
        </w:rPr>
        <w:fldChar w:fldCharType="separate"/>
      </w:r>
      <w:r w:rsidR="00A63777">
        <w:rPr>
          <w:rFonts w:ascii="Times New Roman" w:hAnsi="Times New Roman" w:cs="Times New Roman"/>
          <w:noProof/>
        </w:rPr>
        <w:t>(Tovmasyan, Monk, Sawicka, et al., 2022)</w:t>
      </w:r>
      <w:r w:rsidR="00A63777">
        <w:rPr>
          <w:rFonts w:ascii="Times New Roman" w:hAnsi="Times New Roman" w:cs="Times New Roman"/>
        </w:rPr>
        <w:fldChar w:fldCharType="end"/>
      </w:r>
      <w:r w:rsidRPr="00DE0ACC">
        <w:rPr>
          <w:rFonts w:ascii="Times New Roman" w:hAnsi="Times New Roman" w:cs="Times New Roman"/>
        </w:rPr>
        <w:t xml:space="preserve">. Although in relation to tobacco, the findings from Chapter 5 may be interpreted in line with this recently published research. This is because there were no negative mood-induced alterations in VBDM parameters relative to when positive mood was induced; however, the use of mood as the core manipulation may have obscured the ability to detect a distinction. I contrasted negative and positive mood based upon </w:t>
      </w:r>
      <w:r w:rsidR="00A6377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{"citationID":"HF0LIozO","properties":{"formattedCitation":"(Hogarth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00A63777">
        <w:rPr>
          <w:rFonts w:ascii="Times New Roman" w:hAnsi="Times New Roman" w:cs="Times New Roman"/>
        </w:rPr>
        <w:fldChar w:fldCharType="separate"/>
      </w:r>
      <w:r w:rsidR="00A63777">
        <w:rPr>
          <w:rFonts w:ascii="Times New Roman" w:hAnsi="Times New Roman" w:cs="Times New Roman"/>
          <w:noProof/>
        </w:rPr>
        <w:t>Hogarth et al. (2015)</w:t>
      </w:r>
      <w:r w:rsidR="00A63777">
        <w:rPr>
          <w:rFonts w:ascii="Times New Roman" w:hAnsi="Times New Roman" w:cs="Times New Roman"/>
        </w:rPr>
        <w:fldChar w:fldCharType="end"/>
      </w:r>
      <w:r w:rsidRPr="00DE0ACC">
        <w:rPr>
          <w:rFonts w:ascii="Times New Roman" w:hAnsi="Times New Roman" w:cs="Times New Roman"/>
        </w:rPr>
        <w:t xml:space="preserve">, however the inclusion of a neutral comparison may have been more effective in light of knowledge derived from recent syntheses of the literature (e.g., </w:t>
      </w:r>
      <w:r w:rsidR="00A6377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{"citationID":"Ma4KayGa","properties":{"formattedCitation":"(Dora et al., 2022; Tovmasyan, Monk, Sawicka, et al., 2022)","plainCitation":"(Dora et al., 2022; Tovmasyan, Monk, Sawicka, et al., 2022)","dontUpdate":true,"noteIndex":0},"citationItems":[{"id":922,"uris":["http://zotero.org/users/7873587/items/294T6PMM"],"itemData":{"id":922,"type":"article-journal","abstract":"Influential psychological theories hypothesize that people consume alcohol in response to the experience of both negative and positive emotions. Despite two decades of daily diary and ecological momentary assessment research, it remains unclear whether people consume more alcohol on days they experience higher negative and positive affect in everyday life. In this preregistered meta-analysis, we synthesized the evidence for these daily associations between affect and alcohol use. We included individual participant data from 69 studies (N = 12,394), which used daily and momentary surveys to assess affect and the number of alcoholic drinks consumed. Results indicate that people do not drink more often on days they experience high negative affect, but are more likely to drink and drink heavily on days high in positive affect. People self-reporting a motivational tendency to drink-to-cope and drink-to-enhance were estimated to consume more alcohol, but not to consume more alcohol on days they experience higher negative and positive affect. Results were robust across different operationalizations of affect, study designs, study populations, and individual characteristics. Based on our findings, we collectively propose an agenda for future research to explore open questions surrounding affect and alcohol use.","container-title":"PsyArXiv","DOI":"10.31234/osf.io/xevct","language":"en-us","note":"type: article","source":"OSF Preprints","title":"The daily association between affect and alcohol use: A meta-analysis of individual participant data","title-short":"The daily association between affect and alcohol use","URL":"https://psyarxiv.com/xevct/","author":[{"family":"Dora","given":"Jonas"},{"family":"Piccirillo","given":"Marilyn"},{"family":"Foster","given":"Katherine T."},{"family":"Arbeau","given":"Kelly"},{"family":"Armeli","given":"Stephen"},{"family":"Auriacombe","given":"Marc"},{"family":"Bartholow","given":"Bruce D."},{"family":"Beltz","given":"Adriene"},{"family":"Blumenstock","given":"Shari"},{"family":"Bold","given":"Krysten"},{"family":"Bonar","given":"Erin"},{"family":"Braitman","given":"Abby"},{"family":"Carpenter","given":"Ryan"},{"family":"Creswell","given":"Kasey"},{"family":"DeHart","given":"Tracy"},{"family":"Dvorak","given":"Robert"},{"family":"Emery","given":"Noah N."},{"family":"Enkema","given":"Matthew"},{"family":"Fairbairn","given":"Catharine"},{"family":"Fairlie","given":"Anne"},{"family":"Ferguson","given":"Stuart"},{"family":"Freire","given":"Teresa"},{"family":"Goodman","given":"Fallon"},{"family":"Gottfredson","given":"Nisha"},{"family":"Halvorson","given":"Max Andrew"},{"family":"Haroon","given":"Maleeha"},{"family":"Howard","given":"Andrea"},{"family":"Hussong","given":"Andrea"},{"family":"Jackson","given":"Kristina M."},{"family":"Jenzer","given":"Tiffany"},{"family":"Kelly","given":"Dominic"},{"family":"Kuczynski","given":"Adam M."},{"family":"Kuerbis","given":"Alexis"},{"family":"Lee","given":"Christine"},{"family":"Lewis","given":"Melissa"},{"family":"Linden-Carmichael","given":"Ashley"},{"family":"Littlefield","given":"Andrew"},{"family":"Lydon-Staley","given":"David Martin"},{"family":"Merrill","given":"Jennifer"},{"family":"Jr","given":"Robert Miranda"},{"family":"Mohr","given":"Cynthia"},{"family":"Read","given":"Jennifer"},{"family":"Richardson","given":"Clarissa"},{"family":"O'connor","given":"Roisin"},{"family":"O'malley","given":"Stephanie"},{"family":"Papp","given":"Lauren"},{"family":"Piasecki","given":"Thomas M."},{"family":"Sacco","given":"Paul"},{"family":"Scaglione","given":"Nichole"},{"family":"Serre","given":"Fuschia"},{"family":"Shadur","given":"Julia"},{"family":"Sher","given":"Kenneth J."},{"family":"Shoda","given":"Yuichi"},{"family":"Simpson","given":"Tracy"},{"family":"Stevens","given":"Angela K."},{"family":"Stevenson","given":"Brittany"},{"family":"Tennen","given":"Howard"},{"family":"Todd","given":"Michael"},{"family":"Padovano","given":"Hayley Treloar"},{"family":"Trull","given":"Timothy J."},{"family":"Waddell (MU-Student)","given":"Jack T."},{"family":"Walukevich-Dienst","given":"Katherine"},{"family":"Witkiewitz","given":"Katie"},{"family":"Wray","given":"Tyler B."},{"family":"Wright","given":"Aidan G. C."},{"family":"Wycoff","given":"Andrea M."},{"family":"King","given":"Kevin"}],"accessed":{"date-parts":[["2022",3,18]]},"issued":{"date-parts":[["2022",2,1]]}},"label":"page"},{"id":1622,"uris":["http://zotero.org/users/7873587/items/EULYEQLY"],"itemData":{"id":1622,"type":"article-journal","abstract":"Background: Recent meta-analytical findings indicate that affect regulation plays an important role in alcohol craving, consumption volume, and substance use. However, in view of mixed findings, the affect and drinking likelihood literature remains in need of clarification and consolidation.Objectives: This systematic review with meta-analyses interrogated the results from peer-reviewed studies among non-clinical populations that examined the relationship between daily affective states and intraday likelihood of alcohol consumption.Method: A PRISMA guided search of PsychINFO, PsycARTICLES, Science Direct, Wiley Online Library, PubMed, SCOPUS, and JSTOR databases was conducted. Multilevel meta-analyses yielded 11 eligible negative affect studies (2751 participants, 23 effect sizes) and nine studies on positive affect (2244 participants, 14 effect sizes).Results: The pooled associations between intra-day affect and alcohol consumption likelihood revealed no significant association between negative affective state and drinking likelihood (OR = .90, 95% CI [.73, 1.12]) and that positive affect was associated with increased drinking likelihood (OR = 1.17, 95% CI [1.09, 1.27]). Egger's test, P-curve, fail-safe N, and selection models analyses suggested that the obtained results were unlikely to be the product of publication bias and p-hacking alone.Conclusions: Results converge to suggest that, independent of age, affect measure used, and study design, a significant albeit modest relationship between positive affect and alcohol consumption likelihood exists, which does not appear to be the case for negative affect. In conjunction with other recent meta-analyses, current findings help map out a more nuanced understanding of the affect-alcohol/substance use relationship, with potential implications for interventions.","container-title":"The American Journal of Drug and Alcohol Abuse","DOI":"10.1080/00952990.2022.2082300","ISSN":"1097-9891","journalAbbreviation":"Am J Drug Alcohol Abuse","language":"eng","note":"PMID: 35767656","page":"1-15","source":"PubMed","title":"Positive but not negative affect is associated with increased daily drinking likelihood in non-clinical populations: systematic review and meta-analyses","title-short":"Positive but not negative affect is associated with increased daily drinking likelihood in non-clinical populations","author":[{"family":"Tovmasyan","given":"Anna"},{"family":"Monk","given":"Rebecca L."},{"family":"Sawicka","given":"Ilona"},{"family":"Heim","given":"Derek"}],"issued":{"date-parts":[["2022",6,29]]}},"label":"page"}],"schema":"https://github.com/citation-style-language/schema/raw/master/csl-citation.json"} </w:instrText>
      </w:r>
      <w:r w:rsidR="00A63777">
        <w:rPr>
          <w:rFonts w:ascii="Times New Roman" w:hAnsi="Times New Roman" w:cs="Times New Roman"/>
        </w:rPr>
        <w:fldChar w:fldCharType="separate"/>
      </w:r>
      <w:r w:rsidR="00A63777">
        <w:rPr>
          <w:rFonts w:ascii="Times New Roman" w:hAnsi="Times New Roman" w:cs="Times New Roman"/>
          <w:noProof/>
        </w:rPr>
        <w:t>Dora et al., 2022; Tovmasyan, Monk, Sawicka, et al., 2022)</w:t>
      </w:r>
      <w:r w:rsidR="00A63777">
        <w:rPr>
          <w:rFonts w:ascii="Times New Roman" w:hAnsi="Times New Roman" w:cs="Times New Roman"/>
        </w:rPr>
        <w:fldChar w:fldCharType="end"/>
      </w:r>
      <w:r w:rsidR="00A63777">
        <w:rPr>
          <w:rFonts w:ascii="Times New Roman" w:hAnsi="Times New Roman" w:cs="Times New Roman"/>
        </w:rPr>
        <w:t xml:space="preserve">. </w:t>
      </w:r>
      <w:r w:rsidRPr="00DE0ACC">
        <w:rPr>
          <w:rFonts w:ascii="Times New Roman" w:hAnsi="Times New Roman" w:cs="Times New Roman"/>
        </w:rPr>
        <w:t xml:space="preserve">Alternatively, an interesting point raised by </w:t>
      </w:r>
      <w:r w:rsidR="00A63777">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{"citationID":"tyOayEL8","properties":{"formattedCitation":"(Dora et al., 2022)","plainCitation":"(Dora et al., 2022)","dontUpdate":true,"noteIndex":0},"citationItems":[{"id":922,"uris":["http://zotero.org/users/7873587/items/294T6PMM"],"itemData":{"id":922,"type":"article-journal","abstract":"Influential psychological theories hypothesize that people consume alcohol in response to the experience of both negative and positive emotions. Despite two decades of daily diary and ecological momentary assessment research, it remains unclear whether people consume more alcohol on days they experience higher negative and positive affect in everyday life. In this preregistered meta-analysis, we synthesized the evidence for these daily associations between affect and alcohol use. We included individual participant data from 69 studies (N = 12,394), which used daily and momentary surveys to assess affect and the number of alcoholic drinks consumed. Results indicate that people do not drink more often on days they experience high negative affect, but are more likely to drink and drink heavily on days high in positive affect. People self-reporting a motivational tendency to drink-to-cope and drink-to-enhance were estimated to consume more alcohol, but not to consume more alcohol on days they experience higher negative and positive affect. Results were robust across different operationalizations of affect, study designs, study populations, and individual characteristics. Based on our findings, we collectively propose an agenda for future research to explore open questions surrounding affect and alcohol use.","container-title":"PsyArXiv","DOI":"10.31234/osf.io/xevct","language":"en-us","note":"type: article","source":"OSF Preprints","title":"The daily association between affect and alcohol use: A meta-analysis of individual participant data","title-short":"The daily association between affect and alcohol use","URL":"https://psyarxiv.com/xevct/","author":[{"family":"Dora","given":"Jonas"},{"family":"Piccirillo","given":"Marilyn"},{"family":"Foster","given":"Katherine T."},{"family":"Arbeau","given":"Kelly"},{"family":"Armeli","given":"Stephen"},{"family":"Auriacombe","given":"Marc"},{"family":"Bartholow","given":"Bruce D."},{"family":"Beltz","given":"Adriene"},{"family":"Blumenstock","given":"Shari"},{"family":"Bold","given":"Krysten"},{"family":"Bonar","given":"Erin"},{"family":"Braitman","given":"Abby"},{"family":"Carpenter","given":"Ryan"},{"family":"Creswell","given":"Kasey"},{"family":"DeHart","given":"Tracy"},{"family":"Dvorak","given":"Robert"},{"family":"Emery","given":"Noah N."},{"family":"Enkema","given":"Matthew"},{"family":"Fairbairn","given":"Catharine"},{"family":"Fairlie","given":"Anne"},{"family":"Ferguson","given":"Stuart"},{"family":"Freire","given":"Teresa"},{"family":"Goodman","given":"Fallon"},{"family":"Gottfredson","given":"Nisha"},{"family":"Halvorson","given":"Max Andrew"},{"family":"Haroon","given":"Maleeha"},{"family":"Howard","given":"Andrea"},{"family":"Hussong","given":"Andrea"},{"family":"Jackson","given":"Kristina M."},{"family":"Jenzer","given":"Tiffany"},{"family":"Kelly","given":"Dominic"},{"family":"Kuczynski","given":"Adam M."},{"family":"Kuerbis","given":"Alexis"},{"family":"Lee","given":"Christine"},{"family":"Lewis","given":"Melissa"},{"family":"Linden-Carmichael","given":"Ashley"},{"family":"Littlefield","given":"Andrew"},{"family":"Lydon-Staley","given":"David Martin"},{"family":"Merrill","given":"Jennifer"},{"family":"Jr","given":"Robert Miranda"},{"family":"Mohr","given":"Cynthia"},{"family":"Read","given":"Jennifer"},{"family":"Richardson","given":"Clarissa"},{"family":"O'connor","given":"Roisin"},{"family":"O'malley","given":"Stephanie"},{"family":"Papp","given":"Lauren"},{"family":"Piasecki","given":"Thomas M."},{"family":"Sacco","given":"Paul"},{"family":"Scaglione","given":"Nichole"},{"family":"Serre","given":"Fuschia"},{"family":"Shadur","given":"Julia"},{"family":"Sher","given":"Kenneth J."},{"family":"Shoda","given":"Yuichi"},{"family":"Simpson","given":"Tracy"},{"family":"Stevens","given":"Angela K."},{"family":"Stevenson","given":"Brittany"},{"family":"Tennen","given":"Howard"},{"family":"Todd","given":"Michael"},{"family":"Padovano","given":"Hayley Treloar"},{"family":"Trull","given":"Timothy J."},{"family":"Waddell (MU-Student)","given":"Jack T."},{"family":"Walukevich-Dienst","given":"Katherine"},{"family":"Witkiewitz","given":"Katie"},{"family":"Wray","given":"Tyler B."},{"family":"Wright","given":"Aidan G. C."},{"family":"Wycoff","given":"Andrea M."},{"family":"King","given":"Kevin"}],"accessed":{"date-parts":[["2022",3,18]]},"issued":{"date-parts":[["2022",2,1]]}}}],"schema":"https://github.com/citation-style-language/schema/raw/master/csl-citation.json"} </w:instrText>
      </w:r>
      <w:r w:rsidR="00A63777">
        <w:rPr>
          <w:rFonts w:ascii="Times New Roman" w:hAnsi="Times New Roman" w:cs="Times New Roman"/>
        </w:rPr>
        <w:fldChar w:fldCharType="separate"/>
      </w:r>
      <w:r w:rsidR="00A63777">
        <w:rPr>
          <w:rFonts w:ascii="Times New Roman" w:hAnsi="Times New Roman" w:cs="Times New Roman"/>
          <w:noProof/>
        </w:rPr>
        <w:t>Dora et al. (2022)</w:t>
      </w:r>
      <w:r w:rsidR="00A63777">
        <w:rPr>
          <w:rFonts w:ascii="Times New Roman" w:hAnsi="Times New Roman" w:cs="Times New Roman"/>
        </w:rPr>
        <w:fldChar w:fldCharType="end"/>
      </w:r>
      <w:r w:rsidRPr="00DE0ACC">
        <w:rPr>
          <w:rFonts w:ascii="Times New Roman" w:hAnsi="Times New Roman" w:cs="Times New Roman"/>
        </w:rPr>
        <w:t xml:space="preserve"> is that negative affect may drive substance use for </w:t>
      </w:r>
      <w:r w:rsidRPr="00FC6EAB">
        <w:rPr>
          <w:rFonts w:ascii="Times New Roman" w:hAnsi="Times New Roman" w:cs="Times New Roman"/>
          <w:i/>
          <w:iCs/>
        </w:rPr>
        <w:t>some</w:t>
      </w:r>
      <w:r w:rsidRPr="00DE0ACC">
        <w:rPr>
          <w:rFonts w:ascii="Times New Roman" w:hAnsi="Times New Roman" w:cs="Times New Roman"/>
        </w:rPr>
        <w:t xml:space="preserve"> people, </w:t>
      </w:r>
      <w:r w:rsidRPr="00FC6EAB">
        <w:rPr>
          <w:rFonts w:ascii="Times New Roman" w:hAnsi="Times New Roman" w:cs="Times New Roman"/>
          <w:i/>
          <w:iCs/>
        </w:rPr>
        <w:t>some</w:t>
      </w:r>
      <w:r w:rsidRPr="00DE0ACC">
        <w:rPr>
          <w:rFonts w:ascii="Times New Roman" w:hAnsi="Times New Roman" w:cs="Times New Roman"/>
        </w:rPr>
        <w:t xml:space="preserve"> of the time, and authors call for increased research efforts that contain methodology capable of capturing the immediate context that decisions are made. A contribution from this thesis is that methodology employed enabled the exploration of the effect of mood on substance-related decision-making at a momentary level by parameterising the internal processes of discrete decisions made, with findings indicating that the previously reported</w:t>
      </w:r>
      <w:r w:rsidR="00FC3CE2">
        <w:rPr>
          <w:rFonts w:ascii="Times New Roman" w:hAnsi="Times New Roman" w:cs="Times New Roman"/>
        </w:rPr>
        <w:t xml:space="preserve"> </w:t>
      </w:r>
      <w:r w:rsidRPr="00DE0ACC">
        <w:rPr>
          <w:rFonts w:ascii="Times New Roman" w:hAnsi="Times New Roman" w:cs="Times New Roman"/>
        </w:rPr>
        <w:t xml:space="preserve">relationship between negative mood and tobacco value (e.g., </w:t>
      </w:r>
      <w:r w:rsidR="00FC3CE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{"citationID":"402ZgR1R","properties":{"formattedCitation":"(Hogarth et al., 2015)","plainCitation":"(Hogarth et al., 2015)","dontUpdate":true,"noteIndex":0},"citationItems":[{"id":708,"uris":["http://zotero.org/users/7873587/items/XHY9EL6E"],"itemData":{"id":708,"type":"article-journal","abstract":"Background\nTwo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R."},{"family":"Hitsman","given":"Brian"}],"issued":{"date-parts":[["2015"]]}}}],"schema":"https://github.com/citation-style-language/schema/raw/master/csl-citation.json"} </w:instrText>
      </w:r>
      <w:r w:rsidR="00FC3CE2">
        <w:rPr>
          <w:rFonts w:ascii="Times New Roman" w:hAnsi="Times New Roman" w:cs="Times New Roman"/>
        </w:rPr>
        <w:fldChar w:fldCharType="separate"/>
      </w:r>
      <w:r w:rsidR="00FC3CE2">
        <w:rPr>
          <w:rFonts w:ascii="Times New Roman" w:hAnsi="Times New Roman" w:cs="Times New Roman"/>
          <w:noProof/>
        </w:rPr>
        <w:t>Hogarth et al., 2015)</w:t>
      </w:r>
      <w:r w:rsidR="00FC3CE2">
        <w:rPr>
          <w:rFonts w:ascii="Times New Roman" w:hAnsi="Times New Roman" w:cs="Times New Roman"/>
        </w:rPr>
        <w:fldChar w:fldCharType="end"/>
      </w:r>
      <w:r w:rsidRPr="00DE0ACC">
        <w:rPr>
          <w:rFonts w:ascii="Times New Roman" w:hAnsi="Times New Roman" w:cs="Times New Roman"/>
        </w:rPr>
        <w:t xml:space="preserve"> </w:t>
      </w:r>
      <w:r w:rsidR="00FC3CE2">
        <w:rPr>
          <w:rFonts w:ascii="Times New Roman" w:hAnsi="Times New Roman" w:cs="Times New Roman"/>
        </w:rPr>
        <w:t>may</w:t>
      </w:r>
      <w:r w:rsidRPr="00DE0ACC">
        <w:rPr>
          <w:rFonts w:ascii="Times New Roman" w:hAnsi="Times New Roman" w:cs="Times New Roman"/>
        </w:rPr>
        <w:t xml:space="preserve"> not</w:t>
      </w:r>
      <w:r w:rsidR="00FC3CE2">
        <w:rPr>
          <w:rFonts w:ascii="Times New Roman" w:hAnsi="Times New Roman" w:cs="Times New Roman"/>
        </w:rPr>
        <w:t xml:space="preserve"> be</w:t>
      </w:r>
      <w:r w:rsidRPr="00DE0ACC">
        <w:rPr>
          <w:rFonts w:ascii="Times New Roman" w:hAnsi="Times New Roman" w:cs="Times New Roman"/>
        </w:rPr>
        <w:t xml:space="preserve"> robust.</w:t>
      </w:r>
    </w:p>
    <w:p w14:paraId="56B49EB5" w14:textId="77777777" w:rsidR="00FC3CE2" w:rsidRPr="00FC3CE2" w:rsidRDefault="00FC3CE2" w:rsidP="00762442">
      <w:pPr>
        <w:pStyle w:val="NoSpacing"/>
        <w:spacing w:line="480" w:lineRule="auto"/>
      </w:pPr>
    </w:p>
    <w:p w14:paraId="75A1B483" w14:textId="2D20E4D9" w:rsidR="00FC3CE2" w:rsidRPr="00FC3CE2" w:rsidRDefault="00FC3CE2" w:rsidP="00762442">
      <w:pPr>
        <w:pStyle w:val="Heading3"/>
        <w:spacing w:line="480" w:lineRule="auto"/>
        <w:rPr>
          <w:rFonts w:cs="Times New Roman"/>
        </w:rPr>
      </w:pPr>
      <w:bookmarkStart w:id="346" w:name="_Toc110612746"/>
      <w:bookmarkStart w:id="347" w:name="_Toc110629086"/>
      <w:bookmarkStart w:id="348" w:name="_Toc110870994"/>
      <w:r w:rsidRPr="00FC3CE2">
        <w:rPr>
          <w:rFonts w:cs="Times New Roman"/>
        </w:rPr>
        <w:t>8.2.5</w:t>
      </w:r>
      <w:r w:rsidR="00403E7C">
        <w:rPr>
          <w:rFonts w:cs="Times New Roman"/>
        </w:rPr>
        <w:t>.</w:t>
      </w:r>
      <w:r w:rsidRPr="00FC3CE2">
        <w:rPr>
          <w:rFonts w:cs="Times New Roman"/>
        </w:rPr>
        <w:t xml:space="preserve"> Meaning in life</w:t>
      </w:r>
      <w:bookmarkEnd w:id="346"/>
      <w:bookmarkEnd w:id="347"/>
      <w:bookmarkEnd w:id="348"/>
    </w:p>
    <w:p w14:paraId="5796F7C8" w14:textId="28F26098" w:rsidR="00FC3CE2" w:rsidRDefault="00FC3CE2" w:rsidP="00762442">
      <w:pPr>
        <w:pStyle w:val="NoSpacing"/>
        <w:spacing w:line="480" w:lineRule="auto"/>
        <w:rPr>
          <w:rFonts w:ascii="Times New Roman" w:hAnsi="Times New Roman" w:cs="Times New Roman"/>
        </w:rPr>
      </w:pPr>
      <w:r w:rsidRPr="00FC3CE2">
        <w:rPr>
          <w:rFonts w:ascii="Times New Roman" w:hAnsi="Times New Roman" w:cs="Times New Roman"/>
        </w:rPr>
        <w:t xml:space="preserve">Another contribution is that less is currently understood about the theoretical basis by which meaning in life influences decisions to consume alcohol </w:t>
      </w:r>
      <w:r>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{"citationID":"vbZnesVS","properties":{"formattedCitation":"(Sliedrecht et al., 2022)","plainCitation":"(Sliedrecht et al., 2022)","noteIndex":0},"citationItems":[{"id":1621,"uris":["http://zotero.org/users/7873587/items/4HTJG2U6"],"itemData":{"id":1621,"type":"article-journal","abstract":"For decades predictors of alcohol use disorder (AUD) relapse have been studied, and around 40 different clinical and demographic relapse determinants have been identified. This paper aims to investigate the relationship of two of these AUD relapse factors, namely craving and meaning in life (MiL). We hypothesized that greater meaning in life would be associated with lower cravings and lower relapse rates. An AUD subsample of 81 patients within a clinical population that participated in ongoing exploratory research on religious/spiritual factors related to substance use disorders was followed up to 1 year. Craving (as measured with the Penn Alcohol Craving Scale) and meaning in life (as measured with the Meaning in Life Questionnaire- presence subscale) measures were assessed at baseline and relapse was assessed at 6- and 12-month follow up. Main effects and the interaction between craving and meaning in life in predicting alcohol relapse (with relapse defined as ‘any alcohol use’ and ≥ 3 consecutive days of drinking) were calculated/subject of analyses. We also investigated the relationship between relapse and alcohol dependence severity as measured with the Leeds Dependence Questionnaire. Baseline craving and dependence severity were related to relapse, but there were no associations between meaning in life and levels of craving or alcohol relapse. Our findings suggest a need for additional research on characterizing the Meaning in Life concept.","container-title":"Addiction Research &amp; Theory","DOI":"10.1080/16066359.2022.2040488","ISSN":"1606-6359","note":"publisher: Taylor &amp; Francis\n_eprint: https://doi.org/10.1080/16066359.2022.2040488","page":"1-9","source":"Taylor and Francis+NEJM","title":"Alcohol use disorder relapse factors: an exploratory investigation of craving, alcohol dependence severity, and meaning in life","title-short":"Alcohol use disorder relapse factors","author":[{"family":"Sliedrecht","given":"Wilco"},{"family":"Seesink","given":"Henk Jan"},{"family":"Vrijmoeth","given":"Cis"},{"family":"Waart","given":"Ranne","non-dropping-particle":"de"},{"family":"Wiers","given":"Reinout W."},{"family":"Ostafin","given":"Brian"},{"family":"Schaap-Jonker","given":"Hanneke"},{"family":"Roozen","given":"Hendrik"},{"family":"Witkiewitz","given":"Katie"},{"family":"Dom","given":"Geert"}],"issued":{"date-parts":[["2022",3,26]]}}}],"schema":"https://github.com/citation-style-language/schema/raw/master/csl-citation.json"} </w:instrText>
      </w:r>
      <w:r>
        <w:rPr>
          <w:rFonts w:ascii="Times New Roman" w:hAnsi="Times New Roman" w:cs="Times New Roman"/>
        </w:rPr>
        <w:fldChar w:fldCharType="separate"/>
      </w:r>
      <w:r>
        <w:rPr>
          <w:rFonts w:ascii="Times New Roman" w:hAnsi="Times New Roman" w:cs="Times New Roman"/>
          <w:noProof/>
        </w:rPr>
        <w:t>(Sliedrecht et al., 2022)</w:t>
      </w:r>
      <w:r>
        <w:rPr>
          <w:rFonts w:ascii="Times New Roman" w:hAnsi="Times New Roman" w:cs="Times New Roman"/>
        </w:rPr>
        <w:fldChar w:fldCharType="end"/>
      </w:r>
      <w:r w:rsidRPr="00FC3CE2">
        <w:rPr>
          <w:rFonts w:ascii="Times New Roman" w:hAnsi="Times New Roman" w:cs="Times New Roman"/>
        </w:rPr>
        <w:t xml:space="preserve">, and findings from Chapters 2 and 6 contribute towards enhancing this. Chapter 2 corroborated existing research demonstrating that meaning in life is inversely associated with AUDIT scores </w:t>
      </w:r>
      <w:r>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{"citationID":"FY7kEa23","properties":{"formattedCitation":"(Copeland et al., 2020)","plainCitation":"(Copeland et al.,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page"}],"schema":"https://github.com/citation-style-language/schema/raw/master/csl-citation.json"} </w:instrText>
      </w:r>
      <w:r>
        <w:rPr>
          <w:rFonts w:ascii="Times New Roman" w:hAnsi="Times New Roman" w:cs="Times New Roman"/>
        </w:rPr>
        <w:fldChar w:fldCharType="separate"/>
      </w:r>
      <w:r w:rsidR="00B11308">
        <w:rPr>
          <w:rFonts w:ascii="Times New Roman" w:hAnsi="Times New Roman" w:cs="Times New Roman"/>
          <w:noProof/>
        </w:rPr>
        <w:t>(Copeland et al., 2020)</w:t>
      </w:r>
      <w:r>
        <w:rPr>
          <w:rFonts w:ascii="Times New Roman" w:hAnsi="Times New Roman" w:cs="Times New Roman"/>
        </w:rPr>
        <w:fldChar w:fldCharType="end"/>
      </w:r>
      <w:r w:rsidRPr="00FC3CE2">
        <w:rPr>
          <w:rFonts w:ascii="Times New Roman" w:hAnsi="Times New Roman" w:cs="Times New Roman"/>
        </w:rPr>
        <w:t xml:space="preserve">. However, this chapter did not find any significant association between search for meaning in life and AUDIT scores. These findings directly contribute to an inconsistent evidence base regarding the relationship between search for meaning in life and alcohol consumption </w:t>
      </w:r>
      <w:r w:rsidR="00B1130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{"citationID":"sZ6b2nZB","properties":{"formattedCitation":"(Copeland et al., 2020; Csabonyi &amp; Phillips, 2017)","plainCitation":"(Copeland et al., 2020; Csabonyi &amp; Phillips, 2017)","noteIndex":0},"citationItems":[{"id":1273,"uris":["http://zotero.org/users/7873587/items/R5Q63SAR"],"itemData":{"id":1273,"type":"article-journal","abstract":"Introduction\nThe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page"},{"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J."}],"issued":{"date-parts":[["2017"]]}},"label":"page"}],"schema":"https://github.com/citation-style-language/schema/raw/master/csl-citation.json"} </w:instrText>
      </w:r>
      <w:r w:rsidR="00B11308">
        <w:rPr>
          <w:rFonts w:ascii="Times New Roman" w:hAnsi="Times New Roman" w:cs="Times New Roman"/>
        </w:rPr>
        <w:fldChar w:fldCharType="separate"/>
      </w:r>
      <w:r w:rsidR="00B11308">
        <w:rPr>
          <w:rFonts w:ascii="Times New Roman" w:hAnsi="Times New Roman" w:cs="Times New Roman"/>
          <w:noProof/>
        </w:rPr>
        <w:t>(Copeland et al., 2020; Csabonyi &amp; Phillips, 2017)</w:t>
      </w:r>
      <w:r w:rsidR="00B11308">
        <w:rPr>
          <w:rFonts w:ascii="Times New Roman" w:hAnsi="Times New Roman" w:cs="Times New Roman"/>
        </w:rPr>
        <w:fldChar w:fldCharType="end"/>
      </w:r>
      <w:r w:rsidRPr="00FC3CE2">
        <w:rPr>
          <w:rFonts w:ascii="Times New Roman" w:hAnsi="Times New Roman" w:cs="Times New Roman"/>
        </w:rPr>
        <w:t xml:space="preserve"> thereby supporting the notion that elevated search for meaning is not a robust predictor of AUDIT scores. I subsequently explored meaning in life in Chapter 6, but unexpectedly found that neither presence of meaning, nor search for meaning in life distinguished current heavy drinkers and moderated (former heavy) drinkers. Given the inverse associations found between presence of meaning in life and AUDIT scores in Chapter 2 and existing studies </w:t>
      </w:r>
      <w:r w:rsidR="00B1130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{"citationID":"AsjklbEy","properties":{"formattedCitation":"(Copeland et al., 2020; Csabonyi &amp; Phillips, 2017)","plainCitation":"(Copeland et al., 2020; Csabonyi &amp; Phillips, 2017)","noteIndex":0},"citationItems":[{"id":1273,"uris":["http://zotero.org/users/7873587/items/R5Q63SAR"],"itemData":{"id":1273,"type":"article-journal","abstract":"Introduction\nThe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page"},{"id":1272,"uris":["http://zotero.org/users/7873587/items/UIMMBKBM"],"itemData":{"id":1272,"type":"article-journal","abstract":"Viktor Frankl theorized that an absence of meaning in one’s life can result in boredom and apathy—the “existential vacuum”—and attempts to avoid or “escape” the vacuum can include short-acting distracting behaviors. This study investigated whether the presence of meaning (PM) or the search for meaning are associated with alcohol, drug, and cigarette use by young adults, and whether boredom mediates those relationships. Hundred and seventy-six young adults completed the Meaning in Life Questionnaire, the Alcohol Use Disorders Identification Test, and provided information about cigarette and illicit drug use over the preceding year. The results partly support Frankl’s model: higher PM was associated with lower alcohol/other drug use and boredom mediated those relationships, but PM was not related to cigarette smoking. Contrary to Frankl’s model, no relationship was found between search for meaning and alcohol, drug, or cigarette use. This suggests that psychological interventions that assist individuals who use drugs or alcohol to identify meaning or purpose in their lives might reduce levels of drug and alcohol use. The process of searching for meaning may not have substantial direct impact on levels of substance use, but once some meaning was established there may be decreased impetus to continue using drugs and alcohol.","container-title":"Journal of Humanistic Psychology","DOI":"10.1177/0022167816687674","ISSN":"0022-1678","issue":"1","journalAbbreviation":"Journal of Humanistic Psychology","language":"en","note":"publisher: SAGE Publications Inc","page":"3-19","source":"SAGE Journals","title":"Meaning in life and substance use","volume":"60","author":[{"family":"Csabonyi","given":"Matthew"},{"family":"Phillips","given":"Lisa J."}],"issued":{"date-parts":[["2017"]]}},"label":"page"}],"schema":"https://github.com/citation-style-language/schema/raw/master/csl-citation.json"} </w:instrText>
      </w:r>
      <w:r w:rsidR="00B11308">
        <w:rPr>
          <w:rFonts w:ascii="Times New Roman" w:hAnsi="Times New Roman" w:cs="Times New Roman"/>
        </w:rPr>
        <w:fldChar w:fldCharType="separate"/>
      </w:r>
      <w:r w:rsidR="00B11308">
        <w:rPr>
          <w:rFonts w:ascii="Times New Roman" w:hAnsi="Times New Roman" w:cs="Times New Roman"/>
          <w:noProof/>
        </w:rPr>
        <w:t>(Copeland et al., 2020; Csabonyi &amp; Phillips, 2017)</w:t>
      </w:r>
      <w:r w:rsidR="00B11308">
        <w:rPr>
          <w:rFonts w:ascii="Times New Roman" w:hAnsi="Times New Roman" w:cs="Times New Roman"/>
        </w:rPr>
        <w:fldChar w:fldCharType="end"/>
      </w:r>
      <w:r w:rsidRPr="00FC3CE2">
        <w:rPr>
          <w:rFonts w:ascii="Times New Roman" w:hAnsi="Times New Roman" w:cs="Times New Roman"/>
        </w:rPr>
        <w:t xml:space="preserve">, this was an unexpected observation and did not align with research highlighting meaning in life as important for behaviour change and recovery </w:t>
      </w:r>
      <w:r w:rsidR="00B11308">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{"citationID":"spylGBg2","properties":{"formattedCitation":"(E. A. R. Robinson et al., 2011; Roos et al., 2015)","plainCitation":"(E. A. R. Robinson et al., 2011; Roos et al., 2015)","dontUpdate":true,"noteIndex":0},"citationItems":[{"id":1619,"uris":["http://zotero.org/users/7873587/items/HB5KL3DS"],"itemData":{"id":1619,"type":"article-journal","abstract":"Objective:\nAlthough spiritual change is hypothesized to contribute to recovery from alcohol dependence, few studies have used prospective data to investigate this hypothesis. Prior studies have also been limited to treatment-seeking and Alcoholics Anonymous (AA) samples. This study included alcohol-dependent individuals, both in treatment and not, to investigate the effect of spiritual and religious (SR) change on subsequent drinking outcomes, independent of AA involvement.\n\nMethod:\nAlcoholics (N = 364) were recruited for a panel study from two abstinence-based treatment centers, a moderation drinking program, and untreated individuals from the local community. Quantitative measures of SR change between baseline and 6 months were used to predict 9-month drinking outcomes, controlling for baseline drinking and AA involvement.\n\nResults:\nSignificant 6-month changes in 8 of 12 SR measures were found, which included private SR practices, beliefs, daily spiritual experiences, three measures of forgiveness, negative religious coping, and purpose in life. Increases in private SR practices and forgiveness of self were the strongest predictors of improvements in drinking outcomes. Changes in daily spiritual experiences, purpose in life, a general measure of forgiveness, and negative religious coping also predicted favorable drinking outcomes.\n\nConclusions:\nSR change predicted good drinking outcomes in alcoholics, even when controlling for AA involvement. SR variables, broadly defined, deserve attention in fostering change even among those who do not affiliate with AA or religious institutions. Last, future research should include SR variables, particularly various types of forgiveness, given the strong effects found for forgiveness of self.","container-title":"Journal of Studies on Alcohol and Drugs","ISSN":"1937-1888","issue":"4","journalAbbreviation":"J Stud Alcohol Drugs","note":"PMID: 21683048\nPMCID: PMC3125889","page":"660-668","source":"PubMed Central","title":"Six-month changes in spirituality and religiousness in alcoholics predict drinking outcomes at nine months","volume":"72","author":[{"family":"Robinson","given":"Elizabeth A. R."},{"family":"Krentzman","given":"Amy R."},{"family":"Webb","given":"Jon R."},{"family":"Brower","given":"Kirk J."}],"issued":{"date-parts":[["2011",7]]}},"label":"page"},{"id":1640,"uris":["http://zotero.org/users/7873587/items/FF8I5HEI"],"itemData":{"id":1640,"type":"article-journal","abstract":"Temptation to drink, defined as the degree to which one feels compelled to drink in the presence of internal or external alcohol-related cues, has been shown to predict alcohol treatment outcomes among individuals with alcohol use disorders (AUDs). Research examining temptation to drink from an existential perspective is lacking and little is known about how existential issues such as purpose in life (PIL) relate to temptation to drink, which is surprising given the role of existential issues in many treatments and mutual help approaches for AUDs. The current study examined the longitudinal associations among temptation to drink, PIL, and drinking outcomes using data from Project MATCH (N = 1726). Parallel process latent growth curve analyses indicated that PIL and temptation to drink were significantly associated across time, such that higher initial levels of PIL and increases in PIL over time were associated with lower initial levels of temptation to drink and decreases in temptation to drink over time. Higher initial levels of temptation to drink, lower initial levels of PIL, increases in temptation to drink, and decreases in PIL were significantly associated with greater intensity and frequency of drinking and greater drinking-related consequences at the 15-month follow-up. Accordingly, temptation to drink and PIL may be important constructs for clinicians to consider throughout the course of treatment. Future studies should examine if and how various kinds of treatments for AUDs are associated with increases in PIL, and whether these increases are related to decreased temptation to drink and reduced drinking.","container-title":"Psychology of Addictive Behaviors","DOI":"10.1037/adb0000063","ISSN":"0893-164X","issue":"3","journalAbbreviation":"Psychol Addict Behav","note":"PMID: 25730630\nPMCID: PMC4558413","page":"716-724","source":"PubMed Central","title":"Examining temptation to drink from an existential perspective: Associations among temptation, purpose in life, and drinking outcomes","title-short":"Examining Temptation to Drink from an Existential Perspective","volume":"29","author":[{"family":"Roos","given":"Corey R."},{"family":"Kirouac","given":"Megan"},{"family":"Pearson","given":"Matthew R."},{"family":"Fink","given":"Brandi C."},{"family":"Witkiewitz","given":"Katie"}],"issued":{"date-parts":[["2015",9]]}},"label":"page"}],"schema":"https://github.com/citation-style-language/schema/raw/master/csl-citation.json"} </w:instrText>
      </w:r>
      <w:r w:rsidR="00B11308">
        <w:rPr>
          <w:rFonts w:ascii="Times New Roman" w:hAnsi="Times New Roman" w:cs="Times New Roman"/>
        </w:rPr>
        <w:fldChar w:fldCharType="separate"/>
      </w:r>
      <w:r w:rsidR="00EA67F9">
        <w:rPr>
          <w:rFonts w:ascii="Times New Roman" w:hAnsi="Times New Roman" w:cs="Times New Roman"/>
          <w:noProof/>
        </w:rPr>
        <w:t>(Robinson et al., 2011; Roos et al., 2015)</w:t>
      </w:r>
      <w:r w:rsidR="00B11308">
        <w:rPr>
          <w:rFonts w:ascii="Times New Roman" w:hAnsi="Times New Roman" w:cs="Times New Roman"/>
        </w:rPr>
        <w:fldChar w:fldCharType="end"/>
      </w:r>
      <w:r w:rsidRPr="00FC3CE2">
        <w:rPr>
          <w:rFonts w:ascii="Times New Roman" w:hAnsi="Times New Roman" w:cs="Times New Roman"/>
        </w:rPr>
        <w:t xml:space="preserve">. However, these findings may be interpreted in line with even more recent findings: </w:t>
      </w:r>
      <w:r w:rsidR="00EA67F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{"citationID":"XBelVQyi","properties":{"formattedCitation":"(Sliedrecht et al., 2022)","plainCitation":"(Sliedrecht et al., 2022)","dontUpdate":true,"noteIndex":0},"citationItems":[{"id":1621,"uris":["http://zotero.org/users/7873587/items/4HTJG2U6"],"itemData":{"id":1621,"type":"article-journal","abstract":"For decades predictors of alcohol use disorder (AUD) relapse have been studied, and around 40 different clinical and demographic relapse determinants have been identified. This paper aims to investigate the relationship of two of these AUD relapse factors, namely craving and meaning in life (MiL). We hypothesized that greater meaning in life would be associated with lower cravings and lower relapse rates. An AUD subsample of 81 patients within a clinical population that participated in ongoing exploratory research on religious/spiritual factors related to substance use disorders was followed up to 1 year. Craving (as measured with the Penn Alcohol Craving Scale) and meaning in life (as measured with the Meaning in Life Questionnaire- presence subscale) measures were assessed at baseline and relapse was assessed at 6- and 12-month follow up. Main effects and the interaction between craving and meaning in life in predicting alcohol relapse (with relapse defined as ‘any alcohol use’ and ≥ 3 consecutive days of drinking) were calculated/subject of analyses. We also investigated the relationship between relapse and alcohol dependence severity as measured with the Leeds Dependence Questionnaire. Baseline craving and dependence severity were related to relapse, but there were no associations between meaning in life and levels of craving or alcohol relapse. Our findings suggest a need for additional research on characterizing the Meaning in Life concept.","container-title":"Addiction Research &amp; Theory","DOI":"10.1080/16066359.2022.2040488","ISSN":"1606-6359","note":"publisher: Taylor &amp; Francis\n_eprint: https://doi.org/10.1080/16066359.2022.2040488","page":"1-9","source":"Taylor and Francis+NEJM","title":"Alcohol use disorder relapse factors: an exploratory investigation of craving, alcohol dependence severity, and meaning in life","title-short":"Alcohol use disorder relapse factors","author":[{"family":"Sliedrecht","given":"Wilco"},{"family":"Seesink","given":"Henk Jan"},{"family":"Vrijmoeth","given":"Cis"},{"family":"Waart","given":"Ranne","non-dropping-particle":"de"},{"family":"Wiers","given":"Reinout W."},{"family":"Ostafin","given":"Brian"},{"family":"Schaap-Jonker","given":"Hanneke"},{"family":"Roozen","given":"Hendrik"},{"family":"Witkiewitz","given":"Katie"},{"family":"Dom","given":"Geert"}],"issued":{"date-parts":[["2022",3,26]]}}}],"schema":"https://github.com/citation-style-language/schema/raw/master/csl-citation.json"} </w:instrText>
      </w:r>
      <w:r w:rsidR="00EA67F9">
        <w:rPr>
          <w:rFonts w:ascii="Times New Roman" w:hAnsi="Times New Roman" w:cs="Times New Roman"/>
        </w:rPr>
        <w:fldChar w:fldCharType="separate"/>
      </w:r>
      <w:r w:rsidR="00EA67F9">
        <w:rPr>
          <w:rFonts w:ascii="Times New Roman" w:hAnsi="Times New Roman" w:cs="Times New Roman"/>
          <w:noProof/>
        </w:rPr>
        <w:t>Sliedrecht et al. (2022)</w:t>
      </w:r>
      <w:r w:rsidR="00EA67F9">
        <w:rPr>
          <w:rFonts w:ascii="Times New Roman" w:hAnsi="Times New Roman" w:cs="Times New Roman"/>
        </w:rPr>
        <w:fldChar w:fldCharType="end"/>
      </w:r>
      <w:r w:rsidR="00EA67F9">
        <w:rPr>
          <w:rFonts w:ascii="Times New Roman" w:hAnsi="Times New Roman" w:cs="Times New Roman"/>
        </w:rPr>
        <w:t xml:space="preserve"> </w:t>
      </w:r>
      <w:r w:rsidRPr="00FC3CE2">
        <w:rPr>
          <w:rFonts w:ascii="Times New Roman" w:hAnsi="Times New Roman" w:cs="Times New Roman"/>
        </w:rPr>
        <w:t xml:space="preserve">prospectively followed up a clinical sample of people in treatment for alcohol use disorder (AUD) and found no significant associations between meaning in life and levels of craving or alcohol relapse. Although previous research (e.g., </w:t>
      </w:r>
      <w:r w:rsidR="00EA67F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{"citationID":"yhFPOvLE","properties":{"formattedCitation":"(Roos et al., 2015)","plainCitation":"(Roos et al., 2015)","dontUpdate":true,"noteIndex":0},"citationItems":[{"id":1640,"uris":["http://zotero.org/users/7873587/items/FF8I5HEI"],"itemData":{"id":1640,"type":"article-journal","abstract":"Temptation to drink, defined as the degree to which one feels compelled to drink in the presence of internal or external alcohol-related cues, has been shown to predict alcohol treatment outcomes among individuals with alcohol use disorders (AUDs). Research examining temptation to drink from an existential perspective is lacking and little is known about how existential issues such as purpose in life (PIL) relate to temptation to drink, which is surprising given the role of existential issues in many treatments and mutual help approaches for AUDs. The current study examined the longitudinal associations among temptation to drink, PIL, and drinking outcomes using data from Project MATCH (N = 1726). Parallel process latent growth curve analyses indicated that PIL and temptation to drink were significantly associated across time, such that higher initial levels of PIL and increases in PIL over time were associated with lower initial levels of temptation to drink and decreases in temptation to drink over time. Higher initial levels of temptation to drink, lower initial levels of PIL, increases in temptation to drink, and decreases in PIL were significantly associated with greater intensity and frequency of drinking and greater drinking-related consequences at the 15-month follow-up. Accordingly, temptation to drink and PIL may be important constructs for clinicians to consider throughout the course of treatment. Future studies should examine if and how various kinds of treatments for AUDs are associated with increases in PIL, and whether these increases are related to decreased temptation to drink and reduced drinking.","container-title":"Psychology of Addictive Behaviors","DOI":"10.1037/adb0000063","ISSN":"0893-164X","issue":"3","journalAbbreviation":"Psychol Addict Behav","note":"PMID: 25730630\nPMCID: PMC4558413","page":"716-724","source":"PubMed Central","title":"Examining temptation to drink from an existential perspective: Associations among temptation, purpose in life, and drinking outcomes","title-short":"Examining Temptation to Drink from an Existential Perspective","volume":"29","author":[{"family":"Roos","given":"Corey R."},{"family":"Kirouac","given":"Megan"},{"family":"Pearson","given":"Matthew R."},{"family":"Fink","given":"Brandi C."},{"family":"Witkiewitz","given":"Katie"}],"issued":{"date-parts":[["2015",9]]}}}],"schema":"https://github.com/citation-style-language/schema/raw/master/csl-citation.json"} </w:instrText>
      </w:r>
      <w:r w:rsidR="00EA67F9">
        <w:rPr>
          <w:rFonts w:ascii="Times New Roman" w:hAnsi="Times New Roman" w:cs="Times New Roman"/>
        </w:rPr>
        <w:fldChar w:fldCharType="separate"/>
      </w:r>
      <w:r w:rsidR="00EA67F9">
        <w:rPr>
          <w:rFonts w:ascii="Times New Roman" w:hAnsi="Times New Roman" w:cs="Times New Roman"/>
          <w:noProof/>
        </w:rPr>
        <w:t>Roos et al., 2015)</w:t>
      </w:r>
      <w:r w:rsidR="00EA67F9">
        <w:rPr>
          <w:rFonts w:ascii="Times New Roman" w:hAnsi="Times New Roman" w:cs="Times New Roman"/>
        </w:rPr>
        <w:fldChar w:fldCharType="end"/>
      </w:r>
      <w:r w:rsidRPr="00FC3CE2">
        <w:rPr>
          <w:rFonts w:ascii="Times New Roman" w:hAnsi="Times New Roman" w:cs="Times New Roman"/>
        </w:rPr>
        <w:t xml:space="preserve"> concludes the importance of meaning in life in relation to recovery, it is important to note that this research uses measures that capture ‘purpose in life’ which may be conceptually distinct from meaning in life </w:t>
      </w:r>
      <w:r w:rsidR="00691FC2">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{"citationID":"ARQozilT","properties":{"formattedCitation":"(Martela &amp; Steger, 2016)","plainCitation":"(Martela &amp; Steger, 2016)","noteIndex":0},"citationItems":[{"id":1617,"uris":["http://zotero.org/users/7873587/items/Z3X3Z4EF"],"itemData":{"id":1617,"type":"article-journal","abstract":"Despite growing interest in meaning in life, many have voiced their concern over the conceptual refinement of the construct itself. Researchers seem to have two main ways to understand what meaning in life means: coherence and purpose, with a third way, significance, gaining increasing attention. Coherence means a sense of comprehensibility and one’s life making sense. Purpose means a sense of core goals, aims, and direction in life. Significance is about a sense of life’s inherent value and having a life worth living. Although some researchers have already noted this trichotomy, the present article provides the first comprehensible theoretical overview that aims to define and pinpoint the differences and connections between these three facets of meaning. By arguing that the time is ripe to move from indiscriminate understanding of meaning into looking at these three facets separately, the article points toward a new future for research on meaning in life.","container-title":"The Journal of Positive Psychology","DOI":"10.1080/17439760.2015.1137623","ISSN":"1743-9760","issue":"5","note":"publisher: Routledge\n_eprint: https://doi.org/10.1080/17439760.2015.1137623","page":"531-545","source":"Taylor and Francis+NEJM","title":"The three meanings of meaning in life: Distinguishing coherence, purpose, and significance","title-short":"The three meanings of meaning in life","volume":"11","author":[{"family":"Martela","given":"Frank"},{"family":"Steger","given":"Michael F."}],"issued":{"date-parts":[["2016",9,2]]}}}],"schema":"https://github.com/citation-style-language/schema/raw/master/csl-citation.json"} </w:instrText>
      </w:r>
      <w:r w:rsidR="00691FC2">
        <w:rPr>
          <w:rFonts w:ascii="Times New Roman" w:hAnsi="Times New Roman" w:cs="Times New Roman"/>
        </w:rPr>
        <w:fldChar w:fldCharType="separate"/>
      </w:r>
      <w:r w:rsidR="002653AB">
        <w:rPr>
          <w:rFonts w:ascii="Times New Roman" w:hAnsi="Times New Roman" w:cs="Times New Roman"/>
          <w:noProof/>
        </w:rPr>
        <w:t>(Martela &amp; Steger, 2016)</w:t>
      </w:r>
      <w:r w:rsidR="00691FC2">
        <w:rPr>
          <w:rFonts w:ascii="Times New Roman" w:hAnsi="Times New Roman" w:cs="Times New Roman"/>
        </w:rPr>
        <w:fldChar w:fldCharType="end"/>
      </w:r>
      <w:r w:rsidRPr="00FC3CE2">
        <w:rPr>
          <w:rFonts w:ascii="Times New Roman" w:hAnsi="Times New Roman" w:cs="Times New Roman"/>
        </w:rPr>
        <w:t xml:space="preserve">. Indeed, </w:t>
      </w:r>
      <w:r w:rsidR="002653AB">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{"citationID":"3stXJNWo","properties":{"formattedCitation":"(George &amp; Park, 2013)","plainCitation":"(George &amp; Park, 2013)","dontUpdate":true,"noteIndex":0},"citationItems":[{"id":1616,"uris":["http://zotero.org/users/7873587/items/5KTV9EJ5"],"itemData":{"id":1616,"type":"article-journal","abstract":"Existing empirical literature has typically treated meaning and purpose as identical. Based on previous theoretical propositions of these two constructs as distinct, we hypothesized that meaning (defined as a sense of comprehension and significance in life) and purpose (defined as a sense of goals, aims, and direction in life) would have different predictors and correlates. We utilized a longitudinal design and collected data from 167 cancer survivors at two time points one year apart. Although meaning and purpose were strongly correlated, they had different predictors and correlates. Regression analyses showed Time 2 meaning was predicted by Time 1 spirituality, whereas Time 2 purpose was predicted by Time 1 social support. At Time 2, meaning was positively correlated with posttraumatic growth and negatively with posttraumatic depreciation, whereas purpose was negatively correlated with intrusive thoughts pertaining to cancer. Implications of an understanding of meaning and purpose as distinct constructs are discussed. (PsycInfo Database Record (c) 2020 APA, all rights reserved)","container-title":"The Journal of Positive Psychology","DOI":"10.1080/17439760.2013.805801","ISSN":"1743-9779","issue":"5","note":"publisher-place: United Kingdom\npublisher: Taylor &amp; Francis","page":"365-375","source":"APA PsycNet","title":"Are meaning and purpose distinct? An examination of correlates and predictors","title-short":"Are meaning and purpose distinct?","volume":"8","author":[{"family":"George","given":"Login S."},{"family":"Park","given":"Crystal L."}],"issued":{"date-parts":[["2013"]]}}}],"schema":"https://github.com/citation-style-language/schema/raw/master/csl-citation.json"} </w:instrText>
      </w:r>
      <w:r w:rsidR="002653AB">
        <w:rPr>
          <w:rFonts w:ascii="Times New Roman" w:hAnsi="Times New Roman" w:cs="Times New Roman"/>
        </w:rPr>
        <w:fldChar w:fldCharType="separate"/>
      </w:r>
      <w:r w:rsidR="002653AB">
        <w:rPr>
          <w:rFonts w:ascii="Times New Roman" w:hAnsi="Times New Roman" w:cs="Times New Roman"/>
          <w:noProof/>
        </w:rPr>
        <w:t>George and Park (2013)</w:t>
      </w:r>
      <w:r w:rsidR="002653AB">
        <w:rPr>
          <w:rFonts w:ascii="Times New Roman" w:hAnsi="Times New Roman" w:cs="Times New Roman"/>
        </w:rPr>
        <w:fldChar w:fldCharType="end"/>
      </w:r>
      <w:r w:rsidRPr="00FC3CE2">
        <w:rPr>
          <w:rFonts w:ascii="Times New Roman" w:hAnsi="Times New Roman" w:cs="Times New Roman"/>
        </w:rPr>
        <w:t xml:space="preserve"> advocate that although used </w:t>
      </w:r>
      <w:r w:rsidRPr="00FC3CE2">
        <w:rPr>
          <w:rFonts w:ascii="Times New Roman" w:hAnsi="Times New Roman" w:cs="Times New Roman"/>
        </w:rPr>
        <w:lastRenderedPageBreak/>
        <w:t xml:space="preserve">synonymously, purpose and meaning are distinct constructs. Given that cross-sectional (Chapter 6) and prospective </w:t>
      </w:r>
      <w:r w:rsidR="002653A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{"citationID":"CoZpQApw","properties":{"formattedCitation":"(Sliedrecht et al., 2022)","plainCitation":"(Sliedrecht et al., 2022)","noteIndex":0},"citationItems":[{"id":1621,"uris":["http://zotero.org/users/7873587/items/4HTJG2U6"],"itemData":{"id":1621,"type":"article-journal","abstract":"For decades predictors of alcohol use disorder (AUD) relapse have been studied, and around 40 different clinical and demographic relapse determinants have been identified. This paper aims to investigate the relationship of two of these AUD relapse factors, namely craving and meaning in life (MiL). We hypothesized that greater meaning in life would be associated with lower cravings and lower relapse rates. An AUD subsample of 81 patients within a clinical population that participated in ongoing exploratory research on religious/spiritual factors related to substance use disorders was followed up to 1 year. Craving (as measured with the Penn Alcohol Craving Scale) and meaning in life (as measured with the Meaning in Life Questionnaire- presence subscale) measures were assessed at baseline and relapse was assessed at 6- and 12-month follow up. Main effects and the interaction between craving and meaning in life in predicting alcohol relapse (with relapse defined as ‘any alcohol use’ and ≥ 3 consecutive days of drinking) were calculated/subject of analyses. We also investigated the relationship between relapse and alcohol dependence severity as measured with the Leeds Dependence Questionnaire. Baseline craving and dependence severity were related to relapse, but there were no associations between meaning in life and levels of craving or alcohol relapse. Our findings suggest a need for additional research on characterizing the Meaning in Life concept.","container-title":"Addiction Research &amp; Theory","DOI":"10.1080/16066359.2022.2040488","ISSN":"1606-6359","note":"publisher: Taylor &amp; Francis\n_eprint: https://doi.org/10.1080/16066359.2022.2040488","page":"1-9","source":"Taylor and Francis+NEJM","title":"Alcohol use disorder relapse factors: an exploratory investigation of craving, alcohol dependence severity, and meaning in life","title-short":"Alcohol use disorder relapse factors","author":[{"family":"Sliedrecht","given":"Wilco"},{"family":"Seesink","given":"Henk Jan"},{"family":"Vrijmoeth","given":"Cis"},{"family":"Waart","given":"Ranne","non-dropping-particle":"de"},{"family":"Wiers","given":"Reinout W."},{"family":"Ostafin","given":"Brian"},{"family":"Schaap-Jonker","given":"Hanneke"},{"family":"Roozen","given":"Hendrik"},{"family":"Witkiewitz","given":"Katie"},{"family":"Dom","given":"Geert"}],"issued":{"date-parts":[["2022",3,26]]}}}],"schema":"https://github.com/citation-style-language/schema/raw/master/csl-citation.json"} </w:instrText>
      </w:r>
      <w:r w:rsidR="002653AB">
        <w:rPr>
          <w:rFonts w:ascii="Times New Roman" w:hAnsi="Times New Roman" w:cs="Times New Roman"/>
        </w:rPr>
        <w:fldChar w:fldCharType="separate"/>
      </w:r>
      <w:r w:rsidR="002653AB">
        <w:rPr>
          <w:rFonts w:ascii="Times New Roman" w:hAnsi="Times New Roman" w:cs="Times New Roman"/>
          <w:noProof/>
        </w:rPr>
        <w:t>(Sliedrecht et al., 2022)</w:t>
      </w:r>
      <w:r w:rsidR="002653AB">
        <w:rPr>
          <w:rFonts w:ascii="Times New Roman" w:hAnsi="Times New Roman" w:cs="Times New Roman"/>
        </w:rPr>
        <w:fldChar w:fldCharType="end"/>
      </w:r>
      <w:r w:rsidRPr="00FC3CE2">
        <w:rPr>
          <w:rFonts w:ascii="Times New Roman" w:hAnsi="Times New Roman" w:cs="Times New Roman"/>
        </w:rPr>
        <w:t xml:space="preserve"> studies which implement direct measures of meaning in life are unable to replicate previous findings, theoretically it may be purpose in life, as opposed to meaning in life, that is important for behaviour change and recovery from addiction. </w:t>
      </w:r>
    </w:p>
    <w:p w14:paraId="45EB5645" w14:textId="77777777" w:rsidR="002653AB" w:rsidRPr="00FC3CE2" w:rsidRDefault="002653AB" w:rsidP="00762442">
      <w:pPr>
        <w:pStyle w:val="NoSpacing"/>
        <w:spacing w:line="480" w:lineRule="auto"/>
        <w:rPr>
          <w:rFonts w:ascii="Times New Roman" w:hAnsi="Times New Roman" w:cs="Times New Roman"/>
        </w:rPr>
      </w:pPr>
    </w:p>
    <w:p w14:paraId="47A239D4" w14:textId="61F81692" w:rsidR="002653AB" w:rsidRPr="002653AB" w:rsidRDefault="002653AB" w:rsidP="00762442">
      <w:pPr>
        <w:pStyle w:val="Heading2"/>
        <w:rPr>
          <w:rFonts w:cs="Times New Roman"/>
        </w:rPr>
      </w:pPr>
      <w:bookmarkStart w:id="349" w:name="_Toc110612747"/>
      <w:bookmarkStart w:id="350" w:name="_Toc110629087"/>
      <w:bookmarkStart w:id="351" w:name="_Toc110870995"/>
      <w:r w:rsidRPr="002653AB">
        <w:rPr>
          <w:rFonts w:cs="Times New Roman"/>
        </w:rPr>
        <w:t>8.3</w:t>
      </w:r>
      <w:r w:rsidR="00403E7C">
        <w:rPr>
          <w:rFonts w:cs="Times New Roman"/>
        </w:rPr>
        <w:t>.</w:t>
      </w:r>
      <w:r w:rsidRPr="002653AB">
        <w:rPr>
          <w:rFonts w:cs="Times New Roman"/>
        </w:rPr>
        <w:t xml:space="preserve"> Methodological implications</w:t>
      </w:r>
      <w:bookmarkEnd w:id="349"/>
      <w:bookmarkEnd w:id="350"/>
      <w:bookmarkEnd w:id="351"/>
    </w:p>
    <w:p w14:paraId="35914312" w14:textId="100B23A8"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There are a number of methodological implications that arise from the research conducted within this thesis. I developed a novel VBDM task that has potential to be used by other researchers to generate data required for the drift-diffusion model (DDM) to recover decision parameters that reflect the underlying processes of value-based choice. In doing so, I explored the robustness of variations in trial wording within the VBDM task to generate alternative versions that are appropriate to implement in research on recovery from addiction (Chapter 3</w:t>
      </w:r>
      <w:r w:rsidR="00CB6F1E">
        <w:rPr>
          <w:rFonts w:ascii="Times New Roman" w:hAnsi="Times New Roman" w:cs="Times New Roman"/>
        </w:rPr>
        <w:t xml:space="preserve">; </w:t>
      </w:r>
      <w:r w:rsidR="00CB6F1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{"citationID":"2Ch0fE0X","properties":{"formattedCitation":"(Copeland et al., 2022)","plainCitation":"(Copeland et al., 2022)","dontUpdate":true,"noteIndex":0},"citationItems":[{"id":1615,"uris":["http://zotero.org/users/7873587/items/JGK5PMZE"],"itemData":{"id":1615,"type":"article-journal","abstract":"Most value-based decision-making (VBDM) tasks instruct people to make value judgements about stimuli using wording relating to consumption, however in some contexts this may be inappropriate. This study aims to explore whether variations of trial wording capture a common construct of value. This is a pre-registered experimental study with a within-subject design. Fifty-nine participants completed a two-alternative forced-choice task where they chose between two food images. Participants completed three blocks of trials: one asked which they would rather consume (standard wording), one asked which image they liked more, and one asked them to recall which image they rated higher during a previous block. We fitted the EZ drift-diffusion model to the reaction time and choice data to estimate evidence accumulation (EA) processes during the different blocks. There was a highly significant main effect of trial difficulty, but this was not modified by trial wording (F = 2.00, p = .11, ηp2 = .03, BF10 = .05). We also found highly significant positive correlations between the EA rates across task blocks (rs &gt; .44, ps &lt; .001). The findings provide initial validation of alternative wording in VBDM tasks that can be used in contexts where it may be undesirable to ask participants to make consummatory judgements.","container-title":"Cogent Psychology","DOI":"10.1080/23311908.2022.2079801","ISSN":"null","issue":"1","note":"publisher: Cogent OA\n_eprint: https://doi.org/10.1080/23311908.2022.2079801","page":"2079801","source":"Taylor and Francis+NEJM","title":"Methodological issues with value-based decision-making (VBDM) tasks: The effect of trial wording on evidence accumulation outputs from the EZ drift-diffusion model","title-short":"Methodological issues with value-based decision-making (VBDM) tasks","volume":"9","author":[{"family":"Copeland","given":"Amber"},{"family":"Stafford","given":"Tom"},{"family":"Field","given":"Matt"}],"editor":[{"family":"Grange","given":"Jim"}],"issued":{"date-parts":[["2022",12,31]]}}}],"schema":"https://github.com/citation-style-language/schema/raw/master/csl-citation.json"} </w:instrText>
      </w:r>
      <w:r w:rsidR="00CB6F1E">
        <w:rPr>
          <w:rFonts w:ascii="Times New Roman" w:hAnsi="Times New Roman" w:cs="Times New Roman"/>
        </w:rPr>
        <w:fldChar w:fldCharType="separate"/>
      </w:r>
      <w:r w:rsidR="00CB6F1E">
        <w:rPr>
          <w:rFonts w:ascii="Times New Roman" w:hAnsi="Times New Roman" w:cs="Times New Roman"/>
          <w:noProof/>
        </w:rPr>
        <w:t>Copeland et al., 2022)</w:t>
      </w:r>
      <w:r w:rsidR="00CB6F1E">
        <w:rPr>
          <w:rFonts w:ascii="Times New Roman" w:hAnsi="Times New Roman" w:cs="Times New Roman"/>
        </w:rPr>
        <w:fldChar w:fldCharType="end"/>
      </w:r>
      <w:r w:rsidRPr="002653AB">
        <w:rPr>
          <w:rFonts w:ascii="Times New Roman" w:hAnsi="Times New Roman" w:cs="Times New Roman"/>
        </w:rPr>
        <w:t xml:space="preserve">. This is important because several theoretical frameworks </w:t>
      </w:r>
      <w:r w:rsidR="00CB6F1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{"citationID":"hPKEVvTG","properties":{"formattedCitation":"(Bickel &amp; Athamneh, 2020; Copeland et al., 2021; Field, Heather, et al., 2020a; Hogarth &amp; Field, 2020)","plainCitation":"(Bickel &amp; Athamneh, 2020; Copeland et al., 2021; Field, Heather, et al., 2020a; Hogarth &amp; Field, 2020)","dontUpdate":true,"noteIndex":0},"citationItems":[{"id":1448,"uris":["http://zotero.org/users/7873587/items/8IP8UJ9D"],"itemData":{"id":1448,"type":"article-journal","abstract":"The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N."}],"issued":{"date-parts":[["2020"]]}},"label":"page"},{"id":466,"uris":["http://zotero.org/users/7873587/items/5AW5LCBI"],"itemData":{"id":466,"type":"chapter","abstract":"Most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P."}],"accessed":{"date-parts":[["2021",11,7]]},"issued":{"date-parts":[["2021",1,1]]}},"label":"page"},{"id":1445,"uris":["http://zotero.org/users/7873587/items/B629PTRW"],"itemData":{"id":1445,"type":"article-journal","abstract":"Behavioral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A."},{"family":"Witkiewitz","given":"Katie"}],"issued":{"date-parts":[["2020",2]]}},"label":"page"},{"id":819,"uris":["http://zotero.org/users/7873587/items/QS5L4T2D"],"itemData":{"id":819,"type":"article-journal","abstract":"Behavioural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addiction","volume":"394","author":[{"family":"Hogarth","given":"Lee"},{"family":"Field","given":"Matt"}],"issued":{"date-parts":[["2020",9,15]]}},"label":"page"}],"schema":"https://github.com/citation-style-language/schema/raw/master/csl-citation.json"} </w:instrText>
      </w:r>
      <w:r w:rsidR="00CB6F1E">
        <w:rPr>
          <w:rFonts w:ascii="Times New Roman" w:hAnsi="Times New Roman" w:cs="Times New Roman"/>
        </w:rPr>
        <w:fldChar w:fldCharType="separate"/>
      </w:r>
      <w:r w:rsidR="00CB6F1E">
        <w:rPr>
          <w:rFonts w:ascii="Times New Roman" w:hAnsi="Times New Roman" w:cs="Times New Roman"/>
          <w:noProof/>
        </w:rPr>
        <w:t>(Bickel &amp; Athamneh, 2020; Copeland et al., 2021; Field, Heather, et al., 2020; Hogarth &amp; Field, 2020)</w:t>
      </w:r>
      <w:r w:rsidR="00CB6F1E">
        <w:rPr>
          <w:rFonts w:ascii="Times New Roman" w:hAnsi="Times New Roman" w:cs="Times New Roman"/>
        </w:rPr>
        <w:fldChar w:fldCharType="end"/>
      </w:r>
      <w:r w:rsidRPr="002653AB">
        <w:rPr>
          <w:rFonts w:ascii="Times New Roman" w:hAnsi="Times New Roman" w:cs="Times New Roman"/>
        </w:rPr>
        <w:t xml:space="preserve"> and methodological commentaries </w:t>
      </w:r>
      <w:r w:rsidR="00CB6F1E">
        <w:rPr>
          <w:rFonts w:ascii="Times New Roman" w:hAnsi="Times New Roman" w:cs="Times New Roman"/>
        </w:rPr>
        <w:fldChar w:fldCharType="begin"/>
      </w:r>
      <w:r w:rsidR="00A6058A">
        <w:rPr>
          <w:rFonts w:ascii="Times New Roman" w:hAnsi="Times New Roman" w:cs="Times New Roman"/>
        </w:rPr>
        <w:instrText xml:space="preserve"> ADDIN ZOTERO_ITEM CSL_CITATION {"citationID":"NZAYlboX","properties":{"formattedCitation":"(Pennington et al., 2021)","plainCitation":"(Pennington et al., 2021)","noteIndex":0},"citationItems":[{"id":1614,"uris":["http://zotero.org/users/7873587/items/LK9L99LW"],"itemData":{"id":1614,"type":"article-journal","abstract":"Background and Aims A range of experimental paradigms claim to measure the cognitive processes underpinning alcohol use, suggesting that heightened attentional bias, greater approach tendencies and reduced cue-specific inhibitory control are important drivers of consumption. This paper identifies methodological shortcomings within this broad domain of research and exemplifies them in studies focused specifically on alcohol-related attentional bias. Argument and analysis We highlight five main methodological issues: (i) the use of inappropriately matched control stimuli; (ii) opacity of stimulus selection and validation procedures; (iii) a credence in noisy measures; (iv) a reliance on unreliable tasks; and (v) variability in design and analysis. This is evidenced through a review of alcohol-related attentional bias (64 empirical articles, 68 tasks), which reveals the following: only 53% of tasks use appropriately matched control stimuli; as few as 38% report their stimulus selection and 19% their validation procedures; less than 28% used indices capable of disambiguating attentional processes; 22% assess reliability; and under 2% of studies were pre-registered. Conclusions Well-matched and validated experimental stimuli, the development of reliable cognitive tasks and explicit assessment of their psychometric properties, and careful consideration of behavioural indices and their analysis will improve the methodological rigour of cognitive alcohol research. Open science principles can facilitate replication and reproducibility in alcohol research.","container-title":"Addiction","DOI":"10.1111/add.15563","ISSN":"1360-0443","issue":"11","language":"en","note":"_eprint: https://onlinelibrary.wiley.com/doi/pdf/10.1111/add.15563","page":"3243-3251","source":"Wiley Online Library","title":"Raising the bar: improving methodological rigour in cognitive alcohol research","title-short":"Raising the bar","volume":"116","author":[{"family":"Pennington","given":"Charlotte R."},{"family":"Jones","given":"Andrew"},{"family":"Bartlett","given":"James E."},{"family":"Copeland","given":"Amber"},{"family":"Shaw","given":"Daniel J."}],"issued":{"date-parts":[["2021"]]}}}],"schema":"https://github.com/citation-style-language/schema/raw/master/csl-citation.json"} </w:instrText>
      </w:r>
      <w:r w:rsidR="00CB6F1E">
        <w:rPr>
          <w:rFonts w:ascii="Times New Roman" w:hAnsi="Times New Roman" w:cs="Times New Roman"/>
        </w:rPr>
        <w:fldChar w:fldCharType="separate"/>
      </w:r>
      <w:r w:rsidR="00CC6DF2">
        <w:rPr>
          <w:rFonts w:ascii="Times New Roman" w:hAnsi="Times New Roman" w:cs="Times New Roman"/>
          <w:noProof/>
        </w:rPr>
        <w:t>(Pennington et al., 2021)</w:t>
      </w:r>
      <w:r w:rsidR="00CB6F1E">
        <w:rPr>
          <w:rFonts w:ascii="Times New Roman" w:hAnsi="Times New Roman" w:cs="Times New Roman"/>
        </w:rPr>
        <w:fldChar w:fldCharType="end"/>
      </w:r>
      <w:r w:rsidR="00CC6DF2">
        <w:rPr>
          <w:rFonts w:ascii="Times New Roman" w:hAnsi="Times New Roman" w:cs="Times New Roman"/>
        </w:rPr>
        <w:t xml:space="preserve"> </w:t>
      </w:r>
      <w:r w:rsidRPr="002653AB">
        <w:rPr>
          <w:rFonts w:ascii="Times New Roman" w:hAnsi="Times New Roman" w:cs="Times New Roman"/>
        </w:rPr>
        <w:t xml:space="preserve">advocate the use of computational modelling, but until the work presented in this thesis there was no validated behavioural paradigm that was appropriate for this purpose. </w:t>
      </w:r>
    </w:p>
    <w:p w14:paraId="20C6E734" w14:textId="77777777" w:rsidR="002653AB" w:rsidRPr="002653AB" w:rsidRDefault="002653AB" w:rsidP="00762442">
      <w:pPr>
        <w:pStyle w:val="NoSpacing"/>
        <w:spacing w:line="480" w:lineRule="auto"/>
        <w:rPr>
          <w:rFonts w:ascii="Times New Roman" w:hAnsi="Times New Roman" w:cs="Times New Roman"/>
        </w:rPr>
      </w:pPr>
    </w:p>
    <w:p w14:paraId="09A06B51" w14:textId="50ACC363" w:rsidR="002653AB" w:rsidRPr="002653AB" w:rsidRDefault="002653AB" w:rsidP="003C1591">
      <w:pPr>
        <w:pStyle w:val="NoSpacing"/>
        <w:spacing w:line="480" w:lineRule="auto"/>
        <w:rPr>
          <w:rFonts w:ascii="Times New Roman" w:hAnsi="Times New Roman" w:cs="Times New Roman"/>
        </w:rPr>
      </w:pPr>
      <w:r w:rsidRPr="002653AB">
        <w:rPr>
          <w:rFonts w:ascii="Times New Roman" w:hAnsi="Times New Roman" w:cs="Times New Roman"/>
        </w:rPr>
        <w:t xml:space="preserve">It is important to acknowledge that there are existing experimental tasks that capture value-based choice in addiction, and that these have been used extensively in published research on tobacco </w:t>
      </w:r>
      <w:r w:rsidR="00CC6DF2">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{"citationID":"NNTVgnP1","properties":{"formattedCitation":"(Chase et al., 2013; Hogarth et al., 2015; Hogarth &amp; Chase, 2011; Lawn et al., 2019)","plainCitation":"(Chase et al., 2013; Hogarth et al., 2015; Hogarth &amp; Chase, 2011; Lawn et al., 2019)","noteIndex":0},"citationItems":[{"id":832,"uris":["http://zotero.org/users/7873587/items/JSTZ3BAT"],"itemData":{"id":832,"type":"article-journal","abstract":"RATIONALE: Characterisation of drug dependence using principles from behavioural economics has provided a more detailed understanding of the disorder. Although questionnaires assessing economic demand for cigarettes have extended these principles to nicotine addiction, aspects of the reliability and selectivity of these questionnaires remain uncertain.\nOBJECTIVE: Across two experiments, we attempted to reproduce significant associations of the cigarette purchase task with nicotine dependence in a young adult population of smokers and contrasted this measure with a novel chocolate purchase task. We also examined the association between these measures and performance on a preference task, measuring preference for cigarettes and chocolate.\nMETHODS: Questionnaire measures were used within a university setting.\nRESULTS: In experiment 1, we observed associations between nicotine dependence and measures of behavioural economic demand for cigarettes, particularly O                   (max). In experiment 2, we replicated these findings again and extended them to show that similar correlations between nicotine dependence and demand for chocolate were not observed. Moreover, the indices of demand and choices on a concurrent choice cigarette task were moderately associated with each other and independently associated with nicotine dependence.\nCONCLUSIONS: The two experiments clearly supported previous findings regarding the association between nicotine dependence and economic demand for cigarettes. We extend these observations by showing that the generalisation of economic demand across different commodities is relatively weak, but that generalisation across different procedures is strong. Our results therefore support behavioural economic models of nicotine addiction which emphasise a robust proximal role for the incentive value of cigarettes.","container-title":"Psychopharmacology","DOI":"10.1007/s00213-012-2911-x","ISSN":"1432-2072","issue":"2","journalAbbreviation":"Psychopharmacology","language":"eng","note":"PMID: 23229641","page":"371-380","source":"PubMed","title":"Isolating behavioural economic indices of demand in relation to nicotine dependence","volume":"226","author":[{"family":"Chase","given":"Henry W."},{"family":"Mackillop","given":"James"},{"family":"Hogarth","given":"Lee"}],"issued":{"date-parts":[["2013",3]]}},"label":"page"},{"id":708,"uris":["http://zotero.org/users/7873587/items/XHY9EL6E"],"itemData":{"id":708,"type":"article-journal","abstract":"Background\nTwo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R."},{"family":"Hitsman","given":"Brian"}],"issued":{"date-parts":[["2015"]]}},"label":"page"},{"id":860,"uris":["http://zotero.org/users/7873587/items/AEE43PBX"],"itemData":{"id":860,"type":"article-journal","abstract":"Dual-process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W."}],"issued":{"date-parts":[["2011",7]]}},"label":"page"},{"id":840,"uris":["http://zotero.org/users/7873587/items/SY7VSVH8"],"itemData":{"id":840,"type":"article-journal","abstract":"Little is known about the neural functioning that underpins drug valuation and choice in addiction, including nicotine dependence. Following ad libitum smoking, 19 dependent smokers (smoked≥10/day) and 19 occasional smokers (smoked 0.5-5/week) completed a decision-making task. First, participants stated how much they were willing-to-pay for various amounts of cigarettes and shop vouchers. Second, during functional magnetic resonance imaging, participants decided if they wanted to buy these cigarettes and vouchers for a set amount of money. We examined decision-making behaviour and brain activity when faced with cigarette and voucher decisions, purchasing (vs not purchasing) cigarettes and vouchers, and \"value signals\" where brain activity correlated with cigarette and voucher value. Dependent smokers had a higher willingness-to-pay for cigarettes and greater activity in the bilateral middle temporal gyrus when faced with cigarette decisions than occasional smokers. Across both groups, the decision to buy cigarettes was associated with activity in the left paracingulate gyrus, right nucleus accumbens, and left amygdala. The decision to buy vouchers was associated with activity in the left superior frontal gyrus, but dependent smokers showed weaker activity in the left posterior cingulate gyrus than occasional smokers. Across both groups, cigarette value signals were observed in the left striatum and ventromedial prefrontal cortex. To summarise, nicotine dependence was associated with greater behavioural valuation of cigarettes and brain activity during cigarette decisions. When purchasing cigarettes and vouchers, reward and decision-related brain regions were activated in both groups. For the first time, we identified value signals for cigarettes in the brain.","container-title":"Addiction Biology","DOI":"10.1111/adb.12802","ISSN":"1369-1600","issue":"4","journalAbbreviation":"Addict Biol","language":"eng","note":"PMID: 31328850","page":"e12802","source":"PubMed","title":"Value-based decision-making of cigarette and nondrug rewards in dependent and occasional cigarette smokers: An FMRI study","title-short":"Value-based decision-making of cigarette and nondrug rewards in dependent and occasional cigarette smokers","volume":"25","author":[{"family":"Lawn","given":"Will"},{"family":"Mithchener","given":"Ludo"},{"family":"Freeman","given":"Tom P."},{"family":"Benattayallah","given":"Abdelmalek"},{"family":"Bisby","given":"James A."},{"family":"Wall","given":"Matt B."},{"family":"Dodds","given":"Chris M."},{"family":"Curran","given":"Helen V."},{"family":"Morgan","given":"Celia J. A."}],"issued":{"date-parts":[["2019"]]}},"label":"page"}],"schema":"https://github.com/citation-style-language/schema/raw/master/csl-citation.json"} </w:instrText>
      </w:r>
      <w:r w:rsidR="00CC6DF2">
        <w:rPr>
          <w:rFonts w:ascii="Times New Roman" w:hAnsi="Times New Roman" w:cs="Times New Roman"/>
        </w:rPr>
        <w:fldChar w:fldCharType="separate"/>
      </w:r>
      <w:r w:rsidR="003C1591" w:rsidRPr="003C1591">
        <w:rPr>
          <w:rFonts w:ascii="Times New Roman" w:hAnsi="Times New Roman" w:cs="Times New Roman"/>
        </w:rPr>
        <w:t>(Chase et al., 2013; Hogarth et al., 2015; Hogarth &amp; Chase, 2011; Lawn et al., 2019)</w:t>
      </w:r>
      <w:r w:rsidR="00CC6DF2">
        <w:rPr>
          <w:rFonts w:ascii="Times New Roman" w:hAnsi="Times New Roman" w:cs="Times New Roman"/>
        </w:rPr>
        <w:fldChar w:fldCharType="end"/>
      </w:r>
      <w:r w:rsidR="0054269A">
        <w:rPr>
          <w:rFonts w:ascii="Times New Roman" w:hAnsi="Times New Roman" w:cs="Times New Roman"/>
        </w:rPr>
        <w:t xml:space="preserve"> </w:t>
      </w:r>
      <w:r w:rsidRPr="002653AB">
        <w:rPr>
          <w:rFonts w:ascii="Times New Roman" w:hAnsi="Times New Roman" w:cs="Times New Roman"/>
        </w:rPr>
        <w:t xml:space="preserve">and alcohol </w:t>
      </w:r>
      <w:r w:rsidR="00FC6EA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{"citationID":"ym2V2r2A","properties":{"formattedCitation":"(Hardy et al., 2017, 2018; Hardy &amp; Hogarth, 2017; Hogarth &amp; Hardy, 2018b; Rose et al., 2013, 2018)","plainCitation":"(Hardy et al., 2017, 2018; Hardy &amp; Hogarth, 2017; Hogarth &amp; Hardy, 2018b; Rose et al., 2013, 2018)","noteIndex":0},"citationItems":[{"id":1250,"uris":["http://zotero.org/users/7873587/items/4XNBMZDP"],"itemData":{"id":1250,"type":"article-journal","abstract":"Rationale\nDrug cue reactivity plays a crucial role in addiction, yet the underlying mechanisms are poorly understood. According to the binary associative account, drug stimuli retrieve an expectation of the drug outcome, which, in turn, elicits the associated drug-seeking response (S-O-R). By contrast, according to the hierarchical account, drug stimuli retrieve an expectation that the contingency between the drug-seeking response and the drug outcome is currently more effective, promoting performance of the drug-seeking response (S:R-O).\n\nMethods\nThe current study discriminated between these two accounts using a biconditional Pavlovian-to-instrumental transfer (PIT) task with 128 alcohol drinkers. A biconditional discrimination was first trained in which two responses produced alcohol and food outcomes, respectively, and these response-outcome contingencies were reversed across two discriminative stimuli (SDs). In the PIT test, alcohol and food cues were compounded with the two SDs to examine their impact on percent alcohol choice in extinction.\n\nResults\nIt was found that alcohol and food cues selectively primed choice of the response that earned that outcome in each SD (p &lt; .001), and this effect was associated with participants’ belief that cues signalled greater effectiveness of that response (p &lt; .0001).\n\nConclusions\nThe alcohol stimulus could not have selectively primed the alcohol-seeking response through binary S-O-R associations because the drug outcome was equally associated with both responses. Rather, the alcohol stimulus must have retrieved an expectation that the response-alcohol contingency available in the current context was more likely to be effective (S:R-O), which primed performance of the alcohol-seeking response.","container-title":"Psychopharmacology","DOI":"10.1007/s00213-017-4605-x","ISSN":"0033-3158","issue":"13","journalAbbreviation":"Psychopharmacology (Berl)","note":"PMID: 28412771\nPMCID: PMC5486939","page":"1977-1984","source":"PubMed Central","title":"Drug cue reactivity involves hierarchical instrumental learning: evidence from a biconditional Pavlovian to instrumental transfer task","title-short":"Drug cue reactivity involves hierarchical instrumental learning","volume":"234","author":[{"family":"Hardy","given":"Lorna"},{"family":"Mitchell","given":"Chris"},{"family":"Seabrooke","given":"Tina"},{"family":"Hogarth","given":"Lee"}],"issued":{"date-parts":[["2017"]]}},"label":"act"},{"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label":"act"},{"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act"},{"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label":"act"},{"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label":"act"},{"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label":"act"}],"schema":"https://github.com/citation-style-language/schema/raw/master/csl-citation.json"} </w:instrText>
      </w:r>
      <w:r w:rsidR="00FC6EAB">
        <w:rPr>
          <w:rFonts w:ascii="Times New Roman" w:hAnsi="Times New Roman" w:cs="Times New Roman"/>
        </w:rPr>
        <w:fldChar w:fldCharType="separate"/>
      </w:r>
      <w:r w:rsidR="00A6058A" w:rsidRPr="00A6058A">
        <w:rPr>
          <w:rFonts w:ascii="Times New Roman" w:hAnsi="Times New Roman" w:cs="Times New Roman"/>
        </w:rPr>
        <w:t>(Hardy et al., 2017, 2018; Hardy &amp; Hogarth, 2017; Hogarth &amp; Hardy, 2018b; Rose et al., 2013, 2018)</w:t>
      </w:r>
      <w:r w:rsidR="00FC6EAB">
        <w:rPr>
          <w:rFonts w:ascii="Times New Roman" w:hAnsi="Times New Roman" w:cs="Times New Roman"/>
        </w:rPr>
        <w:fldChar w:fldCharType="end"/>
      </w:r>
      <w:r w:rsidR="00A6058A">
        <w:rPr>
          <w:rFonts w:ascii="Times New Roman" w:hAnsi="Times New Roman" w:cs="Times New Roman"/>
        </w:rPr>
        <w:t xml:space="preserve"> </w:t>
      </w:r>
      <w:r w:rsidRPr="002653AB">
        <w:rPr>
          <w:rFonts w:ascii="Times New Roman" w:hAnsi="Times New Roman" w:cs="Times New Roman"/>
        </w:rPr>
        <w:t xml:space="preserve">choice (for a review, see </w:t>
      </w:r>
      <w:r w:rsidR="00A6058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{"citationID":"rxnUPeIU","properties":{"formattedCitation":"(Hogarth &amp; Field, 2020)","plainCitation":"(Hogarth &amp; Field, 2020)","dontUpdate":true,"noteIndex":0},"citationItems":[{"id":819,"uris":["http://zotero.org/users/7873587/items/QS5L4T2D"],"itemData":{"id":819,"type":"article-journal","abstract":"Behavioural economic theories of addiction contend that greater expected value of drug relative to alternative non-drug rewards is the core mechanism underpinning vulnerability to and recovery from addiction. To evaluate this claim, we exhaustively review studies with human drug users that have measured concurrent choice between drugs vs. alternative rewards, and explored individual differences. These studies show that drug choice can be modulated by drug cues, drug devaluation, imposition of costs/punishment and negative mood induction. Regarding individual differences, dependence severity was reliably associated with overall drug preference, and self-reported drug use to cope with negative affect was reliably associated with greater sensitivity to mood induced increases in drug choice. By contrast, there were no reliable individual differences in sensitivity to the effect of drug cues, drug devaluation or punishment on drug choice. These findings provide insight into the mechanisms that underpin vulnerability to dependence: vulnerability is conferred by greater relative value ascribed to drugs, and relative drug value is further augmented by negative affective states in those who report drug use coping motives. However, dependence does not appear to be characterised by abnormal cue-reactivity, habit learning or compulsion. We then briefly review emerging literature which demonstrates that therapeutic interventions and recovery from addiction might be attributed to changes in the expected relative value of drug versus alternative rewards. Finally, we outline a speculative computational account of the distortions in decision-making that precede action selection in addiction, and we explain how this account provides a blueprint for future research on the determinants of drug choice, and mechanisms of treatment and recovery from addiction. We conclude that a unified economic decision-making account of addiction has great promise in reconciling diverse addiction theories, and neuropsychological evaluation of the underlying decision mechanisms is a fruitful area for future research and treatment.","container-title":"Behavioural Brain Research","DOI":"10.1016/j.bbr.2020.112815","ISSN":"0166-4328","journalAbbreviation":"Behavioural Brain Research","language":"en","page":"112815","source":"ScienceDirect","title":"Relative expected value of drugs versus competing rewards underpins vulnerability to and recovery from addiction","volume":"394","author":[{"family":"Hogarth","given":"Lee"},{"family":"Field","given":"Matt"}],"issued":{"date-parts":[["2020",9,15]]}}}],"schema":"https://github.com/citation-style-language/schema/raw/master/csl-citation.json"} </w:instrText>
      </w:r>
      <w:r w:rsidR="00A6058A">
        <w:rPr>
          <w:rFonts w:ascii="Times New Roman" w:hAnsi="Times New Roman" w:cs="Times New Roman"/>
        </w:rPr>
        <w:fldChar w:fldCharType="separate"/>
      </w:r>
      <w:r w:rsidR="00BD531D" w:rsidRPr="00BD531D">
        <w:rPr>
          <w:rFonts w:ascii="Times New Roman" w:hAnsi="Times New Roman" w:cs="Times New Roman"/>
        </w:rPr>
        <w:t>Hogarth &amp; Field, 2020)</w:t>
      </w:r>
      <w:r w:rsidR="00A6058A">
        <w:rPr>
          <w:rFonts w:ascii="Times New Roman" w:hAnsi="Times New Roman" w:cs="Times New Roman"/>
        </w:rPr>
        <w:fldChar w:fldCharType="end"/>
      </w:r>
      <w:r w:rsidRPr="002653AB">
        <w:rPr>
          <w:rFonts w:ascii="Times New Roman" w:hAnsi="Times New Roman" w:cs="Times New Roman"/>
        </w:rPr>
        <w:t xml:space="preserve">. In these tasks, two images are displayed simultaneously, one of which is substance-related (e.g., alcohol) and the </w:t>
      </w:r>
      <w:r w:rsidRPr="002653AB">
        <w:rPr>
          <w:rFonts w:ascii="Times New Roman" w:hAnsi="Times New Roman" w:cs="Times New Roman"/>
        </w:rPr>
        <w:lastRenderedPageBreak/>
        <w:t>other is substance-free (e.g., food). Participants are instructed to press a key to select their preferred image over numerous trials for a reward (e.g., ‘points’ which determine the quantity of reward received at the end of the experiment). The dependent variable on this task is the percentage of substance versus substance-free choice which is used as an index of substance value. However, by focusing on percentage choice only, these tasks are silent on the internal cognitive components of decision-making that occur in the lead up to choice. A further limitation is that current</w:t>
      </w:r>
      <w:r w:rsidR="00BD531D">
        <w:rPr>
          <w:rFonts w:ascii="Times New Roman" w:hAnsi="Times New Roman" w:cs="Times New Roman"/>
        </w:rPr>
        <w:t>ly used</w:t>
      </w:r>
      <w:r w:rsidRPr="002653AB">
        <w:rPr>
          <w:rFonts w:ascii="Times New Roman" w:hAnsi="Times New Roman" w:cs="Times New Roman"/>
        </w:rPr>
        <w:t xml:space="preserve"> methodology cannot distinguish the value ascribed to substances from the value ascribed to substance-free alternatives </w:t>
      </w:r>
      <w:r w:rsidR="00BD531D">
        <w:rPr>
          <w:rFonts w:ascii="Times New Roman" w:hAnsi="Times New Roman" w:cs="Times New Roman"/>
        </w:rPr>
        <w:fldChar w:fldCharType="begin"/>
      </w:r>
      <w:r w:rsidR="00BD531D">
        <w:rPr>
          <w:rFonts w:ascii="Times New Roman" w:hAnsi="Times New Roman" w:cs="Times New Roman"/>
        </w:rPr>
        <w:instrText xml:space="preserve"> ADDIN ZOTERO_ITEM CSL_CITATION {"citationID":"GeepSnnq","properties":{"formattedCitation":"(Leventhal, Trujillo, et al., 2014)","plainCitation":"(Leventhal, Trujillo, et al., 2014)","noteIndex":0},"citationItems":[{"id":846,"uris":["http://zotero.org/users/7873587/items/IU9A4IU4"],"itemData":{"id":846,"type":"article-journal","abstract":"Anhedonia—a psychopathologic trait indicative of diminished interest, pleasure, and enjoyment—has been linked to use of and addiction to several substances, including tobacco. We hypothesized that anhedonic drug users develop an imbalance in the relative reward value of drug versus nondrug reinforcers, which could maintain drug use behavior. To test this hypothesis, we examined whether anhedonia predicted the tendency to choose an immediate drug reward (i.e., smoking) over a less immediate nondrug reward (i.e., money) in a laboratory study of non–treatment-seeking adult cigarette smokers. Participants (N = 275, ≥ 10 cigarettes/day) attended a baseline visit that involved anhedonia assessment followed by 2 counterbalanced experimental visits: (a) after 16-hr smoking abstinence and (b) nonabstinent. At both experimental visits, participants completed self-report measures of mood state followed by a behavioral smoking task, which measured 2 aspects of the relative reward value of smoking versus money: (1) latency to initiate smoking when delaying smoking was monetarily rewarded and (2) willingness to purchase individual cigarettes. Results indicated that higher anhedonia predicted quicker smoking initiation and more cigarettes purchased. These relations were partially mediated by low positive and high negative mood states assessed immediately prior to the smoking task. Abstinence amplified the extent to which anhedonia predicted cigarette consumption among those who responded to the abstinence manipulation, but not the entire sample. Anhedonia may bias motivation toward smoking over alternative reinforcers, perhaps by giving rise to poor acute mood states. An imbalance in the reward value assigned to drug versus nondrug reinforcers may link anhedonia-related psychopathology to drug use.","container-title":"Journal of abnormal psychology","DOI":"10.1037/a0036384","ISSN":"0021-843X","issue":"2","journalAbbreviation":"J Abnorm Psychol","note":"PMID: 24886011\nPMCID: PMC4411231","page":"375-386","source":"PubMed Central","title":"Anhedonia and the relative reward value of drug and nondrug reinforcers in cigarette smokers","volume":"123","author":[{"family":"Leventhal","given":"Adam M."},{"family":"Trujillo","given":"Michael"},{"family":"Ameringer","given":"Katherine J."},{"family":"Tidey","given":"Jennifer W."},{"family":"Sussman","given":"Steve"},{"family":"Kahler","given":"Christopher W."}],"issued":{"date-parts":[["2014",5]]}}}],"schema":"https://github.com/citation-style-language/schema/raw/master/csl-citation.json"} </w:instrText>
      </w:r>
      <w:r w:rsidR="00BD531D">
        <w:rPr>
          <w:rFonts w:ascii="Times New Roman" w:hAnsi="Times New Roman" w:cs="Times New Roman"/>
        </w:rPr>
        <w:fldChar w:fldCharType="separate"/>
      </w:r>
      <w:r w:rsidR="00BD531D" w:rsidRPr="00BD531D">
        <w:rPr>
          <w:rFonts w:ascii="Times New Roman" w:hAnsi="Times New Roman" w:cs="Times New Roman"/>
        </w:rPr>
        <w:t>(Leventhal, Trujillo, et al., 2014)</w:t>
      </w:r>
      <w:r w:rsidR="00BD531D">
        <w:rPr>
          <w:rFonts w:ascii="Times New Roman" w:hAnsi="Times New Roman" w:cs="Times New Roman"/>
        </w:rPr>
        <w:fldChar w:fldCharType="end"/>
      </w:r>
      <w:r w:rsidR="00BD531D">
        <w:rPr>
          <w:rFonts w:ascii="Times New Roman" w:hAnsi="Times New Roman" w:cs="Times New Roman"/>
        </w:rPr>
        <w:t>.</w:t>
      </w:r>
      <w:r w:rsidRPr="002653AB">
        <w:rPr>
          <w:rFonts w:ascii="Times New Roman" w:hAnsi="Times New Roman" w:cs="Times New Roman"/>
        </w:rPr>
        <w:t xml:space="preserve"> </w:t>
      </w:r>
    </w:p>
    <w:p w14:paraId="6A41C975" w14:textId="77777777" w:rsidR="002653AB" w:rsidRPr="002653AB" w:rsidRDefault="002653AB" w:rsidP="00762442">
      <w:pPr>
        <w:pStyle w:val="NoSpacing"/>
        <w:spacing w:line="480" w:lineRule="auto"/>
        <w:rPr>
          <w:rFonts w:ascii="Times New Roman" w:hAnsi="Times New Roman" w:cs="Times New Roman"/>
        </w:rPr>
      </w:pPr>
    </w:p>
    <w:p w14:paraId="78DA6ED5" w14:textId="468A2080"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The VBDM task that I developed differs from the existing experimental tasks in a number of ways, and in doing so, brings about considerable methodological </w:t>
      </w:r>
      <w:r w:rsidR="00BD531D">
        <w:rPr>
          <w:rFonts w:ascii="Times New Roman" w:hAnsi="Times New Roman" w:cs="Times New Roman"/>
        </w:rPr>
        <w:t>strengths</w:t>
      </w:r>
      <w:r w:rsidRPr="002653AB">
        <w:rPr>
          <w:rFonts w:ascii="Times New Roman" w:hAnsi="Times New Roman" w:cs="Times New Roman"/>
        </w:rPr>
        <w:t xml:space="preserve">. For example, I included an image rating phase within the experimental procedure; participants were shown sets of stimuli (substance-related and substance-free) and were instructed to rank order the images in relation to their preferences prior to completing the VBDM task. This was done separately for the substance-related set and the substance-free set of images. The VBDM task was </w:t>
      </w:r>
      <w:r w:rsidR="00355699">
        <w:rPr>
          <w:rFonts w:ascii="Times New Roman" w:hAnsi="Times New Roman" w:cs="Times New Roman"/>
        </w:rPr>
        <w:t xml:space="preserve">subsequently </w:t>
      </w:r>
      <w:r w:rsidRPr="002653AB">
        <w:rPr>
          <w:rFonts w:ascii="Times New Roman" w:hAnsi="Times New Roman" w:cs="Times New Roman"/>
        </w:rPr>
        <w:t>personalised for each participant to reflect their previous ratings</w:t>
      </w:r>
      <w:r w:rsidR="00355699">
        <w:rPr>
          <w:rFonts w:ascii="Times New Roman" w:hAnsi="Times New Roman" w:cs="Times New Roman"/>
        </w:rPr>
        <w:t xml:space="preserve"> where p</w:t>
      </w:r>
      <w:r w:rsidRPr="002653AB">
        <w:rPr>
          <w:rFonts w:ascii="Times New Roman" w:hAnsi="Times New Roman" w:cs="Times New Roman"/>
        </w:rPr>
        <w:t>articipants</w:t>
      </w:r>
      <w:r w:rsidR="00355699">
        <w:rPr>
          <w:rFonts w:ascii="Times New Roman" w:hAnsi="Times New Roman" w:cs="Times New Roman"/>
        </w:rPr>
        <w:t xml:space="preserve"> were instructed to</w:t>
      </w:r>
      <w:r w:rsidRPr="002653AB">
        <w:rPr>
          <w:rFonts w:ascii="Times New Roman" w:hAnsi="Times New Roman" w:cs="Times New Roman"/>
        </w:rPr>
        <w:t xml:space="preserve"> cho</w:t>
      </w:r>
      <w:r w:rsidR="00355699">
        <w:rPr>
          <w:rFonts w:ascii="Times New Roman" w:hAnsi="Times New Roman" w:cs="Times New Roman"/>
        </w:rPr>
        <w:t>o</w:t>
      </w:r>
      <w:r w:rsidRPr="002653AB">
        <w:rPr>
          <w:rFonts w:ascii="Times New Roman" w:hAnsi="Times New Roman" w:cs="Times New Roman"/>
        </w:rPr>
        <w:t xml:space="preserve">se their preferred image between either two substance-related or two substance-free images, as quickly as possible. The outlined experimental procedure generated the behavioural data that is required to fit the DDM to recover parameters of value-based choice because there was a measure of choice accuracy (unlike in existing concurrent choice tasks, e.g., </w:t>
      </w:r>
      <w:r w:rsidR="00355699">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{"citationID":"Uy7YTFTr","properties":{"formattedCitation":"(Hardy et al., 2018)","plainCitation":"(Hardy et al., 2018)","dontUpdate":true,"noteIndex":0},"citationItems":[{"id":830,"uris":["http://zotero.org/users/7873587/items/NPLX5NWL"],"itemData":{"id":830,"type":"article-journal","abstract":"Concurrent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355699">
        <w:rPr>
          <w:rFonts w:ascii="Times New Roman" w:hAnsi="Times New Roman" w:cs="Times New Roman"/>
        </w:rPr>
        <w:fldChar w:fldCharType="separate"/>
      </w:r>
      <w:r w:rsidR="00355699" w:rsidRPr="00355699">
        <w:rPr>
          <w:rFonts w:ascii="Times New Roman" w:hAnsi="Times New Roman" w:cs="Times New Roman"/>
        </w:rPr>
        <w:t>Hardy et al., 2018)</w:t>
      </w:r>
      <w:r w:rsidR="00355699">
        <w:rPr>
          <w:rFonts w:ascii="Times New Roman" w:hAnsi="Times New Roman" w:cs="Times New Roman"/>
        </w:rPr>
        <w:fldChar w:fldCharType="end"/>
      </w:r>
      <w:r w:rsidRPr="002653AB">
        <w:rPr>
          <w:rFonts w:ascii="Times New Roman" w:hAnsi="Times New Roman" w:cs="Times New Roman"/>
        </w:rPr>
        <w:t xml:space="preserve">, alongside reaction time (RT). </w:t>
      </w:r>
    </w:p>
    <w:p w14:paraId="6EDADFB5" w14:textId="77777777" w:rsidR="002653AB" w:rsidRPr="002653AB" w:rsidRDefault="002653AB" w:rsidP="00762442">
      <w:pPr>
        <w:pStyle w:val="NoSpacing"/>
        <w:spacing w:line="480" w:lineRule="auto"/>
        <w:rPr>
          <w:rFonts w:ascii="Times New Roman" w:hAnsi="Times New Roman" w:cs="Times New Roman"/>
        </w:rPr>
      </w:pPr>
    </w:p>
    <w:p w14:paraId="11E688E0" w14:textId="3AD1EF00" w:rsidR="00D2679C"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The methodological benefit of fitting the DDM is that it takes observed behavioural data (RT and choice accuracy) as input to decompose different cognitive processes that determine </w:t>
      </w:r>
      <w:r w:rsidRPr="002653AB">
        <w:rPr>
          <w:rFonts w:ascii="Times New Roman" w:hAnsi="Times New Roman" w:cs="Times New Roman"/>
        </w:rPr>
        <w:lastRenderedPageBreak/>
        <w:t xml:space="preserve">overt behaviour </w:t>
      </w:r>
      <w:r w:rsidR="00D2679C">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{"citationID":"ZoFSEUer","properties":{"formattedCitation":"(C. N. White et al., 2016, 2018)","plainCitation":"(C. N. White et al., 2016, 2018)","dontUpdate":true,"noteIndex":0},"citationItems":[{"id":1681,"uris":["http://zotero.org/users/7873587/items/BGSRG9IB"],"itemData":{"id":1681,"type":"article-journal","abstract":"There is great interest in relating individual differences in cognitive processing to activation of neural systems. The general process involves relating measures of task performance like reaction times or accuracy to brain activity to identify individual differences in neural processing. One limitation of this approach is that measures like reaction times can be affected by multiple components of processing. For instance, some individuals might have higher accuracy in a memory task because they respond more cautiously, not because they have better memory. Computational models of decision making, like the drift–diffusion model and the linear ballistic accumulator model, provide a potential solution to this problem. They can be fitted to data from individual participants to disentangle the effects of the different processes driving behavior. In this sense the models can provide cleaner measures of the processes of interest, and enhance our understanding of how neural activity varies across individuals or populations. The advantages of this model-based approach to investigating individual differences in neural activity are discussed with recent examples of how this method can improve our understanding of the brain–behavior relationship.","container-title":"Frontiers in Psychology","ISSN":"1664-1078","page":"81","source":"Frontiers","title":"Using decision models to enhance investigations of individual differences in cognitive neuroscience","volume":"7","author":[{"family":"White","given":"Corey N."},{"family":"Curl","given":"Ryan A."},{"family":"Sloane","given":"Jennifer F."}],"issued":{"date-parts":[["2016"]]}},"label":"act"},{"id":1685,"uris":["http://zotero.org/users/7873587/items/NQYRZD9X"],"itemData":{"id":1685,"type":"article-journal","abstract":"Researchers and clinicians are interested in estimating individual differences in the ability to process conflicting information. Conflict processing is typically assessed by comparing behavioral measures like RTs or error rates from conflict tasks. However, these measures are hard to interpret because they can be influenced by additional processes like response caution or bias. This limitation can be circumvented by employing cognitive models to decompose behavioral data into components of underlying decision processes, providing better specificity for investigating individual differences. A new class of drift-diffusion models has been developed for conflict tasks, presenting a potential tool to improve analysis of individual differences in conflict processing. However, measures from these models have not been validated for use in experiments with limited data collection. The present study assessed the validity of these models with a parameter-recovery study to determine whether and under what circumstances the models provide valid measures of cognitive processing. Three models were tested: the dual-stage two-phase model (Hübner, Steinhauser, &amp; Lehle, Psychological Review, 117(3), 759–784, 2010), the shrinking spotlight model (White, Ratcliff, &amp; Starns, Cognitive Psychology, 63(4), 210–238, 2011), and the diffusion model for conflict tasks (Ulrich, Schröter, Leuthold, &amp; Birngruber, Cogntive Psychology, 78, 148–174, 2015). The validity of the model parameters was assessed using different methods of fitting the data and different numbers of trials. The results show that each model has limitations in recovering valid parameters, but they can be mitigated by adding constraints to the model. Practical recommendations are provided for when and how each model can be used to analyze data and provide measures of processing in conflict tasks.","container-title":"Psychonomic Bulletin &amp; Review","DOI":"10.3758/s13423-017-1271-2","ISSN":"1531-5320","issue":"1","journalAbbreviation":"Psychon Bull Rev","language":"en","page":"286-301","source":"Springer Link","title":"Testing the validity of conflict drift-diffusion models for use in estimating cognitive processes: A parameter-recovery study","title-short":"Testing the validity of conflict drift-diffusion models for use in estimating cognitive processes","volume":"25","author":[{"family":"White","given":"Corey N."},{"family":"Servant","given":"Mathieu"},{"family":"Logan","given":"Gordon D."}],"issued":{"date-parts":[["2018",2,1]]}},"label":"act"}],"schema":"https://github.com/citation-style-language/schema/raw/master/csl-citation.json"} </w:instrText>
      </w:r>
      <w:r w:rsidR="00D2679C">
        <w:rPr>
          <w:rFonts w:ascii="Times New Roman" w:hAnsi="Times New Roman" w:cs="Times New Roman"/>
        </w:rPr>
        <w:fldChar w:fldCharType="separate"/>
      </w:r>
      <w:r w:rsidR="00D2679C" w:rsidRPr="00D2679C">
        <w:rPr>
          <w:rFonts w:ascii="Times New Roman" w:hAnsi="Times New Roman" w:cs="Times New Roman"/>
        </w:rPr>
        <w:t>(White et al., 2016, 2018)</w:t>
      </w:r>
      <w:r w:rsidR="00D2679C">
        <w:rPr>
          <w:rFonts w:ascii="Times New Roman" w:hAnsi="Times New Roman" w:cs="Times New Roman"/>
        </w:rPr>
        <w:fldChar w:fldCharType="end"/>
      </w:r>
      <w:r w:rsidRPr="002653AB">
        <w:rPr>
          <w:rFonts w:ascii="Times New Roman" w:hAnsi="Times New Roman" w:cs="Times New Roman"/>
        </w:rPr>
        <w:t xml:space="preserve">. These processes are represented in parameters recovered from the model, which have well established psychological interpretations </w:t>
      </w:r>
      <w:r w:rsidR="00D2679C">
        <w:rPr>
          <w:rFonts w:ascii="Times New Roman" w:hAnsi="Times New Roman" w:cs="Times New Roman"/>
        </w:rPr>
        <w:fldChar w:fldCharType="begin"/>
      </w:r>
      <w:r w:rsidR="00D2679C">
        <w:rPr>
          <w:rFonts w:ascii="Times New Roman" w:hAnsi="Times New Roman" w:cs="Times New Roman"/>
        </w:rPr>
        <w:instrText xml:space="preserve"> ADDIN ZOTERO_ITEM CSL_CITATION {"citationID":"hhrkFuRL","properties":{"formattedCitation":"(Stafford et al., 2020)","plainCitation":"(Stafford et al., 2020)","noteIndex":0},"citationItems":[{"id":54,"uris":["http://zotero.org/users/7873587/items/UE7Y9KMI"],"itemData":{"id":54,"type":"article-journal","abstract":"Response time and accuracy are fundamental measures of behavioral science, but discerning participants’ underlying abilities can be masked by speed–accuracy trade-offs (SATOs). SATOs are often inadequately addressed in experiment analyses which focus on a single variable or which involve a suboptimal analytic correction. Models of decision-making, such as the drift diffusion model (DDM), provide a principled account of the decision-making process, allowing the recovery of SATO-unconfounded decision parameters from observed behavioral variables. For plausible parameters of a typical between-groups experiment, we simulate experimental data, for both real and null group differences in participants’ ability to discriminate stimuli (represented by differences in the drift rate parameter of the DDM used to generate the simulated data), for both systematic and null SATOs. We then use the DDM to fit the generated data. This allows the direct comparison of the specificity and sensitivity for testing of group differences of different measures (accuracy, reaction time, and the drift rate from the model fitting). Our purpose here is not to make a theoretical innovation in decision modeling, but to use established decision models to demonstrate and quantify the benefits of decision modeling for experimentalists. We show, in terms of reduction of required sample size, how decision modeling can allow dramatically more efficient data collection for set statistical power; we confirm and depict the non-linear speed–accuracy relation; and we show how accuracy can be a more sensitive measure than response time given decision parameters which reasonably reflect a typical experiment.","container-title":"Behavior Research Methods","DOI":"10.3758/s13428-020-01372-w","ISSN":"1554-3528","issue":"5","journalAbbreviation":"Behav Res","language":"en","page":"2142-2155","source":"Springer Link","title":"Quantifying the benefits of using decision models with response time and accuracy data","volume":"52","author":[{"family":"Stafford","given":"Tom"},{"family":"Pirrone","given":"Angelo"},{"family":"Croucher","given":"Mike"},{"family":"Krystalli","given":"Anna"}],"issued":{"date-parts":[["2020"]]}}}],"schema":"https://github.com/citation-style-language/schema/raw/master/csl-citation.json"} </w:instrText>
      </w:r>
      <w:r w:rsidR="00D2679C">
        <w:rPr>
          <w:rFonts w:ascii="Times New Roman" w:hAnsi="Times New Roman" w:cs="Times New Roman"/>
        </w:rPr>
        <w:fldChar w:fldCharType="separate"/>
      </w:r>
      <w:r w:rsidR="00D2679C" w:rsidRPr="00D2679C">
        <w:rPr>
          <w:rFonts w:ascii="Times New Roman" w:hAnsi="Times New Roman" w:cs="Times New Roman"/>
        </w:rPr>
        <w:t>(Stafford et al., 2020)</w:t>
      </w:r>
      <w:r w:rsidR="00D2679C">
        <w:rPr>
          <w:rFonts w:ascii="Times New Roman" w:hAnsi="Times New Roman" w:cs="Times New Roman"/>
        </w:rPr>
        <w:fldChar w:fldCharType="end"/>
      </w:r>
      <w:r w:rsidRPr="002653AB">
        <w:rPr>
          <w:rFonts w:ascii="Times New Roman" w:hAnsi="Times New Roman" w:cs="Times New Roman"/>
        </w:rPr>
        <w:t>: EA rate (also known as the ‘drift rate’; the rate at which momentary evidence is accumulated), response threshold (participant caution indexed by their speed-accuracy trade-off</w:t>
      </w:r>
      <w:r w:rsidR="00BC7ED9">
        <w:rPr>
          <w:rFonts w:ascii="Times New Roman" w:hAnsi="Times New Roman" w:cs="Times New Roman"/>
        </w:rPr>
        <w:t xml:space="preserve"> (SATO)</w:t>
      </w:r>
      <w:r w:rsidRPr="002653AB">
        <w:rPr>
          <w:rFonts w:ascii="Times New Roman" w:hAnsi="Times New Roman" w:cs="Times New Roman"/>
        </w:rPr>
        <w:t>) and non-decision time (encoding and motor processes). Crucially, then, the DDM provides a principled reconciliation of both RT and accuracy data, and in doing so, disentangles different processes that determine decisions</w:t>
      </w:r>
      <w:r w:rsidR="00D2679C">
        <w:rPr>
          <w:rFonts w:ascii="Times New Roman" w:hAnsi="Times New Roman" w:cs="Times New Roman"/>
        </w:rPr>
        <w:t xml:space="preserve"> made</w:t>
      </w:r>
      <w:r w:rsidRPr="002653AB">
        <w:rPr>
          <w:rFonts w:ascii="Times New Roman" w:hAnsi="Times New Roman" w:cs="Times New Roman"/>
        </w:rPr>
        <w:t xml:space="preserve">, including </w:t>
      </w:r>
      <w:r w:rsidR="00D2679C">
        <w:rPr>
          <w:rFonts w:ascii="Times New Roman" w:hAnsi="Times New Roman" w:cs="Times New Roman"/>
        </w:rPr>
        <w:t>those</w:t>
      </w:r>
      <w:r w:rsidRPr="002653AB">
        <w:rPr>
          <w:rFonts w:ascii="Times New Roman" w:hAnsi="Times New Roman" w:cs="Times New Roman"/>
        </w:rPr>
        <w:t xml:space="preserve"> that are value-based </w:t>
      </w:r>
      <w:r w:rsidR="00C21493">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{"citationID":"FupPEXQx","properties":{"formattedCitation":"(Berkman et al., 2017; Mormann et al., 2010; Polan\\uc0\\u237{}a et al., 2014)","plainCitation":"(Berkman et al., 2017; Mormann et al., 2010; Polanía et al., 2014)","noteIndex":0},"citationItems":[{"id":1528,"uris":["http://zotero.org/users/7873587/items/BGCGUKYV"],"itemData":{"id":1528,"type":"article-journal","abstract":"Self-control is often conceived as a battle between \"hot\" impulsive processes and \"cold\" deliberative ones. Heeding the angel on one shoulder leads to success; following the demon on the other leads to failure. Self-control feels like a duality. What if that sensation is misleading, and, despite how they feel, self-control decisions are just like any other choice? We argue that self-control is a form of value-based choice wherein options are assigned a subjective value and a decision is made through a dynamic integration process. We articulate how a value-based choice model of self-control can capture its phenomenology and account for relevant behavioral and neuroscientific data. This conceptualization of self-control links divergent scientific approaches, allows for more robust and precise hypothesis testing, and suggests novel pathways to improve self-control.","container-title":"Current Directions in Psychological Science","DOI":"10.1177/0963721417704394","ISSN":"0963-7214","issue":"5","journalAbbreviation":"Curr Dir Psychol Sci","language":"eng","note":"PMID: 29335665\nPMCID: PMC5765996","page":"422-428","source":"PubMed","title":"Self-control as value-based choice","volume":"26","author":[{"family":"Berkman","given":"Elliot T."},{"family":"Hutcherson","given":"Cendri A."},{"family":"Livingston","given":"Jordan L."},{"family":"Kahn","given":"Lauren E."},{"family":"Inzlicht","given":"Michael"}],"issued":{"date-parts":[["2017"]]}},"label":"act"},{"id":674,"uris":["http://zotero.org/users/7873587/items/RIYA94KZ"],"itemData":{"id":674,"type":"article-journal","abstract":"An important open problem is how values are compared to make simple choices. A natural hypothesis is that the brain carries out the computations associated with the value comparisons in a manner consistent with the Drift Diffusion Model (DDM), since this model has been able to account for a large amount of data in other domains. We investigated the ability of four different versions of the DDM to explain the data in a real binary food choice task under conditions of high and low time pressure. We found that a seven-parameter version of the DDM can account for the choice and reaction time data with high-accuracy, in both the high and low time pressure conditions. The changes associated with the introduction of time pressure could be traced to changes in two key model parameters: the barrier height and the noise in the slope of the drift process. (PsycInfo Database Record (c) 2021 APA, all rights reserved)","container-title":"Judgment and Decision Making","ISSN":"1930-2975","issue":"6","note":"publisher-place: US\npublisher: Society for Judgment and Decision Making","page":"437-449","source":"APA PsycNet","title":"The drift diffusion model can account for the accuracy and reaction time of value-based choices under high and low time pressure","volume":"5","author":[{"family":"Mormann","given":"Milica"},{"family":"Malmaud","given":"Jonathan"},{"family":"Huth","given":"Alexander"},{"family":"Koch","given":"Christof"},{"family":"Rangel","given":"Antonio"}],"issued":{"date-parts":[["2010"]]}},"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C."}],"issued":{"date-parts":[["2014",5,7]]}},"label":"act"}],"schema":"https://github.com/citation-style-language/schema/raw/master/csl-citation.json"} </w:instrText>
      </w:r>
      <w:r w:rsidR="00C21493">
        <w:rPr>
          <w:rFonts w:ascii="Times New Roman" w:hAnsi="Times New Roman" w:cs="Times New Roman"/>
        </w:rPr>
        <w:fldChar w:fldCharType="separate"/>
      </w:r>
      <w:r w:rsidR="00C21493" w:rsidRPr="00C21493">
        <w:rPr>
          <w:rFonts w:ascii="Times New Roman" w:hAnsi="Times New Roman" w:cs="Times New Roman"/>
        </w:rPr>
        <w:t>(Berkman et al., 2017; Mormann et al., 2010; Polanía et al., 2014)</w:t>
      </w:r>
      <w:r w:rsidR="00C21493">
        <w:rPr>
          <w:rFonts w:ascii="Times New Roman" w:hAnsi="Times New Roman" w:cs="Times New Roman"/>
        </w:rPr>
        <w:fldChar w:fldCharType="end"/>
      </w:r>
      <w:r w:rsidR="00C21493">
        <w:rPr>
          <w:rFonts w:ascii="Times New Roman" w:hAnsi="Times New Roman" w:cs="Times New Roman"/>
        </w:rPr>
        <w:t>.</w:t>
      </w:r>
    </w:p>
    <w:p w14:paraId="6A8B1469" w14:textId="77777777" w:rsidR="002653AB" w:rsidRPr="002653AB" w:rsidRDefault="002653AB" w:rsidP="00762442">
      <w:pPr>
        <w:pStyle w:val="NoSpacing"/>
        <w:spacing w:line="480" w:lineRule="auto"/>
        <w:rPr>
          <w:rFonts w:ascii="Times New Roman" w:hAnsi="Times New Roman" w:cs="Times New Roman"/>
        </w:rPr>
      </w:pPr>
    </w:p>
    <w:p w14:paraId="749AEA17" w14:textId="4570A855"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Studying individual differences in laboratory-based research can be challenging, in part due to measurement error and poor reliability </w:t>
      </w:r>
      <w:r w:rsidR="00BC7ED9">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{"citationID":"Cmd5uFCo","properties":{"formattedCitation":"(Dang et al., 2020; Hedge et al., 2018)","plainCitation":"(Dang et al., 2020; Hedge et al., 2018)","noteIndex":0},"citationItems":[{"id":1691,"uris":["http://zotero.org/users/7873587/items/BID2IK2B"],"itemData":{"id":1691,"type":"article-journal","abstract":"Accumulating evidence indicates weak correlations between self-report and behavioral measures of the same construct. We suggest that these weak correlations result from the poor reliability of many behavioral measures and the distinct response processes involved in the two measurement types. We also describe how researchers can benefit from appropriate use of these measures.","container-title":"Trends in Cognitive Sciences","DOI":"10.1016/j.tics.2020.01.007","ISSN":"1879-307X","issue":"4","journalAbbreviation":"Trends Cogn Sci","language":"eng","note":"PMID: 32160564\nPMCID: PMC7977810","page":"267-269","source":"PubMed","title":"Why are self-report and behavioral Mmeasures weakly correlated?","volume":"24","author":[{"family":"Dang","given":"Junhua"},{"family":"King","given":"Kevin M."},{"family":"Inzlicht","given":"Michael"}],"issued":{"date-parts":[["2020",4]]}},"label":"act"},{"id":1688,"uris":["http://zotero.org/users/7873587/items/5YQHPYRY"],"itemData":{"id":1688,"type":"article-journal","abstract":"Individual differences in cognitive paradigms are increasingly employed to relate cognition to brain structure, chemistry, and function. However, such efforts are often unfruitful, even with the most well established tasks. Here we offer an explanation for failures in the application of robust cognitive paradigms to the study of individual differences. Experimental effects become well established - and thus those tasks become popular - when between-subject variability is low. However, low between-subject variability causes low reliability for individual differences, destroying replicable correlations with other factors and potentially undermining published conclusions drawn from correlational relationships. Though these statistical issues have a long history in psychology, they are widely overlooked in cognitive psychology and neuroscience today. In three studies, we assessed test-retest reliability of seven classic tasks: Eriksen Flanker, Stroop, stop-signal, go/no-go, Posner cueing, Navon, and Spatial-Numerical Association of Response Code (SNARC). Reliabilities ranged from 0 to .82, being surprisingly low for most tasks given their common use. As we predicted, this emerged from low variance between individuals rather than high measurement variance. In other words, the very reason such tasks produce robust and easily replicable experimental effects - low between-participant variability - makes their use as correlational tools problematic. We demonstrate that taking such reliability estimates into account has the potential to qualitatively change theoretical conclusions. The implications of our findings are that well-established approaches in experimental psychology and neuropsychology may not directly translate to the study of individual differences in brain structure, chemistry, and function, and alternative metrics may be required.","container-title":"Behavior Research Methods","DOI":"10.3758/s13428-017-0935-1","ISSN":"1554-3528","issue":"3","journalAbbreviation":"Behav Res Methods","language":"eng","note":"PMID: 28726177\nPMCID: PMC5990556","page":"1166-1186","source":"PubMed","title":"The reliability paradox: Why robust cognitive tasks do not produce reliable individual differences","title-short":"The reliability paradox","volume":"50","author":[{"family":"Hedge","given":"Craig"},{"family":"Powell","given":"Georgina"},{"family":"Sumner","given":"Petroc"}],"issued":{"date-parts":[["2018",6]]}},"label":"act"}],"schema":"https://github.com/citation-style-language/schema/raw/master/csl-citation.json"} </w:instrText>
      </w:r>
      <w:r w:rsidR="00BC7ED9">
        <w:rPr>
          <w:rFonts w:ascii="Times New Roman" w:hAnsi="Times New Roman" w:cs="Times New Roman"/>
        </w:rPr>
        <w:fldChar w:fldCharType="separate"/>
      </w:r>
      <w:r w:rsidR="00BC7ED9" w:rsidRPr="00BC7ED9">
        <w:rPr>
          <w:rFonts w:ascii="Times New Roman" w:hAnsi="Times New Roman" w:cs="Times New Roman"/>
        </w:rPr>
        <w:t>(Dang et al., 2020; Hedge et al., 2018)</w:t>
      </w:r>
      <w:r w:rsidR="00BC7ED9">
        <w:rPr>
          <w:rFonts w:ascii="Times New Roman" w:hAnsi="Times New Roman" w:cs="Times New Roman"/>
        </w:rPr>
        <w:fldChar w:fldCharType="end"/>
      </w:r>
      <w:r w:rsidRPr="002653AB">
        <w:rPr>
          <w:rFonts w:ascii="Times New Roman" w:hAnsi="Times New Roman" w:cs="Times New Roman"/>
        </w:rPr>
        <w:t xml:space="preserve">. A potential contributor to this may arise from traditional approaches which often take mean RT or choice accuracy to be the dependent variable. Limitations of this method are that it is unable to account for </w:t>
      </w:r>
      <w:r w:rsidR="00BC7ED9">
        <w:rPr>
          <w:rFonts w:ascii="Times New Roman" w:hAnsi="Times New Roman" w:cs="Times New Roman"/>
        </w:rPr>
        <w:t xml:space="preserve">participant’s </w:t>
      </w:r>
      <w:r w:rsidRPr="002653AB">
        <w:rPr>
          <w:rFonts w:ascii="Times New Roman" w:hAnsi="Times New Roman" w:cs="Times New Roman"/>
        </w:rPr>
        <w:t xml:space="preserve">SATO, something that is inherent whenever a participant is instructed to respond as quickly as possible (Stafford et al., 2020). Responding faster is often at the cost of lowering accuracy, while the reverse is also true; responding slower enables a person to consider their option and thereby increase accuracy. Furthermore, when RT is used as the outcome measure of interest, this assumes that systematic differences in RT are driven only by the construct under investigation, whereas it is known that various cognitive (e.g., response caution) and motor processes (e.g., executing a response, such as a key press) influence RT simultaneously </w:t>
      </w:r>
      <w:r w:rsidR="00BC7ED9">
        <w:rPr>
          <w:rFonts w:ascii="Times New Roman" w:hAnsi="Times New Roman" w:cs="Times New Roman"/>
        </w:rPr>
        <w:fldChar w:fldCharType="begin"/>
      </w:r>
      <w:r w:rsidR="002540E2">
        <w:rPr>
          <w:rFonts w:ascii="Times New Roman" w:hAnsi="Times New Roman" w:cs="Times New Roman"/>
        </w:rPr>
        <w:instrText xml:space="preserve"> ADDIN ZOTERO_ITEM CSL_CITATION {"citationID":"7FhOXDRy","properties":{"formattedCitation":"(Hedge et al., 2018)","plainCitation":"(Hedge et al., 2018)","noteIndex":0},"citationItems":[{"id":1688,"uris":["http://zotero.org/users/7873587/items/5YQHPYRY"],"itemData":{"id":1688,"type":"article-journal","abstract":"Individual differences in cognitive paradigms are increasingly employed to relate cognition to brain structure, chemistry, and function. However, such efforts are often unfruitful, even with the most well established tasks. Here we offer an explanation for failures in the application of robust cognitive paradigms to the study of individual differences. Experimental effects become well established - and thus those tasks become popular - when between-subject variability is low. However, low between-subject variability causes low reliability for individual differences, destroying replicable correlations with other factors and potentially undermining published conclusions drawn from correlational relationships. Though these statistical issues have a long history in psychology, they are widely overlooked in cognitive psychology and neuroscience today. In three studies, we assessed test-retest reliability of seven classic tasks: Eriksen Flanker, Stroop, stop-signal, go/no-go, Posner cueing, Navon, and Spatial-Numerical Association of Response Code (SNARC). Reliabilities ranged from 0 to .82, being surprisingly low for most tasks given their common use. As we predicted, this emerged from low variance between individuals rather than high measurement variance. In other words, the very reason such tasks produce robust and easily replicable experimental effects - low between-participant variability - makes their use as correlational tools problematic. We demonstrate that taking such reliability estimates into account has the potential to qualitatively change theoretical conclusions. The implications of our findings are that well-established approaches in experimental psychology and neuropsychology may not directly translate to the study of individual differences in brain structure, chemistry, and function, and alternative metrics may be required.","container-title":"Behavior Research Methods","DOI":"10.3758/s13428-017-0935-1","ISSN":"1554-3528","issue":"3","journalAbbreviation":"Behav Res Methods","language":"eng","note":"PMID: 28726177\nPMCID: PMC5990556","page":"1166-1186","source":"PubMed","title":"The reliability paradox: Why robust cognitive tasks do not produce reliable individual differences","title-short":"The reliability paradox","volume":"50","author":[{"family":"Hedge","given":"Craig"},{"family":"Powell","given":"Georgina"},{"family":"Sumner","given":"Petroc"}],"issued":{"date-parts":[["2018",6]]}}}],"schema":"https://github.com/citation-style-language/schema/raw/master/csl-citation.json"} </w:instrText>
      </w:r>
      <w:r w:rsidR="00BC7ED9">
        <w:rPr>
          <w:rFonts w:ascii="Times New Roman" w:hAnsi="Times New Roman" w:cs="Times New Roman"/>
        </w:rPr>
        <w:fldChar w:fldCharType="separate"/>
      </w:r>
      <w:r w:rsidR="002540E2" w:rsidRPr="002540E2">
        <w:rPr>
          <w:rFonts w:ascii="Times New Roman" w:hAnsi="Times New Roman" w:cs="Times New Roman"/>
        </w:rPr>
        <w:t>(Hedge et al., 2018)</w:t>
      </w:r>
      <w:r w:rsidR="00BC7ED9">
        <w:rPr>
          <w:rFonts w:ascii="Times New Roman" w:hAnsi="Times New Roman" w:cs="Times New Roman"/>
        </w:rPr>
        <w:fldChar w:fldCharType="end"/>
      </w:r>
      <w:r w:rsidRPr="002653AB">
        <w:rPr>
          <w:rFonts w:ascii="Times New Roman" w:hAnsi="Times New Roman" w:cs="Times New Roman"/>
        </w:rPr>
        <w:t xml:space="preserve">. Therefore, RT is often confounded by various extraneous processes, with implications for enhanced measurement noise </w:t>
      </w:r>
      <w:r w:rsidR="002540E2">
        <w:rPr>
          <w:rFonts w:ascii="Times New Roman" w:hAnsi="Times New Roman" w:cs="Times New Roman"/>
        </w:rPr>
        <w:fldChar w:fldCharType="begin"/>
      </w:r>
      <w:r w:rsidR="002540E2">
        <w:rPr>
          <w:rFonts w:ascii="Times New Roman" w:hAnsi="Times New Roman" w:cs="Times New Roman"/>
        </w:rPr>
        <w:instrText xml:space="preserve"> ADDIN ZOTERO_ITEM CSL_CITATION {"citationID":"r2cf1RBC","properties":{"formattedCitation":"(Pennington et al., 2021)","plainCitation":"(Pennington et al., 2021)","noteIndex":0},"citationItems":[{"id":1614,"uris":["http://zotero.org/users/7873587/items/LK9L99LW"],"itemData":{"id":1614,"type":"article-journal","abstract":"Background and Aims A range of experimental paradigms claim to measure the cognitive processes underpinning alcohol use, suggesting that heightened attentional bias, greater approach tendencies and reduced cue-specific inhibitory control are important drivers of consumption. This paper identifies methodological shortcomings within this broad domain of research and exemplifies them in studies focused specifically on alcohol-related attentional bias. Argument and analysis We highlight five main methodological issues: (i) the use of inappropriately matched control stimuli; (ii) opacity of stimulus selection and validation procedures; (iii) a credence in noisy measures; (iv) a reliance on unreliable tasks; and (v) variability in design and analysis. This is evidenced through a review of alcohol-related attentional bias (64 empirical articles, 68 tasks), which reveals the following: only 53% of tasks use appropriately matched control stimuli; as few as 38% report their stimulus selection and 19% their validation procedures; less than 28% used indices capable of disambiguating attentional processes; 22% assess reliability; and under 2% of studies were pre-registered. Conclusions Well-matched and validated experimental stimuli, the development of reliable cognitive tasks and explicit assessment of their psychometric properties, and careful consideration of behavioural indices and their analysis will improve the methodological rigour of cognitive alcohol research. Open science principles can facilitate replication and reproducibility in alcohol research.","container-title":"Addiction","DOI":"10.1111/add.15563","ISSN":"1360-0443","issue":"11","language":"en","note":"_eprint: https://onlinelibrary.wiley.com/doi/pdf/10.1111/add.15563","page":"3243-3251","source":"Wiley Online Library","title":"Raising the bar: improving methodological rigour in cognitive alcohol research","title-short":"Raising the bar","volume":"116","author":[{"family":"Pennington","given":"Charlotte R."},{"family":"Jones","given":"Andrew"},{"family":"Bartlett","given":"James E."},{"family":"Copeland","given":"Amber"},{"family":"Shaw","given":"Daniel J."}],"issued":{"date-parts":[["2021"]]}}}],"schema":"https://github.com/citation-style-language/schema/raw/master/csl-citation.json"} </w:instrText>
      </w:r>
      <w:r w:rsidR="002540E2">
        <w:rPr>
          <w:rFonts w:ascii="Times New Roman" w:hAnsi="Times New Roman" w:cs="Times New Roman"/>
        </w:rPr>
        <w:fldChar w:fldCharType="separate"/>
      </w:r>
      <w:r w:rsidR="002540E2" w:rsidRPr="002540E2">
        <w:rPr>
          <w:rFonts w:ascii="Times New Roman" w:hAnsi="Times New Roman" w:cs="Times New Roman"/>
        </w:rPr>
        <w:t>(Pennington et al., 2021)</w:t>
      </w:r>
      <w:r w:rsidR="002540E2">
        <w:rPr>
          <w:rFonts w:ascii="Times New Roman" w:hAnsi="Times New Roman" w:cs="Times New Roman"/>
        </w:rPr>
        <w:fldChar w:fldCharType="end"/>
      </w:r>
      <w:r w:rsidRPr="002653AB">
        <w:rPr>
          <w:rFonts w:ascii="Times New Roman" w:hAnsi="Times New Roman" w:cs="Times New Roman"/>
        </w:rPr>
        <w:t xml:space="preserve">. The overall methodological implication of the DDM then is that unlike traditional analysis approaches, it can produce parameters that account for these </w:t>
      </w:r>
      <w:r w:rsidRPr="002653AB">
        <w:rPr>
          <w:rFonts w:ascii="Times New Roman" w:hAnsi="Times New Roman" w:cs="Times New Roman"/>
        </w:rPr>
        <w:lastRenderedPageBreak/>
        <w:t xml:space="preserve">separable cognitive and motor processes, thereby producing estimates that are more precise and more sensitive.   </w:t>
      </w:r>
    </w:p>
    <w:p w14:paraId="76136E69" w14:textId="77777777" w:rsidR="002653AB" w:rsidRPr="002653AB" w:rsidRDefault="002653AB" w:rsidP="00762442">
      <w:pPr>
        <w:pStyle w:val="NoSpacing"/>
        <w:spacing w:line="480" w:lineRule="auto"/>
        <w:rPr>
          <w:rFonts w:ascii="Times New Roman" w:hAnsi="Times New Roman" w:cs="Times New Roman"/>
        </w:rPr>
      </w:pPr>
    </w:p>
    <w:p w14:paraId="627FAE4D" w14:textId="696052DB"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This is supported by the re-analysis of observed behavioural data with the DDM which uncovered new interpretations: </w:t>
      </w:r>
      <w:r w:rsidR="0062386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{"citationID":"dLF6mcvm","properties":{"formattedCitation":"(Pirrone et al., 2017)","plainCitation":"(Pirrone et al., 2017)","dontUpdate":true,"noteIndex":0},"citationItems":[{"id":1694,"uris":["http://zotero.org/users/7873587/items/8U5UBBY4"],"itemData":{"id":1694,"type":"article-journal","abstract":"OBJECTIVE: Two-alternative forced-choice tasks are widely used to gain insight into specific areas of enhancement or impairment in individuals with autism spectrum disorder (ASD). Data arising from these tasks have been used to support myriad theories regarding the integrity, or otherwise, of particular brain areas or cognitive processes in ASD. The drift diffusion model (DDM) provides an account of the underlying processes which give rise to accuracy and reaction time (RT) distributions, and parameterizes these processes in terms which have direct psychological interpretation. Importantly, the DDM provides further insight into the origin of potential group differences in task performance. Here, for the first time, we used the DDM to investigate perceptual decision making in ASD.\nMETHOD: Adults with (N = 25) and without ASD (N = 32) performed an orientation discrimination task. A drift diffusion model was applied to the full RT distributions.\nRESULTS: Participants with ASD responded more slowly than controls, the groups did not differ in accuracy. Modeled parameters indicated that: (a) participants with ASD were more cautious than controls (wider boundary separation); (b) nondecision time was increased in ASD; and (c) the quality of evidence extracted from the stimulus (drift rate) did not vary between groups.\nCONCLUSIONS: Taking the behavioral data in isolation would suggest reduced perceptual sensitivity in ASD. However, DDM results indicated that despite response slowing, there was no evidence of differential perceptual sensitivity between participants with and without ASD. Future use of the DDM in investigations of perception and cognition in ASD is highly recommended. (PsycINFO Database Record","container-title":"Neuropsychology","DOI":"10.1037/neu0000320","ISSN":"1931-1559","issue":"2","journalAbbreviation":"Neuropsychology","language":"eng","note":"PMID: 27732040","page":"173-180","source":"PubMed","title":"Understanding perceptual judgment in autism spectrum disorder using the drift diffusion model","volume":"31","author":[{"family":"Pirrone","given":"Angelo"},{"family":"Dickinson","given":"Abigail"},{"family":"Gomez","given":"Rosanna"},{"family":"Stafford","given":"Tom"},{"family":"Milne","given":"Elizabeth"}],"issued":{"date-parts":[["2017",2]]}}}],"schema":"https://github.com/citation-style-language/schema/raw/master/csl-citation.json"} </w:instrText>
      </w:r>
      <w:r w:rsidR="0062386A">
        <w:rPr>
          <w:rFonts w:ascii="Times New Roman" w:hAnsi="Times New Roman" w:cs="Times New Roman"/>
        </w:rPr>
        <w:fldChar w:fldCharType="separate"/>
      </w:r>
      <w:r w:rsidR="0062386A" w:rsidRPr="0062386A">
        <w:rPr>
          <w:rFonts w:ascii="Times New Roman" w:hAnsi="Times New Roman" w:cs="Times New Roman"/>
        </w:rPr>
        <w:t xml:space="preserve">Pirrone et al. </w:t>
      </w:r>
      <w:r w:rsidR="0062386A">
        <w:rPr>
          <w:rFonts w:ascii="Times New Roman" w:hAnsi="Times New Roman" w:cs="Times New Roman"/>
        </w:rPr>
        <w:t>(</w:t>
      </w:r>
      <w:r w:rsidR="0062386A" w:rsidRPr="0062386A">
        <w:rPr>
          <w:rFonts w:ascii="Times New Roman" w:hAnsi="Times New Roman" w:cs="Times New Roman"/>
        </w:rPr>
        <w:t>2017)</w:t>
      </w:r>
      <w:r w:rsidR="0062386A">
        <w:rPr>
          <w:rFonts w:ascii="Times New Roman" w:hAnsi="Times New Roman" w:cs="Times New Roman"/>
        </w:rPr>
        <w:fldChar w:fldCharType="end"/>
      </w:r>
      <w:r w:rsidRPr="002653AB">
        <w:rPr>
          <w:rFonts w:ascii="Times New Roman" w:hAnsi="Times New Roman" w:cs="Times New Roman"/>
        </w:rPr>
        <w:t xml:space="preserve"> found that when RT was the dependent variable (representing perception), results showed that people with autism had </w:t>
      </w:r>
      <w:r w:rsidR="0062386A">
        <w:rPr>
          <w:rFonts w:ascii="Times New Roman" w:hAnsi="Times New Roman" w:cs="Times New Roman"/>
        </w:rPr>
        <w:t>significantly slower</w:t>
      </w:r>
      <w:r w:rsidRPr="002653AB">
        <w:rPr>
          <w:rFonts w:ascii="Times New Roman" w:hAnsi="Times New Roman" w:cs="Times New Roman"/>
        </w:rPr>
        <w:t xml:space="preserve"> RTs indicative of difficulties in perceptual judgement. Interestingly, however, when the authors fitted the DDM to the same data, there were actually no significant differences in perceptual judgement (indexed by participants EA rate). Rather, there were differences in decision caution, indexed by response thresholds. This demonstrates how the conclusions of research studies change when the DDM is fitted, and indeed similar reinterpretations of behavioural data have also been found in other domains (e.g., ageing; </w:t>
      </w:r>
      <w:r w:rsidR="0093500F">
        <w:rPr>
          <w:rFonts w:ascii="Times New Roman" w:hAnsi="Times New Roman" w:cs="Times New Roman"/>
        </w:rPr>
        <w:fldChar w:fldCharType="begin"/>
      </w:r>
      <w:r w:rsidR="006023CF">
        <w:rPr>
          <w:rFonts w:ascii="Times New Roman" w:hAnsi="Times New Roman" w:cs="Times New Roman"/>
        </w:rPr>
        <w:instrText xml:space="preserve"> ADDIN ZOTERO_ITEM CSL_CITATION {"citationID":"jnlxYrTV","properties":{"formattedCitation":"(Ratcliff et al., 2001, 2006a, 2016)","plainCitation":"(Ratcliff et al., 2001, 2006a, 2016)","dontUpdate":true,"noteIndex":0},"citationItems":[{"id":1708,"uris":["http://zotero.org/users/7873587/items/8F2XBCVD"],"itemData":{"id":1708,"type":"article-journal","abstract":"The effects of aging on response time are examined in 2 simple signal detection tasks with young and older subjects (age 60 years and older). Older subjects were generally slower than young subjects, and standard Brinley plot analyses of response times showed typical results: slopes greater than 1 and (mostly) negative intercepts. R. Ratcliff, D. Spieler, and G. McKoon (2000) showed that the slopes of Brinley plots measure the relative standard deviations of the distributions of response times for older versus young subjects. Applying R. Ratcliff's (1978) diffusion model to fit the response times, their distributions, and response accuracy, it was found that the larger spread in older subjects' response times and their slowness relative to young subjects comes from a 50-ms slowing of the nondecision components of response time and more from conservative settings of response criteria.","container-title":"Psychology and Aging","ISSN":"0882-7974","issue":"2","journalAbbreviation":"Psychol Aging","language":"eng","note":"PMID: 11405319","page":"323-341","source":"PubMed","title":"The effects of aging on reaction time in a signal detection task","volume":"16","author":[{"family":"Ratcliff","given":"R."},{"family":"Thapar","given":"A."},{"family":"McKoon","given":"G."}],"issued":{"date-parts":[["2001",6]]}},"label":"act"},{"id":1699,"uris":["http://zotero.org/users/7873587/items/V695NNKR"],"itemData":{"id":1699,"type":"article-journal","abstract":"The effects of aging on performance were examined in signal detection, letter discrimination, brightness discrimination, and recognition memory, with each subject tested on all four tasks. Ratcliff's (1978) diffusion model was fit to the data for each subject for each task, and it provided a good account of accuracy and the distributions of correct and error response times. The model's analysis of the components of processing showed that aging had three main effects: The nondecision components of processing were slower and the decision criteria were more conservative for 60- to 74-year-old and 75- to 85-year-old subjects than for college students, but the quality of the evidence on which decisions were based was as good for the older subjects as for college students on some of the tasks. Individual differences among subjects in components of processing tended to be preserved across the tasks, as was shown by strong correlations across the tasks in the parameters of the model that represent the components of processing. For example, if the evidence on which a subject's decisions were based was good in one task, it tended to be good in all four tasks. (PsycINFO Database Record (c) 2018 APA, all rights reserved)","container-title":"Psychonomic Bulletin &amp; Review","DOI":"10.3758/BF03193973","ISSN":"1531-5320","issue":"4","note":"publisher-place: US\npublisher: Psychonomic Society","page":"626-635","source":"APA PsycNet","title":"Aging and individual differences in rapid two-choice decisions","volume":"13","author":[{"family":"Ratcliff","given":"Roger"},{"family":"Thapar","given":"Anjali"},{"family":"McKoon","given":"Gail"}],"issued":{"date-parts":[["2006"]]}},"label":"act"},{"id":638,"uris":["http://zotero.org/users/7873587/items/5N92IPGL"],"itemData":{"id":638,"type":"article-journal","abstract":"There is growing interest in diffusion models to represent the cognitive and neural processes of speeded decision making. Sequential-sampling models like the diffusion model have a long history in psychology. They view decision making as a process of noisy accumulation of evidence from a stimulus. The standard model assumes that evidence accumulates at a constant rate during the second or two it takes to make a decision. This process can be linked to the behaviors of populations of neurons and to theories of optimality. Diffusion models have been used successfully in a range of cognitive tasks and as psychometric tools in clinical research to examine individual differences. In this review, we relate the models to both earlier and more recent research in psychology.","container-title":"Trends in Cognitive Sciences","DOI":"10.1016/j.tics.2016.01.007","ISSN":"1364-6613","issue":"4","journalAbbreviation":"Trends in Cognitive Sciences","language":"en","page":"260-281","source":"ScienceDirect","title":"Diffusion decision model: current issues and history","title-short":"Diffusion Decision Model","volume":"20","author":[{"family":"Ratcliff","given":"Roger"},{"family":"Smith","given":"Philip L."},{"family":"Brown","given":"Scott D."},{"family":"McKoon","given":"Gail"}],"issued":{"date-parts":[["2016"]]}},"label":"act"}],"schema":"https://github.com/citation-style-language/schema/raw/master/csl-citation.json"} </w:instrText>
      </w:r>
      <w:r w:rsidR="0093500F">
        <w:rPr>
          <w:rFonts w:ascii="Times New Roman" w:hAnsi="Times New Roman" w:cs="Times New Roman"/>
        </w:rPr>
        <w:fldChar w:fldCharType="separate"/>
      </w:r>
      <w:r w:rsidR="00C52FE9" w:rsidRPr="00C52FE9">
        <w:rPr>
          <w:rFonts w:ascii="Times New Roman" w:hAnsi="Times New Roman" w:cs="Times New Roman"/>
        </w:rPr>
        <w:t>Ratcliff et al., 2001, 2006a, 2016)</w:t>
      </w:r>
      <w:r w:rsidR="0093500F">
        <w:rPr>
          <w:rFonts w:ascii="Times New Roman" w:hAnsi="Times New Roman" w:cs="Times New Roman"/>
        </w:rPr>
        <w:fldChar w:fldCharType="end"/>
      </w:r>
      <w:r w:rsidR="0093500F">
        <w:rPr>
          <w:rFonts w:ascii="Times New Roman" w:hAnsi="Times New Roman" w:cs="Times New Roman"/>
        </w:rPr>
        <w:t>.</w:t>
      </w:r>
      <w:r w:rsidRPr="002653AB">
        <w:rPr>
          <w:rFonts w:ascii="Times New Roman" w:hAnsi="Times New Roman" w:cs="Times New Roman"/>
        </w:rPr>
        <w:t xml:space="preserve"> </w:t>
      </w:r>
    </w:p>
    <w:p w14:paraId="574E9910" w14:textId="77777777" w:rsidR="002653AB" w:rsidRPr="002653AB" w:rsidRDefault="002653AB" w:rsidP="00762442">
      <w:pPr>
        <w:pStyle w:val="NoSpacing"/>
        <w:spacing w:line="480" w:lineRule="auto"/>
        <w:rPr>
          <w:rFonts w:ascii="Times New Roman" w:hAnsi="Times New Roman" w:cs="Times New Roman"/>
        </w:rPr>
      </w:pPr>
    </w:p>
    <w:p w14:paraId="05E806C9" w14:textId="7C62276B" w:rsidR="00CF76E3"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Therefore, by generating </w:t>
      </w:r>
      <w:r w:rsidR="00135F16">
        <w:rPr>
          <w:rFonts w:ascii="Times New Roman" w:hAnsi="Times New Roman" w:cs="Times New Roman"/>
        </w:rPr>
        <w:t xml:space="preserve">more </w:t>
      </w:r>
      <w:r w:rsidRPr="002653AB">
        <w:rPr>
          <w:rFonts w:ascii="Times New Roman" w:hAnsi="Times New Roman" w:cs="Times New Roman"/>
        </w:rPr>
        <w:t xml:space="preserve">precise estimates, this in turn highlights the DDM as a methodological approach that can provide </w:t>
      </w:r>
      <w:r w:rsidR="00135F16">
        <w:rPr>
          <w:rFonts w:ascii="Times New Roman" w:hAnsi="Times New Roman" w:cs="Times New Roman"/>
        </w:rPr>
        <w:t xml:space="preserve">enhanced </w:t>
      </w:r>
      <w:r w:rsidRPr="002653AB">
        <w:rPr>
          <w:rFonts w:ascii="Times New Roman" w:hAnsi="Times New Roman" w:cs="Times New Roman"/>
        </w:rPr>
        <w:t xml:space="preserve">specificity for investigating individual differences </w:t>
      </w:r>
      <w:r w:rsidR="0093500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{"citationID":"KPYivKGb","properties":{"formattedCitation":"(C. N. White et al., 2016)","plainCitation":"(C. N. White et al., 2016)","dontUpdate":true,"noteIndex":0},"citationItems":[{"id":1681,"uris":["http://zotero.org/users/7873587/items/BGSRG9IB"],"itemData":{"id":1681,"type":"article-journal","abstract":"There is great interest in relating individual differences in cognitive processing to activation of neural systems. The general process involves relating measures of task performance like reaction times or accuracy to brain activity to identify individual differences in neural processing. One limitation of this approach is that measures like reaction times can be affected by multiple components of processing. For instance, some individuals might have higher accuracy in a memory task because they respond more cautiously, not because they have better memory. Computational models of decision making, like the drift–diffusion model and the linear ballistic accumulator model, provide a potential solution to this problem. They can be fitted to data from individual participants to disentangle the effects of the different processes driving behavior. In this sense the models can provide cleaner measures of the processes of interest, and enhance our understanding of how neural activity varies across individuals or populations. The advantages of this model-based approach to investigating individual differences in neural activity are discussed with recent examples of how this method can improve our understanding of the brain–behavior relationship.","container-title":"Frontiers in Psychology","ISSN":"1664-1078","page":"81","source":"Frontiers","title":"Using decision models to enhance investigations of individual differences in cognitive neuroscience","volume":"7","author":[{"family":"White","given":"Corey N."},{"family":"Curl","given":"Ryan A."},{"family":"Sloane","given":"Jennifer F."}],"issued":{"date-parts":[["2016"]]}}}],"schema":"https://github.com/citation-style-language/schema/raw/master/csl-citation.json"} </w:instrText>
      </w:r>
      <w:r w:rsidR="0093500F">
        <w:rPr>
          <w:rFonts w:ascii="Times New Roman" w:hAnsi="Times New Roman" w:cs="Times New Roman"/>
        </w:rPr>
        <w:fldChar w:fldCharType="separate"/>
      </w:r>
      <w:r w:rsidR="00135F16" w:rsidRPr="00135F16">
        <w:rPr>
          <w:rFonts w:ascii="Times New Roman" w:hAnsi="Times New Roman" w:cs="Times New Roman"/>
        </w:rPr>
        <w:t>(White et al., 2016)</w:t>
      </w:r>
      <w:r w:rsidR="0093500F">
        <w:rPr>
          <w:rFonts w:ascii="Times New Roman" w:hAnsi="Times New Roman" w:cs="Times New Roman"/>
        </w:rPr>
        <w:fldChar w:fldCharType="end"/>
      </w:r>
      <w:r w:rsidRPr="002653AB">
        <w:rPr>
          <w:rFonts w:ascii="Times New Roman" w:hAnsi="Times New Roman" w:cs="Times New Roman"/>
        </w:rPr>
        <w:t xml:space="preserve">. This may be an especially salient methodological </w:t>
      </w:r>
      <w:r w:rsidR="001124B8">
        <w:rPr>
          <w:rFonts w:ascii="Times New Roman" w:hAnsi="Times New Roman" w:cs="Times New Roman"/>
        </w:rPr>
        <w:t>benefit</w:t>
      </w:r>
      <w:r w:rsidRPr="002653AB">
        <w:rPr>
          <w:rFonts w:ascii="Times New Roman" w:hAnsi="Times New Roman" w:cs="Times New Roman"/>
        </w:rPr>
        <w:t xml:space="preserve">; experimental research is often </w:t>
      </w:r>
      <w:r w:rsidR="001124B8">
        <w:rPr>
          <w:rFonts w:ascii="Times New Roman" w:hAnsi="Times New Roman" w:cs="Times New Roman"/>
        </w:rPr>
        <w:t>postulated</w:t>
      </w:r>
      <w:r w:rsidRPr="002653AB">
        <w:rPr>
          <w:rFonts w:ascii="Times New Roman" w:hAnsi="Times New Roman" w:cs="Times New Roman"/>
        </w:rPr>
        <w:t xml:space="preserve"> to optimise the detection of within-person differences as opposed to between-subject (or individual difference) effects </w:t>
      </w:r>
      <w:r w:rsidR="001124B8">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{"citationID":"Wbvd8mg9","properties":{"formattedCitation":"(Dang et al., 2020; Hedge et al., 2018)","plainCitation":"(Dang et al., 2020; Hedge et al., 2018)","noteIndex":0},"citationItems":[{"id":1691,"uris":["http://zotero.org/users/7873587/items/BID2IK2B"],"itemData":{"id":1691,"type":"article-journal","abstract":"Accumulating evidence indicates weak correlations between self-report and behavioral measures of the same construct. We suggest that these weak correlations result from the poor reliability of many behavioral measures and the distinct response processes involved in the two measurement types. We also describe how researchers can benefit from appropriate use of these measures.","container-title":"Trends in Cognitive Sciences","DOI":"10.1016/j.tics.2020.01.007","ISSN":"1879-307X","issue":"4","journalAbbreviation":"Trends Cogn Sci","language":"eng","note":"PMID: 32160564\nPMCID: PMC7977810","page":"267-269","source":"PubMed","title":"Why are self-report and behavioral Mmeasures weakly correlated?","volume":"24","author":[{"family":"Dang","given":"Junhua"},{"family":"King","given":"Kevin M."},{"family":"Inzlicht","given":"Michael"}],"issued":{"date-parts":[["2020",4]]}},"label":"act"},{"id":1688,"uris":["http://zotero.org/users/7873587/items/5YQHPYRY"],"itemData":{"id":1688,"type":"article-journal","abstract":"Individual differences in cognitive paradigms are increasingly employed to relate cognition to brain structure, chemistry, and function. However, such efforts are often unfruitful, even with the most well established tasks. Here we offer an explanation for failures in the application of robust cognitive paradigms to the study of individual differences. Experimental effects become well established - and thus those tasks become popular - when between-subject variability is low. However, low between-subject variability causes low reliability for individual differences, destroying replicable correlations with other factors and potentially undermining published conclusions drawn from correlational relationships. Though these statistical issues have a long history in psychology, they are widely overlooked in cognitive psychology and neuroscience today. In three studies, we assessed test-retest reliability of seven classic tasks: Eriksen Flanker, Stroop, stop-signal, go/no-go, Posner cueing, Navon, and Spatial-Numerical Association of Response Code (SNARC). Reliabilities ranged from 0 to .82, being surprisingly low for most tasks given their common use. As we predicted, this emerged from low variance between individuals rather than high measurement variance. In other words, the very reason such tasks produce robust and easily replicable experimental effects - low between-participant variability - makes their use as correlational tools problematic. We demonstrate that taking such reliability estimates into account has the potential to qualitatively change theoretical conclusions. The implications of our findings are that well-established approaches in experimental psychology and neuropsychology may not directly translate to the study of individual differences in brain structure, chemistry, and function, and alternative metrics may be required.","container-title":"Behavior Research Methods","DOI":"10.3758/s13428-017-0935-1","ISSN":"1554-3528","issue":"3","journalAbbreviation":"Behav Res Methods","language":"eng","note":"PMID: 28726177\nPMCID: PMC5990556","page":"1166-1186","source":"PubMed","title":"The reliability paradox: Why robust cognitive tasks do not produce reliable individual differences","title-short":"The reliability paradox","volume":"50","author":[{"family":"Hedge","given":"Craig"},{"family":"Powell","given":"Georgina"},{"family":"Sumner","given":"Petroc"}],"issued":{"date-parts":[["2018",6]]}},"label":"page"}],"schema":"https://github.com/citation-style-language/schema/raw/master/csl-citation.json"} </w:instrText>
      </w:r>
      <w:r w:rsidR="001124B8">
        <w:rPr>
          <w:rFonts w:ascii="Times New Roman" w:hAnsi="Times New Roman" w:cs="Times New Roman"/>
        </w:rPr>
        <w:fldChar w:fldCharType="separate"/>
      </w:r>
      <w:r w:rsidR="001124B8" w:rsidRPr="001124B8">
        <w:rPr>
          <w:rFonts w:ascii="Times New Roman" w:hAnsi="Times New Roman" w:cs="Times New Roman"/>
        </w:rPr>
        <w:t>(Dang et al., 2020; Hedge et al., 2018)</w:t>
      </w:r>
      <w:r w:rsidR="001124B8">
        <w:rPr>
          <w:rFonts w:ascii="Times New Roman" w:hAnsi="Times New Roman" w:cs="Times New Roman"/>
        </w:rPr>
        <w:fldChar w:fldCharType="end"/>
      </w:r>
      <w:r w:rsidRPr="002653AB">
        <w:rPr>
          <w:rFonts w:ascii="Times New Roman" w:hAnsi="Times New Roman" w:cs="Times New Roman"/>
        </w:rPr>
        <w:t>.</w:t>
      </w:r>
      <w:r w:rsidR="001124B8" w:rsidRPr="001124B8">
        <w:rPr>
          <w:rFonts w:ascii="Times New Roman" w:hAnsi="Times New Roman" w:cs="Times New Roman"/>
        </w:rPr>
        <w:t xml:space="preserve"> </w:t>
      </w:r>
      <w:r w:rsidR="001124B8" w:rsidRPr="002653AB">
        <w:rPr>
          <w:rFonts w:ascii="Times New Roman" w:hAnsi="Times New Roman" w:cs="Times New Roman"/>
        </w:rPr>
        <w:t xml:space="preserve">This is particularly important when studying clinical topics </w:t>
      </w:r>
      <w:r w:rsidR="001124B8">
        <w:rPr>
          <w:rFonts w:ascii="Times New Roman" w:hAnsi="Times New Roman" w:cs="Times New Roman"/>
        </w:rPr>
        <w:fldChar w:fldCharType="begin"/>
      </w:r>
      <w:r w:rsidR="001124B8">
        <w:rPr>
          <w:rFonts w:ascii="Times New Roman" w:hAnsi="Times New Roman" w:cs="Times New Roman"/>
        </w:rPr>
        <w:instrText xml:space="preserve"> ADDIN ZOTERO_ITEM CSL_CITATION {"citationID":"CiEfOxtt","properties":{"formattedCitation":"(Evans &amp; Wagenmakers, 2019)","plainCitation":"(Evans &amp; Wagenmakers, 2019)","noteIndex":0},"citationItems":[{"id":1705,"uris":["http://zotero.org/users/7873587/items/YPNXDY2X"],"itemData":{"id":1705,"type":"article-journal","abstract":"This scientific commentary refers to ‘The ease and sureness of a decision: evidence accumulation of conflict and uncertainty’, by Mandali et al. (doi:10.1093/brain/awz013).One of the most dominant models of human decision-making over the past decades has been the diffusion model (Ratcliff, 1978; Ratcliff et al., 2016). However, the diffusion model may not be familiar to all readers of Brain, as the model has primarily been applied within the field of cognitive psychology. The diffusion model proposes that decision-making results from an internal process of sequential evidence accumulation, where each potential choice alternative accumulates evidence from the environment over time, until the evidence for one alternative reaches some threshold level of evidence that triggers a decision. Importantly, the diffusion model can decompose the accuracy and time taken for each decision into latent parameters from the underlying decision-making process, most notably drift rate, decision threshold, and non-decision time. The drift rate parameter is the rate of evidence accumulation, with faster accumulation indicating better ability. The decision threshold parameter is the amount of evidence required to trigger a decision, with higher decision thresholds indicating greater caution. The non-decision time parameter represents the time taken up by processes such as perceptual encoding and motor responding. These latent parameters allow researchers to directly assess changes in the components of the underlying cognitive process, rather than attempting to indirectly infer changes from the raw observed variables, such as accuracy and mean response time. A schematic overview of the diffusion model is provided in Fig. 1.","container-title":"Brain","DOI":"10.1093/brain/awz073","ISSN":"0006-8950","issue":"5","journalAbbreviation":"Brain","page":"1172-1175","source":"Silverchair","title":"Theoretically meaningful models can answer clinically relevant questions","volume":"142","author":[{"family":"Evans","given":"Nathan J"},{"family":"Wagenmakers","given":"Eric-Jan"}],"issued":{"date-parts":[["2019",5,1]]}}}],"schema":"https://github.com/citation-style-language/schema/raw/master/csl-citation.json"} </w:instrText>
      </w:r>
      <w:r w:rsidR="001124B8">
        <w:rPr>
          <w:rFonts w:ascii="Times New Roman" w:hAnsi="Times New Roman" w:cs="Times New Roman"/>
        </w:rPr>
        <w:fldChar w:fldCharType="separate"/>
      </w:r>
      <w:r w:rsidR="001124B8" w:rsidRPr="00135F16">
        <w:rPr>
          <w:rFonts w:ascii="Times New Roman" w:hAnsi="Times New Roman" w:cs="Times New Roman"/>
        </w:rPr>
        <w:t>(Evans &amp; Wagenmakers, 2019)</w:t>
      </w:r>
      <w:r w:rsidR="001124B8">
        <w:rPr>
          <w:rFonts w:ascii="Times New Roman" w:hAnsi="Times New Roman" w:cs="Times New Roman"/>
        </w:rPr>
        <w:fldChar w:fldCharType="end"/>
      </w:r>
      <w:r w:rsidR="001124B8">
        <w:rPr>
          <w:rFonts w:ascii="Times New Roman" w:hAnsi="Times New Roman" w:cs="Times New Roman"/>
        </w:rPr>
        <w:t>; indeed, i</w:t>
      </w:r>
      <w:r w:rsidRPr="002653AB">
        <w:rPr>
          <w:rFonts w:ascii="Times New Roman" w:hAnsi="Times New Roman" w:cs="Times New Roman"/>
        </w:rPr>
        <w:t xml:space="preserve">ndividual differences in parameters derived from the DDM have distinguished between controls and people with schizophrenia </w:t>
      </w:r>
      <w:r w:rsidR="00EA5B7E">
        <w:rPr>
          <w:rFonts w:ascii="Times New Roman" w:hAnsi="Times New Roman" w:cs="Times New Roman"/>
        </w:rPr>
        <w:fldChar w:fldCharType="begin"/>
      </w:r>
      <w:r w:rsidR="00EA5B7E">
        <w:rPr>
          <w:rFonts w:ascii="Times New Roman" w:hAnsi="Times New Roman" w:cs="Times New Roman"/>
        </w:rPr>
        <w:instrText xml:space="preserve"> ADDIN ZOTERO_ITEM CSL_CITATION {"citationID":"sze3tbRR","properties":{"formattedCitation":"(Limongi et al., 2018)","plainCitation":"(Limongi et al., 2018)","noteIndex":0},"citationItems":[{"id":1710,"uris":["http://zotero.org/users/7873587/items/6WKB7VB3"],"itemData":{"id":1710,"type":"article-journal","abstract":"Predictive coding and active inference formulations of the dysconnection hypothesis suggest that subjects with schizophrenia (SZ) hold unduly precise prior beliefs to compensate for a failure of sensory attenuation. This implies that SZ subjects should both initiate responses prematurely during evidence-accumulation tasks and fail to inhibit their responses at long stop-signal delays. SZ and healthy control subjects were asked to report the timing of billiards-ball collisions and were occasionally required to withhold their responses. SZ subjects showed larger temporal estimation errors, which were associated with premature responses and decreased response inhibition. To account for these effects, we used hierarchical (Bayesian) drift-diffusion models (HDDM) and model selection procedures to adjudicate among four hypotheses. HDDM revealed that the precision of prior beliefs (i.e., starting point) rather than increased sensory precision (i.e., drift rate) drove premature responses and impaired response inhibition in patients with SZ. From the perspective of active inference, we suggest that premature predictions in SZ are responses that, heuristically, are traded off against accuracy to ensure action execution. On the basis of previous work, we suggest that the right insular cortex might mediate this trade-off.","container-title":"Schizophrenia Research","DOI":"10.1016/j.schres.2017.12.018","ISSN":"0920-9964","journalAbbreviation":"Schizophr Res","note":"PMID: 29331218\nPMCID: PMC6020132","page":"386-391","source":"PubMed Central","title":"Knowing when to stop: Aberrant precision and evidence accumulation in schizophrenia","title-short":"Knowing when to stop","volume":"197","author":[{"family":"Limongi","given":"Roberto"},{"family":"Bohaterewicz","given":"Bartosz"},{"family":"Nowicka","given":"Magdalena"},{"family":"Plewka","given":"Aleksandra"},{"family":"Friston","given":"Karl J."}],"issued":{"date-parts":[["2018",7]]}}}],"schema":"https://github.com/citation-style-language/schema/raw/master/csl-citation.json"} </w:instrText>
      </w:r>
      <w:r w:rsidR="00EA5B7E">
        <w:rPr>
          <w:rFonts w:ascii="Times New Roman" w:hAnsi="Times New Roman" w:cs="Times New Roman"/>
        </w:rPr>
        <w:fldChar w:fldCharType="separate"/>
      </w:r>
      <w:r w:rsidR="00EA5B7E" w:rsidRPr="00EA5B7E">
        <w:rPr>
          <w:rFonts w:ascii="Times New Roman" w:hAnsi="Times New Roman" w:cs="Times New Roman"/>
        </w:rPr>
        <w:t>(Limongi et al., 2018)</w:t>
      </w:r>
      <w:r w:rsidR="00EA5B7E">
        <w:rPr>
          <w:rFonts w:ascii="Times New Roman" w:hAnsi="Times New Roman" w:cs="Times New Roman"/>
        </w:rPr>
        <w:fldChar w:fldCharType="end"/>
      </w:r>
      <w:r w:rsidRPr="002653AB">
        <w:rPr>
          <w:rFonts w:ascii="Times New Roman" w:hAnsi="Times New Roman" w:cs="Times New Roman"/>
        </w:rPr>
        <w:t xml:space="preserve">, anxiety </w:t>
      </w:r>
      <w:r w:rsidR="00EA5B7E">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{"citationID":"DY8HQbfY","properties":{"formattedCitation":"(C. N. White et al., 2010)","plainCitation":"(C. N. White et al., 2010)","dontUpdate":true,"noteIndex":0},"citationItems":[{"id":1713,"uris":["http://zotero.org/users/7873587/items/QLNFTW4J"],"itemData":{"id":1713,"type":"article-journal","abstract":"Sequential sampling models provide an alternative to traditional analyses of reaction times and accuracy in two-choice tasks. These models are reviewed with particular focus on the diffusion model () and how its application can aide research on clinical disorders. The advantages of a diffusion model analysis over traditional comparisons are shown through simulations and a simple lexical decision experiment. Application of the diffusion model to a clinically-relevant topic is demonstrated through an analysis of data from nonclinical participants with high- and low-trait anxiety in a recognition memory task. The model showed that after committing an error, participants with high trait anxiety responded more cautiously by increasing their boundary separation, whereas participants with low trait anxiety did not. The article concludes with suggestions for ways to improve and broaden the application of these models to studies of clinical disorders.","container-title":"Journal of mathematical psychology","DOI":"10.1016/j.jmp.2010.01.004","ISSN":"0022-2496","issue":"1","journalAbbreviation":"J Math Psychol","note":"PMID: 20431690\nPMCID: PMC2859713","page":"39-52","source":"PubMed Central","title":"Using diffusion models to understand clinical disorders","volume":"54","author":[{"family":"White","given":"Corey N."},{"family":"Ratcliff","given":"Roger"},{"family":"Vasey","given":"Michael W."},{"family":"McKoon","given":"Gail"}],"issued":{"date-parts":[["2010",2,1]]}}}],"schema":"https://github.com/citation-style-language/schema/raw/master/csl-citation.json"} </w:instrText>
      </w:r>
      <w:r w:rsidR="00EA5B7E">
        <w:rPr>
          <w:rFonts w:ascii="Times New Roman" w:hAnsi="Times New Roman" w:cs="Times New Roman"/>
        </w:rPr>
        <w:fldChar w:fldCharType="separate"/>
      </w:r>
      <w:r w:rsidR="00EA5B7E" w:rsidRPr="00EA5B7E">
        <w:rPr>
          <w:rFonts w:ascii="Times New Roman" w:hAnsi="Times New Roman" w:cs="Times New Roman"/>
        </w:rPr>
        <w:t>(White et al., 2010)</w:t>
      </w:r>
      <w:r w:rsidR="00EA5B7E">
        <w:rPr>
          <w:rFonts w:ascii="Times New Roman" w:hAnsi="Times New Roman" w:cs="Times New Roman"/>
        </w:rPr>
        <w:fldChar w:fldCharType="end"/>
      </w:r>
      <w:r w:rsidRPr="002653AB">
        <w:rPr>
          <w:rFonts w:ascii="Times New Roman" w:hAnsi="Times New Roman" w:cs="Times New Roman"/>
        </w:rPr>
        <w:t xml:space="preserve">, and autism </w:t>
      </w:r>
      <w:r w:rsidR="00EA5B7E">
        <w:rPr>
          <w:rFonts w:ascii="Times New Roman" w:hAnsi="Times New Roman" w:cs="Times New Roman"/>
        </w:rPr>
        <w:fldChar w:fldCharType="begin"/>
      </w:r>
      <w:r w:rsidR="00EA5B7E">
        <w:rPr>
          <w:rFonts w:ascii="Times New Roman" w:hAnsi="Times New Roman" w:cs="Times New Roman"/>
        </w:rPr>
        <w:instrText xml:space="preserve"> ADDIN ZOTERO_ITEM CSL_CITATION {"citationID":"FjgTCFAV","properties":{"formattedCitation":"(Pirrone et al., 2017)","plainCitation":"(Pirrone et al., 2017)","noteIndex":0},"citationItems":[{"id":1694,"uris":["http://zotero.org/users/7873587/items/8U5UBBY4"],"itemData":{"id":1694,"type":"article-journal","abstract":"OBJECTIVE: Two-alternative forced-choice tasks are widely used to gain insight into specific areas of enhancement or impairment in individuals with autism spectrum disorder (ASD). Data arising from these tasks have been used to support myriad theories regarding the integrity, or otherwise, of particular brain areas or cognitive processes in ASD. The drift diffusion model (DDM) provides an account of the underlying processes which give rise to accuracy and reaction time (RT) distributions, and parameterizes these processes in terms which have direct psychological interpretation. Importantly, the DDM provides further insight into the origin of potential group differences in task performance. Here, for the first time, we used the DDM to investigate perceptual decision making in ASD.\nMETHOD: Adults with (N = 25) and without ASD (N = 32) performed an orientation discrimination task. A drift diffusion model was applied to the full RT distributions.\nRESULTS: Participants with ASD responded more slowly than controls, the groups did not differ in accuracy. Modeled parameters indicated that: (a) participants with ASD were more cautious than controls (wider boundary separation); (b) nondecision time was increased in ASD; and (c) the quality of evidence extracted from the stimulus (drift rate) did not vary between groups.\nCONCLUSIONS: Taking the behavioral data in isolation would suggest reduced perceptual sensitivity in ASD. However, DDM results indicated that despite response slowing, there was no evidence of differential perceptual sensitivity between participants with and without ASD. Future use of the DDM in investigations of perception and cognition in ASD is highly recommended. (PsycINFO Database Record","container-title":"Neuropsychology","DOI":"10.1037/neu0000320","ISSN":"1931-1559","issue":"2","journalAbbreviation":"Neuropsychology","language":"eng","note":"PMID: 27732040","page":"173-180","source":"PubMed","title":"Understanding perceptual judgment in autism spectrum disorder using the drift diffusion model","volume":"31","author":[{"family":"Pirrone","given":"Angelo"},{"family":"Dickinson","given":"Abigail"},{"family":"Gomez","given":"Rosanna"},{"family":"Stafford","given":"Tom"},{"family":"Milne","given":"Elizabeth"}],"issued":{"date-parts":[["2017",2]]}}}],"schema":"https://github.com/citation-style-language/schema/raw/master/csl-citation.json"} </w:instrText>
      </w:r>
      <w:r w:rsidR="00EA5B7E">
        <w:rPr>
          <w:rFonts w:ascii="Times New Roman" w:hAnsi="Times New Roman" w:cs="Times New Roman"/>
        </w:rPr>
        <w:fldChar w:fldCharType="separate"/>
      </w:r>
      <w:r w:rsidR="00EA5B7E" w:rsidRPr="00EA5B7E">
        <w:rPr>
          <w:rFonts w:ascii="Times New Roman" w:hAnsi="Times New Roman" w:cs="Times New Roman"/>
        </w:rPr>
        <w:t>(Pirrone et al., 2017)</w:t>
      </w:r>
      <w:r w:rsidR="00EA5B7E">
        <w:rPr>
          <w:rFonts w:ascii="Times New Roman" w:hAnsi="Times New Roman" w:cs="Times New Roman"/>
        </w:rPr>
        <w:fldChar w:fldCharType="end"/>
      </w:r>
      <w:r w:rsidRPr="002653AB">
        <w:rPr>
          <w:rFonts w:ascii="Times New Roman" w:hAnsi="Times New Roman" w:cs="Times New Roman"/>
        </w:rPr>
        <w:t xml:space="preserve">. The DDM is therefore a powerful tool to apply to behavioural data to capture individual differences </w:t>
      </w:r>
      <w:r w:rsidR="00CF76E3">
        <w:rPr>
          <w:rFonts w:ascii="Times New Roman" w:hAnsi="Times New Roman" w:cs="Times New Roman"/>
        </w:rPr>
        <w:fldChar w:fldCharType="begin"/>
      </w:r>
      <w:r w:rsidR="00CF76E3">
        <w:rPr>
          <w:rFonts w:ascii="Times New Roman" w:hAnsi="Times New Roman" w:cs="Times New Roman"/>
        </w:rPr>
        <w:instrText xml:space="preserve"> ADDIN ZOTERO_ITEM CSL_CITATION {"citationID":"nsQ85ihl","properties":{"formattedCitation":"(van Ravenzwaaij &amp; Oberauer, 2009)","plainCitation":"(van Ravenzwaaij &amp; Oberauer, 2009)","noteIndex":0},"citationItems":[{"id":1716,"uris":["http://zotero.org/users/7873587/items/SM4SGIZ8"],"itemData":{"id":1716,"type":"article-journal","abstract":"Parameter recovery of three different implementations of the Ratcliff diffusion model was investigated: the EZ model (Wagenmakers, van der Maas, &amp; Grasman, 2007), fast-dm (Voss &amp; Voss, 2007), and DMAT (Vandekerckhove &amp; Tuerlinckx, 2007). Their capacity to recover both the mean structure and individual differences in parameter values was explored. The three methods were applied to simulated data generated by the diffusion model, by the leaky, competing accumulator (LCA) model (Usher &amp; McClelland, 2001) and by the linear ballistic accumulator (LBA) model (Brown &amp; Heathcote, 2008). Results show that EZ and DMAT are better capable than fast-dm in recovering experimental effects on parameters. EZ was best in recovering individual differences in parameter values. When data were generated by the LCA model, the diffusion model estimates obtained with all three methods correlated well with corresponding LCA model parameters. No such one-on-one correspondence could be established between parameters of the LBA model and the diffusion model.","container-title":"Journal of Mathematical Psychology","DOI":"10.1016/j.jmp.2009.09.004","ISSN":"0022-2496","issue":"6","journalAbbreviation":"Journal of Mathematical Psychology","language":"en","page":"463-473","source":"ScienceDirect","title":"How to use the diffusion model: Parameter recovery of three methods: EZ, fast-dm, and DMAT","title-short":"How to use the diffusion model","volume":"53","author":[{"family":"Ravenzwaaij","given":"Don","non-dropping-particle":"van"},{"family":"Oberauer","given":"Klaus"}],"issued":{"date-parts":[["2009",12,1]]}}}],"schema":"https://github.com/citation-style-language/schema/raw/master/csl-citation.json"} </w:instrText>
      </w:r>
      <w:r w:rsidR="00CF76E3">
        <w:rPr>
          <w:rFonts w:ascii="Times New Roman" w:hAnsi="Times New Roman" w:cs="Times New Roman"/>
        </w:rPr>
        <w:fldChar w:fldCharType="separate"/>
      </w:r>
      <w:r w:rsidR="00CF76E3" w:rsidRPr="00CF76E3">
        <w:rPr>
          <w:rFonts w:ascii="Times New Roman" w:hAnsi="Times New Roman" w:cs="Times New Roman"/>
        </w:rPr>
        <w:t>(van Ravenzwaaij &amp; Oberauer, 2009)</w:t>
      </w:r>
      <w:r w:rsidR="00CF76E3">
        <w:rPr>
          <w:rFonts w:ascii="Times New Roman" w:hAnsi="Times New Roman" w:cs="Times New Roman"/>
        </w:rPr>
        <w:fldChar w:fldCharType="end"/>
      </w:r>
      <w:r w:rsidR="00CF76E3">
        <w:rPr>
          <w:rFonts w:ascii="Times New Roman" w:hAnsi="Times New Roman" w:cs="Times New Roman"/>
        </w:rPr>
        <w:t>.</w:t>
      </w:r>
    </w:p>
    <w:p w14:paraId="41299AA4" w14:textId="77777777" w:rsidR="00CF76E3" w:rsidRDefault="00CF76E3" w:rsidP="00762442">
      <w:pPr>
        <w:pStyle w:val="NoSpacing"/>
        <w:spacing w:line="480" w:lineRule="auto"/>
        <w:rPr>
          <w:rFonts w:ascii="Times New Roman" w:hAnsi="Times New Roman" w:cs="Times New Roman"/>
        </w:rPr>
      </w:pPr>
    </w:p>
    <w:p w14:paraId="6D89BE47" w14:textId="77777777" w:rsidR="002653AB" w:rsidRPr="002653AB" w:rsidRDefault="002653AB" w:rsidP="00762442">
      <w:pPr>
        <w:pStyle w:val="NoSpacing"/>
        <w:spacing w:line="480" w:lineRule="auto"/>
        <w:rPr>
          <w:rFonts w:ascii="Times New Roman" w:hAnsi="Times New Roman" w:cs="Times New Roman"/>
        </w:rPr>
      </w:pPr>
    </w:p>
    <w:p w14:paraId="58559AB5" w14:textId="7E7D4AE0"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Another methodological benefit is that by fitting the DDM (in comparison to relying on observed behavioural data, i.e., RT or choice accuracy), this has been found to enhance statistical power when comparing two groups without requiring more participants or task trials (Stafford et al., 2020). </w:t>
      </w:r>
      <w:r w:rsidR="00CF76E3">
        <w:rPr>
          <w:rFonts w:ascii="Times New Roman" w:hAnsi="Times New Roman" w:cs="Times New Roman"/>
        </w:rPr>
        <w:t xml:space="preserve">Alongside the potential to minimise </w:t>
      </w:r>
      <w:r w:rsidR="00A26007">
        <w:rPr>
          <w:rFonts w:ascii="Times New Roman" w:hAnsi="Times New Roman" w:cs="Times New Roman"/>
        </w:rPr>
        <w:t>study costs and time</w:t>
      </w:r>
      <w:r w:rsidR="00CF76E3">
        <w:rPr>
          <w:rFonts w:ascii="Times New Roman" w:hAnsi="Times New Roman" w:cs="Times New Roman"/>
        </w:rPr>
        <w:t xml:space="preserve">, this </w:t>
      </w:r>
      <w:r w:rsidRPr="002653AB">
        <w:rPr>
          <w:rFonts w:ascii="Times New Roman" w:hAnsi="Times New Roman" w:cs="Times New Roman"/>
        </w:rPr>
        <w:t xml:space="preserve">may bring about a wider implication, in that statistical power, or in other words, the ability to detect true experimental effects, is a contributor in relation to the on-going “reproducibility crisis” </w:t>
      </w:r>
      <w:r w:rsidR="002E74F4">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{"citationID":"Tp0XIRng","properties":{"formattedCitation":"(M. Baker, 2016; Munaf\\uc0\\u242{} et al., 2017)","plainCitation":"(M. Baker, 2016; Munafò et al., 2017)","dontUpdate":true,"noteIndex":0},"citationItems":[{"id":1725,"uris":["http://zotero.org/users/7873587/items/KMGD6HVE"],"itemData":{"id":1725,"type":"article-journal","abstract":"Survey sheds light on the ‘crisis’ rocking research.","container-title":"Nature","DOI":"10.1038/533452a","ISSN":"1476-4687","issue":"7604","language":"en","license":"2016 Nature Publishing Group","note":"number: 7604\npublisher: Nature Publishing Group","page":"452-454","source":"www.nature.com","title":"1,500 scientists lift the lid on reproducibility","volume":"533","author":[{"family":"Baker","given":"Monya"}],"issued":{"date-parts":[["2016",5,1]]}},"label":"act"},{"id":1722,"uris":["http://zotero.org/users/7873587/items/KQM3Z466"],"itemData":{"id":1722,"type":"article-journal","abstract":"Improving the reliability and efficiency of scientific research will increase the credibility of the published scientific literature and accelerate discovery. Here we argue for the adoption of measures to optimize key elements of the scientific process: methods, reporting and dissemination, reproducibility, evaluation and incentives. There is some evidence from both simulations and empirical studies supporting the likely effectiveness of these measures, but their broad adoption by researchers, institutions, funders and journals will require iterative evaluation and improvement. We discuss the goals of these measures, and how they can be implemented, in the hope that this will facilitate action toward improving the transparency, reproducibility and efficiency of scientific research.","container-title":"Nature Human Behaviour","DOI":"10.1038/s41562-016-0021","ISSN":"2397-3374","issue":"1","journalAbbreviation":"Nat Hum Behav","language":"en","license":"2017 Macmillan Publishers Limited","note":"number: 1\npublisher: Nature Publishing Group","page":"1-9","source":"www.nature.com","title":"A manifesto for reproducible science","volume":"1","author":[{"family":"Munafò","given":"Marcus R."},{"family":"Nosek","given":"Brian A."},{"family":"Bishop","given":"Dorothy V. M."},{"family":"Button","given":"Katherine S."},{"family":"Chambers","given":"Christopher D."},{"family":"Percie du Sert","given":"Nathalie"},{"family":"Simonsohn","given":"Uri"},{"family":"Wagenmakers","given":"Eric-Jan"},{"family":"Ware","given":"Jennifer J."},{"family":"Ioannidis","given":"John P. A."}],"issued":{"date-parts":[["2017",1,10]]}},"label":"act"}],"schema":"https://github.com/citation-style-language/schema/raw/master/csl-citation.json"} </w:instrText>
      </w:r>
      <w:r w:rsidR="002E74F4">
        <w:rPr>
          <w:rFonts w:ascii="Times New Roman" w:hAnsi="Times New Roman" w:cs="Times New Roman"/>
        </w:rPr>
        <w:fldChar w:fldCharType="separate"/>
      </w:r>
      <w:r w:rsidR="00A26007" w:rsidRPr="00A26007">
        <w:rPr>
          <w:rFonts w:ascii="Times New Roman" w:hAnsi="Times New Roman" w:cs="Times New Roman"/>
        </w:rPr>
        <w:t>(Baker, 2016; Munafò et al., 2017)</w:t>
      </w:r>
      <w:r w:rsidR="002E74F4">
        <w:rPr>
          <w:rFonts w:ascii="Times New Roman" w:hAnsi="Times New Roman" w:cs="Times New Roman"/>
        </w:rPr>
        <w:fldChar w:fldCharType="end"/>
      </w:r>
      <w:r w:rsidRPr="002653AB">
        <w:rPr>
          <w:rFonts w:ascii="Times New Roman" w:hAnsi="Times New Roman" w:cs="Times New Roman"/>
        </w:rPr>
        <w:t xml:space="preserve">. </w:t>
      </w:r>
      <w:r w:rsidR="00A26007">
        <w:rPr>
          <w:rFonts w:ascii="Times New Roman" w:hAnsi="Times New Roman" w:cs="Times New Roman"/>
        </w:rPr>
        <w:t xml:space="preserve">The </w:t>
      </w:r>
      <w:r w:rsidRPr="002653AB">
        <w:rPr>
          <w:rFonts w:ascii="Times New Roman" w:hAnsi="Times New Roman" w:cs="Times New Roman"/>
        </w:rPr>
        <w:t xml:space="preserve">combination of more precise and sensitive measures, alongside enhanced power, may correspond to ability to uncover meaningful between-subject (or individual difference) effects. </w:t>
      </w:r>
    </w:p>
    <w:p w14:paraId="671D07C4" w14:textId="77777777" w:rsidR="002653AB" w:rsidRPr="002653AB" w:rsidRDefault="002653AB" w:rsidP="00762442">
      <w:pPr>
        <w:pStyle w:val="NoSpacing"/>
        <w:spacing w:line="480" w:lineRule="auto"/>
        <w:rPr>
          <w:rFonts w:ascii="Times New Roman" w:hAnsi="Times New Roman" w:cs="Times New Roman"/>
        </w:rPr>
      </w:pPr>
    </w:p>
    <w:p w14:paraId="5FBFC743" w14:textId="027A1458" w:rsidR="002653AB" w:rsidRPr="002653AB"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Importantly, the VBDM task that I developed provides the opportunity to distinguish the value ascribed to substances and the value ascribed to substance-free alternatives. This is because VBDM parameters are recovered separately for each commodity, something that is impossible with conventional tasks that capture value-based choice whereby the outcome is percentage of substance (e.g., </w:t>
      </w:r>
      <w:r w:rsidR="00A26007">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{"citationID":"uKHxbScX","properties":{"formattedCitation":"(Hardy et al., 2018)","plainCitation":"(Hardy et al., 2018)","dontUpdate":true,"noteIndex":0},"citationItems":[{"id":830,"uris":["http://zotero.org/users/7873587/items/NPLX5NWL"],"itemData":{"id":830,"type":"article-journal","abstract":"Concurrent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schema":"https://github.com/citation-style-language/schema/raw/master/csl-citation.json"} </w:instrText>
      </w:r>
      <w:r w:rsidR="00A26007">
        <w:rPr>
          <w:rFonts w:ascii="Times New Roman" w:hAnsi="Times New Roman" w:cs="Times New Roman"/>
        </w:rPr>
        <w:fldChar w:fldCharType="separate"/>
      </w:r>
      <w:r w:rsidR="00A26007" w:rsidRPr="00A26007">
        <w:rPr>
          <w:rFonts w:ascii="Times New Roman" w:hAnsi="Times New Roman" w:cs="Times New Roman"/>
        </w:rPr>
        <w:t>Hardy et al., 2018)</w:t>
      </w:r>
      <w:r w:rsidR="00A26007">
        <w:rPr>
          <w:rFonts w:ascii="Times New Roman" w:hAnsi="Times New Roman" w:cs="Times New Roman"/>
        </w:rPr>
        <w:fldChar w:fldCharType="end"/>
      </w:r>
      <w:r w:rsidRPr="002653AB">
        <w:rPr>
          <w:rFonts w:ascii="Times New Roman" w:hAnsi="Times New Roman" w:cs="Times New Roman"/>
        </w:rPr>
        <w:t xml:space="preserve">. This has implications for deriving more fine-grained conclusions from experimental research which in turn may inform future research. For example, in </w:t>
      </w:r>
      <w:r w:rsidR="00A26007">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{"citationID":"wyij4LEL","properties":{"formattedCitation":"(Rose et al., 2018)","plainCitation":"(Rose et al., 2018)","dontUpdate":true,"noteIndex":0},"citationItems":[{"id":1352,"uris":["http://zotero.org/users/7873587/items/C77DAMBX"],"itemData":{"id":1352,"type":"article-journal","abstract":"RATIONALE: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K."},{"family":"Brown","given":"Kyle"},{"family":"MacKillop","given":"James"},{"family":"Field","given":"Matt"},{"family":"Hogarth","given":"Lee"}],"issued":{"date-parts":[["2018",4]]}}}],"schema":"https://github.com/citation-style-language/schema/raw/master/csl-citation.json"} </w:instrText>
      </w:r>
      <w:r w:rsidR="00A26007">
        <w:rPr>
          <w:rFonts w:ascii="Times New Roman" w:hAnsi="Times New Roman" w:cs="Times New Roman"/>
        </w:rPr>
        <w:fldChar w:fldCharType="separate"/>
      </w:r>
      <w:r w:rsidR="00A26007" w:rsidRPr="00A26007">
        <w:rPr>
          <w:rFonts w:ascii="Times New Roman" w:hAnsi="Times New Roman" w:cs="Times New Roman"/>
        </w:rPr>
        <w:t xml:space="preserve">Rose et al. </w:t>
      </w:r>
      <w:r w:rsidR="00A26007">
        <w:rPr>
          <w:rFonts w:ascii="Times New Roman" w:hAnsi="Times New Roman" w:cs="Times New Roman"/>
        </w:rPr>
        <w:t>(</w:t>
      </w:r>
      <w:r w:rsidR="00A26007" w:rsidRPr="00A26007">
        <w:rPr>
          <w:rFonts w:ascii="Times New Roman" w:hAnsi="Times New Roman" w:cs="Times New Roman"/>
        </w:rPr>
        <w:t>2018)</w:t>
      </w:r>
      <w:r w:rsidR="00A26007">
        <w:rPr>
          <w:rFonts w:ascii="Times New Roman" w:hAnsi="Times New Roman" w:cs="Times New Roman"/>
        </w:rPr>
        <w:fldChar w:fldCharType="end"/>
      </w:r>
      <w:r w:rsidRPr="002653AB">
        <w:rPr>
          <w:rFonts w:ascii="Times New Roman" w:hAnsi="Times New Roman" w:cs="Times New Roman"/>
        </w:rPr>
        <w:t>, participants were primed to devalue alcohol by consuming alcohol that had been experimentally manipulated to taste aversive</w:t>
      </w:r>
      <w:r w:rsidR="0079507D">
        <w:rPr>
          <w:rFonts w:ascii="Times New Roman" w:hAnsi="Times New Roman" w:cs="Times New Roman"/>
        </w:rPr>
        <w:t xml:space="preserve"> to humans</w:t>
      </w:r>
      <w:r w:rsidRPr="002653AB">
        <w:rPr>
          <w:rFonts w:ascii="Times New Roman" w:hAnsi="Times New Roman" w:cs="Times New Roman"/>
        </w:rPr>
        <w:t xml:space="preserve"> and this was found to decrease the percentage choice for alcohol rewards, which the authors solely interpret to be indicative of decreased value of alcohol. However, because participants are choosing between </w:t>
      </w:r>
      <w:r w:rsidR="0079507D">
        <w:rPr>
          <w:rFonts w:ascii="Times New Roman" w:hAnsi="Times New Roman" w:cs="Times New Roman"/>
        </w:rPr>
        <w:t>alcohol and soft drinks</w:t>
      </w:r>
      <w:r w:rsidRPr="002653AB">
        <w:rPr>
          <w:rFonts w:ascii="Times New Roman" w:hAnsi="Times New Roman" w:cs="Times New Roman"/>
        </w:rPr>
        <w:t xml:space="preserve">, another way to frame such decreases in </w:t>
      </w:r>
      <w:r w:rsidR="0079507D">
        <w:rPr>
          <w:rFonts w:ascii="Times New Roman" w:hAnsi="Times New Roman" w:cs="Times New Roman"/>
        </w:rPr>
        <w:t xml:space="preserve">the percentage of </w:t>
      </w:r>
      <w:r w:rsidRPr="002653AB">
        <w:rPr>
          <w:rFonts w:ascii="Times New Roman" w:hAnsi="Times New Roman" w:cs="Times New Roman"/>
        </w:rPr>
        <w:t xml:space="preserve">alcohol choice is to frame it as increases in </w:t>
      </w:r>
      <w:r w:rsidR="0079507D">
        <w:rPr>
          <w:rFonts w:ascii="Times New Roman" w:hAnsi="Times New Roman" w:cs="Times New Roman"/>
        </w:rPr>
        <w:t xml:space="preserve">the percentage of </w:t>
      </w:r>
      <w:r w:rsidRPr="002653AB">
        <w:rPr>
          <w:rFonts w:ascii="Times New Roman" w:hAnsi="Times New Roman" w:cs="Times New Roman"/>
        </w:rPr>
        <w:t xml:space="preserve">soft drink choice, which may be indicative of increased value ascribed to the non-alcohol alternative. Put </w:t>
      </w:r>
      <w:r w:rsidRPr="002653AB">
        <w:rPr>
          <w:rFonts w:ascii="Times New Roman" w:hAnsi="Times New Roman" w:cs="Times New Roman"/>
        </w:rPr>
        <w:lastRenderedPageBreak/>
        <w:t>another way, perhaps as the taste of alcohol alters in an unpleasant way, people begin to shift their preference to soft</w:t>
      </w:r>
      <w:r w:rsidR="0079507D">
        <w:rPr>
          <w:rFonts w:ascii="Times New Roman" w:hAnsi="Times New Roman" w:cs="Times New Roman"/>
        </w:rPr>
        <w:t xml:space="preserve"> </w:t>
      </w:r>
      <w:r w:rsidRPr="002653AB">
        <w:rPr>
          <w:rFonts w:ascii="Times New Roman" w:hAnsi="Times New Roman" w:cs="Times New Roman"/>
        </w:rPr>
        <w:t xml:space="preserve">drinks. As a result, the interpretation of data in Rose et al. (2018) is somewhat ambiguous: it is not clear whether the findings reflect decreased value of alcohol, increased value of soft drinks, or potentially an element of both. </w:t>
      </w:r>
      <w:r w:rsidRPr="009F5C0D">
        <w:rPr>
          <w:rFonts w:ascii="Times New Roman" w:hAnsi="Times New Roman" w:cs="Times New Roman"/>
        </w:rPr>
        <w:t xml:space="preserve">The findings from Chapter 4 </w:t>
      </w:r>
      <w:r w:rsidR="0079507D" w:rsidRPr="009F5C0D">
        <w:rPr>
          <w:rFonts w:ascii="Times New Roman" w:hAnsi="Times New Roman" w:cs="Times New Roman"/>
        </w:rPr>
        <w:t xml:space="preserve">in this thesis </w:t>
      </w:r>
      <w:r w:rsidRPr="009F5C0D">
        <w:rPr>
          <w:rFonts w:ascii="Times New Roman" w:hAnsi="Times New Roman" w:cs="Times New Roman"/>
        </w:rPr>
        <w:t xml:space="preserve">would suggest that it is changes in the value ascribed to the alcohol-free alternative that is important in how </w:t>
      </w:r>
      <w:r w:rsidR="00107EBB" w:rsidRPr="009F5C0D">
        <w:rPr>
          <w:rFonts w:ascii="Times New Roman" w:hAnsi="Times New Roman" w:cs="Times New Roman"/>
        </w:rPr>
        <w:t>manipulation of</w:t>
      </w:r>
      <w:r w:rsidRPr="009F5C0D">
        <w:rPr>
          <w:rFonts w:ascii="Times New Roman" w:hAnsi="Times New Roman" w:cs="Times New Roman"/>
        </w:rPr>
        <w:t xml:space="preserve"> </w:t>
      </w:r>
      <w:r w:rsidR="00107EBB" w:rsidRPr="009F5C0D">
        <w:rPr>
          <w:rFonts w:ascii="Times New Roman" w:hAnsi="Times New Roman" w:cs="Times New Roman"/>
        </w:rPr>
        <w:t>alcohol value</w:t>
      </w:r>
      <w:r w:rsidRPr="009F5C0D">
        <w:rPr>
          <w:rFonts w:ascii="Times New Roman" w:hAnsi="Times New Roman" w:cs="Times New Roman"/>
        </w:rPr>
        <w:t xml:space="preserve"> influences decisions made.</w:t>
      </w:r>
      <w:r w:rsidRPr="002653AB">
        <w:rPr>
          <w:rFonts w:ascii="Times New Roman" w:hAnsi="Times New Roman" w:cs="Times New Roman"/>
        </w:rPr>
        <w:t xml:space="preserve"> Despite this difference in interpretation, however, the findings from both Rose et al. (2018) and Chapter 4 are indeed compatible</w:t>
      </w:r>
      <w:r w:rsidR="0079507D">
        <w:rPr>
          <w:rFonts w:ascii="Times New Roman" w:hAnsi="Times New Roman" w:cs="Times New Roman"/>
        </w:rPr>
        <w:t xml:space="preserve"> as</w:t>
      </w:r>
      <w:r w:rsidRPr="002653AB">
        <w:rPr>
          <w:rFonts w:ascii="Times New Roman" w:hAnsi="Times New Roman" w:cs="Times New Roman"/>
        </w:rPr>
        <w:t xml:space="preserve"> devaluation of alcohol influences alcohol choice</w:t>
      </w:r>
      <w:r w:rsidR="0079507D">
        <w:rPr>
          <w:rFonts w:ascii="Times New Roman" w:hAnsi="Times New Roman" w:cs="Times New Roman"/>
        </w:rPr>
        <w:t>;</w:t>
      </w:r>
      <w:r w:rsidRPr="002653AB">
        <w:rPr>
          <w:rFonts w:ascii="Times New Roman" w:hAnsi="Times New Roman" w:cs="Times New Roman"/>
        </w:rPr>
        <w:t xml:space="preserve"> the distinction is on the underlying process by which this occurs. Therefore, a core methodological implication of this thesis is the creation of a VBDM task that </w:t>
      </w:r>
      <w:r w:rsidR="0079507D">
        <w:rPr>
          <w:rFonts w:ascii="Times New Roman" w:hAnsi="Times New Roman" w:cs="Times New Roman"/>
        </w:rPr>
        <w:t>has potential to be</w:t>
      </w:r>
      <w:r w:rsidRPr="002653AB">
        <w:rPr>
          <w:rFonts w:ascii="Times New Roman" w:hAnsi="Times New Roman" w:cs="Times New Roman"/>
        </w:rPr>
        <w:t xml:space="preserve"> used by other researchers to capture individual differences in cognitive processes that contribute to the valuation of both the substance and to substance-free alternatives, both of which have been implicated in addiction.</w:t>
      </w:r>
    </w:p>
    <w:p w14:paraId="596AEDC0" w14:textId="77777777" w:rsidR="009464DF" w:rsidRPr="002653AB" w:rsidRDefault="009464DF" w:rsidP="00762442">
      <w:pPr>
        <w:pStyle w:val="NoSpacing"/>
        <w:spacing w:line="480" w:lineRule="auto"/>
        <w:rPr>
          <w:rFonts w:ascii="Times New Roman" w:hAnsi="Times New Roman" w:cs="Times New Roman"/>
        </w:rPr>
      </w:pPr>
    </w:p>
    <w:p w14:paraId="10FAA490" w14:textId="4BC8BB7C" w:rsidR="00093B56" w:rsidRDefault="002653AB" w:rsidP="00762442">
      <w:pPr>
        <w:pStyle w:val="NoSpacing"/>
        <w:spacing w:line="480" w:lineRule="auto"/>
        <w:rPr>
          <w:rFonts w:ascii="Times New Roman" w:hAnsi="Times New Roman" w:cs="Times New Roman"/>
        </w:rPr>
      </w:pPr>
      <w:r w:rsidRPr="002653AB">
        <w:rPr>
          <w:rFonts w:ascii="Times New Roman" w:hAnsi="Times New Roman" w:cs="Times New Roman"/>
        </w:rPr>
        <w:t xml:space="preserve">An important methodological question may be what the computational VBDM approach adopted within this thesis offers beyond existing standard self-report measures of valuation, such as the Alcohol Purchase Task (Murphy &amp; MacKillop, 2006) or Brief Assessment of Alcohol Demand (Owens et al., 2015). In addition to the benefits discussed above, the VBDM task used within this thesis offers a method to quantify the ways in which people value different commodities without overtly asking people to think about how much they would spend; participants are unlikely to have prior knowledge about how the captured behavioural data (i.e., RT and accuracy) correspond to parameters of value-based choice. This approach also offers a way of quantifying other potentially important aspects of VBDM that may otherwise be missed, including response caution. In other words, how much value </w:t>
      </w:r>
      <w:r w:rsidRPr="002653AB">
        <w:rPr>
          <w:rFonts w:ascii="Times New Roman" w:hAnsi="Times New Roman" w:cs="Times New Roman"/>
        </w:rPr>
        <w:lastRenderedPageBreak/>
        <w:t>evidence a person needs to accumulate to commit to a decision—indexed by response thresholds.</w:t>
      </w:r>
    </w:p>
    <w:p w14:paraId="15CC0DD3" w14:textId="503B0FA0" w:rsidR="0079507D" w:rsidRDefault="0079507D" w:rsidP="00762442">
      <w:pPr>
        <w:pStyle w:val="NoSpacing"/>
        <w:spacing w:line="480" w:lineRule="auto"/>
        <w:rPr>
          <w:rFonts w:ascii="Times New Roman" w:hAnsi="Times New Roman" w:cs="Times New Roman"/>
        </w:rPr>
      </w:pPr>
    </w:p>
    <w:p w14:paraId="1A63EF52" w14:textId="0586D2A8" w:rsidR="0079507D" w:rsidRPr="0079507D" w:rsidRDefault="0079507D" w:rsidP="00762442">
      <w:pPr>
        <w:pStyle w:val="Heading2"/>
      </w:pPr>
      <w:bookmarkStart w:id="352" w:name="_Toc110612748"/>
      <w:bookmarkStart w:id="353" w:name="_Toc110629088"/>
      <w:bookmarkStart w:id="354" w:name="_Toc110870996"/>
      <w:r w:rsidRPr="0079507D">
        <w:t>8.4</w:t>
      </w:r>
      <w:r w:rsidR="00403E7C">
        <w:t>.</w:t>
      </w:r>
      <w:r w:rsidRPr="0079507D">
        <w:t xml:space="preserve"> Clinical implications</w:t>
      </w:r>
      <w:bookmarkEnd w:id="352"/>
      <w:bookmarkEnd w:id="353"/>
      <w:bookmarkEnd w:id="354"/>
    </w:p>
    <w:p w14:paraId="06E0DE5B" w14:textId="00ECF6E2" w:rsidR="0079507D" w:rsidRPr="009464DF"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By using computational modelling to explore the internal processes of decision-making, findings may contribute towards the identification of novel targets for treatment interventions. Self-report findings from Chapter 6 extend on behavioural economic research by demonstrating that moderation of alcohol consumption is characterised by lowered alcohol demand and greater reinforcement derived from alcohol-free activities. Evidence from the computational VBDM analysis is less clear, however it may be that alterations in response thresholds represent how, in the moment, people decide to engage with alcohol-free alternatives. This is because alcohol moderation was characterised by lowered soft</w:t>
      </w:r>
      <w:r w:rsidR="009464DF">
        <w:rPr>
          <w:rFonts w:ascii="Times New Roman" w:hAnsi="Times New Roman" w:cs="Times New Roman"/>
        </w:rPr>
        <w:t xml:space="preserve"> </w:t>
      </w:r>
      <w:r w:rsidRPr="009464DF">
        <w:rPr>
          <w:rFonts w:ascii="Times New Roman" w:hAnsi="Times New Roman" w:cs="Times New Roman"/>
        </w:rPr>
        <w:t xml:space="preserve">drink response thresholds, meaning that a lower rate of accumulated value evidence was required to commit to a choice. However, it is important to acknowledge that, unexpectedly, alcohol response thresholds were also lowered. This is an important extension as current research findings are specific to the transition from dependence to moderation </w:t>
      </w:r>
      <w:r w:rsidR="00B306AB">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{"citationID":"YLUSUx3y","properties":{"formattedCitation":"(Tucker et al., 2006, 2009, 2016, 2021)","plainCitation":"(Tucker et al., 2006, 2009, 2016, 2021)","noteIndex":0},"citationItems":[{"id":951,"uris":["http://zotero.org/users/7873587/items/ZTB88I5P"],"itemData":{"id":951,"type":"article-journal","abstract":"This study investigated whether a behavioral economic index of the value of rewards available over different time horizons improved prediction of drinking outcomes beyond established biopsychosocial predictors. Preferences for immediate drinking versus more delayed rewards made possible by saving money were determined from expenditures prior to resolution attempts by problem drinkers with different help-seeking experiences (N = 144). As hypothesized, stable resolutions over a 2-year follow-up were associated with proportionally more preresolution discretionary expenditures on savings and less on alcohol compared with unstable resolutions. The relationship held regardless of help-seeking history, and preresolution drinking practices, problems, and income were similar across outcomes. The findings extend experimental work on behavioral economics and indicate that measuring monetary allocation improves prediction of outcomes.","container-title":"Journal of Consulting and Clinical Psychology","DOI":"10.1037/0022-006X.74.2.317","ISSN":"0022-006X","issue":"2","journalAbbreviation":"J Consult Clin Psychol","language":"eng","note":"PMID: 16649876","page":"317-326","source":"PubMed","title":"Significance of a behavioral economic index of reward value in predicting drinking problem resolution","volume":"74","author":[{"family":"Tucker","given":"Jalie A."},{"family":"Vuchinich","given":"Rudy E."},{"family":"Black","given":"Bethany C."},{"family":"Rippens","given":"Paula D."}],"issued":{"date-parts":[["2006",4]]}},"label":"act"},{"id":506,"uris":["http://zotero.org/users/7873587/items/E4JXRA6X"],"itemData":{"id":506,"type":"article-journal","abstract":"Data were pooled from three studies of recently resolved community-dwelling problem drinkers to determine whether a behavioral economic index of the value of rewards available over different time horizons distinguished among moderation (n = 30), abstinent ...","container-title":"Journal of consulting and clinical psychology","DOI":"10.1037/a0014968","issue":"2","language":"en","note":"PMID: 19309182","page":"219","source":"www.ncbi.nlm.nih.gov","title":"A behavioral economic reward index predicts drinking resolutions: Moderation re-visited and compared with other outcomes","title-short":"A Behavioral Economic Reward Index Predicts Drinking Resolutions","volume":"77","author":[{"family":"Tucker","given":"Jalie A."},{"family":"Roth","given":"David L."},{"family":"Vignolo","given":"Mary J."},{"family":"Westfall","given":"Andrew O."}],"issued":{"date-parts":[["2009",4]]}},"label":"act"},{"id":456,"uris":["http://zotero.org/users/7873587/items/GHL5YU3Q"],"itemData":{"id":456,"type":"article-journal","abstract":"Background As interventions have expanded beyond clinical treatment to include brief interventions for persons with less severe alcohol problems, predicting who can achieve stable moderation drinking has gained importance. Recent behavioral economic (BE) research on natural recovery has shown that active problem drinkers who allocate their monetary expenditures on alcohol and saving for the future over longer time horizons tend to have better subsequent recovery outcomes, including maintenance of stable moderation drinking. This study compared the predictive utility of this money-based “Alcohol-Savings Discretionary Expenditure” (ASDE) index with multiple BE analogue measures of behavioral impulsivity and self-control, which have seldom been investigated together, to predict outcomes of natural recovery attempts. Methods Community-dwelling problem drinkers, enrolled shortly after stopping abusive drinking without treatment, were followed prospectively for up to a year (N = 175 [75.4% male], M age = 50.65 years). They completed baseline assessments of preresolution drinking practices and problems, analogue behavioral choice tasks (Delay Discounting, Melioration-Maximization, and Alcohol Purchase Tasks), and a Timeline Followback interview including expenditures on alcohol compared to voluntary savings (ASDE index) during the preresolution year. Results Multinomial logistic regression models showed that, among the BE measures, only the ASDE index predicted stable moderation drinking compared to stable abstinence or unstable resolutions involving relapse. As hypothesized, stable moderation was associated with more balanced preresolution allocations to drinking and savings (odds ratio = 1.77, 95% confidence interval = 1.02 to 3.08, p &lt; 0.05), suggesting it is associated with longer-term behavior regulation processes than abstinence. Conclusions The ASDE's unique predictive utility may rest on its comprehensive representation of contextual elements to support this patterning of behavioral allocation. Stable low-risk drinking, but not abstinence, requires such regulatory processes.","container-title":"Alcoholism: Clinical and Experimental Research","DOI":"10.1111/acer.13245","ISSN":"1530-0277","issue":"12","language":"en","page":"2676-2684","source":"Wiley Online Library","title":"Prospective analysis of behavioral economic predictors of stable moderation drinking among problem drinkers attempting natural recovery","volume":"40","author":[{"family":"Tucker","given":"Jalie A."},{"family":"Cheong","given":"JeeWon"},{"family":"Chandler","given":"Susan D."},{"family":"Lambert","given":"Brice H."},{"family":"Pietrzak","given":"Brittney"},{"family":"Kwok","given":"Heather"},{"family":"Davies","given":"Susan L."}],"issued":{"date-parts":[["2016"]]}},"label":"act"},{"id":1450,"uris":["http://zotero.org/users/7873587/items/86V94KBV"],"itemData":{"id":1450,"type":"article-journal","abstract":"Background Behavioral economics predicts that recovery from Alcohol Use Disorder involves shifts in resource allocation away from drinking, toward valuable nondrinking rewards that reinforce and stabilize recovery behavior patterns. Further, these shifts should distinguish nonproblem drinking (moderation) outcomes from outcomes involving abstinence or relapse. To evaluate these hypotheses, 5 prospective studies of recent natural recovery attempts were integrated to examine changes in monetary spending during the year following the initial cessation of heavy drinking as a function of 1-year drinking outcomes. Methods Problem drinkers from Southeastern U.S. communities (N = 493, 67% male, 65% white, mean age = 46.5 years) were enrolled soon after stopping heavy drinking without treatment and followed prospectively for a year. An expanded Timeline Followback interview assessed daily drinking and monetary spending on alcohol and nondrinking commodities during the year before and after recovery initiation. Results Longitudinal associations between postresolution drinking and spending were evaluated using MPlus v.8. Initial models evaluated whether changes in spending at 4-month intervals predicted drinking outcomes at 1 year and showed significant associations in 6 commodity categories (alcohol, consumable goods, gifts, entertainment, financial/legal affairs, housing/durable goods/insurance; ps &lt; 0.05). Cross-lagged models showed that the moderation outcome group shifted spending mid-year to obtain large rewards with enduring benefits (e.g., housing), whereas the abstinent and relapsed groups spent less overall and purchased smaller rewards (e.g., consumable goods, entertainment, and gifts) throughout the year. Conclusions Dynamic changes in monetary allocation occurred during the postresolution year. As hypothesized, compared to the groups who abstained or relapsed, the moderation group shifted spending in ways that, overall, yielded higher value alcohol-free reinforcement that should reinforce recovery while they enjoyed some limited nonproblem drinking below heavy drinking thresholds. These findings add to evidence that moderation entails different behavioral regulation processes than abstinent and relapse outcomes, which were more similar to one another.","container-title":"Alcoholism: Clinical and Experimental Research","DOI":"10.1111/acer.14620","ISSN":"1530-0277","issue":"6","language":"en","note":"_eprint: https://onlinelibrary.wiley.com/doi/pdf/10.1111/acer.14620","page":"1304-1316","source":"Wiley Online Library","title":"Shifts in behavioral allocation patterns as a natural recovery mechanism: Postresolution expenditure patterns","title-short":"Shifts in behavioral allocation patterns as a natural recovery mechanism","volume":"45","author":[{"family":"Tucker","given":"Jalie A."},{"family":"Cheong","given":"JeeWon"},{"family":"Chandler","given":"Susan D."}],"issued":{"date-parts":[["2021"]]}},"label":"act"}],"schema":"https://github.com/citation-style-language/schema/raw/master/csl-citation.json"} </w:instrText>
      </w:r>
      <w:r w:rsidR="00B306AB">
        <w:rPr>
          <w:rFonts w:ascii="Times New Roman" w:hAnsi="Times New Roman" w:cs="Times New Roman"/>
        </w:rPr>
        <w:fldChar w:fldCharType="separate"/>
      </w:r>
      <w:r w:rsidR="00B306AB" w:rsidRPr="00B306AB">
        <w:rPr>
          <w:rFonts w:ascii="Times New Roman" w:hAnsi="Times New Roman" w:cs="Times New Roman"/>
        </w:rPr>
        <w:t>(Tucker et al., 2006, 2009, 2016, 2021)</w:t>
      </w:r>
      <w:r w:rsidR="00B306AB">
        <w:rPr>
          <w:rFonts w:ascii="Times New Roman" w:hAnsi="Times New Roman" w:cs="Times New Roman"/>
        </w:rPr>
        <w:fldChar w:fldCharType="end"/>
      </w:r>
      <w:r w:rsidRPr="009464DF">
        <w:rPr>
          <w:rFonts w:ascii="Times New Roman" w:hAnsi="Times New Roman" w:cs="Times New Roman"/>
        </w:rPr>
        <w:t xml:space="preserve"> meaning less is known about how people who consume alcohol heavily (but are not dependent) achieve moderation. Given that 20% of heavy drinkers in England are attempting to reduce their </w:t>
      </w:r>
      <w:r w:rsidR="00B306AB">
        <w:rPr>
          <w:rFonts w:ascii="Times New Roman" w:hAnsi="Times New Roman" w:cs="Times New Roman"/>
        </w:rPr>
        <w:t xml:space="preserve">alcohol </w:t>
      </w:r>
      <w:r w:rsidRPr="009464DF">
        <w:rPr>
          <w:rFonts w:ascii="Times New Roman" w:hAnsi="Times New Roman" w:cs="Times New Roman"/>
        </w:rPr>
        <w:t xml:space="preserve">consumption </w:t>
      </w:r>
      <w:r w:rsidR="00B306AB">
        <w:rPr>
          <w:rFonts w:ascii="Times New Roman" w:hAnsi="Times New Roman" w:cs="Times New Roman"/>
        </w:rPr>
        <w:fldChar w:fldCharType="begin"/>
      </w:r>
      <w:r w:rsidR="00B306AB">
        <w:rPr>
          <w:rFonts w:ascii="Times New Roman" w:hAnsi="Times New Roman" w:cs="Times New Roman"/>
        </w:rPr>
        <w:instrText xml:space="preserve"> ADDIN ZOTERO_ITEM CSL_CITATION {"citationID":"OE3P6m6m","properties":{"formattedCitation":"(Beard et al., 2017)","plainCitation":"(Beard et al., 2017)","noteIndex":0},"citationItems":[{"id":734,"uris":["http://zotero.org/users/7873587/items/5ZM3ZZF5"],"itemData":{"id":734,"type":"article-journal","abstract":"Objective This study aimed to assess the predictors among high-risk drinkers in England of attempts to reduce alcohol consumption, the reasons given for these attempts and the association between the various reasons and alcohol consumption. Method Data came from 2,800 high-risk drinkers taking part in the Alcohol Toolkit Study (ATS) between March 2014 and November 2016 who were attempting to reduce their alcohol consumption. Participants completed the Alcohol Use Disorders Identification Test (AUDIT) and were asked questions regarding their socio-demographic characteristics, attempts to cut down and reasons for doing so. Results Those cutting down were significantly older (OR 1.01, p&lt;0.001), were more likely to be female (OR 1.32, p&lt;0.05), had higher AUDIT-C scores (OR 1.12, p&lt;0. 001), were less likely to be of white ethnicity (OR 0.64, p&lt;0. 001), and were more likely to reside in the South of England (OR 1.34, p&lt;0. 001). They were also more likely to be of higher occupationally-based social-grades (p&lt;0. 001). The main reported reasons for reducing consumption were: fitness (22.5%), weight loss (20.4%), future health (20.4%), advice from a health-care professional (7.9%) and cost (7.6%). Those reporting the followings reasons for cutting down had higher AUDIT-C scores than those who did not report these reasons: a concern about further health problems (β 0.20, p&lt;0.05), advice from a doctor/health worker (β 0.38, p&lt;0.05), that drinking was too expensive (β 0.42, p&lt;0.01) and detoxification (β 0.42, p&lt;0.01). Lower AUDIT-C scores were noted among those who reported that they knew someone who was cutting down (β -0.67, p&lt;0.05), that there was no reason (β -0.36, p&lt;0.05), or they didn’t know why they were cutting down (β -0.25, p&lt;0.05). Conclusions Around a fifth of high-risk drinkers in England report trying to reduce their drinking, particularly older, high-socioeconomic female drinkers from the south of England. Attempts to cut down appear to be driven by a desire to improve health, advice from others and cutting down on the cost of drinking.","container-title":"PLOS ONE","DOI":"10.1371/journal.pone.0173458","ISSN":"1932-6203","issue":"3","journalAbbreviation":"PLOS ONE","language":"en","note":"publisher: Public Library of Science","page":"e0173458","source":"PLoS Journals","title":"Predictors of and reasons for attempts to reduce alcohol intake: A population survey of adults in England","title-short":"Predictors of and reasons for attempts to reduce alcohol intake","volume":"12","author":[{"family":"Beard","given":"Emma"},{"family":"Brown","given":"Jamie"},{"family":"Kaner","given":"Eileen"},{"family":"West","given":"Robert"},{"family":"Michie","given":"Susan"}],"issued":{"date-parts":[["2017",3,9]]}}}],"schema":"https://github.com/citation-style-language/schema/raw/master/csl-citation.json"} </w:instrText>
      </w:r>
      <w:r w:rsidR="00B306AB">
        <w:rPr>
          <w:rFonts w:ascii="Times New Roman" w:hAnsi="Times New Roman" w:cs="Times New Roman"/>
        </w:rPr>
        <w:fldChar w:fldCharType="separate"/>
      </w:r>
      <w:r w:rsidR="00B306AB" w:rsidRPr="00B306AB">
        <w:rPr>
          <w:rFonts w:ascii="Times New Roman" w:hAnsi="Times New Roman" w:cs="Times New Roman"/>
        </w:rPr>
        <w:t>(Beard et al., 2017)</w:t>
      </w:r>
      <w:r w:rsidR="00B306AB">
        <w:rPr>
          <w:rFonts w:ascii="Times New Roman" w:hAnsi="Times New Roman" w:cs="Times New Roman"/>
        </w:rPr>
        <w:fldChar w:fldCharType="end"/>
      </w:r>
      <w:r w:rsidRPr="009464DF">
        <w:rPr>
          <w:rFonts w:ascii="Times New Roman" w:hAnsi="Times New Roman" w:cs="Times New Roman"/>
        </w:rPr>
        <w:t>, these findings may inform intervention targets for this population.</w:t>
      </w:r>
    </w:p>
    <w:p w14:paraId="7BBEFA0F" w14:textId="77777777" w:rsidR="0079507D" w:rsidRPr="009464DF" w:rsidRDefault="0079507D" w:rsidP="00762442">
      <w:pPr>
        <w:pStyle w:val="NoSpacing"/>
        <w:spacing w:line="480" w:lineRule="auto"/>
        <w:rPr>
          <w:rFonts w:ascii="Times New Roman" w:hAnsi="Times New Roman" w:cs="Times New Roman"/>
        </w:rPr>
      </w:pPr>
    </w:p>
    <w:p w14:paraId="688C09B5" w14:textId="1CF36D1B" w:rsidR="0079507D" w:rsidRPr="009464DF"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 xml:space="preserve">Findings from Chapter 7 showed that recovery from nicotine addiction is characterised by higher response thresholds when making tobacco-related decisions. Elevation of substance-related response thresholds may therefore be a novel mechanism that underlies recovery in absence of changes in the rate of value EA for those substance cues. Indeed, some of the </w:t>
      </w:r>
      <w:r w:rsidRPr="009464DF">
        <w:rPr>
          <w:rFonts w:ascii="Times New Roman" w:hAnsi="Times New Roman" w:cs="Times New Roman"/>
        </w:rPr>
        <w:lastRenderedPageBreak/>
        <w:t xml:space="preserve">benefits of existing psychological treatments and pharmacotherapies may correspond to people being able to step back and carefully consider their options when faced with the decision to smoke versus to do something else. One example is mindfulness-based interventions which broadly train people to be aware of their body and mind in the present moment </w:t>
      </w:r>
      <w:r w:rsidR="00AA1C1B">
        <w:rPr>
          <w:rFonts w:ascii="Times New Roman" w:hAnsi="Times New Roman" w:cs="Times New Roman"/>
        </w:rPr>
        <w:fldChar w:fldCharType="begin"/>
      </w:r>
      <w:r w:rsidR="00AA1C1B">
        <w:rPr>
          <w:rFonts w:ascii="Times New Roman" w:hAnsi="Times New Roman" w:cs="Times New Roman"/>
        </w:rPr>
        <w:instrText xml:space="preserve"> ADDIN ZOTERO_ITEM CSL_CITATION {"citationID":"ZcLYSA3A","properties":{"formattedCitation":"(Witkiewitz et al., 2014)","plainCitation":"(Witkiewitz et al., 2014)","noteIndex":0},"citationItems":[{"id":1728,"uris":["http://zotero.org/users/7873587/items/2ZFJLFQC"],"itemData":{"id":1728,"type":"article-journal","abstract":"Mindfulness-based treatments are growing in popularity among addiction treatment providers, and several studies suggest the efficacy of incorporating mindfulness practices into the treatment of addiction, including the treatment of substance use disorders and behavioral addictions (i.e., gambling). The current paper provides a review of theoretical models of mindfulness in the treatment of addiction and several hypothesized mechanisms of change. We provide an overview of mindfulness-based relapse prevention (MBRP), including session content, treatment targets, and client feedback from participants who have received MBRP in the context of empirical studies. Future research directions regarding operationalization and measurement, identifying factors that moderate treatment effects, and protocol adaptations for specific populations are discussed.","container-title":"Substance Use &amp; Misuse","DOI":"10.3109/10826084.2014.891845","ISSN":"1532-2491","issue":"5","journalAbbreviation":"Subst Use Misuse","language":"eng","note":"PMID: 24611847\nPMCID: PMC5441879","page":"513-524","source":"PubMed","title":"Mindfulness-based treatment to prevent addictive behavior relapse: theoretical models and hypothesized mechanisms of change","title-short":"Mindfulness-based treatment to prevent addictive behavior relapse","volume":"49","author":[{"family":"Witkiewitz","given":"Katie"},{"family":"Bowen","given":"Sarah"},{"family":"Harrop","given":"Erin N."},{"family":"Douglas","given":"Haley"},{"family":"Enkema","given":"Matthew"},{"family":"Sedgwick","given":"Carly"}],"issued":{"date-parts":[["2014",4]]}}}],"schema":"https://github.com/citation-style-language/schema/raw/master/csl-citation.json"} </w:instrText>
      </w:r>
      <w:r w:rsidR="00AA1C1B">
        <w:rPr>
          <w:rFonts w:ascii="Times New Roman" w:hAnsi="Times New Roman" w:cs="Times New Roman"/>
        </w:rPr>
        <w:fldChar w:fldCharType="separate"/>
      </w:r>
      <w:r w:rsidR="00AA1C1B" w:rsidRPr="00AA1C1B">
        <w:rPr>
          <w:rFonts w:ascii="Times New Roman" w:hAnsi="Times New Roman" w:cs="Times New Roman"/>
        </w:rPr>
        <w:t>(Witkiewitz et al., 2014)</w:t>
      </w:r>
      <w:r w:rsidR="00AA1C1B">
        <w:rPr>
          <w:rFonts w:ascii="Times New Roman" w:hAnsi="Times New Roman" w:cs="Times New Roman"/>
        </w:rPr>
        <w:fldChar w:fldCharType="end"/>
      </w:r>
      <w:r w:rsidRPr="009464DF">
        <w:rPr>
          <w:rFonts w:ascii="Times New Roman" w:hAnsi="Times New Roman" w:cs="Times New Roman"/>
        </w:rPr>
        <w:t xml:space="preserve">, and this has been linked to higher tobacco smoking abstinence rates </w:t>
      </w:r>
      <w:r w:rsidR="005F53CC">
        <w:rPr>
          <w:rFonts w:ascii="Times New Roman" w:hAnsi="Times New Roman" w:cs="Times New Roman"/>
        </w:rPr>
        <w:fldChar w:fldCharType="begin"/>
      </w:r>
      <w:r w:rsidR="005F53CC">
        <w:rPr>
          <w:rFonts w:ascii="Times New Roman" w:hAnsi="Times New Roman" w:cs="Times New Roman"/>
        </w:rPr>
        <w:instrText xml:space="preserve"> ADDIN ZOTERO_ITEM CSL_CITATION {"citationID":"Mp7Jfv6z","properties":{"formattedCitation":"(Brewer et al., 2011; Goldberg et al., 2018; Oikonomou et al., 2017)","plainCitation":"(Brewer et al., 2011; Goldberg et al., 2018; Oikonomou et al., 2017)","noteIndex":0},"citationItems":[{"id":1733,"uris":["http://zotero.org/users/7873587/items/RSWQ94WZ"],"itemData":{"id":1733,"type":"article-journal","abstract":"BACKGROUND: Cigarette smoking is the leading cause of preventable death in the world, and long-term abstinence rates remain modest. Mindfulness training (MT) has begun to show benefits in a number of psychiatric disorders, including depression, anxiety and more recently, in addictions. However, MT has not been evaluated for smoking cessation through randomized clinical trials.\nMETHODS: 88 treatment-seeking, nicotine-dependent adults who were smoking an average of 20cigarettes/day were randomly assigned to receive MT or the American Lung Association's freedom from smoking (FFS) treatment. Both treatments were delivered twice weekly over 4 weeks (eight sessions total) in a group format. The primary outcomes were expired-air carbon monoxide-confirmed 7-day point prevalence abstinence and number of cigarettes/day at the end of the 4-week treatment and at a follow-up interview at week 17.\nRESULTS: 88% of individuals received MT and 84% of individuals received FFS completed treatment. Compared to those randomized to the FFS intervention, individuals who received MT showed a greater rate of reduction in cigarette use during treatment and maintained these gains during follow-up (F=11.11, p=.001). They also exhibited a trend toward greater point prevalence abstinence rate at the end of treatment (36% vs. 15%, p=.063), which was significant at the 17-week follow-up (31% vs. 6%, p=.012).\nCONCLUSIONS: This initial trial of mindfulness training may confer benefits greater than those associated with current standard treatments for smoking cessation.","container-title":"Drug and Alcohol Dependence","DOI":"10.1016/j.drugalcdep.2011.05.027","ISSN":"1879-0046","issue":"1-2","journalAbbreviation":"Drug Alcohol Depend","language":"eng","note":"PMID: 21723049\nPMCID: PMC3191261","page":"72-80","source":"PubMed","title":"Mindfulness training for smoking cessation: results from a randomized controlled trial","title-short":"Mindfulness training for smoking cessation","volume":"119","author":[{"family":"Brewer","given":"Judson A."},{"family":"Mallik","given":"Sarah"},{"family":"Babuscio","given":"Theresa A."},{"family":"Nich","given":"Charla"},{"family":"Johnson","given":"Hayley E."},{"family":"Deleone","given":"Cameron M."},{"family":"Minnix-Cotton","given":"Candace A."},{"family":"Byrne","given":"Shannon A."},{"family":"Kober","given":"Hedy"},{"family":"Weinstein","given":"Andrea J."},{"family":"Carroll","given":"Kathleen M."},{"family":"Rounsaville","given":"Bruce J."}],"issued":{"date-parts":[["2011",12,1]]}},"label":"act"},{"id":1736,"uris":["http://zotero.org/users/7873587/items/6WW7GWX6"],"itemData":{"id":1736,"type":"article-journal","abstract":"Despite widespread scientific and popular interest in mindfulness-based interventions, questions regarding the empirical status of these treatments remain. We sought to examine the efficacy of mindfulness-based interventions for clinical populations on disorder-specific symptoms. To address the question of relative efficacy, we coded the strength of the comparison group into five categories: no treatment, minimal treatment, non-specific active control, specific active control, and evidence-based treatment. A total of 142 non-overlapping samples and 12,005 participants were included. At post-treatment, mindfulness-based interventions were superior to no treatment (d=0.55), minimal treatment (d=0.37), non-specific active controls (d=0.35), and specific active controls (d=0.23). Mindfulness conditions did not differ from evidence-based treatments (d=-0.004). At follow-up, mindfulness-based interventions were superior to no treatment conditions (d=0.50), non-specific active controls (d=0.52), and specific active controls (d=0.29). Mindfulness conditions did not differ from minimal treatment conditions (d=0.38) and evidence-based treatments (d=0.09). Effects on specific disorder subgroups showed the most consistent evidence in support of mindfulness for depression, pain conditions, smoking, and addictive disorders. Results support the notion that mindfulness-based interventions hold promise as evidence-based treatments.","container-title":"Clinical Psychology Review","DOI":"10.1016/j.cpr.2017.10.011","ISSN":"1873-7811","journalAbbreviation":"Clin Psychol Rev","language":"eng","note":"PMID: 29126747\nPMCID: PMC5741505","page":"52-60","source":"PubMed","title":"Mindfulness-based interventions for psychiatric disorders: A systematic review and meta-analysis","title-short":"Mindfulness-based interventions for psychiatric disorders","volume":"59","author":[{"family":"Goldberg","given":"Simon B."},{"family":"Tucker","given":"Raymond P."},{"family":"Greene","given":"Preston A."},{"family":"Davidson","given":"Richard J."},{"family":"Wampold","given":"Bruce E."},{"family":"Kearney","given":"David J."},{"family":"Simpson","given":"Tracy L."}],"issued":{"date-parts":[["2018",2]]}},"label":"act"},{"id":1731,"uris":["http://zotero.org/users/7873587/items/FSDDYW2Y"],"itemData":{"id":1731,"type":"article-journal","abstract":"Recent studies have shown that mindfulness training has a promising potential for smoking treatment. In order to examine the efficacy of mindfulness training in smoking cessation, we performed a systematic review of the literature and meta-analysis of randomized controlled trials. Four randomized controlled trials with 474 patients were included in our analysis. The results showed that 25.2 percent of participants remained abstinent for more than 4 months in the mindfulness group compared to 13.6 percent of those who received usual care therapy (relative risk, 1.88; 95 percent confidence interval, 1.04-3.40). Our results suggest that mindfulness training may have an important role to play in efforts to lower cigarette smoking rates.","container-title":"Journal of Health Psychology","DOI":"10.1177/1359105316637667","ISSN":"1461-7277","issue":"14","journalAbbreviation":"J Health Psychol","language":"eng","note":"PMID: 27044630","page":"1841-1850","source":"PubMed","title":"Mindfulness training for smoking cessation: A meta-analysis of randomized-controlled trials","title-short":"Mindfulness training for smoking cessation","volume":"22","author":[{"family":"Oikonomou","given":"Maria Theodora"},{"family":"Arvanitis","given":"Marios"},{"family":"Sokolove","given":"Robert L."}],"issued":{"date-parts":[["2017",12]]}},"label":"act"}],"schema":"https://github.com/citation-style-language/schema/raw/master/csl-citation.json"} </w:instrText>
      </w:r>
      <w:r w:rsidR="005F53CC">
        <w:rPr>
          <w:rFonts w:ascii="Times New Roman" w:hAnsi="Times New Roman" w:cs="Times New Roman"/>
        </w:rPr>
        <w:fldChar w:fldCharType="separate"/>
      </w:r>
      <w:r w:rsidR="005F53CC" w:rsidRPr="005F53CC">
        <w:rPr>
          <w:rFonts w:ascii="Times New Roman" w:hAnsi="Times New Roman" w:cs="Times New Roman"/>
        </w:rPr>
        <w:t>(Brewer et al., 2011; Goldberg et al., 2018; Oikonomou et al., 2017)</w:t>
      </w:r>
      <w:r w:rsidR="005F53CC">
        <w:rPr>
          <w:rFonts w:ascii="Times New Roman" w:hAnsi="Times New Roman" w:cs="Times New Roman"/>
        </w:rPr>
        <w:fldChar w:fldCharType="end"/>
      </w:r>
      <w:r w:rsidRPr="009464DF">
        <w:rPr>
          <w:rFonts w:ascii="Times New Roman" w:hAnsi="Times New Roman" w:cs="Times New Roman"/>
        </w:rPr>
        <w:t xml:space="preserve">, although further research is required to conclude the long-term effects </w:t>
      </w:r>
      <w:r w:rsidR="005F53CC">
        <w:rPr>
          <w:rFonts w:ascii="Times New Roman" w:hAnsi="Times New Roman" w:cs="Times New Roman"/>
        </w:rPr>
        <w:fldChar w:fldCharType="begin"/>
      </w:r>
      <w:r w:rsidR="005F53CC">
        <w:rPr>
          <w:rFonts w:ascii="Times New Roman" w:hAnsi="Times New Roman" w:cs="Times New Roman"/>
        </w:rPr>
        <w:instrText xml:space="preserve"> ADDIN ZOTERO_ITEM CSL_CITATION {"citationID":"QilTdw8J","properties":{"formattedCitation":"(Jackson et al., 2022)","plainCitation":"(Jackson et al., 2022)","noteIndex":0},"citationItems":[{"id":1739,"uris":["http://zotero.org/users/7873587/items/DSHCJRCA"],"itemData":{"id":1739,"type":"article-journal","abstract":"BACKGROUND: Mindfulness-based smoking cessation interventions may aid smoking cessation by teaching individuals to pay attention to, and work mindfully with, negative affective states, cravings, and other symptoms of nicotine withdrawal. Types of mindfulness-based interventions include mindfulness training, which involves training in meditation; acceptance and commitment therapy (ACT); distress tolerance training; and yoga.\nOBJECTIVES: To assess the efficacy of mindfulness-based interventions for smoking cessation among people who smoke, and whether these interventions have an effect on mental health outcomes.\nSEARCH METHODS: We searched the Cochrane Tobacco Addiction Group's specialised register, CENTRAL, MEDLINE, Embase, PsycINFO, and trial registries to 15 April 2021. We also employed an automated search strategy, developed as part of the Human Behaviour Change Project, using Microsoft Academic.\nSELECTION CRITERIA: We included randomised controlled trials (RCTs) and cluster-RCTs that compared a mindfulness-based intervention for smoking cessation with another smoking cessation programme or no treatment, and assessed smoking cessation at six months or longer. We excluded studies that solely recruited pregnant women.\nDATA COLLECTION AND ANALYSIS: We followed standard Cochrane methods. We measured smoking cessation at the longest time point, using the most rigorous definition available, on an intention-to-treat basis. We calculated risk ratios (RRs) and 95% confidence intervals (CIs) for smoking cessation for each study, where possible. We grouped eligible studies according to the type of intervention and type of comparator. We carried out meta-analyses where appropriate, using Mantel-Haenszel random-effects models. We summarised mental health outcomes narratively.\nMAIN RESULTS: We included 21 studies, with 8186 participants. Most recruited adults from the community, and the majority (15 studies) were conducted in the USA. We judged four of the studies to be at low risk of bias, nine at unclear risk, and eight at high risk. Mindfulness-based interventions varied considerably in design and content, as did comparators, therefore, we pooled small groups of relatively comparable studies. We did not detect a clear benefit or harm of mindfulness training interventions on quit rates compared with intensity-matched smoking cessation treatment (RR 0.99, 95% CI 0.67 to 1.46; I2 = 0%; 3 studies, 542 participants; low-certainty evidence), less intensive smoking cessation treatment (RR 1.19, 95% CI 0.65 to 2.19; I2 = 60%; 5 studies, 813 participants; very low-certainty evidence), or no treatment (RR 0.81, 95% CI 0.43 to 1.53; 1 study, 325 participants; low-certainty evidence). In each comparison, the 95% CI encompassed benefit (i.e. higher quit rates), harm (i.e. lower quit rates) and no difference. In one study of mindfulness-based relapse prevention, we did not detect a clear benefit or harm of the intervention over no treatment (RR 1.43, 95% CI 0.56 to 3.67; 86 participants; very low-certainty evidence). We did not detect a clear benefit or harm of ACT on quit rates compared with less intensive behavioural treatments, including nicotine replacement therapy alone (RR 1.27, 95% CI 0.53 to 3.02; 1 study, 102 participants; low-certainty evidence), brief advice (RR 1.27, 95% CI 0.59 to 2.75; 1 study, 144 participants; very low-certainty evidence), or less intensive ACT (RR 1.00, 95% CI 0.50 to 2.01; 1 study, 100 participants; low-certainty evidence). There was a high level of heterogeneity (I2 = 82%) across studies comparing ACT with intensity-matched smoking cessation treatments, meaning it was not appropriate to report a pooled result. We did not detect a clear benefit or harm of distress tolerance training on quit rates compared with intensity-matched smoking cessation treatment (RR 0.87, 95% CI 0.26 to 2.98; 1 study, 69 participants; low-certainty evidence) or less intensive smoking cessation treatment (RR 1.63, 95% CI 0.33 to 8.08; 1 study, 49 participants; low-certainty evidence). We did not detect a clear benefit or harm of yoga on quit rates compared with intensity-matched smoking cessation treatment (RR 1.44, 95% CI 0.40 to 5.16; 1 study, 55 participants; very low-certainty evidence). Excluding studies at high risk of bias did not substantially alter the results, nor did using complete case data as opposed to using data from all participants randomised. Nine studies reported on changes in mental health and well-being, including depression, anxiety, perceived stress, and negative and positive affect. Variation in measures and methodological differences between studies meant we could not meta-analyse these data. One study found a greater reduction in perceived stress in participants who received a face-to-face mindfulness training programme versus an intensity-matched programme. However, the remaining eight studies found no clinically meaningful differences in mental health and well-being between participants who received mindfulness-based treatments and participants who received another treatment or no treatment (very low-certainty evidence).\nAUTHORS' CONCLUSIONS: We did not detect a clear benefit of mindfulness-based smoking cessation interventions for increasing smoking quit rates or changing mental health and well-being. This was the case when compared with intensity-matched smoking cessation treatment, less intensive smoking cessation treatment, or no treatment. However, the evidence was of low and very low certainty due to risk of bias, inconsistency, and imprecision, meaning future evidence may very likely change our interpretation of the results. Further RCTs of mindfulness-based interventions for smoking cessation compared with active comparators are needed. There is also a need for more consistent reporting of mental health and well-being outcomes in studies of mindfulness-based interventions for smoking cessation.","container-title":"The Cochrane Database of Systematic Reviews","DOI":"10.1002/14651858.CD013696.pub2","ISSN":"1469-493X","journalAbbreviation":"Cochrane Database Syst Rev","language":"eng","note":"PMID: 35420700\nPMCID: PMC9009295","page":"CD013696","source":"PubMed","title":"Mindfulness for smoking cessation","volume":"4","author":[{"family":"Jackson","given":"Sarah"},{"family":"Brown","given":"Jamie"},{"family":"Norris","given":"Emma"},{"family":"Livingstone-Banks","given":"Jonathan"},{"family":"Hayes","given":"Emily"},{"family":"Lindson","given":"Nicola"}],"issued":{"date-parts":[["2022",4,14]]}}}],"schema":"https://github.com/citation-style-language/schema/raw/master/csl-citation.json"} </w:instrText>
      </w:r>
      <w:r w:rsidR="005F53CC">
        <w:rPr>
          <w:rFonts w:ascii="Times New Roman" w:hAnsi="Times New Roman" w:cs="Times New Roman"/>
        </w:rPr>
        <w:fldChar w:fldCharType="separate"/>
      </w:r>
      <w:r w:rsidR="005F53CC" w:rsidRPr="005F53CC">
        <w:rPr>
          <w:rFonts w:ascii="Times New Roman" w:hAnsi="Times New Roman" w:cs="Times New Roman"/>
        </w:rPr>
        <w:t>(Jackson et al., 2022)</w:t>
      </w:r>
      <w:r w:rsidR="005F53CC">
        <w:rPr>
          <w:rFonts w:ascii="Times New Roman" w:hAnsi="Times New Roman" w:cs="Times New Roman"/>
        </w:rPr>
        <w:fldChar w:fldCharType="end"/>
      </w:r>
      <w:r w:rsidRPr="009464DF">
        <w:rPr>
          <w:rFonts w:ascii="Times New Roman" w:hAnsi="Times New Roman" w:cs="Times New Roman"/>
        </w:rPr>
        <w:t>. To elaborate, it may be that when a thought arises (e.g., about substance</w:t>
      </w:r>
      <w:r w:rsidR="005F53CC">
        <w:rPr>
          <w:rFonts w:ascii="Times New Roman" w:hAnsi="Times New Roman" w:cs="Times New Roman"/>
        </w:rPr>
        <w:t xml:space="preserve"> </w:t>
      </w:r>
      <w:r w:rsidRPr="009464DF">
        <w:rPr>
          <w:rFonts w:ascii="Times New Roman" w:hAnsi="Times New Roman" w:cs="Times New Roman"/>
        </w:rPr>
        <w:t xml:space="preserve">use), elevated response thresholds allow people to be present in the moment and to let the thought pass without attempts to process or judge the content. Interestingly, </w:t>
      </w:r>
      <w:r w:rsidR="007730E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{"citationID":"tX5UA5aS","properties":{"formattedCitation":"(Moniz-Lewis et al., 2022)","plainCitation":"(Moniz-Lewis et al., 2022)","dontUpdate":true,"noteIndex":0},"citationItems":[{"id":1742,"uris":["http://zotero.org/users/7873587/items/INKQITPB"],"itemData":{"id":1742,"type":"article-journal","abstract":"Self-efficacy, the belief in one’s ability to moderate or abstain from heavy drinking and drug use, predicts outcomes following substance use disorder (SUD) treatment. The current study examined whether self-efficacy was associated with treatment outcomes in a trial of mindfulness-based relapse prevention (MBRP), cognitive-behavioral relapse prevention (RP), and treatment as usual (TAU). We hypothesized self-efficacy would mediate the effects of treatment on substance use outcomes.","container-title":"Mindfulness","DOI":"10.1007/s12671-022-01946-z","ISSN":"1868-8535","journalAbbreviation":"Mindfulness","language":"en","source":"Springer Link","title":"Self-efficacy as a potential mechanism of behavior change in mindfulness-based relapse prevention","URL":"https://doi.org/10.1007/s12671-022-01946-z","author":[{"family":"Moniz-Lewis","given":"David I. K."},{"family":"Stein","given":"Elena R."},{"family":"Bowen","given":"Sarah"},{"family":"Witkiewitz","given":"Katie"}],"accessed":{"date-parts":[["2022",8,4]]},"issued":{"date-parts":[["2022",7,9]]}}}],"schema":"https://github.com/citation-style-language/schema/raw/master/csl-citation.json"} </w:instrText>
      </w:r>
      <w:r w:rsidR="007730E5">
        <w:rPr>
          <w:rFonts w:ascii="Times New Roman" w:hAnsi="Times New Roman" w:cs="Times New Roman"/>
        </w:rPr>
        <w:fldChar w:fldCharType="separate"/>
      </w:r>
      <w:r w:rsidR="007730E5" w:rsidRPr="007730E5">
        <w:rPr>
          <w:rFonts w:ascii="Times New Roman" w:hAnsi="Times New Roman" w:cs="Times New Roman"/>
        </w:rPr>
        <w:t xml:space="preserve">Moniz-Lewis et al. </w:t>
      </w:r>
      <w:r w:rsidR="007730E5">
        <w:rPr>
          <w:rFonts w:ascii="Times New Roman" w:hAnsi="Times New Roman" w:cs="Times New Roman"/>
        </w:rPr>
        <w:t>(</w:t>
      </w:r>
      <w:r w:rsidR="007730E5" w:rsidRPr="007730E5">
        <w:rPr>
          <w:rFonts w:ascii="Times New Roman" w:hAnsi="Times New Roman" w:cs="Times New Roman"/>
        </w:rPr>
        <w:t>2022)</w:t>
      </w:r>
      <w:r w:rsidR="007730E5">
        <w:rPr>
          <w:rFonts w:ascii="Times New Roman" w:hAnsi="Times New Roman" w:cs="Times New Roman"/>
        </w:rPr>
        <w:fldChar w:fldCharType="end"/>
      </w:r>
      <w:r w:rsidRPr="009464DF">
        <w:rPr>
          <w:rFonts w:ascii="Times New Roman" w:hAnsi="Times New Roman" w:cs="Times New Roman"/>
        </w:rPr>
        <w:t xml:space="preserve"> recruited participants from community treatment facilities and found that mindfulness training increased self-efficacy—that is, a person’s belief in their own ability to achieve a desired outcome. Self-efficacy is recognised to be an important predictor of tobacco smoking cessation </w:t>
      </w:r>
      <w:r w:rsidR="007730E5">
        <w:rPr>
          <w:rFonts w:ascii="Times New Roman" w:hAnsi="Times New Roman" w:cs="Times New Roman"/>
        </w:rPr>
        <w:fldChar w:fldCharType="begin"/>
      </w:r>
      <w:r w:rsidR="007730E5">
        <w:rPr>
          <w:rFonts w:ascii="Times New Roman" w:hAnsi="Times New Roman" w:cs="Times New Roman"/>
        </w:rPr>
        <w:instrText xml:space="preserve"> ADDIN ZOTERO_ITEM CSL_CITATION {"citationID":"1mptehOc","properties":{"formattedCitation":"(Elshatarat et al., 2016; Smit et al., 2014)","plainCitation":"(Elshatarat et al., 2016; Smit et al., 2014)","noteIndex":0},"citationItems":[{"id":1746,"uris":["http://zotero.org/users/7873587/items/CWGVFBDY"],"itemData":{"id":1746,"type":"article-journal","abstract":"Globally, tobacco use continues to be a major health care concern. Despite strong recommendations to quit smoking, tobacco users are experiencing difficulties in quitting. The purpose of this integrative review is to discuss self-efficacy theory as an important behavioral therapy for treating tobacco use and nicotine dependence. Moreover, the paper proposes a literature-derived model that employs self-efficacy as a central component for treating tobacco use and nicotine dependence. Eleven relevant articles were included in this review. Self-efficacy has an important role in smoking cessation. Improving self-efficacy enhances the individual’s success in quitting tobacco use and preventing relapse. Moreover, incorporating self-efficacy as a cognitive behavioral intervention has shown various degrees of success for treating tobacco use and nicotine dependence. In order to offer guidance to health care providers assisting in quitting tobacco, a model that integrates self-efficacy as a central component of the quitting process is proposed.","container-title":"Proceedings of Singapore Healthcare","DOI":"10.1177/2010105816667137","ISSN":"2010-1058","issue":"4","journalAbbreviation":"Proceedings of Singapore Healthcare","language":"en","note":"publisher: SAGE Publications Ltd","page":"243-248","source":"SAGE Journals","title":"Self-efficacy in treating tobacco use: A review article","title-short":"Self-efficacy in treating tobacco use","volume":"25","author":[{"family":"Elshatarat","given":"Rami Azmi"},{"family":"Yacoub","given":"Mohammed Ibrahim"},{"family":"Khraim","given":"Fadi Marwan"},{"family":"Saleh","given":"Zyad Taher"},{"family":"Afaneh","given":"Tareq Rateb"}],"issued":{"date-parts":[["2016",12,1]]}},"label":"act"},{"id":1743,"uris":["http://zotero.org/users/7873587/items/NDVMCYQT"],"itemData":{"id":1743,"type":"article-journal","abstract":"INTRODUCTION: Despite their positive motivation to quit, many smokers do not attempt to quit or relapse soon after their quit attempt. This study investigated the predictors of successful and unsuccessful quit attempts among smokers motivated to quit smoking.\nMETHODS: We conducted secondary data analysis among respondents motivated to quit within 6 months, randomized to the control group (N=570) of a Web-based smoking cessation intervention study. Using chi-square tests and ANOVA with Tukey post hoc comparisons, we investigated baseline differences by smoking status (successful quitter/relapse/persistent smoker) assessed after 6 weeks (N=214). To identify independent predictors of smoking status, multivariate multinomial logistic regression analyses were conducted.\nRESULTS: Successful quitters at 6-week follow-up (26%) had reported significantly higher baseline levels of self-efficacy than relapsers (45%) and persistent smokers (29%). Furthermore, both successful quitters and relapsers had reported a significantly higher baseline intention to quit than persistent smokers and successful quitters had reported significantly more preparatory planning at baseline than persistent smokers. Results from regression analyses showed that smokers' baseline intention to quit positively predicted quit attempts reported after 6 weeks, while self-efficacy positively predicted quit attempt success.\nCONCLUSIONS: Different factors appear to play a role in predicting quit attempts and their success. Whereas intention to quit only appeared to play a role in predicting quit attempts, self-efficacy was the main factor predicting quit attempt success. More research is needed to determine the role of preparatory planning and plan enactment and to investigate whether these findings can be replicated on the long term.","container-title":"Addictive Behaviors","DOI":"10.1016/j.addbeh.2014.04.017","ISSN":"1873-6327","issue":"9","journalAbbreviation":"Addict Behav","language":"eng","note":"PMID: 24837754","page":"1318-1324","source":"PubMed","title":"Predictors of successful and unsuccessful quit attempts among smokers motivated to quit","volume":"39","author":[{"family":"Smit","given":"Eline Suzanne"},{"family":"Hoving","given":"Ciska"},{"family":"Schelleman-Offermans","given":"Karen"},{"family":"West","given":"Robert"},{"family":"Vries","given":"Hein","non-dropping-particle":"de"}],"issued":{"date-parts":[["2014",9]]}},"label":"act"}],"schema":"https://github.com/citation-style-language/schema/raw/master/csl-citation.json"} </w:instrText>
      </w:r>
      <w:r w:rsidR="007730E5">
        <w:rPr>
          <w:rFonts w:ascii="Times New Roman" w:hAnsi="Times New Roman" w:cs="Times New Roman"/>
        </w:rPr>
        <w:fldChar w:fldCharType="separate"/>
      </w:r>
      <w:r w:rsidR="007730E5" w:rsidRPr="007730E5">
        <w:rPr>
          <w:rFonts w:ascii="Times New Roman" w:hAnsi="Times New Roman" w:cs="Times New Roman"/>
        </w:rPr>
        <w:t>(Elshatarat et al., 2016; Smit et al., 2014)</w:t>
      </w:r>
      <w:r w:rsidR="007730E5">
        <w:rPr>
          <w:rFonts w:ascii="Times New Roman" w:hAnsi="Times New Roman" w:cs="Times New Roman"/>
        </w:rPr>
        <w:fldChar w:fldCharType="end"/>
      </w:r>
      <w:r w:rsidRPr="009464DF">
        <w:rPr>
          <w:rFonts w:ascii="Times New Roman" w:hAnsi="Times New Roman" w:cs="Times New Roman"/>
        </w:rPr>
        <w:t>; it may therefore be that elevated response thresholds enable a person to step back and carefully consider their options and in doing so provide an opportunity to develop and exploit self-efficacy.</w:t>
      </w:r>
    </w:p>
    <w:p w14:paraId="5F5D531F" w14:textId="77777777" w:rsidR="0079507D" w:rsidRPr="009464DF" w:rsidRDefault="0079507D" w:rsidP="00762442">
      <w:pPr>
        <w:pStyle w:val="NoSpacing"/>
        <w:spacing w:line="480" w:lineRule="auto"/>
        <w:rPr>
          <w:rFonts w:ascii="Times New Roman" w:hAnsi="Times New Roman" w:cs="Times New Roman"/>
        </w:rPr>
      </w:pPr>
    </w:p>
    <w:p w14:paraId="1A4ABB75" w14:textId="7025A2C3" w:rsidR="0079507D" w:rsidRPr="009464DF"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 xml:space="preserve">Although distortions in valuation processes are emphasized by behavioural economic models, and indeed many efficacious treatments aim to reverse these distortions </w:t>
      </w:r>
      <w:r w:rsidR="007730E5">
        <w:rPr>
          <w:rFonts w:ascii="Times New Roman" w:hAnsi="Times New Roman" w:cs="Times New Roman"/>
        </w:rPr>
        <w:fldChar w:fldCharType="begin"/>
      </w:r>
      <w:r w:rsidR="007730E5">
        <w:rPr>
          <w:rFonts w:ascii="Times New Roman" w:hAnsi="Times New Roman" w:cs="Times New Roman"/>
        </w:rPr>
        <w:instrText xml:space="preserve"> ADDIN ZOTERO_ITEM CSL_CITATION {"citationID":"syLvh8RO","properties":{"formattedCitation":"(Fazzino et al., 2019; Meshesha et al., 2020)","plainCitation":"(Fazzino et al., 2019; Meshesha et al., 2020)","noteIndex":0},"citationItems":[{"id":1467,"uris":["http://zotero.org/users/7873587/items/6LVEFWZW"],"itemData":{"id":1467,"type":"article-journal","abstract":"BACKGROUND: Brief reinforcement-based psychosocial interventions such as behavioral activation (BA) and behavioral economics (BE) address imbalances in the reinforcement system that are strongly implicated in substance use. The present study reviewed a growing body of intervention studies that tested the efficacy of BA or BE in addressing substance use outcomes. The study also reviewed a smaller body of evidence exploring mechanisms of action and moderators of treatment efficacy for substance use outcomes.\nMETHOD: A comprehensive literature search of four databases was conducted to identify studies that tested either BA or BE interventions targeting outcomes and/or mechanisms of action specific to substance use. The search yielded 12 studies that met these criteria. Ten studies reported main outcomes of BA/BE interventions targeting substance use outcomes (N = 7 BA; N = 3 BE). Two additional studies addressed mechanisms of change by conducting secondary analyses of data from one of the other ten studies. Eight of the twelve studies tested mechanisms of change and/or moderators related to substance use.\nRESULTS: Among all ten outcome studies, 100% provided evidence suggesting efficacy of BA/BE in targeting substance use and/or use-related problems. In 90% (9/10) of studies, the BA/BE intervention condition evidenced significantly higher abstinence rates compared to controls and/or significant decreases in substance use from baseline. Most studies that assessed substance use-related problems (83%; 5/6) reported significant decreases in use-related problems. The majority of studies (80%; 8/10) reported medium to large effect sizes. The pattern of findings was similar for BA and BE interventions. Eight studies assessed change in mechanism of action and 38% (3/8) identified mechanisms of action, however, only two conducted a formal test of whether this variable mediated the relationship between condition and outcome. Two studies tested and identified significant moderators of treatment efficacy.\nCONCLUSIONS: Preliminary evidence supports the efficacy of reinforcement-based interventions in targeting substance use outcomes. The mechanisms driving BA/BE efficacy and factors that may moderate treatment effects are not sufficiently clear from the studies available and require further examination, although existing data does suggest promise and provides clues for next steps.","container-title":"Journal of Substance Abuse Treatment","DOI":"10.1016/j.jsat.2019.06.016","ISSN":"1873-6483","journalAbbreviation":"J Subst Abuse Treat","language":"eng","note":"PMID: 31370989","page":"83-96","source":"PubMed","title":"A systematic review of reinforcement-based interventions for substance use: Efficacy, mechanisms of action, and moderators of treatment effects","title-short":"A systematic review of reinforcement-based interventions for substance use","volume":"104","author":[{"family":"Fazzino","given":"Tera L."},{"family":"Bjorlie","given":"Kayla"},{"family":"Lejuez","given":"C. W."}],"issued":{"date-parts":[["2019",9]]}},"label":"act"},{"id":1510,"uris":["http://zotero.org/users/7873587/items/67UH7N3R"],"itemData":{"id":1510,"type":"article-journal","abstract":"Objective\nBehavioral economic research suggests that increasing the salience of a delayed reward may improve capacity for delaying gratification and increase behavior allocated toward obtaining larger, delayed substance-free reward rather than smaller, more immediate reward such as alcohol use. This study aimed to improve the efficacy of outpatient alcohol use disorder (AUD) treatment by adding elements that target behavioral economic mechanisms of change.\nMethod\nForty-one (N = 41) adults in outpatient AUD treatment were recruited and 37 participants were retained at follow-up. Following baseline assessment, participants received either the Substance Free Activity Session (SFAS), a single-session behavioral economic–informed intervention focused on increasing future orientation and engagement in values-based substance-free activities or a health education control intervention. Participants in both conditions received weekly prompts (via text or email) relevant to their respective intervention for four weeks. Participants (68.3% male; 70.7% Caucasian, M age = 38.24, SD = 12.69) reported an average of 3.95 (SD = 4.72) binge drinking episodes (4/5 drinks per occasion for a woman/man) and 5.05 (SD = 5.32) drinks per drinking day 30-days prior to treatment entry.\nResults\nThe study provided initial support for the feasibility and acceptability of implementing the SFAS within a treatment setting. Participants reported high levels of satisfaction with the SFAS (M = 9.08 (SD = 0.94), on a scale of 1–10). At 3-month follow-up, the SFAS was associated with reductions in the proportion of activity participation and enjoyment (reinforcement) related to substance-use relative to substance-free activities and in alcohol demand compared to control.\nConclusion\nThese preliminary results provide initial support for targeting behavioral economic mechanisms of change in an outpatient AUD treatment with a single-session intervention plus remote delivery of booster prompts.","container-title":"Journal of Substance Abuse Treatment","DOI":"10.1016/j.jsat.2020.108002","ISSN":"0740-5472","journalAbbreviation":"Journal of Substance Abuse Treatment","language":"en","page":"108002","source":"ScienceDirect","title":"Pilot trial investigating a brief behavioral economic intervention as an adjunctive treatment for alcohol use disorder","volume":"113","author":[{"family":"Meshesha","given":"Lidia Z."},{"family":"Soltis","given":"Kathryn E."},{"family":"Wise","given":"Edward A."},{"family":"Rohsenow","given":"Damaris J."},{"family":"Witkiewitz","given":"Katie"},{"family":"Murphy","given":"James G."}],"issued":{"date-parts":[["2020",6,1]]}},"label":"act"}],"schema":"https://github.com/citation-style-language/schema/raw/master/csl-citation.json"} </w:instrText>
      </w:r>
      <w:r w:rsidR="007730E5">
        <w:rPr>
          <w:rFonts w:ascii="Times New Roman" w:hAnsi="Times New Roman" w:cs="Times New Roman"/>
        </w:rPr>
        <w:fldChar w:fldCharType="separate"/>
      </w:r>
      <w:r w:rsidR="007730E5" w:rsidRPr="007730E5">
        <w:rPr>
          <w:rFonts w:ascii="Times New Roman" w:hAnsi="Times New Roman" w:cs="Times New Roman"/>
        </w:rPr>
        <w:t>(Fazzino et al., 2019; Meshesha et al., 2020)</w:t>
      </w:r>
      <w:r w:rsidR="007730E5">
        <w:rPr>
          <w:rFonts w:ascii="Times New Roman" w:hAnsi="Times New Roman" w:cs="Times New Roman"/>
        </w:rPr>
        <w:fldChar w:fldCharType="end"/>
      </w:r>
      <w:r w:rsidRPr="009464DF">
        <w:rPr>
          <w:rFonts w:ascii="Times New Roman" w:hAnsi="Times New Roman" w:cs="Times New Roman"/>
        </w:rPr>
        <w:t xml:space="preserve">, it remains somewhat ambiguous exactly how valuation processes change. For example, the substance-free activity session (SFAS; </w:t>
      </w:r>
      <w:r w:rsidR="007730E5">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{"citationID":"TTFAxpWV","properties":{"formattedCitation":"(Murphy, Dennhardt, et al., 2012)","plainCitation":"(Murphy, Dennhardt, et al., 2012)","dontUpdate":true,"noteIndex":0},"citationItems":[{"id":1507,"uris":["http://zotero.org/users/7873587/items/WTDNLQ6L"],"itemData":{"id":1507,"type":"article-journal","abstract":"OBJECTIVE: Behavioral economic theory suggests that a reduction in substance use is most likely when there is an increase in rewarding substance-free activities. The goal of this randomized controlled clinical trial was to evaluate the incremental efficacy of a novel behavioral economic supplement (Substance-Free Activity Session [SFAS]) to a standard alcohol brief motivational interviewing (BMI) session for heavy-drinking college students.\nMETHOD: Participants were 82 first-year college students (50% female; 81.7% White/European American; M age = 18.5 years, SD = 0.71) who reported 2 or more past-month heavy drinking episodes. After completing a baseline assessment and an individual alcohol-focused BMI, participants were randomized to either the SFAS or to a Relaxation Training (RT) control session. The SFAS was delivered in an MI style and attempted to increase the salience of delayed academic and career rewards and the patterns of behavior leading to those rewards.\nRESULTS: The combination of an alcohol BMI plus the SFAS was associated with significantly greater reductions in alcohol problems compared with an alcohol BMI plus RT at the 1-month and 6-month follow-up assessments (p = .015, ηp² = .07), an effect that was partially mediated by increases in protective behavioral strategies. BMI + SFAS was also associated with greater reductions in heavy drinking among participants who at baseline reported low levels of substance-free reinforcement or symptoms of depression.\nCONCLUSION: These results are consistent with behavioral economic theory and suggest that a single session focused on increasing engagement in alternatives to drinking can enhance the effects of brief alcohol interventions.","container-title":"Journal of Consulting and Clinical Psychology","DOI":"10.1037/a0028763","ISSN":"1939-2117","issue":"5","journalAbbreviation":"J Consult Clin Psychol","language":"eng","note":"PMID: 22663899\nPMCID: PMC3435453","page":"876-886","source":"PubMed","title":"A randomized controlled trial of a behavioral economic supplement to brief motivational interventions for college drinking","volume":"80","author":[{"family":"Murphy","given":"James G."},{"family":"Dennhardt","given":"Ashley A."},{"family":"Skidmore","given":"Jessica R."},{"family":"Borsari","given":"Brian"},{"family":"Barnett","given":"Nancy P."},{"family":"Colby","given":"Suzanne M."},{"family":"Martens","given":"Matthew P."}],"issued":{"date-parts":[["2012",10]]}}}],"schema":"https://github.com/citation-style-language/schema/raw/master/csl-citation.json"} </w:instrText>
      </w:r>
      <w:r w:rsidR="007730E5">
        <w:rPr>
          <w:rFonts w:ascii="Times New Roman" w:hAnsi="Times New Roman" w:cs="Times New Roman"/>
        </w:rPr>
        <w:fldChar w:fldCharType="separate"/>
      </w:r>
      <w:r w:rsidR="007730E5" w:rsidRPr="007730E5">
        <w:rPr>
          <w:rFonts w:ascii="Times New Roman" w:hAnsi="Times New Roman" w:cs="Times New Roman"/>
        </w:rPr>
        <w:t>Murphy, Dennhardt, et al., 2012)</w:t>
      </w:r>
      <w:r w:rsidR="007730E5">
        <w:rPr>
          <w:rFonts w:ascii="Times New Roman" w:hAnsi="Times New Roman" w:cs="Times New Roman"/>
        </w:rPr>
        <w:fldChar w:fldCharType="end"/>
      </w:r>
      <w:r w:rsidRPr="009464DF">
        <w:rPr>
          <w:rFonts w:ascii="Times New Roman" w:hAnsi="Times New Roman" w:cs="Times New Roman"/>
        </w:rPr>
        <w:t xml:space="preserve"> was initially developed for students with three broad aims: 1) increase salience of future academic / career goals, 2) discuss the potential negative impact of alcohol on goal-attainment, and 3) increase engagement with substance-free alternative activities. The ambiguity here is that it is not possible to determine whether the SFAS is effective because </w:t>
      </w:r>
      <w:r w:rsidRPr="009464DF">
        <w:rPr>
          <w:rFonts w:ascii="Times New Roman" w:hAnsi="Times New Roman" w:cs="Times New Roman"/>
        </w:rPr>
        <w:lastRenderedPageBreak/>
        <w:t xml:space="preserve">alcohol becomes devalued, because substance-free alternatives increase in value, or potentially an element of both. VBDM as a theoretical framework offers the opportunity to distinguish these valuation processes, and therefore future studies with a SFAS component could include computational VBDM measures in the process evaluation to better understand which exact processes change. </w:t>
      </w:r>
      <w:r w:rsidRPr="009F5C0D">
        <w:rPr>
          <w:rFonts w:ascii="Times New Roman" w:hAnsi="Times New Roman" w:cs="Times New Roman"/>
        </w:rPr>
        <w:t xml:space="preserve">Findings from Chapter 4 align with behavioural economic accounts by showing that alcohol value is malleable </w:t>
      </w:r>
      <w:r w:rsidR="007730E5" w:rsidRPr="009F5C0D">
        <w:rPr>
          <w:rFonts w:ascii="Times New Roman" w:hAnsi="Times New Roman" w:cs="Times New Roman"/>
        </w:rPr>
        <w:fldChar w:fldCharType="begin"/>
      </w:r>
      <w:r w:rsidR="007730E5" w:rsidRPr="009F5C0D">
        <w:rPr>
          <w:rFonts w:ascii="Times New Roman" w:hAnsi="Times New Roman" w:cs="Times New Roman"/>
        </w:rPr>
        <w:instrText xml:space="preserve"> ADDIN ZOTERO_ITEM CSL_CITATION {"citationID":"cdUoePHA","properties":{"formattedCitation":"(Acuff, Amlung, et al., 2020)","plainCitation":"(Acuff, Amlung, et al., 2020)","noteIndex":0},"citationItems":[{"id":723,"uris":["http://zotero.org/users/7873587/items/96IHIJ5I"],"itemData":{"id":723,"type":"article-journal","abstract":"BACKGROUND AND AIMS: Reinforcing value, an index of motivation for a drug, is commonly measured using behavioral economic purchase tasks. State-oriented purchase tasks are sensitive to phasic manipulations, but with heterogeneous methods and findings. The aim of this meta-analysis was to characterize the literature examining manipulations of reinforcing value, as measured by purchase tasks and multiple-choice procedures, to inform etiological models and treatment approaches METHODS: A random-effects meta-analysis of published findings in peer-reviewed articles. Following the Preferred Reporting Items for Systematic Reviews and Meta-Analysis (PRISMA) protocol, studies were gathered through searches in PsycINFO and PubMed/MEDLINE (published 22 May 2018). Searches returned 34 unique studies (aggregate sample n = 2402; average sample size = 68.94) yielding 126 effect sizes. Measurements included change (i.e. Cohen's d) in six behavioral economic indices (intensity, breakpoint, Omax , Pmax , elasticity, cross-over point) in relation to six experimental manipulations (cue exposure, stress/negative affect, reinforcer magnitude, pharmacotherapy, behavioral interventions, opportunity cost).\nRESULTS: Cue exposure (d range = 0.25-0.44, all Ps &lt; 0.05) and reinforcer magnitude [d = 0.60; 95% confidence interval (CI) = 0.18, 1.01; P &lt; 0.005] manipulations resulted in significant increases in behavioral economic demand across studies. Stress/negative affect manipulations also resulted in a small, significant increase in Omax (d = 0.18; 95% CI = 0.01, 0.34; P = 0.03); all other effect sizes for negative affect/stress were non-significant, albeit similar in size (d range = 0.14-0.18). In contrast, pharmacotherapy (d range = -0.37 to -0.49; Ps &lt; 0.04), behavioral intervention (d = -0.36 to -1.13) and external contingency (d = -1.42; CI = -2.30, -0.54; P = 0.002) manipulations resulted in a significant decrease in intensity. Moderators (substance type) explained some of the heterogeneity in findings across meta-analyses.\nCONCLUSIONS: In behavioral economic studies, purchase tasks and multiple-choice procedures appear to provide indices that are sensitive to manipulations found to influence motivation to consume addictive substances in field experiments.","container-title":"Addiction","DOI":"10.1111/add.14865","ISSN":"1360-0443","issue":"5","journalAbbreviation":"Addiction","language":"eng","note":"PMID: 31656048\nPMCID: PMC7156308","page":"817-831","source":"PubMed","title":"Experimental manipulations of behavioral economic demand for addictive commodities: a meta-analysis","title-short":"Experimental manipulations of behavioral economic demand for addictive commodities","volume":"115","author":[{"family":"Acuff","given":"Samuel F."},{"family":"Amlung","given":"Michael"},{"family":"Dennhardt","given":"Ashley A."},{"family":"MacKillop","given":"James"},{"family":"Murphy","given":"James G."}],"issued":{"date-parts":[["2020"]]}}}],"schema":"https://github.com/citation-style-language/schema/raw/master/csl-citation.json"} </w:instrText>
      </w:r>
      <w:r w:rsidR="007730E5" w:rsidRPr="009F5C0D">
        <w:rPr>
          <w:rFonts w:ascii="Times New Roman" w:hAnsi="Times New Roman" w:cs="Times New Roman"/>
        </w:rPr>
        <w:fldChar w:fldCharType="separate"/>
      </w:r>
      <w:r w:rsidR="007730E5" w:rsidRPr="009F5C0D">
        <w:rPr>
          <w:rFonts w:ascii="Times New Roman" w:hAnsi="Times New Roman" w:cs="Times New Roman"/>
        </w:rPr>
        <w:t>(Acuff, Amlung, et al., 2020)</w:t>
      </w:r>
      <w:r w:rsidR="007730E5" w:rsidRPr="009F5C0D">
        <w:rPr>
          <w:rFonts w:ascii="Times New Roman" w:hAnsi="Times New Roman" w:cs="Times New Roman"/>
        </w:rPr>
        <w:fldChar w:fldCharType="end"/>
      </w:r>
      <w:r w:rsidRPr="009F5C0D">
        <w:rPr>
          <w:rFonts w:ascii="Times New Roman" w:hAnsi="Times New Roman" w:cs="Times New Roman"/>
        </w:rPr>
        <w:t xml:space="preserve">, and that </w:t>
      </w:r>
      <w:r w:rsidR="00107EBB" w:rsidRPr="009F5C0D">
        <w:rPr>
          <w:rFonts w:ascii="Times New Roman" w:hAnsi="Times New Roman" w:cs="Times New Roman"/>
        </w:rPr>
        <w:t>manipulation of</w:t>
      </w:r>
      <w:r w:rsidRPr="009F5C0D">
        <w:rPr>
          <w:rFonts w:ascii="Times New Roman" w:hAnsi="Times New Roman" w:cs="Times New Roman"/>
        </w:rPr>
        <w:t xml:space="preserve"> alcohol</w:t>
      </w:r>
      <w:r w:rsidR="00107EBB" w:rsidRPr="009F5C0D">
        <w:rPr>
          <w:rFonts w:ascii="Times New Roman" w:hAnsi="Times New Roman" w:cs="Times New Roman"/>
        </w:rPr>
        <w:t xml:space="preserve"> value</w:t>
      </w:r>
      <w:r w:rsidRPr="009F5C0D">
        <w:rPr>
          <w:rFonts w:ascii="Times New Roman" w:hAnsi="Times New Roman" w:cs="Times New Roman"/>
        </w:rPr>
        <w:t xml:space="preserve"> influences decisions made about alcohol-free alternatives.</w:t>
      </w:r>
      <w:r w:rsidRPr="009464DF">
        <w:rPr>
          <w:rFonts w:ascii="Times New Roman" w:hAnsi="Times New Roman" w:cs="Times New Roman"/>
        </w:rPr>
        <w:t xml:space="preserve"> Given these findings, it may be that increases in the value of alcohol-free alternatives is the important underlying mechanism.</w:t>
      </w:r>
    </w:p>
    <w:p w14:paraId="40064042" w14:textId="77777777" w:rsidR="0079507D" w:rsidRPr="009464DF" w:rsidRDefault="0079507D" w:rsidP="00762442">
      <w:pPr>
        <w:pStyle w:val="NoSpacing"/>
        <w:spacing w:line="480" w:lineRule="auto"/>
        <w:rPr>
          <w:rFonts w:ascii="Times New Roman" w:hAnsi="Times New Roman" w:cs="Times New Roman"/>
        </w:rPr>
      </w:pPr>
    </w:p>
    <w:p w14:paraId="4ADC0C20" w14:textId="46752C3F" w:rsidR="0079507D" w:rsidRPr="009464DF"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A further contribution is that the findings from the empirical Chapters within this thesis suggest that different decision-making processes may be important to target for different substance types. For example, Chapter 4 is specific to alcohol</w:t>
      </w:r>
      <w:r w:rsidR="007730E5">
        <w:rPr>
          <w:rFonts w:ascii="Times New Roman" w:hAnsi="Times New Roman" w:cs="Times New Roman"/>
        </w:rPr>
        <w:t xml:space="preserve"> findings</w:t>
      </w:r>
      <w:r w:rsidRPr="009464DF">
        <w:rPr>
          <w:rFonts w:ascii="Times New Roman" w:hAnsi="Times New Roman" w:cs="Times New Roman"/>
        </w:rPr>
        <w:t xml:space="preserve"> indicate that it may be changes in decision-making processes for the alcohol-free alternative that is important, whereas for Chapter 7 which is specific to tobacco, findings indicate that changes in decision-making processes for tobacco may be most important. These findings imply that it may be required for treatments to be personalised by targeting specific processes depending on the type of substance a person is receiving a brief intervention or treatment for. </w:t>
      </w:r>
    </w:p>
    <w:p w14:paraId="76CA13E5" w14:textId="77777777" w:rsidR="0079507D" w:rsidRPr="009464DF" w:rsidRDefault="0079507D" w:rsidP="00762442">
      <w:pPr>
        <w:pStyle w:val="NoSpacing"/>
        <w:spacing w:line="480" w:lineRule="auto"/>
        <w:rPr>
          <w:rFonts w:ascii="Times New Roman" w:hAnsi="Times New Roman" w:cs="Times New Roman"/>
        </w:rPr>
      </w:pPr>
    </w:p>
    <w:p w14:paraId="416A2417" w14:textId="274740D5" w:rsidR="0079507D" w:rsidRPr="009464DF"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 xml:space="preserve">Another implication of VBDM is that it provides an opportunity to quantify the process of behaviour change and recovery beyond alterations in substance-related decision parameters. Indeed, </w:t>
      </w:r>
      <w:r w:rsidR="00BC2D1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{"citationID":"W6OyNr4g","properties":{"formattedCitation":"(Witkiewitz &amp; Tucker, 2020)","plainCitation":"(Witkiewitz &amp; Tucker, 2020)","dontUpdate":true,"noteIndex":0},"citationItems":[{"id":1748,"uris":["http://zotero.org/users/7873587/items/BG2J5M5S"],"itemData":{"id":1748,"type":"article-journal","container-title":"Alcoholism, Clinical and Experimental Research","DOI":"10.1111/acer.14235","ISSN":"1530-0277","issue":"1","journalAbbreviation":"Alcohol Clin Exp Res","language":"eng","note":"PMID: 31709568\nPMCID: PMC6980896","page":"36-40","source":"PubMed","title":"Abstinence not required: Expanding the definition of recovery from alcohol use disorder","title-short":"Abstinence Not Required","volume":"44","author":[{"family":"Witkiewitz","given":"Katie"},{"family":"Tucker","given":"Jalie A."}],"issued":{"date-parts":[["2020",1]]}}}],"schema":"https://github.com/citation-style-language/schema/raw/master/csl-citation.json"} </w:instrText>
      </w:r>
      <w:r w:rsidR="00BC2D14">
        <w:rPr>
          <w:rFonts w:ascii="Times New Roman" w:hAnsi="Times New Roman" w:cs="Times New Roman"/>
        </w:rPr>
        <w:fldChar w:fldCharType="separate"/>
      </w:r>
      <w:r w:rsidR="00BC2D14" w:rsidRPr="00BC2D14">
        <w:rPr>
          <w:rFonts w:ascii="Times New Roman" w:hAnsi="Times New Roman" w:cs="Times New Roman"/>
        </w:rPr>
        <w:t xml:space="preserve">Witkiewitz </w:t>
      </w:r>
      <w:r w:rsidR="00BC2D14">
        <w:rPr>
          <w:rFonts w:ascii="Times New Roman" w:hAnsi="Times New Roman" w:cs="Times New Roman"/>
        </w:rPr>
        <w:t>and</w:t>
      </w:r>
      <w:r w:rsidR="00BC2D14" w:rsidRPr="00BC2D14">
        <w:rPr>
          <w:rFonts w:ascii="Times New Roman" w:hAnsi="Times New Roman" w:cs="Times New Roman"/>
        </w:rPr>
        <w:t xml:space="preserve"> Tucker </w:t>
      </w:r>
      <w:r w:rsidR="00BC2D14">
        <w:rPr>
          <w:rFonts w:ascii="Times New Roman" w:hAnsi="Times New Roman" w:cs="Times New Roman"/>
        </w:rPr>
        <w:t>(</w:t>
      </w:r>
      <w:r w:rsidR="00BC2D14" w:rsidRPr="00BC2D14">
        <w:rPr>
          <w:rFonts w:ascii="Times New Roman" w:hAnsi="Times New Roman" w:cs="Times New Roman"/>
        </w:rPr>
        <w:t>2020)</w:t>
      </w:r>
      <w:r w:rsidR="00BC2D14">
        <w:rPr>
          <w:rFonts w:ascii="Times New Roman" w:hAnsi="Times New Roman" w:cs="Times New Roman"/>
        </w:rPr>
        <w:fldChar w:fldCharType="end"/>
      </w:r>
      <w:r w:rsidRPr="009464DF">
        <w:rPr>
          <w:rFonts w:ascii="Times New Roman" w:hAnsi="Times New Roman" w:cs="Times New Roman"/>
        </w:rPr>
        <w:t xml:space="preserve"> advocate that changes in substance use should not dominate how improvement or recovery is defined. Rather, authors propose that other things which symbolise on-going improvements in well-being and psychological functioning should be considered as equally important features of recovery </w:t>
      </w:r>
      <w:r w:rsidR="00BC2D1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{"citationID":"8pj57wGK","properties":{"formattedCitation":"(Witkiewitz et al., 2020)","plainCitation":"(Witkiewitz et al., 2020)","noteIndex":0},"citationItems":[{"id":1215,"uris":["http://zotero.org/users/7873587/items/DR5M7YUW"],"itemData":{"id":1215,"type":"article-journal","abstract":"Alcohol use disorder (AUD) is among the most prevalent psychiatric disorders and is associated with enormous public health costs. Although AUD and other addictive behaviors have been described as chronic relapsing conditions, most individuals who develop AUD will eventually recover. This narrative review provides an overview of definitions of recovery, with a focus on recovery from AUD. The definitions reviewed include those developed by key stakeholder groups, as well as definitions derived from recent quantitative and qualitative studies of individuals who meet criteria for AUD and attempt to resolve their problems with or without treatment or who self-identify as pursuing or achieving recovery. The literature reviewed supports a definition of recovery as an ongoing dynamic process of behavior change characterized by relatively stable improvements in biopsychosocial functioning and purpose in life. The review concludes that definitions of recovery that rely solely on abstinence from alcohol and the absence of AUD symptoms fail to capture the multidimensional and heterogeneous pathways to recovery that are evident among individuals in general population and clinical samples.","container-title":"Alcohol Research: Current Reviews","DOI":"10.35946/arcr.v40.3.01","ISSN":"2169-4796","issue":"3","journalAbbreviation":"Alcohol Res","language":"eng","note":"PMID: 32983748\nPMCID: PMC7505137","page":"01","source":"PubMed","title":"What is recovery?","volume":"40","author":[{"family":"Witkiewitz","given":"Katie"},{"family":"Montes","given":"Kevin S."},{"family":"Schwebel","given":"Frank J."},{"family":"Tucker","given":"Jalie A."}],"issued":{"date-parts":[["2020"]]}}}],"schema":"https://github.com/citation-style-language/schema/raw/master/csl-citation.json"} </w:instrText>
      </w:r>
      <w:r w:rsidR="00BC2D14">
        <w:rPr>
          <w:rFonts w:ascii="Times New Roman" w:hAnsi="Times New Roman" w:cs="Times New Roman"/>
        </w:rPr>
        <w:fldChar w:fldCharType="separate"/>
      </w:r>
      <w:r w:rsidR="00BC2D14" w:rsidRPr="00BC2D14">
        <w:rPr>
          <w:rFonts w:ascii="Times New Roman" w:hAnsi="Times New Roman" w:cs="Times New Roman"/>
        </w:rPr>
        <w:t>(Witkiewitz et al., 2020)</w:t>
      </w:r>
      <w:r w:rsidR="00BC2D14">
        <w:rPr>
          <w:rFonts w:ascii="Times New Roman" w:hAnsi="Times New Roman" w:cs="Times New Roman"/>
        </w:rPr>
        <w:fldChar w:fldCharType="end"/>
      </w:r>
      <w:r w:rsidRPr="009464DF">
        <w:rPr>
          <w:rFonts w:ascii="Times New Roman" w:hAnsi="Times New Roman" w:cs="Times New Roman"/>
        </w:rPr>
        <w:t xml:space="preserve">. In VBDM, </w:t>
      </w:r>
      <w:r w:rsidRPr="009464DF">
        <w:rPr>
          <w:rFonts w:ascii="Times New Roman" w:hAnsi="Times New Roman" w:cs="Times New Roman"/>
        </w:rPr>
        <w:lastRenderedPageBreak/>
        <w:t xml:space="preserve">it is possible to track changes in decision-making processes regarding alternative reinforcers to substance use, possible examples may be spending time with family, friends, or engaging in hobbies (e.g., exercise). Being able to quantify and interpret changes in substance-free decision parameters could enable researchers and/or clinicians to monitor the recovery process beyond substance use alone. This is synonymous with observations that there are no unanimous definitions of recovery </w:t>
      </w:r>
      <w:r w:rsidR="00BC2D14">
        <w:rPr>
          <w:rFonts w:ascii="Times New Roman" w:hAnsi="Times New Roman" w:cs="Times New Roman"/>
        </w:rPr>
        <w:fldChar w:fldCharType="begin"/>
      </w:r>
      <w:r w:rsidR="00BC2D14">
        <w:rPr>
          <w:rFonts w:ascii="Times New Roman" w:hAnsi="Times New Roman" w:cs="Times New Roman"/>
        </w:rPr>
        <w:instrText xml:space="preserve"> ADDIN ZOTERO_ITEM CSL_CITATION {"citationID":"BS7UI1ll","properties":{"formattedCitation":"(Ashford et al., 2019)","plainCitation":"(Ashford et al., 2019)","noteIndex":0},"citationItems":[{"id":1201,"uris":["http://zotero.org/users/7873587/items/M5HUFQAY"],"itemData":{"id":1201,"type":"article-journal","abstract":"A number of definitions exist for the concept of “recovery” in both the substance use disorder (SUD) and mental health (MH) fields. Previous attempts to define recovery have not reached consensus among experts within the field. Thus, the definition has remained diffuse at the expense of attempts to measure and evaluate treatment and recovery outcomes. The notion of recovery as an organizing principle between SUD and MH, collectively identified as behavioral health (BH), can be better served by a collaborative endeavor to define the word and concept of “recovery”. The Recovery Science Research Collaborative (RSRC), an interdisciplinary bi-annual collaboration among recovery researchers and professionals from across the country, sought to address the definition of recovery at the inaugural meeting in December 2017 at Kennesaw State University. The RSRC undertook this task with the primary goal of defining “recovery” for use in research – aiming to create a consensus definition that allows recovery to be clearly operationalized and effectively investigated.","container-title":"Addiction Research &amp; Theory","DOI":"10.1080/16066359.2018.1515352","ISSN":"1606-6359","issue":"3","note":"publisher: Taylor &amp; Francis\n_eprint: https://doi.org/10.1080/16066359.2018.1515352","page":"179-188","source":"Taylor and Francis+NEJM","title":"Defining and operationalizing the phenomena of recovery: a working definition from the recovery science research collaborative","title-short":"Defining and operationalizing the phenomena of recovery","volume":"27","author":[{"family":"Ashford","given":"Robert D."},{"family":"Brown","given":"Austin"},{"family":"Brown","given":"Tiffany"},{"family":"Callis","given":"Jason"},{"family":"Cleveland","given":"H. Harrington"},{"family":"Eisenhart","given":"Emily"},{"family":"Groover","given":"Hillary"},{"family":"Hayes","given":"Nicholas"},{"family":"Johnston","given":"Teresa"},{"family":"Kimball","given":"Thomas"},{"family":"Manteuffel","given":"Brigitte"},{"family":"McDaniel","given":"Jessica"},{"family":"Montgomery","given":"Lindsay"},{"family":"Phillips","given":"Shane"},{"family":"Polacek","given":"Michael"},{"family":"Statman","given":"Matt"},{"family":"Whitney","given":"Jason"}],"issued":{"date-parts":[["2019",5,4]]}}}],"schema":"https://github.com/citation-style-language/schema/raw/master/csl-citation.json"} </w:instrText>
      </w:r>
      <w:r w:rsidR="00BC2D14">
        <w:rPr>
          <w:rFonts w:ascii="Times New Roman" w:hAnsi="Times New Roman" w:cs="Times New Roman"/>
        </w:rPr>
        <w:fldChar w:fldCharType="separate"/>
      </w:r>
      <w:r w:rsidR="00BC2D14" w:rsidRPr="00BC2D14">
        <w:rPr>
          <w:rFonts w:ascii="Times New Roman" w:hAnsi="Times New Roman" w:cs="Times New Roman"/>
        </w:rPr>
        <w:t>(Ashford et al., 2019)</w:t>
      </w:r>
      <w:r w:rsidR="00BC2D14">
        <w:rPr>
          <w:rFonts w:ascii="Times New Roman" w:hAnsi="Times New Roman" w:cs="Times New Roman"/>
        </w:rPr>
        <w:fldChar w:fldCharType="end"/>
      </w:r>
      <w:r w:rsidRPr="009464DF">
        <w:rPr>
          <w:rFonts w:ascii="Times New Roman" w:hAnsi="Times New Roman" w:cs="Times New Roman"/>
        </w:rPr>
        <w:t xml:space="preserve"> or relapse </w:t>
      </w:r>
      <w:r w:rsidR="00BC2D14">
        <w:rPr>
          <w:rFonts w:ascii="Times New Roman" w:hAnsi="Times New Roman" w:cs="Times New Roman"/>
        </w:rPr>
        <w:fldChar w:fldCharType="begin"/>
      </w:r>
      <w:r w:rsidR="00BC2D14">
        <w:rPr>
          <w:rFonts w:ascii="Times New Roman" w:hAnsi="Times New Roman" w:cs="Times New Roman"/>
        </w:rPr>
        <w:instrText xml:space="preserve"> ADDIN ZOTERO_ITEM CSL_CITATION {"citationID":"rteKCiDz","properties":{"formattedCitation":"(Sliedrecht et al., 2019)","plainCitation":"(Sliedrecht et al., 2019)","noteIndex":0},"citationItems":[{"id":1624,"uris":["http://zotero.org/users/7873587/items/X6ASA5U7"],"itemData":{"id":1624,"type":"article-journal","abstract":"A relapsing-remitting course is very common in patients with an Alcohol Use Disorder (AUD). Understanding the determinants associated with alcohol resumption remains a formidable task. This paper examines relapse determinants based on a systematic review of recent alcohol literature (2000-2019). Relevant databases were consulted for articles that contained information about specific relapse determinants and reported statistical significance of each relapse determinant in predicting relapse. Relapse was broadly defined based on the characterization in the included articles. From the initial identified 4613 papers, a total of 321 articles were included. Results encompass multiple relapse determinants, which were ordered according to biopsychosocial and spiritual categories, and presented, using a descriptive methodology. Psychiatric co-morbidity, AUD severity, craving, use of other substances, health and social factors were consistently significantly associated with AUD relapse. Conversely, supportive social network factors, self efficacy, and factors related to purpose and meaning in life, were protective against AUD relapse. Despite heterogeneity in different methods, measures, and sample characteristics, these findings may contribute to a better therapeutic understanding in which specific factors are associated with relapse and those that prevent relapse. Such factors may have a role in a personalized medicine framework to improve patient outcomes.","container-title":"Psychiatry Research","DOI":"10.1016/j.psychres.2019.05.038","ISSN":"1872-7123","journalAbbreviation":"Psychiatry Res","language":"eng","note":"PMID: 31174033","page":"97-115","source":"PubMed","title":"Alcohol use disorder relapse factors: A systematic review","title-short":"Alcohol use disorder relapse factors","volume":"278","author":[{"family":"Sliedrecht","given":"Wilco"},{"family":"Waart","given":"Ranne","non-dropping-particle":"de"},{"family":"Witkiewitz","given":"Katie"},{"family":"Roozen","given":"Hendrik G."}],"issued":{"date-parts":[["2019",8]]}}}],"schema":"https://github.com/citation-style-language/schema/raw/master/csl-citation.json"} </w:instrText>
      </w:r>
      <w:r w:rsidR="00BC2D14">
        <w:rPr>
          <w:rFonts w:ascii="Times New Roman" w:hAnsi="Times New Roman" w:cs="Times New Roman"/>
        </w:rPr>
        <w:fldChar w:fldCharType="separate"/>
      </w:r>
      <w:r w:rsidR="00BC2D14" w:rsidRPr="00BC2D14">
        <w:rPr>
          <w:rFonts w:ascii="Times New Roman" w:hAnsi="Times New Roman" w:cs="Times New Roman"/>
        </w:rPr>
        <w:t>(Sliedrecht et al., 2019)</w:t>
      </w:r>
      <w:r w:rsidR="00BC2D14">
        <w:rPr>
          <w:rFonts w:ascii="Times New Roman" w:hAnsi="Times New Roman" w:cs="Times New Roman"/>
        </w:rPr>
        <w:fldChar w:fldCharType="end"/>
      </w:r>
      <w:r w:rsidRPr="009464DF">
        <w:rPr>
          <w:rFonts w:ascii="Times New Roman" w:hAnsi="Times New Roman" w:cs="Times New Roman"/>
        </w:rPr>
        <w:t xml:space="preserve">; addiction is heterogeneous </w:t>
      </w:r>
      <w:r w:rsidR="00E30B60">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{"citationID":"L6ICFGcQ","properties":{"formattedCitation":"(Pickard, 2020b)","plainCitation":"(Pickard, 2020b)","noteIndex":0},"citationItems":[{"id":1256,"uris":["http://zotero.org/users/7873587/items/HIM538VR"],"itemData":{"id":1256,"type":"article-journal","abstract":"The landscape of addiction is dominated by two rival models: a moral model and a model that characterizes addiction as a neurobiological disease of compulsion. Against both, I offer a scientifically and clinically informed alternative. Addiction is a highly heterogenous condition that is ill-characterized as involving compulsive use. On the whole, drug consumption in addiction remains goal directed: people take drugs because drugs have tremendous value. This view has potential implications for the claim that addiction is, in all cases, a brain disease. But more importantly, it has implications for clinical and policy interventions. To help someone overcome addiction, you need to understand and address why they persist in using drugs despite negative consequences. If they are not compelled, then the explanation must advert to the value of drugs for them as an individual. What blocks us from acknowledging this reality is not science but fear: that it will ignite moralism about drugs and condemnation of drug users. The solution is not to cleave to the concept of compulsion but to fight moralism directly.","container-title":"Hastings Center Report","DOI":"10.1002/hast.1172","ISSN":"1552-146X","issue":"4","language":"en","note":"_eprint: https://onlinelibrary.wiley.com/doi/pdf/10.1002/hast.1172","page":"37-46","source":"Wiley Online Library","title":"What we're not talking about when we talk about addiction","volume":"50","author":[{"family":"Pickard","given":"Hanna"}],"issued":{"date-parts":[["2020"]]}}}],"schema":"https://github.com/citation-style-language/schema/raw/master/csl-citation.json"} </w:instrText>
      </w:r>
      <w:r w:rsidR="00E30B60">
        <w:rPr>
          <w:rFonts w:ascii="Times New Roman" w:hAnsi="Times New Roman" w:cs="Times New Roman"/>
        </w:rPr>
        <w:fldChar w:fldCharType="separate"/>
      </w:r>
      <w:r w:rsidR="00E30B60" w:rsidRPr="00E30B60">
        <w:rPr>
          <w:rFonts w:ascii="Times New Roman" w:hAnsi="Times New Roman" w:cs="Times New Roman"/>
        </w:rPr>
        <w:t>(Pickard, 2020b)</w:t>
      </w:r>
      <w:r w:rsidR="00E30B60">
        <w:rPr>
          <w:rFonts w:ascii="Times New Roman" w:hAnsi="Times New Roman" w:cs="Times New Roman"/>
        </w:rPr>
        <w:fldChar w:fldCharType="end"/>
      </w:r>
      <w:r w:rsidRPr="009464DF">
        <w:rPr>
          <w:rFonts w:ascii="Times New Roman" w:hAnsi="Times New Roman" w:cs="Times New Roman"/>
        </w:rPr>
        <w:t xml:space="preserve"> meaning that recovery may look different for different people.</w:t>
      </w:r>
    </w:p>
    <w:p w14:paraId="1FF74F6A" w14:textId="77777777" w:rsidR="0079507D" w:rsidRPr="009464DF" w:rsidRDefault="0079507D" w:rsidP="00762442">
      <w:pPr>
        <w:pStyle w:val="NoSpacing"/>
        <w:spacing w:line="480" w:lineRule="auto"/>
        <w:rPr>
          <w:rFonts w:ascii="Times New Roman" w:hAnsi="Times New Roman" w:cs="Times New Roman"/>
        </w:rPr>
      </w:pPr>
    </w:p>
    <w:p w14:paraId="04D33AE8" w14:textId="58558B79" w:rsidR="0079507D" w:rsidRDefault="0079507D" w:rsidP="00762442">
      <w:pPr>
        <w:pStyle w:val="NoSpacing"/>
        <w:spacing w:line="480" w:lineRule="auto"/>
        <w:rPr>
          <w:rFonts w:ascii="Times New Roman" w:hAnsi="Times New Roman" w:cs="Times New Roman"/>
        </w:rPr>
      </w:pPr>
      <w:r w:rsidRPr="009464DF">
        <w:rPr>
          <w:rFonts w:ascii="Times New Roman" w:hAnsi="Times New Roman" w:cs="Times New Roman"/>
        </w:rPr>
        <w:t xml:space="preserve">Finally, by using computational methodology to quantify decision-making processes that occur in the lead up to a decision being made, if the task were to be completed at repeated intervals, VBDM may offer a novel opportunity to track a person’s progress in the absence of overt behaviour </w:t>
      </w:r>
      <w:r w:rsidR="00E30B60">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{"citationID":"waGytOls","properties":{"formattedCitation":"(Field,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E30B60">
        <w:rPr>
          <w:rFonts w:ascii="Times New Roman" w:hAnsi="Times New Roman" w:cs="Times New Roman"/>
        </w:rPr>
        <w:fldChar w:fldCharType="separate"/>
      </w:r>
      <w:r w:rsidR="00E30B60" w:rsidRPr="00E30B60">
        <w:rPr>
          <w:rFonts w:ascii="Times New Roman" w:hAnsi="Times New Roman" w:cs="Times New Roman"/>
        </w:rPr>
        <w:t>(Field, Heather, et al., 2020)</w:t>
      </w:r>
      <w:r w:rsidR="00E30B60">
        <w:rPr>
          <w:rFonts w:ascii="Times New Roman" w:hAnsi="Times New Roman" w:cs="Times New Roman"/>
        </w:rPr>
        <w:fldChar w:fldCharType="end"/>
      </w:r>
      <w:r w:rsidRPr="009464DF">
        <w:rPr>
          <w:rFonts w:ascii="Times New Roman" w:hAnsi="Times New Roman" w:cs="Times New Roman"/>
        </w:rPr>
        <w:t xml:space="preserve">. This may have implications for the administration of “booster-sessions” </w:t>
      </w:r>
      <w:r w:rsidR="000C67F7">
        <w:rPr>
          <w:rFonts w:ascii="Times New Roman" w:hAnsi="Times New Roman" w:cs="Times New Roman"/>
        </w:rPr>
        <w:fldChar w:fldCharType="begin"/>
      </w:r>
      <w:r w:rsidR="000C67F7">
        <w:rPr>
          <w:rFonts w:ascii="Times New Roman" w:hAnsi="Times New Roman" w:cs="Times New Roman"/>
        </w:rPr>
        <w:instrText xml:space="preserve"> ADDIN ZOTERO_ITEM CSL_CITATION {"citationID":"PVs6aym4","properties":{"formattedCitation":"(Nation et al., 2003)","plainCitation":"(Nation et al., 2003)","noteIndex":0},"citationItems":[{"id":1753,"uris":["http://zotero.org/users/7873587/items/75D6H9WD"],"itemData":{"id":1753,"type":"article-journal","abstract":"The high prevalence of drug abuse, delinquency, youth violence, and other youth problems creates a need to identify and disseminate effective prevention strategies. General principles gleaned from effective interventions may help prevention practitioners select, modify, or create more effective programs. Using a review-of-reviews approach across 4 areas (substance abuse, risky sexual behavior, school failure, and juvenile delinquency and violence), the authors identified 9 characteristics that were consistently associated with effective prevention programs: Programs were comprehensive, included varied teaching methods, provided sufficient dosage, were theory driven, provided opportunities for positive relationships, were appropriately timed, were socioculturally relevant, included outcome evaluation, and involved well-trained staff. This synthesis can inform the planning and implementation of problem-specific prevention interventions, provide a rationale for multi-problem prevention programs, and serve as a basis for further research.","container-title":"The American Psychologist","DOI":"10.1037/0003-066x.58.6-7.449","ISSN":"0003-066X","issue":"6-7","journalAbbreviation":"Am Psychol","language":"eng","note":"PMID: 12971191","page":"449-456","source":"PubMed","title":"What works in prevention. Principles of effective prevention programs","volume":"58","author":[{"family":"Nation","given":"Maury"},{"family":"Crusto","given":"Cindy"},{"family":"Wandersman","given":"Abraham"},{"family":"Kumpfer","given":"Karol L."},{"family":"Seybolt","given":"Diana"},{"family":"Morrissey-Kane","given":"Erin"},{"family":"Davino","given":"Katrina"}],"issued":{"date-parts":[["2003",7]]}}}],"schema":"https://github.com/citation-style-language/schema/raw/master/csl-citation.json"} </w:instrText>
      </w:r>
      <w:r w:rsidR="000C67F7">
        <w:rPr>
          <w:rFonts w:ascii="Times New Roman" w:hAnsi="Times New Roman" w:cs="Times New Roman"/>
        </w:rPr>
        <w:fldChar w:fldCharType="separate"/>
      </w:r>
      <w:r w:rsidR="000C67F7" w:rsidRPr="000C67F7">
        <w:rPr>
          <w:rFonts w:ascii="Times New Roman" w:hAnsi="Times New Roman" w:cs="Times New Roman"/>
        </w:rPr>
        <w:t>(Nation et al., 2003)</w:t>
      </w:r>
      <w:r w:rsidR="000C67F7">
        <w:rPr>
          <w:rFonts w:ascii="Times New Roman" w:hAnsi="Times New Roman" w:cs="Times New Roman"/>
        </w:rPr>
        <w:fldChar w:fldCharType="end"/>
      </w:r>
      <w:r w:rsidRPr="009464DF">
        <w:rPr>
          <w:rFonts w:ascii="Times New Roman" w:hAnsi="Times New Roman" w:cs="Times New Roman"/>
        </w:rPr>
        <w:t xml:space="preserve"> within treatment settings. For example, based upon the findings from Chapter 7, this may be appropriate if a person was experiencing momentarily lowered response thresholds for tobacco. Another hypothetical example may be that, based upon findings from Chapter 4, changes in EA rates for alcohol-free alternatives may signify early signs of behaviour change or engagement with a brief intervention or treatment, and these changes might be detectable before any overt changes in substance use itself.</w:t>
      </w:r>
    </w:p>
    <w:p w14:paraId="6146494B" w14:textId="77777777" w:rsidR="000C67F7" w:rsidRDefault="000C67F7" w:rsidP="00762442">
      <w:pPr>
        <w:pStyle w:val="NoSpacing"/>
        <w:spacing w:line="480" w:lineRule="auto"/>
      </w:pPr>
    </w:p>
    <w:p w14:paraId="3ED26553" w14:textId="204C34ED" w:rsidR="000C67F7" w:rsidRPr="000C67F7" w:rsidRDefault="000C67F7" w:rsidP="00762442">
      <w:pPr>
        <w:pStyle w:val="Heading2"/>
      </w:pPr>
      <w:bookmarkStart w:id="355" w:name="_Toc110612749"/>
      <w:bookmarkStart w:id="356" w:name="_Toc110629089"/>
      <w:bookmarkStart w:id="357" w:name="_Toc110870997"/>
      <w:r w:rsidRPr="000C67F7">
        <w:t>8.5</w:t>
      </w:r>
      <w:r w:rsidR="00403E7C">
        <w:t>.</w:t>
      </w:r>
      <w:r w:rsidRPr="000C67F7">
        <w:t xml:space="preserve"> Strengths and limitations</w:t>
      </w:r>
      <w:bookmarkEnd w:id="355"/>
      <w:bookmarkEnd w:id="356"/>
      <w:bookmarkEnd w:id="357"/>
    </w:p>
    <w:p w14:paraId="2885EABC" w14:textId="56BBE102"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There are several strengths to the research presented within this thesis. I used validated image sets (e.g., the Amsterdam Beverage Picture Set; </w:t>
      </w:r>
      <w:r w:rsidR="00B042F5">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{"citationID":"S4rQkZM2","properties":{"formattedCitation":"(Pronk et al., 2015)","plainCitation":"(Pronk et al., 2015)","dontUpdate":true,"noteIndex":0},"citationItems":[{"id":3,"uris":["http://zotero.org/users/7873587/items/YVD8T4MG"],"itemData":{"id":3,"type":"article-journal","abstract":"Background: Alcohol research may benefit from controlled and validated picture sets. We have constructed the Amsterdam Beverage Picture Set (ABPS), which was designed for alcohol research in general and cognitive bias measurement and modification in particular. Here, we first formulate a position on alcohol stimulus validity that prescribes that alcohol-containing pictures, compared to nonalcohol-containing pictures, should induce a stronger urge to drink in heavy drinkers than in light drinkers. Because a perceptually simple picture might induce stronger cognitive biases but the presence of a drinking context might induce a stronger urge to drink, the ABPS contains pictures with and without drinking context. By limiting drinking contexts to simple consumption scenes instead of real-life scenes, complexity was minimized. A validation study was conducted to establish validity, to examine ABPS drinking contexts, and to explore the role of familiarity, valence, arousal, and control. Methods: Two hundred ninety-one psychology students completed the Alcohol Use Disorders Identification Test, as well as rating and recognition tasks for a subset of the ABPS pictures. Results: The ABPS was well-recognized, familiar, and heavy drinkers reported a greater urge to drink in response to the alcohol-containing pictures only. Alcohol presented in drinking context did not elicit a stronger urge to drink but was recognized more slowly than alcohol presented without context. Conclusions: The ABPS was found to be valid, although pictures without context might be preferable for measuring cognitive biases than pictures with context. We discuss how an explicit approach to picture construction may aid in creating variations of the ABPS. Finally, we describe how ABPS adoption across studies may allow more reproducible and comparable results across paradigms, while allowing researchers to apply picture selection criteria that correspond to a wide range of theoretical positions. The latter is exemplified by ABPS derivatives and adoptions that are currently under way. (PsycINFO Database Record (c) 2016 APA, all rights reserved)","container-title":"Alcoholism: Clinical and Experimental Research","DOI":"10.1111/acer.12853","ISSN":"1530-0277(Electronic),0145-6008(Print)","issue":"10","note":"publisher-place: United Kingdom\npublisher: Wiley-Blackwell Publishing Ltd.","page":"2047-2055","source":"APA PsycNET","title":"Validation of the Amsterdam Beverage Picture Set: A controlled picture set for cognitive bias measurement and modification paradigms","title-short":"Validation of the Amsterdam Beverage Picture Set","volume":"39","author":[{"family":"Pronk","given":"Thomas"},{"family":"Deursen","given":"Denise S.","non-dropping-particle":"van"},{"family":"Beraha","given":"Esther M."},{"family":"Larsen","given":"Helle"},{"family":"Wiers","given":"Reinout W."}],"issued":{"date-parts":[["2015"]]}}}],"schema":"https://github.com/citation-style-language/schema/raw/master/csl-citation.json"} </w:instrText>
      </w:r>
      <w:r w:rsidR="00B042F5">
        <w:rPr>
          <w:rFonts w:ascii="Times New Roman" w:hAnsi="Times New Roman" w:cs="Times New Roman"/>
        </w:rPr>
        <w:fldChar w:fldCharType="separate"/>
      </w:r>
      <w:r w:rsidR="00B042F5" w:rsidRPr="00B042F5">
        <w:rPr>
          <w:rFonts w:ascii="Times New Roman" w:hAnsi="Times New Roman" w:cs="Times New Roman"/>
        </w:rPr>
        <w:t>Pronk et al., 2015)</w:t>
      </w:r>
      <w:r w:rsidR="00B042F5">
        <w:rPr>
          <w:rFonts w:ascii="Times New Roman" w:hAnsi="Times New Roman" w:cs="Times New Roman"/>
        </w:rPr>
        <w:fldChar w:fldCharType="end"/>
      </w:r>
      <w:r w:rsidRPr="00B042F5">
        <w:rPr>
          <w:rFonts w:ascii="Times New Roman" w:hAnsi="Times New Roman" w:cs="Times New Roman"/>
        </w:rPr>
        <w:t xml:space="preserve"> accompanied by valence ratings which enabled me to select a variety of images that could be differentially evaluated, </w:t>
      </w:r>
      <w:r w:rsidRPr="00B042F5">
        <w:rPr>
          <w:rFonts w:ascii="Times New Roman" w:hAnsi="Times New Roman" w:cs="Times New Roman"/>
        </w:rPr>
        <w:lastRenderedPageBreak/>
        <w:t xml:space="preserve">as well as making it possible for other researchers to use the </w:t>
      </w:r>
      <w:r w:rsidR="00463E60">
        <w:rPr>
          <w:rFonts w:ascii="Times New Roman" w:hAnsi="Times New Roman" w:cs="Times New Roman"/>
        </w:rPr>
        <w:t xml:space="preserve">exact </w:t>
      </w:r>
      <w:r w:rsidRPr="00B042F5">
        <w:rPr>
          <w:rFonts w:ascii="Times New Roman" w:hAnsi="Times New Roman" w:cs="Times New Roman"/>
        </w:rPr>
        <w:t xml:space="preserve">same images in future research. Where this was not possible (e.g., due to limits of existing image sets), I piloted images of drink beverages that I selected from Google to ensure that there was sufficient variability for different types of evaluative judgements to be made. In addition, I clearly detailed what the images depicted, alongside all VBDM task instructions, in the supplementary materials (see Appendix C for an example). This is a strength; it ensures research transparency and means that future researchers can replicate the research presented within this thesis which is often lacking in experimental and cognitive research in the field of addiction </w:t>
      </w:r>
      <w:r w:rsidR="00B042F5">
        <w:rPr>
          <w:rFonts w:ascii="Times New Roman" w:hAnsi="Times New Roman" w:cs="Times New Roman"/>
        </w:rPr>
        <w:fldChar w:fldCharType="begin"/>
      </w:r>
      <w:r w:rsidR="00B042F5">
        <w:rPr>
          <w:rFonts w:ascii="Times New Roman" w:hAnsi="Times New Roman" w:cs="Times New Roman"/>
        </w:rPr>
        <w:instrText xml:space="preserve"> ADDIN ZOTERO_ITEM CSL_CITATION {"citationID":"DSumEDHm","properties":{"formattedCitation":"(Pennington et al., 2021)","plainCitation":"(Pennington et al., 2021)","noteIndex":0},"citationItems":[{"id":1614,"uris":["http://zotero.org/users/7873587/items/LK9L99LW"],"itemData":{"id":1614,"type":"article-journal","abstract":"Background and Aims A range of experimental paradigms claim to measure the cognitive processes underpinning alcohol use, suggesting that heightened attentional bias, greater approach tendencies and reduced cue-specific inhibitory control are important drivers of consumption. This paper identifies methodological shortcomings within this broad domain of research and exemplifies them in studies focused specifically on alcohol-related attentional bias. Argument and analysis We highlight five main methodological issues: (i) the use of inappropriately matched control stimuli; (ii) opacity of stimulus selection and validation procedures; (iii) a credence in noisy measures; (iv) a reliance on unreliable tasks; and (v) variability in design and analysis. This is evidenced through a review of alcohol-related attentional bias (64 empirical articles, 68 tasks), which reveals the following: only 53% of tasks use appropriately matched control stimuli; as few as 38% report their stimulus selection and 19% their validation procedures; less than 28% used indices capable of disambiguating attentional processes; 22% assess reliability; and under 2% of studies were pre-registered. Conclusions Well-matched and validated experimental stimuli, the development of reliable cognitive tasks and explicit assessment of their psychometric properties, and careful consideration of behavioural indices and their analysis will improve the methodological rigour of cognitive alcohol research. Open science principles can facilitate replication and reproducibility in alcohol research.","container-title":"Addiction","DOI":"10.1111/add.15563","ISSN":"1360-0443","issue":"11","language":"en","note":"_eprint: https://onlinelibrary.wiley.com/doi/pdf/10.1111/add.15563","page":"3243-3251","source":"Wiley Online Library","title":"Raising the bar: improving methodological rigour in cognitive alcohol research","title-short":"Raising the bar","volume":"116","author":[{"family":"Pennington","given":"Charlotte R."},{"family":"Jones","given":"Andrew"},{"family":"Bartlett","given":"James E."},{"family":"Copeland","given":"Amber"},{"family":"Shaw","given":"Daniel J."}],"issued":{"date-parts":[["2021"]]}}}],"schema":"https://github.com/citation-style-language/schema/raw/master/csl-citation.json"} </w:instrText>
      </w:r>
      <w:r w:rsidR="00B042F5">
        <w:rPr>
          <w:rFonts w:ascii="Times New Roman" w:hAnsi="Times New Roman" w:cs="Times New Roman"/>
        </w:rPr>
        <w:fldChar w:fldCharType="separate"/>
      </w:r>
      <w:r w:rsidR="00B042F5" w:rsidRPr="00B042F5">
        <w:rPr>
          <w:rFonts w:ascii="Times New Roman" w:hAnsi="Times New Roman" w:cs="Times New Roman"/>
        </w:rPr>
        <w:t>(Pennington et al., 2021)</w:t>
      </w:r>
      <w:r w:rsidR="00B042F5">
        <w:rPr>
          <w:rFonts w:ascii="Times New Roman" w:hAnsi="Times New Roman" w:cs="Times New Roman"/>
        </w:rPr>
        <w:fldChar w:fldCharType="end"/>
      </w:r>
      <w:r w:rsidRPr="00B042F5">
        <w:rPr>
          <w:rFonts w:ascii="Times New Roman" w:hAnsi="Times New Roman" w:cs="Times New Roman"/>
        </w:rPr>
        <w:t xml:space="preserve">. </w:t>
      </w:r>
    </w:p>
    <w:p w14:paraId="348AF003" w14:textId="77777777" w:rsidR="000C67F7" w:rsidRPr="00B042F5" w:rsidRDefault="000C67F7" w:rsidP="00762442">
      <w:pPr>
        <w:pStyle w:val="NoSpacing"/>
        <w:spacing w:line="480" w:lineRule="auto"/>
        <w:rPr>
          <w:rFonts w:ascii="Times New Roman" w:hAnsi="Times New Roman" w:cs="Times New Roman"/>
        </w:rPr>
      </w:pPr>
    </w:p>
    <w:p w14:paraId="51266207" w14:textId="6A39DA78"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The materials that I selected for use in the experimental manipulation studies (e.g., video stimuli in Chapters 4 and 5) were validated in previous work </w:t>
      </w:r>
      <w:r w:rsidR="000A7556">
        <w:rPr>
          <w:rFonts w:ascii="Times New Roman" w:hAnsi="Times New Roman" w:cs="Times New Roman"/>
        </w:rPr>
        <w:fldChar w:fldCharType="begin"/>
      </w:r>
      <w:r w:rsidR="002624F0">
        <w:rPr>
          <w:rFonts w:ascii="Times New Roman" w:hAnsi="Times New Roman" w:cs="Times New Roman"/>
        </w:rPr>
        <w:instrText xml:space="preserve"> ADDIN ZOTERO_ITEM CSL_CITATION {"citationID":"OkxHhtBk","properties":{"formattedCitation":"(Di Lemma et al., 2015; Marcusson-Clavertz et al., 2019)","plainCitation":"(Di Lemma et al., 2015; Marcusson-Clavertz et al., 2019)","noteIndex":0},"citationItems":[{"id":1638,"uris":["http://zotero.org/users/7873587/items/T7R4RMDH"],"itemData":{"id":1638,"type":"article-journal","abstract":"We report results from three experimental studies that investigated the independence of approach and avoidance motivational orientations for alcohol, both of which operate within controlled and automatic cognitive processes. In order to prime their approach or avoidance motivational orientations, participants watched brief videos, the content of which (positive or negative depictions of alcohol, or neutral) varied by experimental group. Immediately after watching the videos, participants completed self-report (Approach and Avoidance of Alcohol Questionnaire; all studies) and implicit (visual probe task in study 1, stimulus-response compatibility task in studies 2 and 3) measures of alcohol-related approach and avoidance. In study 3, we incorporated an additional experimental manipulation of thought suppression in an attempt to maximize the influence of the videos on implicit measures. Findings were consistent across all three studies: increases in self-reported approach inclinations were mirrored by decreases in avoidance inclinations, and vice versa. However, a combined analysis of data from all studies demonstrated that changes in approach inclinations were partially independent of changes in avoidance inclinations. There were no effects on implicit alcohol-related processing biases, although methodological issues may partially account for these findings. Our findings demonstrate that subjective approach and avoidance inclinations for alcohol tend to fluctuate in parallel, but changes in approach inclinations may be partially independent from changes in avoidance inclinations. We discuss methodological issues that may partially account for our findings.","container-title":"Frontiers in Psychology","ISSN":"1664-1078","page":"1465","source":"Frontiers","title":"Priming of conflicting motivational orientations in heavy drinkers: robust effects on self-report but not implicit measures","title-short":"Priming of conflicting motivational orientations in heavy drinkers","volume":"6","author":[{"family":"Di Lemma","given":"Lisa C. G."},{"family":"Dickson","given":"Joanne M."},{"family":"Jedras","given":"Pawel"},{"family":"Roefs","given":"Anne"},{"family":"Field","given":"Matt"}],"issued":{"date-parts":[["2015"]]}},"label":"act"},{"id":889,"uris":["http://zotero.org/users/7873587/items/J86QYCB2"],"itemData":{"id":889,"type":"article-journal","abstract":"Film clips, music, and self-referential statements (termed Velten, after their originator) have been successfully used to temporarily induce sadness and happiness. However, there is little research on the effectiveness of these procedures combined, particularly in internet-based settings, and whether Velten statements contribute to alter mood beyond the effect of simple instructions to close one’s eyes and enter the targeted mood. In Study 1 (N = 106) we examined the effectiveness 80 Velten statements (positive, negative, neutral-self, neutral- facts) to create brief and effective sets that might be used in future research. In Study 2 (N = 445) we examined the effect size of 8-min combined mood induction procedures, which presented video clips in the first half and music excerpts with Velten statements or closed eyes instructions in the second half. Participants answered questionnaires on social desirability, joviality, and sadness before being randomly assigned to 1 of 7 groups varying in Valence (positive, negative, neutral) and Velten (closed eyes control, self-referential Velten, and, in the case of neutral condition, factual statements). Subsequently, participants completed the joviality and sadness scales a second time. Compared to the neutral conditions, the positive mood inductions increased joviality (Hedges G = 1.35, 95% CI [1.07, 1.63]), whereas the negative mood inductions increased sadness (Hedges G = 1.28, 95% CI [1.01, 1.55]). We did not observe any significant difference between Velten and closed eyes instructions in inducing joviality or sadness, nor did we observe any significant difference between neutral Velten statements referring to self and facts. Although social desirability bias was associated with reports of greater joviality and lower sadness, it could not account for the effects of the positive and negative mood induction procedures. We conclude that these combined mood induction procedures can be used in online research to study happy and sad mood. (PsycInfo Database Record (c) 2020 APA, all rights reserved)","container-title":"PLoS ONE","DOI":"10.1371/journal.pone.0217848","ISSN":"1932-6203","issue":"6","note":"publisher-place: US\npublisher: Public Library of Science","source":"APA PsycNet","title":"Online validation of combined mood induction procedures","volume":"14","author":[{"family":"Marcusson-Clavertz","given":"David"},{"family":"Kjell","given":"Oscar N. E."},{"family":"Persson","given":"Stefan D."},{"family":"Cardeña","given":"Etzel"}],"issued":{"date-parts":[["2019"]]}},"label":"act"}],"schema":"https://github.com/citation-style-language/schema/raw/master/csl-citation.json"} </w:instrText>
      </w:r>
      <w:r w:rsidR="000A7556">
        <w:rPr>
          <w:rFonts w:ascii="Times New Roman" w:hAnsi="Times New Roman" w:cs="Times New Roman"/>
        </w:rPr>
        <w:fldChar w:fldCharType="separate"/>
      </w:r>
      <w:r w:rsidR="000A7556" w:rsidRPr="000A7556">
        <w:rPr>
          <w:rFonts w:ascii="Times New Roman" w:hAnsi="Times New Roman" w:cs="Times New Roman"/>
        </w:rPr>
        <w:t>(Di Lemma et al., 2015; Marcusson-Clavertz et al., 2019)</w:t>
      </w:r>
      <w:r w:rsidR="000A7556">
        <w:rPr>
          <w:rFonts w:ascii="Times New Roman" w:hAnsi="Times New Roman" w:cs="Times New Roman"/>
        </w:rPr>
        <w:fldChar w:fldCharType="end"/>
      </w:r>
      <w:r w:rsidRPr="00B042F5">
        <w:rPr>
          <w:rFonts w:ascii="Times New Roman" w:hAnsi="Times New Roman" w:cs="Times New Roman"/>
        </w:rPr>
        <w:t xml:space="preserve"> which maximised the likelihood that they would have the desired experimental effect. I also relied on validated scales and measurements where possible throughout the thesis to ensure that psychological processes and self-report behaviour were measured sensitively, and I corroborated this by calculating and reporting internal reliability estimates (McDonald, 1970; 1999). </w:t>
      </w:r>
    </w:p>
    <w:p w14:paraId="488B9690" w14:textId="77777777" w:rsidR="000C67F7" w:rsidRPr="00B042F5" w:rsidRDefault="000C67F7" w:rsidP="00762442">
      <w:pPr>
        <w:pStyle w:val="NoSpacing"/>
        <w:spacing w:line="480" w:lineRule="auto"/>
        <w:rPr>
          <w:rFonts w:ascii="Times New Roman" w:hAnsi="Times New Roman" w:cs="Times New Roman"/>
        </w:rPr>
      </w:pPr>
    </w:p>
    <w:p w14:paraId="2E1BDAFF" w14:textId="0E6373E0"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All studies were aligned with values </w:t>
      </w:r>
      <w:r w:rsidR="000A7556">
        <w:rPr>
          <w:rFonts w:ascii="Times New Roman" w:hAnsi="Times New Roman" w:cs="Times New Roman"/>
        </w:rPr>
        <w:t>derived from</w:t>
      </w:r>
      <w:r w:rsidRPr="00B042F5">
        <w:rPr>
          <w:rFonts w:ascii="Times New Roman" w:hAnsi="Times New Roman" w:cs="Times New Roman"/>
        </w:rPr>
        <w:t xml:space="preserve"> Open Science </w:t>
      </w:r>
      <w:r w:rsidR="000A7556">
        <w:rPr>
          <w:rFonts w:ascii="Times New Roman" w:hAnsi="Times New Roman" w:cs="Times New Roman"/>
        </w:rPr>
        <w:fldChar w:fldCharType="begin"/>
      </w:r>
      <w:r w:rsidR="000A7556">
        <w:rPr>
          <w:rFonts w:ascii="Times New Roman" w:hAnsi="Times New Roman" w:cs="Times New Roman"/>
        </w:rPr>
        <w:instrText xml:space="preserve"> ADDIN ZOTERO_ITEM CSL_CITATION {"citationID":"cV6d4TWx","properties":{"formattedCitation":"(Pennington et al., 2021)","plainCitation":"(Pennington et al., 2021)","noteIndex":0},"citationItems":[{"id":1614,"uris":["http://zotero.org/users/7873587/items/LK9L99LW"],"itemData":{"id":1614,"type":"article-journal","abstract":"Background and Aims A range of experimental paradigms claim to measure the cognitive processes underpinning alcohol use, suggesting that heightened attentional bias, greater approach tendencies and reduced cue-specific inhibitory control are important drivers of consumption. This paper identifies methodological shortcomings within this broad domain of research and exemplifies them in studies focused specifically on alcohol-related attentional bias. Argument and analysis We highlight five main methodological issues: (i) the use of inappropriately matched control stimuli; (ii) opacity of stimulus selection and validation procedures; (iii) a credence in noisy measures; (iv) a reliance on unreliable tasks; and (v) variability in design and analysis. This is evidenced through a review of alcohol-related attentional bias (64 empirical articles, 68 tasks), which reveals the following: only 53% of tasks use appropriately matched control stimuli; as few as 38% report their stimulus selection and 19% their validation procedures; less than 28% used indices capable of disambiguating attentional processes; 22% assess reliability; and under 2% of studies were pre-registered. Conclusions Well-matched and validated experimental stimuli, the development of reliable cognitive tasks and explicit assessment of their psychometric properties, and careful consideration of behavioural indices and their analysis will improve the methodological rigour of cognitive alcohol research. Open science principles can facilitate replication and reproducibility in alcohol research.","container-title":"Addiction","DOI":"10.1111/add.15563","ISSN":"1360-0443","issue":"11","language":"en","note":"_eprint: https://onlinelibrary.wiley.com/doi/pdf/10.1111/add.15563","page":"3243-3251","source":"Wiley Online Library","title":"Raising the bar: improving methodological rigour in cognitive alcohol research","title-short":"Raising the bar","volume":"116","author":[{"family":"Pennington","given":"Charlotte R."},{"family":"Jones","given":"Andrew"},{"family":"Bartlett","given":"James E."},{"family":"Copeland","given":"Amber"},{"family":"Shaw","given":"Daniel J."}],"issued":{"date-parts":[["2021"]]}}}],"schema":"https://github.com/citation-style-language/schema/raw/master/csl-citation.json"} </w:instrText>
      </w:r>
      <w:r w:rsidR="000A7556">
        <w:rPr>
          <w:rFonts w:ascii="Times New Roman" w:hAnsi="Times New Roman" w:cs="Times New Roman"/>
        </w:rPr>
        <w:fldChar w:fldCharType="separate"/>
      </w:r>
      <w:r w:rsidR="000A7556" w:rsidRPr="000A7556">
        <w:rPr>
          <w:rFonts w:ascii="Times New Roman" w:hAnsi="Times New Roman" w:cs="Times New Roman"/>
        </w:rPr>
        <w:t>(Pennington et al., 2021)</w:t>
      </w:r>
      <w:r w:rsidR="000A7556">
        <w:rPr>
          <w:rFonts w:ascii="Times New Roman" w:hAnsi="Times New Roman" w:cs="Times New Roman"/>
        </w:rPr>
        <w:fldChar w:fldCharType="end"/>
      </w:r>
      <w:r w:rsidRPr="00B042F5">
        <w:rPr>
          <w:rFonts w:ascii="Times New Roman" w:hAnsi="Times New Roman" w:cs="Times New Roman"/>
        </w:rPr>
        <w:t>; studies were pre-registered and the accompanying analysis scripts and anonym</w:t>
      </w:r>
      <w:r w:rsidR="000A7556">
        <w:rPr>
          <w:rFonts w:ascii="Times New Roman" w:hAnsi="Times New Roman" w:cs="Times New Roman"/>
        </w:rPr>
        <w:t>ised</w:t>
      </w:r>
      <w:r w:rsidRPr="00B042F5">
        <w:rPr>
          <w:rFonts w:ascii="Times New Roman" w:hAnsi="Times New Roman" w:cs="Times New Roman"/>
        </w:rPr>
        <w:t xml:space="preserve"> datasets are available </w:t>
      </w:r>
      <w:r w:rsidR="00463E60">
        <w:rPr>
          <w:rFonts w:ascii="Times New Roman" w:hAnsi="Times New Roman" w:cs="Times New Roman"/>
        </w:rPr>
        <w:t>o</w:t>
      </w:r>
      <w:r w:rsidRPr="00B042F5">
        <w:rPr>
          <w:rFonts w:ascii="Times New Roman" w:hAnsi="Times New Roman" w:cs="Times New Roman"/>
        </w:rPr>
        <w:t>n accessible public repositor</w:t>
      </w:r>
      <w:r w:rsidR="000A7556">
        <w:rPr>
          <w:rFonts w:ascii="Times New Roman" w:hAnsi="Times New Roman" w:cs="Times New Roman"/>
        </w:rPr>
        <w:t xml:space="preserve">ies </w:t>
      </w:r>
      <w:r w:rsidRPr="00B042F5">
        <w:rPr>
          <w:rFonts w:ascii="Times New Roman" w:hAnsi="Times New Roman" w:cs="Times New Roman"/>
        </w:rPr>
        <w:t>(</w:t>
      </w:r>
      <w:hyperlink r:id="rId73" w:history="1">
        <w:r w:rsidR="000A7556" w:rsidRPr="00471589">
          <w:rPr>
            <w:rStyle w:val="Hyperlink"/>
            <w:rFonts w:ascii="Times New Roman" w:hAnsi="Times New Roman" w:cs="Times New Roman"/>
          </w:rPr>
          <w:t>https://aspredicted.org/</w:t>
        </w:r>
      </w:hyperlink>
      <w:r w:rsidR="000A7556">
        <w:rPr>
          <w:rFonts w:ascii="Times New Roman" w:hAnsi="Times New Roman" w:cs="Times New Roman"/>
        </w:rPr>
        <w:t xml:space="preserve">; </w:t>
      </w:r>
      <w:hyperlink r:id="rId74" w:history="1">
        <w:r w:rsidR="000A7556" w:rsidRPr="00471589">
          <w:rPr>
            <w:rStyle w:val="Hyperlink"/>
            <w:rFonts w:ascii="Times New Roman" w:hAnsi="Times New Roman" w:cs="Times New Roman"/>
          </w:rPr>
          <w:t>https://researchbox.org/</w:t>
        </w:r>
      </w:hyperlink>
      <w:r w:rsidR="000A7556">
        <w:rPr>
          <w:rFonts w:ascii="Times New Roman" w:hAnsi="Times New Roman" w:cs="Times New Roman"/>
        </w:rPr>
        <w:t xml:space="preserve">). </w:t>
      </w:r>
      <w:r w:rsidRPr="00B042F5">
        <w:rPr>
          <w:rFonts w:ascii="Times New Roman" w:hAnsi="Times New Roman" w:cs="Times New Roman"/>
        </w:rPr>
        <w:t xml:space="preserve">Sample sizes for all studies were justified to ensure that the research was sufficiently powered. Finally, the research in this thesis largely recruited participants from the general population (e.g., via advertisements in the local community) and therefore generalizability is not limited to student samples, thereby extending research </w:t>
      </w:r>
      <w:r w:rsidRPr="00B042F5">
        <w:rPr>
          <w:rFonts w:ascii="Times New Roman" w:hAnsi="Times New Roman" w:cs="Times New Roman"/>
        </w:rPr>
        <w:lastRenderedPageBreak/>
        <w:t xml:space="preserve">whereby students are the focus </w:t>
      </w:r>
      <w:r w:rsidR="000C745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{"citationID":"fAjBIGuz","properties":{"formattedCitation":"(Hogarth &amp; Hardy, 2018b; Joyner et al., 2018; Rose et al., 2013)","plainCitation":"(Hogarth &amp; Hardy, 2018b; Joyner et al., 2018; Rose et al., 2013)","noteIndex":0},"citationItems":[{"id":1251,"uris":["http://zotero.org/users/7873587/items/GHJHI6BJ"],"itemData":{"id":1251,"type":"article-journal","abstract":"RATIONALE: Alcohol dependence is characterised by persistent drinking despite health, social and economic costs. Behavioural economics has proposed two explanations for the persistence of alcohol use despite costs. Dependent individuals may (a) ascribe excessively high value to alcohol, such that costs associated with alcohol are exceeded, and/or (b) they may discount (neglect) the costs associated with alcohol.\nMETHODS: To test these predictions, the current study recruited 127 student drinkers who reported varied alcohol use disorder symptom severity in the Alcohol Use Disorders Inventory Test (AUDIT; mean = 11.17, 69% above the hazardous cutoff). Participants made concurrent forced choices between alcohol and food points under conditions that manipulated the magnitude of points (1, 2 or 3) and the delay to receive points (0 or 3 s). Alcohol value was indexed by preferential choice of alcohol versus food points, whereas sensitivity to costs was indexed by the decrease in alcohol choice when food points were of greater magnitude (sensitivity to opportunity costs) and when alcohol points were delayed (sensitivity to delay costs).\nRESULTS: Percent choice of alcohol over food varied consistently with the relative magnitude of reward points offered (p &lt; .001) and with time delays imposed on reward points (p &lt; .001). AUDIT scores were associated with greater alcohol versus food choice across all conditions (p = .001). As alcohol use disorder symptom severity increased, the sensitivity of alcohol choice to the relative magnitude of points (p = .29) and time delays (p = .62) remained unchanged, suggesting no differential discounting of opportunity or delay costs imposed on alcohol. In contrasts of AUDIT categories, there was comparable sensitivity to costs across groups defined as low-risk (N = 39), hazardous (n = 57), harmful (n = 20) and possible dependent drinkers (n = 11).\nCONCLUSIONS: Alcohol use disorder symptom severity is associated with greater relative value ascribed to alcohol, but not with greater discounting of opportunity or delay costs imposed on alcohol. Despite limitations of the current study, it may be concluded that cost discounting plays a lesser role in dependence than previously thought.","container-title":"Psychopharmacology","DOI":"10.1007/s00213-018-4922-8","ISSN":"1432-2072","issue":"8","journalAbbreviation":"Psychopharmacology (Berl)","language":"eng","note":"PMID: 29744556\nPMCID: PMC6061772","page":"2257-2266","source":"PubMed","title":"Alcohol use disorder symptoms are associated with greater relative value ascribed to alcohol, but not greater discounting of costs imposed on alcohol","volume":"235","author":[{"family":"Hogarth","given":"Lee"},{"family":"Hardy","given":"Lorna"}],"issued":{"date-parts":[["2018",8]]}},"label":"act"},{"id":1755,"uris":["http://zotero.org/users/7873587/items/M9632WQR"],"itemData":{"id":1755,"type":"article-journal","abstract":"Behavioral economic theories of substance abuse posit that deficits in substance-free reward increase risk for substance misuse, but little research has examined potential moderators of this relationship, including dispositional risk factors. Here, we tested the hypothesis that young adult heavy drinkers with family histories of alcohol misuse would show a stronger association specifically between low evening substance-free reinforcement and alcohol problems compared to those without a family history of alcohol misuse. Participants were 317 college students reporting heavy episodic drinking (Mage = 18.8, SD = 1.1, 61% female, 79% White) who completed a questionnaire about engagement and enjoyment in rewarding activities not involving substance use after 7 p.m., along with measures of personal and parental alcohol use/problems. Evening substance-free reinforcement was negatively associated with typical drinking level for women, but not for men. Family history status did not show a significant association with typical alcohol consumption or evening substance-free reinforcement (operationalized as activity participation × enjoyment), but did show a significant association with alcohol problems. Evening substance-free reinforcement was significantly negatively related to alcohol problems for both men and women. However, the presence of a family history of alcohol misuse moderated this relationship, such that only individuals with familial risk for alcohol misuse who reported lower evening substance-free reinforcement evidenced greater alcohol-related problems. These findings suggest that lower evening substance-free reinforcement is associated with alcohol misuse among young adults, and that this association is exacerbated among individuals with familial risk for developing alcohol problems. (PsycINFO Database Record (c) 2018 APA, all rights reserved).","container-title":"Experimental and Clinical Psychopharmacology","DOI":"10.1037/pha0000223","ISSN":"1936-2293","issue":"6","journalAbbreviation":"Exp Clin Psychopharmacol","language":"eng","note":"PMID: 30148404\nPMCID: PMC6283687","page":"560-569","source":"PubMed","title":"Alcohol family history moderates the association between evening substance-free reinforcement and alcohol problems","volume":"26","author":[{"family":"Joyner","given":"Keanan J."},{"family":"Acuff","given":"Samuel F."},{"family":"Meshesha","given":"Lidia Z."},{"family":"Patrick","given":"Christopher J."},{"family":"Murphy","given":"James G."}],"issued":{"date-parts":[["2018",12]]}},"label":"act"},{"id":880,"uris":["http://zotero.org/users/7873587/items/XAJJ69YQ"],"itemData":{"id":880,"type":"article-journal","abstract":"Aims\nTo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K"},{"family":"Brown","given":"Kyle"},{"family":"Field","given":"Matt"},{"family":"Hogarth","given":"Lee"}],"issued":{"date-parts":[["2013",7]]}},"label":"act"}],"schema":"https://github.com/citation-style-language/schema/raw/master/csl-citation.json"} </w:instrText>
      </w:r>
      <w:r w:rsidR="000C7459">
        <w:rPr>
          <w:rFonts w:ascii="Times New Roman" w:hAnsi="Times New Roman" w:cs="Times New Roman"/>
        </w:rPr>
        <w:fldChar w:fldCharType="separate"/>
      </w:r>
      <w:r w:rsidR="000C7459" w:rsidRPr="000C7459">
        <w:rPr>
          <w:rFonts w:ascii="Times New Roman" w:hAnsi="Times New Roman" w:cs="Times New Roman"/>
        </w:rPr>
        <w:t>(Hogarth &amp; Hardy, 2018b; Joyner et al., 2018; Rose et al., 2013)</w:t>
      </w:r>
      <w:r w:rsidR="000C7459">
        <w:rPr>
          <w:rFonts w:ascii="Times New Roman" w:hAnsi="Times New Roman" w:cs="Times New Roman"/>
        </w:rPr>
        <w:fldChar w:fldCharType="end"/>
      </w:r>
      <w:r w:rsidRPr="00B042F5">
        <w:rPr>
          <w:rFonts w:ascii="Times New Roman" w:hAnsi="Times New Roman" w:cs="Times New Roman"/>
        </w:rPr>
        <w:t xml:space="preserve">. </w:t>
      </w:r>
    </w:p>
    <w:p w14:paraId="7DAD2374" w14:textId="77777777" w:rsidR="000C67F7" w:rsidRPr="00B042F5" w:rsidRDefault="000C67F7" w:rsidP="00762442">
      <w:pPr>
        <w:pStyle w:val="NoSpacing"/>
        <w:spacing w:line="480" w:lineRule="auto"/>
        <w:rPr>
          <w:rFonts w:ascii="Times New Roman" w:hAnsi="Times New Roman" w:cs="Times New Roman"/>
        </w:rPr>
      </w:pPr>
    </w:p>
    <w:p w14:paraId="76360988" w14:textId="6C56E358"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Another strength is that some studies (Chapters 2, 3, 5, and 6) were conducted online which meant that I could recruit and test a large number of participants simultaneously, thereby collecting self-report and behavioural data at a relatively fast pace compared to in-person data collection. Furthermore, I used Prolific (</w:t>
      </w:r>
      <w:hyperlink r:id="rId75" w:history="1">
        <w:r w:rsidR="000C7459" w:rsidRPr="00471589">
          <w:rPr>
            <w:rStyle w:val="Hyperlink"/>
            <w:rFonts w:ascii="Times New Roman" w:hAnsi="Times New Roman" w:cs="Times New Roman"/>
          </w:rPr>
          <w:t>https://www.prolific.co/</w:t>
        </w:r>
      </w:hyperlink>
      <w:r w:rsidR="000C7459">
        <w:rPr>
          <w:rFonts w:ascii="Times New Roman" w:hAnsi="Times New Roman" w:cs="Times New Roman"/>
        </w:rPr>
        <w:t>)</w:t>
      </w:r>
      <w:r w:rsidRPr="00B042F5">
        <w:rPr>
          <w:rFonts w:ascii="Times New Roman" w:hAnsi="Times New Roman" w:cs="Times New Roman"/>
        </w:rPr>
        <w:t>, and the large pool of current active participants (</w:t>
      </w:r>
      <w:r w:rsidRPr="000C7459">
        <w:rPr>
          <w:rFonts w:ascii="Times New Roman" w:hAnsi="Times New Roman" w:cs="Times New Roman"/>
          <w:i/>
          <w:iCs/>
        </w:rPr>
        <w:t>n</w:t>
      </w:r>
      <w:r w:rsidRPr="00B042F5">
        <w:rPr>
          <w:rFonts w:ascii="Times New Roman" w:hAnsi="Times New Roman" w:cs="Times New Roman"/>
        </w:rPr>
        <w:t xml:space="preserve"> = 121,958) and accompanying custom pre-screen filters (e.g., patterns of substance use and country of residence) meant that I had access to a diverse sample of participants, extending beyond people in my local community. Prolific is a platform dedicated to fair and ethical reimbursement rates for participants and has been recognised in particular for the high level of attention and honesty from participants </w:t>
      </w:r>
      <w:r w:rsidR="000C7459">
        <w:rPr>
          <w:rFonts w:ascii="Times New Roman" w:hAnsi="Times New Roman" w:cs="Times New Roman"/>
        </w:rPr>
        <w:fldChar w:fldCharType="begin"/>
      </w:r>
      <w:r w:rsidR="000C7459">
        <w:rPr>
          <w:rFonts w:ascii="Times New Roman" w:hAnsi="Times New Roman" w:cs="Times New Roman"/>
        </w:rPr>
        <w:instrText xml:space="preserve"> ADDIN ZOTERO_ITEM CSL_CITATION {"citationID":"VldouZ2W","properties":{"formattedCitation":"(Peer et al., 2021)","plainCitation":"(Peer et al., 2021)","noteIndex":0},"citationItems":[{"id":470,"uris":["http://zotero.org/users/7873587/items/J8FG5JUL"],"itemData":{"id":470,"type":"article-journal","abstract":"We examine key aspects of data quality for online behavioral research between selected platforms (Amazon Mechanical Turk, CloudResearch, and Prolific) and panels (Qualtrics and Dynata). To identify the key aspects of data quality, we first engaged with the behavioral research community to discover which aspects are most critical to researchers and found that these include attention, comprehension, honesty, and reliability. We then explored differences in these data quality aspects in two studies (N ~ 4000), with or without data quality filters (approval ratings). We found considerable differences between the sites, especially in comprehension, attention, and dishonesty. In Study 1 (without filters), we found that only Prolific provided high data quality on all measures. In Study 2 (with filters), we found high data quality among CloudResearch and Prolific. MTurk showed alarmingly low data quality even with data quality filters. We also found that while reputation (approval rating) did not predict data quality, frequency and purpose of usage did, especially on MTurk: the lowest data quality came from MTurk participants who report using the site as their main source of income but spend few hours on it per week. We provide a framework for future investigation into the ever-changing nature of data quality in online research, and how the evolving set of platforms and panels performs on these key aspects.","container-title":"Behavior Research Methods","DOI":"10.3758/s13428-021-01694-3","ISSN":"1554-3528","journalAbbreviation":"Behav Res","language":"en","source":"Springer Link","title":"Data quality of platforms and panels for online behavioral research","URL":"https://doi.org/10.3758/s13428-021-01694-3","author":[{"family":"Peer","given":"Eyal"},{"family":"Rothschild","given":"David"},{"family":"Gordon","given":"Andrew"},{"family":"Evernden","given":"Zak"},{"family":"Damer","given":"Ekaterina"}],"accessed":{"date-parts":[["2021",11,7]]},"issued":{"date-parts":[["2021",9,29]]}}}],"schema":"https://github.com/citation-style-language/schema/raw/master/csl-citation.json"} </w:instrText>
      </w:r>
      <w:r w:rsidR="000C7459">
        <w:rPr>
          <w:rFonts w:ascii="Times New Roman" w:hAnsi="Times New Roman" w:cs="Times New Roman"/>
        </w:rPr>
        <w:fldChar w:fldCharType="separate"/>
      </w:r>
      <w:r w:rsidR="000C7459" w:rsidRPr="000C7459">
        <w:rPr>
          <w:rFonts w:ascii="Times New Roman" w:hAnsi="Times New Roman" w:cs="Times New Roman"/>
        </w:rPr>
        <w:t>(Peer et al., 2021)</w:t>
      </w:r>
      <w:r w:rsidR="000C7459">
        <w:rPr>
          <w:rFonts w:ascii="Times New Roman" w:hAnsi="Times New Roman" w:cs="Times New Roman"/>
        </w:rPr>
        <w:fldChar w:fldCharType="end"/>
      </w:r>
      <w:r w:rsidRPr="00B042F5">
        <w:rPr>
          <w:rFonts w:ascii="Times New Roman" w:hAnsi="Times New Roman" w:cs="Times New Roman"/>
        </w:rPr>
        <w:t xml:space="preserve">. As a result, data quality is high compared to competing platforms, such as Amazon Mechanical Turk </w:t>
      </w:r>
      <w:r w:rsidR="000C7459">
        <w:rPr>
          <w:rFonts w:ascii="Times New Roman" w:hAnsi="Times New Roman" w:cs="Times New Roman"/>
        </w:rPr>
        <w:fldChar w:fldCharType="begin"/>
      </w:r>
      <w:r w:rsidR="000C7459">
        <w:rPr>
          <w:rFonts w:ascii="Times New Roman" w:hAnsi="Times New Roman" w:cs="Times New Roman"/>
        </w:rPr>
        <w:instrText xml:space="preserve"> ADDIN ZOTERO_ITEM CSL_CITATION {"citationID":"Te4rkzJu","properties":{"formattedCitation":"(Peer et al., 2021)","plainCitation":"(Peer et al., 2021)","noteIndex":0},"citationItems":[{"id":470,"uris":["http://zotero.org/users/7873587/items/J8FG5JUL"],"itemData":{"id":470,"type":"article-journal","abstract":"We examine key aspects of data quality for online behavioral research between selected platforms (Amazon Mechanical Turk, CloudResearch, and Prolific) and panels (Qualtrics and Dynata). To identify the key aspects of data quality, we first engaged with the behavioral research community to discover which aspects are most critical to researchers and found that these include attention, comprehension, honesty, and reliability. We then explored differences in these data quality aspects in two studies (N ~ 4000), with or without data quality filters (approval ratings). We found considerable differences between the sites, especially in comprehension, attention, and dishonesty. In Study 1 (without filters), we found that only Prolific provided high data quality on all measures. In Study 2 (with filters), we found high data quality among CloudResearch and Prolific. MTurk showed alarmingly low data quality even with data quality filters. We also found that while reputation (approval rating) did not predict data quality, frequency and purpose of usage did, especially on MTurk: the lowest data quality came from MTurk participants who report using the site as their main source of income but spend few hours on it per week. We provide a framework for future investigation into the ever-changing nature of data quality in online research, and how the evolving set of platforms and panels performs on these key aspects.","container-title":"Behavior Research Methods","DOI":"10.3758/s13428-021-01694-3","ISSN":"1554-3528","journalAbbreviation":"Behav Res","language":"en","source":"Springer Link","title":"Data quality of platforms and panels for online behavioral research","URL":"https://doi.org/10.3758/s13428-021-01694-3","author":[{"family":"Peer","given":"Eyal"},{"family":"Rothschild","given":"David"},{"family":"Gordon","given":"Andrew"},{"family":"Evernden","given":"Zak"},{"family":"Damer","given":"Ekaterina"}],"accessed":{"date-parts":[["2021",11,7]]},"issued":{"date-parts":[["2021",9,29]]}}}],"schema":"https://github.com/citation-style-language/schema/raw/master/csl-citation.json"} </w:instrText>
      </w:r>
      <w:r w:rsidR="000C7459">
        <w:rPr>
          <w:rFonts w:ascii="Times New Roman" w:hAnsi="Times New Roman" w:cs="Times New Roman"/>
        </w:rPr>
        <w:fldChar w:fldCharType="separate"/>
      </w:r>
      <w:r w:rsidR="000C7459" w:rsidRPr="000C7459">
        <w:rPr>
          <w:rFonts w:ascii="Times New Roman" w:hAnsi="Times New Roman" w:cs="Times New Roman"/>
        </w:rPr>
        <w:t>(Peer et al., 2021)</w:t>
      </w:r>
      <w:r w:rsidR="000C7459">
        <w:rPr>
          <w:rFonts w:ascii="Times New Roman" w:hAnsi="Times New Roman" w:cs="Times New Roman"/>
        </w:rPr>
        <w:fldChar w:fldCharType="end"/>
      </w:r>
      <w:r w:rsidRPr="00B042F5">
        <w:rPr>
          <w:rFonts w:ascii="Times New Roman" w:hAnsi="Times New Roman" w:cs="Times New Roman"/>
        </w:rPr>
        <w:t>. Crucially, shifting my research online enabled me to continue my planned research studies throughout the COVID-19 pandemic as national lockdown restrictions precluded the in-person recruitment of participants.</w:t>
      </w:r>
    </w:p>
    <w:p w14:paraId="121891EE" w14:textId="77777777" w:rsidR="000C67F7" w:rsidRPr="00B042F5" w:rsidRDefault="000C67F7" w:rsidP="00762442">
      <w:pPr>
        <w:pStyle w:val="NoSpacing"/>
        <w:spacing w:line="480" w:lineRule="auto"/>
        <w:rPr>
          <w:rFonts w:ascii="Times New Roman" w:hAnsi="Times New Roman" w:cs="Times New Roman"/>
        </w:rPr>
      </w:pPr>
    </w:p>
    <w:p w14:paraId="53A3241D" w14:textId="0C91A5A3"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However, there were also some important limitations to the research in this thesis, which includes the online nature of the research as this meant that I was unable to strictly control the environments in which participants took part in the studies. Uncontrolled conditions in online experiments that entail cognitive tasks can be problematic when inferences are dependent on RT, especially when this is captured at the millisecond level </w:t>
      </w:r>
      <w:r w:rsidR="000C7459">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{"citationID":"R9Pojfyl","properties":{"formattedCitation":"(Plant, 2016; Santangelo &amp; Solovey, 2021)","plainCitation":"(Plant, 2016; Santangelo &amp; Solovey, 2021)","noteIndex":0},"citationItems":[{"id":1766,"uris":["http://zotero.org/users/7873587/items/AL4URZ8V"],"itemData":{"id":1766,"type":"article-journal","abstract":"There is an ongoing ‘replication crisis’ across the field of psychology in which researchers, funders, and members of the public are questioning the results of some scientific studies and the validity of the data they are based upon. However, few have considered that a growing proportion of research in modern psychology is conducted using a computer. Could it simply be that the hardware and software, or experiment generator, being used to run the experiment itself be a cause of millisecond timing error and subsequent replication failure? This article serves as a reminder that millisecond timing accuracy in psychology studies remains an important issue and that care needs to be taken to ensure that studies can be replicated on current computer hardware and software.","container-title":"Behavior Research Methods","DOI":"10.3758/s13428-015-0577-0","ISSN":"1554-3528","issue":"1","journalAbbreviation":"Behav Res","language":"en","page":"408-411","source":"Springer Link","title":"A reminder on millisecond timing accuracy and potential replication failure in computer-based psychology experiments: An open letter","title-short":"A reminder on millisecond timing accuracy and potential replication failure in computer-based psychology experiments","volume":"48","author":[{"family":"Plant","given":"Richard R."}],"issued":{"date-parts":[["2016",3,1]]}},"label":"act"},{"id":1763,"uris":["http://zotero.org/users/7873587/items/L356CFKY"],"itemData":{"id":1763,"type":"article-journal","abstract":"Online experiments allow for fast, massive, cost-efficient data collection. However, uncontrolled conditions in online experiments can be problematic, particularly when inferences hinge on response-times (RTs) in the millisecond range. To address this challenge, we developed a mobile-friendly open-source application using R-Shiny, a popular R package. In particular, we aimed to replicate the numerical distance effect, a well-established cognitive phenomenon. In the task, 169 participants (109 with a mobile device, 60 on a desktop computer) completed 116 trials displaying two-digit target numbers and decided whether they were larger or smaller than a fixed standard number. Sessions lasted ~7-minutes. Using generalized linear mixed models estimated with Bayesian inference methods, we observed a numerical distance effect: RTs decreased with the logarithm of the absolute difference between the target and the standard. Our results support the use of R-Shiny for RT-data collection. Furthermore, our method allowed us to measure systematic shifts in recorded RTs related to different OSs, web browsers, and devices, with mobile devices inducing longer shifts than desktop devices. Our work shows that precise RT measures can be reliably obtained online across mobile and desktop devices. It further paves the ground for the design of simple experimental tasks using R, a widely popular programming framework among cognitive scientists.","container-title":"Journal of Cognition","DOI":"10.5334/joc.200","ISSN":"2514-4820","issue":"1","journalAbbreviation":"J Cogn","language":"eng","note":"PMID: 35083412\nPMCID: PMC8740653","page":"9","source":"PubMed","title":"Running online behavioral experiments using R: Implementation of a response-time decision making task as an R-Shiny app","title-short":"Running Online Behavioral Experiments Using R","volume":"5","author":[{"family":"Santangelo","given":"Agustín Perez"},{"family":"Solovey","given":"Guillermo"}],"issued":{"date-parts":[["2021"]]}},"label":"act"}],"schema":"https://github.com/citation-style-language/schema/raw/master/csl-citation.json"} </w:instrText>
      </w:r>
      <w:r w:rsidR="000C7459">
        <w:rPr>
          <w:rFonts w:ascii="Times New Roman" w:hAnsi="Times New Roman" w:cs="Times New Roman"/>
        </w:rPr>
        <w:fldChar w:fldCharType="separate"/>
      </w:r>
      <w:r w:rsidR="00054395" w:rsidRPr="00054395">
        <w:rPr>
          <w:rFonts w:ascii="Times New Roman" w:hAnsi="Times New Roman" w:cs="Times New Roman"/>
        </w:rPr>
        <w:t>(Plant, 2016; Santangelo &amp; Solovey, 2021)</w:t>
      </w:r>
      <w:r w:rsidR="000C7459">
        <w:rPr>
          <w:rFonts w:ascii="Times New Roman" w:hAnsi="Times New Roman" w:cs="Times New Roman"/>
        </w:rPr>
        <w:fldChar w:fldCharType="end"/>
      </w:r>
      <w:r w:rsidRPr="00B042F5">
        <w:rPr>
          <w:rFonts w:ascii="Times New Roman" w:hAnsi="Times New Roman" w:cs="Times New Roman"/>
        </w:rPr>
        <w:t xml:space="preserve">. Therefore, behavioural data captured in the online studies within this thesis may have been susceptible to enhanced noise and interference, potentially affecting decision parameters recovered from the DDM. The online setting also meant that it is not possible to </w:t>
      </w:r>
      <w:r w:rsidRPr="00B042F5">
        <w:rPr>
          <w:rFonts w:ascii="Times New Roman" w:hAnsi="Times New Roman" w:cs="Times New Roman"/>
        </w:rPr>
        <w:lastRenderedPageBreak/>
        <w:t xml:space="preserve">ascertain the extent to which participants truly understood or maintained attention during task instructions, which could in turn impact data collected. For example, in Chapter 5, it was not possible to fit the DDM to behavioural data from one participant, and given the online nature of the study, it is impossible to investigate why this occurred on behalf of the participant. Finally, although guidance exists (see </w:t>
      </w:r>
      <w:r w:rsidR="00054395">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{"citationID":"LaRgbN40","properties":{"formattedCitation":"(Sauter et al., 2020)","plainCitation":"(Sauter et al., 2020)","dontUpdate":true,"noteIndex":0},"citationItems":[{"id":1768,"uris":["http://zotero.org/users/7873587/items/SJYJABE8"],"itemData":{"id":1768,"type":"article-journal","abstract":"Researchers have ample reasons to take their experimental studies out of the lab and into the online wilderness. For some, it is out of necessity, due to an unforeseen laboratory closure or difficulties in recruiting on-site participants. Others want to benefit from the large and diverse online population. However, the transition from in-lab to online data acquisition is not trivial and might seem overwhelming at first. To facilitate this transition, we present an overview of actively maintained solutions for the critical components of successful online data acquisition: creating, hosting and recruiting. Our aim is to provide a brief introductory resource and discuss important considerations for researchers who are taking their first steps towards online experimentation.","container-title":"Brain Sciences","DOI":"10.3390/brainsci10040251","ISSN":"2076-3425","issue":"4","language":"en","license":"http://creativecommons.org/licenses/by/3.0/","note":"number: 4\npublisher: Multidisciplinary Digital Publishing Institute","page":"251","source":"www.mdpi.com","title":"Building, hosting and recruiting: A brief introduction to running behavioral experiments online","title-short":"Building, Hosting and Recruiting","volume":"10","author":[{"family":"Sauter","given":"Marian"},{"family":"Draschkow","given":"Dejan"},{"family":"Mack","given":"Wolfgang"}],"issued":{"date-parts":[["2020",4]]}}}],"schema":"https://github.com/citation-style-language/schema/raw/master/csl-citation.json"} </w:instrText>
      </w:r>
      <w:r w:rsidR="00054395">
        <w:rPr>
          <w:rFonts w:ascii="Times New Roman" w:hAnsi="Times New Roman" w:cs="Times New Roman"/>
        </w:rPr>
        <w:fldChar w:fldCharType="separate"/>
      </w:r>
      <w:r w:rsidR="00054395" w:rsidRPr="00054395">
        <w:rPr>
          <w:rFonts w:ascii="Times New Roman" w:hAnsi="Times New Roman" w:cs="Times New Roman"/>
        </w:rPr>
        <w:t>Sauter et al., 2020)</w:t>
      </w:r>
      <w:r w:rsidR="00054395">
        <w:rPr>
          <w:rFonts w:ascii="Times New Roman" w:hAnsi="Times New Roman" w:cs="Times New Roman"/>
        </w:rPr>
        <w:fldChar w:fldCharType="end"/>
      </w:r>
      <w:r w:rsidRPr="00B042F5">
        <w:rPr>
          <w:rFonts w:ascii="Times New Roman" w:hAnsi="Times New Roman" w:cs="Times New Roman"/>
        </w:rPr>
        <w:t xml:space="preserve">, synchronising the VBDM task programmed in </w:t>
      </w:r>
      <w:proofErr w:type="spellStart"/>
      <w:r w:rsidRPr="00B042F5">
        <w:rPr>
          <w:rFonts w:ascii="Times New Roman" w:hAnsi="Times New Roman" w:cs="Times New Roman"/>
        </w:rPr>
        <w:t>PsychoPy</w:t>
      </w:r>
      <w:proofErr w:type="spellEnd"/>
      <w:r w:rsidRPr="00B042F5">
        <w:rPr>
          <w:rFonts w:ascii="Times New Roman" w:hAnsi="Times New Roman" w:cs="Times New Roman"/>
        </w:rPr>
        <w:t xml:space="preserve"> to an online host (</w:t>
      </w:r>
      <w:proofErr w:type="spellStart"/>
      <w:r w:rsidRPr="00B042F5">
        <w:rPr>
          <w:rFonts w:ascii="Times New Roman" w:hAnsi="Times New Roman" w:cs="Times New Roman"/>
        </w:rPr>
        <w:t>Pavlovia</w:t>
      </w:r>
      <w:proofErr w:type="spellEnd"/>
      <w:r w:rsidRPr="00B042F5">
        <w:rPr>
          <w:rFonts w:ascii="Times New Roman" w:hAnsi="Times New Roman" w:cs="Times New Roman"/>
        </w:rPr>
        <w:t>;</w:t>
      </w:r>
      <w:r w:rsidR="00054395" w:rsidRPr="00054395">
        <w:t xml:space="preserve"> </w:t>
      </w:r>
      <w:hyperlink r:id="rId76" w:history="1">
        <w:r w:rsidR="00054395" w:rsidRPr="00471589">
          <w:rPr>
            <w:rStyle w:val="Hyperlink"/>
            <w:rFonts w:ascii="Times New Roman" w:hAnsi="Times New Roman" w:cs="Times New Roman"/>
          </w:rPr>
          <w:t>https://pavlovia.org/</w:t>
        </w:r>
      </w:hyperlink>
      <w:r w:rsidR="00054395">
        <w:rPr>
          <w:rFonts w:ascii="Times New Roman" w:hAnsi="Times New Roman" w:cs="Times New Roman"/>
        </w:rPr>
        <w:t xml:space="preserve">) </w:t>
      </w:r>
      <w:r w:rsidRPr="00B042F5">
        <w:rPr>
          <w:rFonts w:ascii="Times New Roman" w:hAnsi="Times New Roman" w:cs="Times New Roman"/>
        </w:rPr>
        <w:t xml:space="preserve">in order to collect data from participants online was both difficult and time-consuming. This was in part due to the necessary transition of the task into JavaScript language alongside the complexity of the VBDM task that I developed; it requires a random sub selection of initially rated images to be carried through to subsequent trials, in addition to personalisation across participants based on prior value ratings. In order for other researchers to make use of my VBDM task in the future, they therefore require a level of experience or expertise in the domains mentioned above, which may preclude the uptake in researchers who do not have this. </w:t>
      </w:r>
    </w:p>
    <w:p w14:paraId="34AD3F68" w14:textId="77777777" w:rsidR="000C67F7" w:rsidRPr="00B042F5" w:rsidRDefault="000C67F7" w:rsidP="00762442">
      <w:pPr>
        <w:pStyle w:val="NoSpacing"/>
        <w:spacing w:line="480" w:lineRule="auto"/>
        <w:rPr>
          <w:rFonts w:ascii="Times New Roman" w:hAnsi="Times New Roman" w:cs="Times New Roman"/>
        </w:rPr>
      </w:pPr>
    </w:p>
    <w:p w14:paraId="75664E92" w14:textId="543C6B26"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Furthermore, the self-report measure of demand differed across Chapters; only in Chapters 5 and 6 were “full” hypothetical purchase task measures (Murphy &amp; MacKillop, 2006; MacKillop et al., 2008) used. This was the result of receiving training in more advanced demand curve fitting techniques prior to these studies being conducted. Although brief measures of alcohol demand (e.g., Brief Assessment of Alcohol Demand; Owens et al., 2015) used in this thesis (Chapters 2 and 4) are common in existing literature </w:t>
      </w:r>
      <w:r w:rsidR="00054395">
        <w:rPr>
          <w:rFonts w:ascii="Times New Roman" w:hAnsi="Times New Roman" w:cs="Times New Roman"/>
        </w:rPr>
        <w:fldChar w:fldCharType="begin"/>
      </w:r>
      <w:r w:rsidR="00A4642B">
        <w:rPr>
          <w:rFonts w:ascii="Times New Roman" w:hAnsi="Times New Roman" w:cs="Times New Roman"/>
        </w:rPr>
        <w:instrText xml:space="preserve"> ADDIN ZOTERO_ITEM CSL_CITATION {"citationID":"37lcIlGc","properties":{"formattedCitation":"(Copeland et al., 2020; Hardy et al., 2021; Merrill &amp; Aston, 2020)","plainCitation":"(Copeland et al., 2020; Hardy et al., 2021; Merrill &amp; Aston, 2020)","noteIndex":0},"citationItems":[{"id":1273,"uris":["http://zotero.org/users/7873587/items/R5Q63SAR"],"itemData":{"id":1273,"type":"article-journal","abstract":"Introduction\nThe adoption of adult roles that provide meaning in life is associated with reduced harmful drinking. The current study examined whether this relationship is mediated by increased self-control and reduced value of alcohol.\nMethods\nCross-sectional design. 1043 adults (786 females) ≥18 years old completed an online survey. The outcome variable was scores on the Alcohol Use Disorders Identification Test (AUDIT), predictor variables were presence of and search for meaning in life (Meaning in Life Questionnaire), and mediating variables were trait self-control (Brief Self-Control Scale) and the value of alcohol (Brief Assessment of Alcohol Demand).\nResults\nPresence of meaning in life had a significant negative association (B = −0.01, SE = 0.00, 95% CI −0.02 to −0.00, p = .015), whilst search for meaning in life had a significant positive association (B = 0.01, SE = 0.00, 95% CI 0.01 to 0.02, p = .001) with AUDIT scores. The negative association was mediated by increased self-control (B = −0.09, SE = 0.01, 95% CI −0.12 to −0.06) and decreased value of alcohol (B = −0.02, SE = 0.01, 95% CI −0.04 to 0.00), whilst the positive association was mediated by decreased self-control (B = 0.05, SE = 0.01, 95% CI 0.03 to 0.07) and increased value of alcohol (B = 0.02, SE = 0.01, 95% CI 0.00 to 0.04), thereby supporting our hypotheses.\nConclusions\nThe relationships between presence and search for meaning in life and harmful drinking are mediated by individual differences in both trait self-control and the value of alcohol.","container-title":"Addictive Behaviors Reports","DOI":"10.1016/j.abrep.2020.100258","ISSN":"2352-8532","journalAbbreviation":"Addictive Behaviors Reports","language":"en","page":"100258","source":"ScienceDirect","title":"The association between meaning in life and harmful drinking is mediated by individual differences in self-control and alcohol value","volume":"11","author":[{"family":"Copeland","given":"Amber"},{"family":"Jones","given":"Andrew"},{"family":"Field","given":"Matt"}],"issued":{"date-parts":[["2020",6,1]]}},"label":"act"},{"id":1644,"uris":["http://zotero.org/users/7873587/items/RY8WPZP6"],"itemData":{"id":1644,"type":"article-journal","abstract":"Value based choice and compulsion theories of addiction offer distinct explanations for the persistence of alcohol use despite harms. Choice theory argues that problematic drinkers ascribe such high value to alcohol that costs are outweighed, whereas compulsion theory argues that problematic drinkers discount costs in decision making. The current study evaluated these predictions by testing whether alcohol use disorder (AUD) symptom severity (indexed by the AUDIT) was more strongly associated with the intensity item (maximum alcohol consumption if free, indexing alcohol value) compared to the breakpoint item (maximum expenditure on a single drink, indexing sensitivity to monetary costs) of the Brief Assessment of Alcohol Demand (BAAD) questionnaire, in student (n = 579) and community (n = 120) drinkers. The community sample showed greater AUD than the student sample (p = .004). In both samples, AUD severity correlated with intensity (students, r = 0.63; community, r = 0.47), but not with breakpoint (students, r = −0.01; community, r = 0.12). Similarly, multiple regression analyses indicated that AUD severity was independently associated with intensity (student, ΔR2 = 0.20, p &lt; .001; community, ΔR2 = 0.09, p = .001) but not breakpoint (student, ΔR2 = 0.003, p = .118; community ΔR2 = 0.01, p = .294). There was no difference between samples in the strength of these associations. The value ascribed to alcohol may play a more important role in AUD severity than discounting of alcohol-associated costs (compulsivity), and there is no apparent difference between student and community drinkers in the contribution of these two mechanisms.","container-title":"Addictive Behaviors","DOI":"10.1016/j.addbeh.2020.106724","ISSN":"0306-4603","journalAbbreviation":"Addictive Behaviors","language":"en","page":"106724","source":"ScienceDirect","title":"Associations between the Brief Assessment of Alcohol Demand (BAAD) questionnaire and alcohol use disorder severity in UK samples of student and community drinkers","volume":"113","author":[{"family":"Hardy","given":"Lorna"},{"family":"Bakou","given":"Alexandra E."},{"family":"Shuai","given":"Ruichong"},{"family":"Acuff","given":"Samuel F."},{"family":"MacKillop","given":"James"},{"family":"Murphy","given":"Cara M."},{"family":"Murphy","given":"James G."},{"family":"Hogarth","given":"Lee"}],"issued":{"date-parts":[["2021",2,1]]}},"label":"act"},{"id":1406,"uris":["http://zotero.org/users/7873587/items/FWAJTDYS"],"itemData":{"id":1406,"type":"article-journal","abstract":"Background\nAlcohol demand, typically assessed at the trait-level, via single administration, reflects individualized alcohol value. We examined correspondence between baseline trait-level and daily brief measures of alcohol demand, and whether demand changes day-to-day in response to recent drinking-related consequences. Understanding whether consequences influence demand fluctuations may provide insight into when demand can be reduced in the context of intervention.\nMethods\nHeavy drinking college students (n = 95, age 18–20, 52% female) completed a baseline 14-item alcohol purchase task (APT). Observed demand indices were: intensity (consumption at zero cost), Omax (maximum expenditure), and breakpoint (cost whereby consumption is suppressed to zero). Participants subsequently completed 28 daily reports including a 3-item APT (one item corresponding to each baseline index) and prior day drinking and consequences.\nResults\nIntraclass correlations revealed within-person variability (i.e., day-to-day change) across daily demand indices. In hierarchical linear models (HLM), each daily demand index was significantly predicted by its corresponding baseline full APT index, when all three baseline indices were entered, suggesting convergent validity of the daily measure. Lower day-level intensity was predicted by more prior day negative consequences, controlling for several day- and person-level variables in HLM. Recent positive consequences did not impact intensity, and daily Omax and breakpoint were not predicted by any tested day- or person-level variables.\nConclusions\nAPT indices collected daily map on well to traditional single-administration APT metrics and change in response to recent consequences. Intensity demonstrated the greatest within-person variability, the strongest association with its corresponding full APT index, and theoretically-consistent prediction by negative consequences of drinking.","container-title":"Drug and Alcohol Dependence","DOI":"10.1016/j.drugalcdep.2020.107838","ISSN":"0376-8716","journalAbbreviation":"Drug and Alcohol Dependence","language":"en","page":"107838","source":"ScienceDirect","title":"Alcohol demand assessed daily: Validity, variability, and the influence of drinking-related consequences","title-short":"Alcohol demand assessed daily","volume":"208","author":[{"family":"Merrill","given":"Jennifer E."},{"family":"Aston","given":"Elizabeth R."}],"issued":{"date-parts":[["2020",3,1]]}},"label":"act"}],"schema":"https://github.com/citation-style-language/schema/raw/master/csl-citation.json"} </w:instrText>
      </w:r>
      <w:r w:rsidR="00054395">
        <w:rPr>
          <w:rFonts w:ascii="Times New Roman" w:hAnsi="Times New Roman" w:cs="Times New Roman"/>
        </w:rPr>
        <w:fldChar w:fldCharType="separate"/>
      </w:r>
      <w:r w:rsidR="00A4642B" w:rsidRPr="00A4642B">
        <w:rPr>
          <w:rFonts w:ascii="Times New Roman" w:hAnsi="Times New Roman" w:cs="Times New Roman"/>
        </w:rPr>
        <w:t>(Copeland et al., 2020; Hardy et al., 2021; Merrill &amp; Aston, 2020)</w:t>
      </w:r>
      <w:r w:rsidR="00054395">
        <w:rPr>
          <w:rFonts w:ascii="Times New Roman" w:hAnsi="Times New Roman" w:cs="Times New Roman"/>
        </w:rPr>
        <w:fldChar w:fldCharType="end"/>
      </w:r>
      <w:r w:rsidRPr="00B042F5">
        <w:rPr>
          <w:rFonts w:ascii="Times New Roman" w:hAnsi="Times New Roman" w:cs="Times New Roman"/>
        </w:rPr>
        <w:t xml:space="preserve">, they require additional validation (Owens et al., 2015). Furthermore, there is currently not a validated brief version of the cigarette purchase task, however at the time I followed recommendations by </w:t>
      </w:r>
      <w:r w:rsidR="00A4642B">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{"citationID":"LkDCtdR0","properties":{"formattedCitation":"(Athamneh et al., 2019)","plainCitation":"(Athamneh et al., 2019)","dontUpdate":true,"noteIndex":0},"citationItems":[{"id":924,"uris":["http://zotero.org/users/7873587/items/Z7EFD9TR"],"itemData":{"id":924,"type":"article-journal","abstract":"Basic and clinical addiction research use demand measures and analysis extensively to characterize drug use motivations. Hence, obtaining an accurate and brief measurement of demand that can be easily utilized in different settings is highly valued. In the current study, 2 versions of a breakpoint measure, designed to capture cigarette demand, were investigated in 119 smokers who were recruited from an online crowdsourcing platform. The first version determines the maximum price a smoker is willing to pay for one cigarette received right now when paid out of pocket, and the second determines the maximum price when paid using a hypothetical $100 gift card received for free. The breakpoint measures were administered along with the Cigarette Purchase Task (CPT), Fagerström Test for Cigarette Dependence (FTCD), and The Questionnaire of Smoking Urges (QSU-brief). Both single-item breakpoint versions were significantly correlated with CPT-derived demand measures loaded on the persistence factor (i.e., elasticity of demand, breakpoint, Pmax, and Omax), but not with those loaded on the amplitude factor (i.e., intensity of demand). In addition, both single-item measures were associated with metrics of tobacco dependence (e.g., FTCD, QSU) with effect sizes that are similar to the ones found between CPT-derived breakpoint and those same metrics. These findings suggest that the single-item breakpoint measure is a viable method for measuring demand that may provide a useful and efficient tool to capture crucial and distinct aspects of smoking. In addition, the breakpoint measures may help increase the utility of behavioral demand measures in novel research and clinical settings. (PsycINFO Database Record (c) 2019 APA, all rights reserved).","container-title":"Experimental and Clinical Psychopharmacology","DOI":"10.1037/pha0000228","ISSN":"1936-2293","issue":"1","journalAbbreviation":"Exp Clin Psychopharmacol","language":"eng","note":"PMID: 30265063\nPMCID: PMC6355365","page":"96-102","source":"PubMed","title":"Validation of a brief behavioral economic assessment of demand among cigarette smokers","volume":"27","author":[{"family":"Athamneh","given":"Liqa N."},{"family":"Stein","given":"Jeffrey S."},{"family":"Amlung","given":"Michael"},{"family":"Bickel","given":"Warren K."}],"issued":{"date-parts":[["2019",2]]}}}],"schema":"https://github.com/citation-style-language/schema/raw/master/csl-citation.json"} </w:instrText>
      </w:r>
      <w:r w:rsidR="00A4642B">
        <w:rPr>
          <w:rFonts w:ascii="Times New Roman" w:hAnsi="Times New Roman" w:cs="Times New Roman"/>
        </w:rPr>
        <w:fldChar w:fldCharType="separate"/>
      </w:r>
      <w:r w:rsidR="00A4642B" w:rsidRPr="00A4642B">
        <w:rPr>
          <w:rFonts w:ascii="Times New Roman" w:hAnsi="Times New Roman" w:cs="Times New Roman"/>
        </w:rPr>
        <w:t xml:space="preserve">Athamneh et al. </w:t>
      </w:r>
      <w:r w:rsidR="00A4642B">
        <w:rPr>
          <w:rFonts w:ascii="Times New Roman" w:hAnsi="Times New Roman" w:cs="Times New Roman"/>
        </w:rPr>
        <w:t>(</w:t>
      </w:r>
      <w:r w:rsidR="00A4642B" w:rsidRPr="00A4642B">
        <w:rPr>
          <w:rFonts w:ascii="Times New Roman" w:hAnsi="Times New Roman" w:cs="Times New Roman"/>
        </w:rPr>
        <w:t>2019)</w:t>
      </w:r>
      <w:r w:rsidR="00A4642B">
        <w:rPr>
          <w:rFonts w:ascii="Times New Roman" w:hAnsi="Times New Roman" w:cs="Times New Roman"/>
        </w:rPr>
        <w:fldChar w:fldCharType="end"/>
      </w:r>
      <w:r w:rsidRPr="00B042F5">
        <w:rPr>
          <w:rFonts w:ascii="Times New Roman" w:hAnsi="Times New Roman" w:cs="Times New Roman"/>
        </w:rPr>
        <w:t xml:space="preserve"> and administered the single item breakpoint to index value. However, more recently </w:t>
      </w:r>
      <w:r w:rsidR="00A4642B">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{"citationID":"MUjU0sYd","properties":{"formattedCitation":"(Gonz\\uc0\\u225{}lez-Roz et al., 2021)","plainCitation":"(González-Roz et al., 2021)","dontUpdate":true,"noteIndex":0},"citationItems":[{"id":927,"uris":["http://zotero.org/users/7873587/items/YR2TIP99"],"itemData":{"id":927,"type":"article-journal","abstract":"Behavioral economics has shown that single-item demand indicators are promising for capturing crucial aspects of nicotine reinforcement. It is suggested that brief breakpoint measures perform comparably to full-length demand indices in characterizing nicotine dependence; however, there have been no thorough assessments of their validity in clinical settings.","container-title":"Psychopharmacology","DOI":"10.1007/s00213-021-05875-y","ISSN":"1432-2072","issue":"9","journalAbbreviation":"Psychopharmacology","language":"en","page":"2525-2533","source":"Springer Link","title":"No evidence of the clinical utility of single-item breakpoint to inform on tobacco demand in persons with substance use disorders","volume":"238","author":[{"family":"González-Roz","given":"Alba"},{"family":"Secades-Villa","given":"Roberto"},{"family":"Aonso-Diego","given":"Gema"},{"family":"Weidberg","given":"Sara"},{"family":"Fernández-Hermida","given":"José R."}],"issued":{"date-parts":[["2021",9,1]]}}}],"schema":"https://github.com/citation-style-language/schema/raw/master/csl-citation.json"} </w:instrText>
      </w:r>
      <w:r w:rsidR="00A4642B">
        <w:rPr>
          <w:rFonts w:ascii="Times New Roman" w:hAnsi="Times New Roman" w:cs="Times New Roman"/>
        </w:rPr>
        <w:fldChar w:fldCharType="separate"/>
      </w:r>
      <w:r w:rsidR="00A4642B" w:rsidRPr="00A4642B">
        <w:rPr>
          <w:rFonts w:ascii="Times New Roman" w:hAnsi="Times New Roman" w:cs="Times New Roman"/>
        </w:rPr>
        <w:t>González-Roz et al.</w:t>
      </w:r>
      <w:r w:rsidR="00A4642B">
        <w:rPr>
          <w:rFonts w:ascii="Times New Roman" w:hAnsi="Times New Roman" w:cs="Times New Roman"/>
        </w:rPr>
        <w:t xml:space="preserve"> (</w:t>
      </w:r>
      <w:r w:rsidR="00A4642B" w:rsidRPr="00A4642B">
        <w:rPr>
          <w:rFonts w:ascii="Times New Roman" w:hAnsi="Times New Roman" w:cs="Times New Roman"/>
        </w:rPr>
        <w:t>2021)</w:t>
      </w:r>
      <w:r w:rsidR="00A4642B">
        <w:rPr>
          <w:rFonts w:ascii="Times New Roman" w:hAnsi="Times New Roman" w:cs="Times New Roman"/>
        </w:rPr>
        <w:fldChar w:fldCharType="end"/>
      </w:r>
      <w:r w:rsidRPr="00B042F5">
        <w:rPr>
          <w:rFonts w:ascii="Times New Roman" w:hAnsi="Times New Roman" w:cs="Times New Roman"/>
        </w:rPr>
        <w:t xml:space="preserve"> </w:t>
      </w:r>
      <w:r w:rsidR="00A4642B">
        <w:rPr>
          <w:rFonts w:ascii="Times New Roman" w:hAnsi="Times New Roman" w:cs="Times New Roman"/>
        </w:rPr>
        <w:t>did not find any support for the clinical utility</w:t>
      </w:r>
      <w:r w:rsidRPr="00B042F5">
        <w:rPr>
          <w:rFonts w:ascii="Times New Roman" w:hAnsi="Times New Roman" w:cs="Times New Roman"/>
        </w:rPr>
        <w:t xml:space="preserve"> </w:t>
      </w:r>
      <w:r w:rsidR="00A4642B">
        <w:rPr>
          <w:rFonts w:ascii="Times New Roman" w:hAnsi="Times New Roman" w:cs="Times New Roman"/>
        </w:rPr>
        <w:t xml:space="preserve">of </w:t>
      </w:r>
      <w:r w:rsidRPr="00B042F5">
        <w:rPr>
          <w:rFonts w:ascii="Times New Roman" w:hAnsi="Times New Roman" w:cs="Times New Roman"/>
        </w:rPr>
        <w:t xml:space="preserve">breakpoint </w:t>
      </w:r>
      <w:r w:rsidR="00A4642B">
        <w:rPr>
          <w:rFonts w:ascii="Times New Roman" w:hAnsi="Times New Roman" w:cs="Times New Roman"/>
        </w:rPr>
        <w:t xml:space="preserve">as an </w:t>
      </w:r>
      <w:r w:rsidRPr="00B042F5">
        <w:rPr>
          <w:rFonts w:ascii="Times New Roman" w:hAnsi="Times New Roman" w:cs="Times New Roman"/>
        </w:rPr>
        <w:lastRenderedPageBreak/>
        <w:t xml:space="preserve">index of demand. Therefore, self-report demand within this thesis should be interpreted cautiously. </w:t>
      </w:r>
    </w:p>
    <w:p w14:paraId="70E1366A" w14:textId="77777777" w:rsidR="000C67F7" w:rsidRPr="00B042F5" w:rsidRDefault="000C67F7" w:rsidP="00762442">
      <w:pPr>
        <w:pStyle w:val="NoSpacing"/>
        <w:spacing w:line="480" w:lineRule="auto"/>
        <w:rPr>
          <w:rFonts w:ascii="Times New Roman" w:hAnsi="Times New Roman" w:cs="Times New Roman"/>
        </w:rPr>
      </w:pPr>
    </w:p>
    <w:p w14:paraId="0AF1789F" w14:textId="36CFDC7C"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A further limitation is that choices made by participants were hypothetical because they did not comprise any actual outcome during the experimental procedure. Such inconsequential decision-making differs from other published studies outside the field of addiction </w:t>
      </w:r>
      <w:r w:rsidR="00401AD1">
        <w:rPr>
          <w:rFonts w:ascii="Times New Roman" w:hAnsi="Times New Roman" w:cs="Times New Roman"/>
        </w:rPr>
        <w:fldChar w:fldCharType="begin"/>
      </w:r>
      <w:r w:rsidR="00401AD1">
        <w:rPr>
          <w:rFonts w:ascii="Times New Roman" w:hAnsi="Times New Roman" w:cs="Times New Roman"/>
        </w:rPr>
        <w:instrText xml:space="preserve"> ADDIN ZOTERO_ITEM CSL_CITATION {"citationID":"gqbyC2ZP","properties":{"formattedCitation":"(Krajbich et al., 2010; Mormann et al., 2010; Polan\\uc0\\u237{}a et al., 2014; Tusche &amp; Hutcherson, 2018)","plainCitation":"(Krajbich et al., 2010; Mormann et al., 2010; Polanía et al., 2014; Tusche &amp; Hutcherson, 2018)","noteIndex":0},"citationItems":[{"id":1771,"uris":["http://zotero.org/users/7873587/items/3QZ8899I"],"itemData":{"id":1771,"type":"article-journal","abstract":"To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label":"act"},{"id":674,"uris":["http://zotero.org/users/7873587/items/RIYA94KZ"],"itemData":{"id":674,"type":"article-journal","abstract":"An important open problem is how values are compared to make simple choices. A natural hypothesis is that the brain carries out the computations associated with the value comparisons in a manner consistent with the Drift Diffusion Model (DDM), since this model has been able to account for a large amount of data in other domains. We investigated the ability of four different versions of the DDM to explain the data in a real binary food choice task under conditions of high and low time pressure. We found that a seven-parameter version of the DDM can account for the choice and reaction time data with high-accuracy, in both the high and low time pressure conditions. The changes associated with the introduction of time pressure could be traced to changes in two key model parameters: the barrier height and the noise in the slope of the drift process. (PsycInfo Database Record (c) 2021 APA, all rights reserved)","container-title":"Judgment and Decision Making","ISSN":"1930-2975","issue":"6","note":"publisher-place: US\npublisher: Society for Judgment and Decision Making","page":"437-449","source":"APA PsycNet","title":"The drift diffusion model can account for the accuracy and reaction time of value-based choices under high and low time pressure","volume":"5","author":[{"family":"Mormann","given":"Milica"},{"family":"Malmaud","given":"Jonathan"},{"family":"Huth","given":"Alexander"},{"family":"Koch","given":"Christof"},{"family":"Rangel","given":"Antonio"}],"issued":{"date-parts":[["2010"]]}},"label":"act"},{"id":1544,"uris":["http://zotero.org/users/7873587/items/S2B2VYDB"],"itemData":{"id":1544,"type":"article-journal","abstract":"Organisms make two types of decisions on a regular basis. Perceptual decisions are determined by objective states of the world (e.g., melons are bigger than apples), whereas value-based decisions are determined by subjective preferences (e.g., I prefer apples to melons). Theoretical accounts suggest that both types of choice involve neural computations accumulating evidence for the choice alternatives; however, little is known about the overlap or differences in the processes underlying perceptual versus value-based decisions. We analyzed EEG recordings during a paradigm where perceptual- and value-based choices were based on identical stimuli. For both types of choice, evidence accumulation was evident in parietal gamma-frequency oscillations, whereas a similar frontal signal was unique for value-based decisions. Fronto-parietal synchronization of these signals predicted value-based choice accuracy. These findings uncover how decisions emerge from topographic- and frequency-specific oscillations that accumulate distinct aspects of evidence, with large-scale synchronization as a mechanism integrating these spatially distributed signals.","container-title":"Neuron","DOI":"10.1016/j.neuron.2014.03.014","ISSN":"1097-4199","issue":"3","journalAbbreviation":"Neuron","language":"eng","note":"PMID: 24811387","page":"709-720","source":"PubMed","title":"Neural oscillations and synchronization differentially support evidence accumulation in perceptual and value-based decision making","volume":"82","author":[{"family":"Polanía","given":"Rafael"},{"family":"Krajbich","given":"Ian"},{"family":"Grueschow","given":"Marcus"},{"family":"Ruff","given":"Christian C."}],"issued":{"date-parts":[["2014",5,7]]}},"label":"act"},{"id":1563,"uris":["http://zotero.org/users/7873587/items/4VVSTME8"],"itemData":{"id":1563,"type":"article-journal","abstract":"Are some people generally more successful using cognitive regulation or does it depend on the choice domain? Why? We combined behavioral computational modeling and multivariate decoding of fMRI responses to identify neural loci of regulation-related shifts in value representations across goals and domains (dietary or altruistic choice). Surprisingly, regulatory goals did not alter integrative value representations in the ventromedial prefrontal cortex, which represented all choice-relevant attributes across goals and domains. Instead, the dorsolateral prefrontal cortex (DLPFC) flexibly encoded goal-consistent values and predicted regulatory success for the majority of choice-relevant attributes, using attribute-specific neural codes. We also identified domain-specific exceptions: goal-dependent encoding of prosocial attributes localized to precuneus and temporo-parietal junction (not DLPFC). Our results suggest that cognitive regulation operated by changing specific attribute representations (not integrated values). Evidence of domain-general and domain-specific neural loci reveals important divisions of labor, explaining when and why regulatory success generalizes (or doesn’t) across contexts and domains.","container-title":"eLife","DOI":"10.7554/eLife.31185","ISSN":"2050-084X","note":"publisher: eLife Sciences Publications, Ltd","page":"e31185","source":"eLife","title":"Cognitive regulation alters social and dietary choice by changing attribute representations in domain-general and domain-specific brain circuits","volume":"7","author":[{"family":"Tusche","given":"Anita"},{"family":"Hutcherson","given":"Cendri A"}],"editor":[{"family":"Schoenbaum","given":"Geoffrey"}],"issued":{"date-parts":[["2018",5,29]]}},"label":"act"}],"schema":"https://github.com/citation-style-language/schema/raw/master/csl-citation.json"} </w:instrText>
      </w:r>
      <w:r w:rsidR="00401AD1">
        <w:rPr>
          <w:rFonts w:ascii="Times New Roman" w:hAnsi="Times New Roman" w:cs="Times New Roman"/>
        </w:rPr>
        <w:fldChar w:fldCharType="separate"/>
      </w:r>
      <w:r w:rsidR="00401AD1" w:rsidRPr="00401AD1">
        <w:rPr>
          <w:rFonts w:ascii="Times New Roman" w:hAnsi="Times New Roman" w:cs="Times New Roman"/>
        </w:rPr>
        <w:t>(Krajbich et al., 2010; Mormann et al., 2010; Polanía et al., 2014; Tusche &amp; Hutcherson, 2018)</w:t>
      </w:r>
      <w:r w:rsidR="00401AD1">
        <w:rPr>
          <w:rFonts w:ascii="Times New Roman" w:hAnsi="Times New Roman" w:cs="Times New Roman"/>
        </w:rPr>
        <w:fldChar w:fldCharType="end"/>
      </w:r>
      <w:r w:rsidR="00401AD1">
        <w:rPr>
          <w:rFonts w:ascii="Times New Roman" w:hAnsi="Times New Roman" w:cs="Times New Roman"/>
        </w:rPr>
        <w:t xml:space="preserve"> </w:t>
      </w:r>
      <w:r w:rsidRPr="00B042F5">
        <w:rPr>
          <w:rFonts w:ascii="Times New Roman" w:hAnsi="Times New Roman" w:cs="Times New Roman"/>
        </w:rPr>
        <w:t xml:space="preserve">which require participants to consume (or at least partially consume) one item depicted in an image rated high in value from a trial selected at random. This is typically done to encourage participants to make value judgements that reflect their true preferences. However, in the research presented within this thesis it was necessary for decisions to be hypothetical in-part for ethical reasons (e.g., ex-smokers should not receive or be offered cigarette rewards during their participation as they are in recovery). This was corroborated by the COVID-19 pandemic because the national lockdown restrictions precluded face-to-face data collection, which means it would be additionally challenging to give participants an actual reward immediately following their participation. However, I conducted additional analyses which quantified robust difficulty effects. To elaborate, across all Chapters, EA rates decreased alongside increasing level of difficulty in the trials thereby revealing participants’ responding to the stimuli during the VBDM task was compatible with the value judgments that they had made about those stimuli during the rating task. Furthermore, existing tasks that infer substance value via the percentage of substance relative to substance-free choice often do not comprise actual outcomes either, instead using procedures such as image enlargement as the reward (e.g., </w:t>
      </w:r>
      <w:r w:rsidR="00401AD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{"citationID":"O1jUBRXa","properties":{"formattedCitation":"(Hardy &amp; Hogarth, 2017; Moeller et al., 2009, 2013, 2020; Moeller &amp; Stoops, 2015)","plainCitation":"(Hardy &amp; Hogarth, 2017; Moeller et al., 2009, 2013, 2020; Moeller &amp; Stoops, 2015)","dontUpdate":true,"noteIndex":0},"citationItems":[{"id":875,"uris":["http://zotero.org/users/7873587/items/E23ESQBL"],"itemData":{"id":875,"type":"article-journal","abstract":"This study tested whether a novel concurrent pictorial choice procedure, inspired by animal self-administration models, is sensitive to the motivational effect of negative mood induction on alcohol-seeking in hazardous drinkers. Forty-eight hazardous drinkers (scoring ≥7 on the Alcohol Use Disorders Inventory) recruited from the community completed measures of alcohol dependence, depression, and drinking coping motives. Baseline alcohol-seeking was measured by percent choice to enlarge alcohol- versus food-related thumbnail images in two alternative forced-choice trials. Negative and positive mood was then induced in succession by means of self-referential affective statements and music, and percent alcohol choice was measured after each induction in the same way as baseline. Baseline alcohol choice correlated with alcohol dependence severity, r = .42, p = .003, drinking coping motives (in two questionnaires, r = .33, p = .02 and r = .46, p = .001), and depression symptoms, r = .31, p = .03. Alcohol choice was increased by negative mood over baseline (p &lt; .001, ηp2 = .280), and matched baseline following positive mood (p = .54, ηp2 = .008). The negative mood-induced increase in alcohol choice was not related to gender, alcohol dependence, drinking to cope, or depression symptoms (ps ≥ .37). The concurrent pictorial choice measure is a sensitive index of the relative value of alcohol, and provides an accessible experimental model to study negative mood-induced relapse mechanisms in hazardous drinkers. (PsycINFO Database Record","container-title":"Experimental and Clinical Psychopharmacology","DOI":"10.1037/pha0000155","ISSN":"1936-2293","issue":"6","journalAbbreviation":"Exp Clin Psychopharmacol","language":"eng","note":"PMID: 29251973","page":"448-455","source":"PubMed","title":"A novel concurrent pictorial choice model of mood-induced relapse in hazardous drinkers","volume":"25","author":[{"family":"Hardy","given":"Lorna"},{"family":"Hogarth","given":"Lee"}],"issued":{"date-parts":[["2017",12]]}},"label":"act"},{"id":958,"uris":["http://zotero.org/users/7873587/items/YR7WLYET"],"itemData":{"id":958,"type":"article-journal","abstract":"Individuals with cocaine use disorder (CUD) chose cocaine over non-drug rewards. In two newly designed laboratory tasks with pictures, we document this modified choice outside of a cocaine administration paradigm.Choice for viewing cocaine, pleasant, ...","container-title":"Biological psychiatry","DOI":"10.1016/j.biopsych.2009.02.015","issue":"2","language":"en","note":"publisher: NIH Public Access\nPMID: 19358975","page":"169","source":"www.ncbi.nlm.nih.gov","title":"Enhanced choice for viewing cocaine pictures in cocaine addiction","volume":"66","author":[{"family":"Moeller","given":"Scott J."},{"family":"Maloney","given":"Thomas"},{"family":"Parvaz","given":"Muhammad A."},{"family":"Dunning","given":"Jonathan P."},{"family":"Alia-Klein","given":"Nelly"},{"family":"Woicik","given":"Patricia A."},{"family":"Hajcak","given":"Greg"},{"family":"Telang","given":"Frank"},{"family":"Wang","given":"Gene-Jack"},{"family":"Volkow","given":"Nora D."},{"family":"Goldstein","given":"Rita Z."}],"issued":{"date-parts":[["2009",7,7]]}},"label":"act"},{"id":961,"uris":["http://zotero.org/users/7873587/items/8GKGICR8"],"itemData":{"id":961,"type":"article-journal","abstract":"Background\nIdentifying variables that predict drug use in treatment-seeking drug addicted individuals is a crucial research and therapeutic goal. This study tested the hypothesis that choice to view cocaine images is associated with concurrent and prospective drug use in cocaine addiction. \n\nMethods\nTo establish choice-concurrent drug use associations, 71 cocaine addicted subjects (43 current users and 28 treatment seekers) provided data on (A) choice to view cocaine images and affectively pleasant, unpleasant, and neutral images [collected under explicit contingencies (when choice was made between two fully visible side-by-side images) and under more probabilistic contingencies (when choice was made between pictures hidden under flipped-over cards)]; and (B) past-month cocaine and other drug use. To establish choice-prospective drug use associations, 20 of these treatment-seeking subjects were followed over the next six months.\n\nResults\nBaseline cocaine-related picture choice as measured by both tasks positively correlated with subjects’ concurrent cocaine and other drug use as driven by the actively-using subjects. In a subsequent multiple regression analysis, choice to view cocaine images as compared with affectively pleasant images (under probabilistic contingencies) was the only predictor that continued to be significantly associated with drug use. Importantly, this same baseline cocaine&gt;pleasant probabilistic choice also predicted the number of days drugs were used (cocaine, alcohol, and marijuana) over the next six months.\n\nConclusions\nSimulated cocaine choice – especially when probabilistic and when compared with other positive reinforcers – may provide a valid laboratory marker of current and future drug use in cocaine addiction.","container-title":"Drug and alcohol dependence","DOI":"10.1016/j.drugalcdep.2012.11.001","ISSN":"0376-8716","issue":"0","journalAbbreviation":"Drug Alcohol Depend","note":"PMID: 23218913\nPMCID: PMC3609942","page":"178-185","source":"PubMed Central","title":"Choice to view cocaine images predicts concurrent and prospective drug use in cocaine addiction","volume":"130","author":[{"family":"Moeller","given":"Scott J."},{"family":"Beebe-Wang","given":"Nicasia"},{"family":"Woicik","given":"Patricia A."},{"family":"Konova","given":"Anna B."},{"family":"Maloney","given":"Thomas"},{"family":"Goldstein","given":"Rita Z."}],"issued":{"date-parts":[["2013",6,1]]}},"label":"act"},{"id":1774,"uris":["http://zotero.org/users/7873587/items/WR7YLJL2"],"itemData":{"id":1774,"type":"article-journal","abstract":"BACKGROUND: The USA is currently enduring an opioid crisis. Identifying cost-effective, easy-to-implement behavioral measures that predict treatment outcomes in opioid misusers is a crucial scientific, therapeutic, and epidemiological goal.\nMETHODS: The current study used a mixed cross-sectional and longitudinal design to test whether a behavioral choice task, previously validated in stimulant users, was associated with increased opioid misuse severity at baseline, and whether it predicted change in opioid misuse severity at follow-up. At baseline, data from 100 prescription opioid-treated chronic pain patients were analyzed; at follow-up, data were analyzed in 34 of these participants who were non-misusers at baseline. During the choice task, participants chose under probabilistic contingencies whether to view opioid-related images in comparison with affectively pleasant, unpleasant, and neutral images. Following previous procedures, we also assessed insight into choice behavior, operationalized as whether (yes/no) participants correctly self-reported the image category they chose most often.\nRESULTS: At baseline, the higher choice for viewing opioid images in direct comparison with pleasant images was associated with opioid misuse and impaired insight into choice behavior; the combination of these produced especially elevated opioid-related choice behavior. In longitudinal analyses of individuals who were initially non-misusers, higher baseline opioid v. pleasant choice behavior predicted more opioid misuse behaviors at follow-up.\nCONCLUSIONS: These results indicate that greater relative allocation of behavior toward opioid stimuli and away from stimuli depicting natural reinforcement is associated with concurrent opioid misuse and portends vulnerability toward future misuse. The choice task may provide important medical information to guide opioid-prescribing practices.","container-title":"Psychological Medicine","DOI":"10.1017/S0033291719000461","ISSN":"1469-8978","issue":"4","journalAbbreviation":"Psychol Med","language":"eng","note":"PMID: 30982480\nPMCID: PMC7413318","page":"644-652","source":"PubMed","title":"Behavioral preference for viewing drug v. pleasant images predicts current and future opioid misuse among chronic pain patients","volume":"50","author":[{"family":"Moeller","given":"Scott J."},{"family":"Hanley","given":"Adam W."},{"family":"Garland","given":"Eric L."}],"issued":{"date-parts":[["2020",3]]}},"label":"act"},{"id":956,"uris":["http://zotero.org/users/7873587/items/L7ME386B"],"itemData":{"id":956,"type":"article-journal","abstract":"Individuals with cocaine use disorder chronically self-administer cocaine to the detriment of other rewarding activities, a phenomenon best modeled in laboratory drug-choice procedures. These procedures can evaluate the reinforcing effects of drugs versus comparably valuable alternatives under multiple behavioral arrangements and schedules of reinforcement. However, assessing drug-choice in treatment-seeking or abstaining humans poses unique challenges: for ethical reasons, these populations typically cannot receive active drugs during research studies. Researchers have thus needed to rely on alternative approaches that approximate drug-choice behavior or assess more general forms of decision-making, but whether these alternatives have relevance to real-world drug-taking that can inform clinical trials is not well-understood. In this mini-review, we (A) summarize several important modulatory variables that influence cocaine choice in nonhuman animals and non-treatment seeking humans; (B) discuss some of the ethical considerations that could arise if treatment-seekers are enrolled in drug-choice studies; (C) consider the efficacy of alternative procedures, including non-drug-related decision-making and ‘simulated’ drug-choice (a choice is made, but no drug is administered) to approximate drug choice; and (D) suggest opportunities for new translational work to bridge the current divide between preclinical and clinical research.","container-title":"Pharmacology, biochemistry, and behavior","DOI":"10.1016/j.pbb.2015.09.020","ISSN":"0091-3057","journalAbbreviation":"Pharmacol Biochem Behav","note":"PMID: 26432174\nPMCID: PMC4641437","page":"133-141","source":"PubMed Central","title":"Cocaine choice procedures in animals, humans, and treatment-seekers: Can we bridge the divide?","title-short":"Cocaine choice procedures in animals, humans, and treatment-seekers","volume":"138","author":[{"family":"Moeller","given":"Scott J."},{"family":"Stoops","given":"William W."}],"issued":{"date-parts":[["2015",11]]}},"label":"act"}],"schema":"https://github.com/citation-style-language/schema/raw/master/csl-citation.json"} </w:instrText>
      </w:r>
      <w:r w:rsidR="00401AD1">
        <w:rPr>
          <w:rFonts w:ascii="Times New Roman" w:hAnsi="Times New Roman" w:cs="Times New Roman"/>
        </w:rPr>
        <w:fldChar w:fldCharType="separate"/>
      </w:r>
      <w:r w:rsidR="009415B3" w:rsidRPr="009415B3">
        <w:rPr>
          <w:rFonts w:ascii="Times New Roman" w:hAnsi="Times New Roman" w:cs="Times New Roman"/>
        </w:rPr>
        <w:t>Hardy &amp; Hogarth, 2017; Moeller et al., 2009, 2013, 2020; Moeller &amp; Stoops, 2015)</w:t>
      </w:r>
      <w:r w:rsidR="00401AD1">
        <w:rPr>
          <w:rFonts w:ascii="Times New Roman" w:hAnsi="Times New Roman" w:cs="Times New Roman"/>
        </w:rPr>
        <w:fldChar w:fldCharType="end"/>
      </w:r>
      <w:r w:rsidRPr="00B042F5">
        <w:rPr>
          <w:rFonts w:ascii="Times New Roman" w:hAnsi="Times New Roman" w:cs="Times New Roman"/>
        </w:rPr>
        <w:t>.</w:t>
      </w:r>
    </w:p>
    <w:p w14:paraId="6CAD25D4" w14:textId="77777777" w:rsidR="000C67F7" w:rsidRPr="00B042F5" w:rsidRDefault="000C67F7" w:rsidP="00762442">
      <w:pPr>
        <w:pStyle w:val="NoSpacing"/>
        <w:spacing w:line="480" w:lineRule="auto"/>
        <w:rPr>
          <w:rFonts w:ascii="Times New Roman" w:hAnsi="Times New Roman" w:cs="Times New Roman"/>
        </w:rPr>
      </w:pPr>
    </w:p>
    <w:p w14:paraId="49912D73" w14:textId="1E028F24"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lastRenderedPageBreak/>
        <w:t xml:space="preserve">Another methodological limitation is that the control stimuli used in the Chapters 5 and 7 were perhaps not appropriate to make comparisons with tobacco-related images. To elaborate, animal images were used as the control, and I found EA rates for animal images were always higher than EA rates for tobacco (regardless of experimental manipulation or group membership) which precluded any meaningful interpretation of difference between these two categories. An explanation for the increase in EA rates is that EA rates are sensitive to both participant ability and task difficulty </w:t>
      </w:r>
      <w:r w:rsidR="001A5D31">
        <w:rPr>
          <w:rFonts w:ascii="Times New Roman" w:hAnsi="Times New Roman" w:cs="Times New Roman"/>
        </w:rPr>
        <w:fldChar w:fldCharType="begin"/>
      </w:r>
      <w:r w:rsidR="001A5D31">
        <w:rPr>
          <w:rFonts w:ascii="Times New Roman" w:hAnsi="Times New Roman" w:cs="Times New Roman"/>
        </w:rPr>
        <w:instrText xml:space="preserve"> ADDIN ZOTERO_ITEM CSL_CITATION {"citationID":"4z0QFCpt","properties":{"formattedCitation":"(Evans &amp; Wagenmakers, 2019; Wagenmakers et al., 2007)","plainCitation":"(Evans &amp; Wagenmakers, 2019; Wagenmakers et al., 2007)","noteIndex":0},"citationItems":[{"id":1705,"uris":["http://zotero.org/users/7873587/items/YPNXDY2X"],"itemData":{"id":1705,"type":"article-journal","abstract":"This scientific commentary refers to ‘The ease and sureness of a decision: evidence accumulation of conflict and uncertainty’, by Mandali et al. (doi:10.1093/brain/awz013).One of the most dominant models of human decision-making over the past decades has been the diffusion model (Ratcliff, 1978; Ratcliff et al., 2016). However, the diffusion model may not be familiar to all readers of Brain, as the model has primarily been applied within the field of cognitive psychology. The diffusion model proposes that decision-making results from an internal process of sequential evidence accumulation, where each potential choice alternative accumulates evidence from the environment over time, until the evidence for one alternative reaches some threshold level of evidence that triggers a decision. Importantly, the diffusion model can decompose the accuracy and time taken for each decision into latent parameters from the underlying decision-making process, most notably drift rate, decision threshold, and non-decision time. The drift rate parameter is the rate of evidence accumulation, with faster accumulation indicating better ability. The decision threshold parameter is the amount of evidence required to trigger a decision, with higher decision thresholds indicating greater caution. The non-decision time parameter represents the time taken up by processes such as perceptual encoding and motor responding. These latent parameters allow researchers to directly assess changes in the components of the underlying cognitive process, rather than attempting to indirectly infer changes from the raw observed variables, such as accuracy and mean response time. A schematic overview of the diffusion model is provided in Fig. 1.","container-title":"Brain","DOI":"10.1093/brain/awz073","ISSN":"0006-8950","issue":"5","journalAbbreviation":"Brain","page":"1172-1175","source":"Silverchair","title":"Theoretically meaningful models can answer clinically relevant questions","volume":"142","author":[{"family":"Evans","given":"Nathan J"},{"family":"Wagenmakers","given":"Eric-Jan"}],"issued":{"date-parts":[["2019",5,1]]}},"label":"act"},{"id":52,"uris":["http://zotero.org/users/7873587/items/6JI6YTPQ"],"itemData":{"id":52,"type":"article-journal","abstract":"The EZ-diffusion model for two-choice response time tasks takes mean response time, the variance of response time, and response accuracy as inputs. The model transforms these data via three simple equations to produce unique values for the quality of information, response conservativeness, and nondecision time. This transformation of observed data in terms of unobserved variables addresses the speed—accuracy trade-off and allows an unambiguous quantification of performance differences in two-choice response time tasks. The EZ-diffusion model can be applied to data-sparse situations to facilitate individual subject analysis. We studied the performance of the EZ-diffusion model in terms of parameter recovery and robustness against misspecification by using Monte Carlo simulations. The EZ model was also applied to a real-world data set.","container-title":"Psychonomic Bulletin &amp; Review","DOI":"10.3758/BF03194023","ISSN":"1531-5320","issue":"1","journalAbbreviation":"Psychonomic Bulletin &amp; Review","language":"en","page":"3-22","source":"Springer Link","title":"An EZ-diffusion model for response time and accuracy","volume":"14","author":[{"family":"Wagenmakers","given":"Eric-Jan"},{"family":"Van Der Maas","given":"Han L. J."},{"family":"Grasman","given":"Raoul P. P. P."}],"issued":{"date-parts":[["2007"]]}},"label":"act"}],"schema":"https://github.com/citation-style-language/schema/raw/master/csl-citation.json"} </w:instrText>
      </w:r>
      <w:r w:rsidR="001A5D31">
        <w:rPr>
          <w:rFonts w:ascii="Times New Roman" w:hAnsi="Times New Roman" w:cs="Times New Roman"/>
        </w:rPr>
        <w:fldChar w:fldCharType="separate"/>
      </w:r>
      <w:r w:rsidR="001A5D31" w:rsidRPr="001A5D31">
        <w:rPr>
          <w:rFonts w:ascii="Times New Roman" w:hAnsi="Times New Roman" w:cs="Times New Roman"/>
        </w:rPr>
        <w:t>(Evans &amp; Wagenmakers, 2019; Wagenmakers et al., 2007)</w:t>
      </w:r>
      <w:r w:rsidR="001A5D31">
        <w:rPr>
          <w:rFonts w:ascii="Times New Roman" w:hAnsi="Times New Roman" w:cs="Times New Roman"/>
        </w:rPr>
        <w:fldChar w:fldCharType="end"/>
      </w:r>
      <w:r w:rsidR="001A5D31">
        <w:rPr>
          <w:rFonts w:ascii="Times New Roman" w:hAnsi="Times New Roman" w:cs="Times New Roman"/>
        </w:rPr>
        <w:t xml:space="preserve"> </w:t>
      </w:r>
      <w:r w:rsidRPr="00B042F5">
        <w:rPr>
          <w:rFonts w:ascii="Times New Roman" w:hAnsi="Times New Roman" w:cs="Times New Roman"/>
        </w:rPr>
        <w:t>and the animal stimuli may have been easier for participants to distinguish between. For example, the difference in valence between two different animals (e.g., a snake and a puppy) may be more obvious than the difference between two different ashtrays.</w:t>
      </w:r>
    </w:p>
    <w:p w14:paraId="6189834B" w14:textId="77777777" w:rsidR="000C67F7" w:rsidRPr="00B042F5" w:rsidRDefault="000C67F7" w:rsidP="00762442">
      <w:pPr>
        <w:pStyle w:val="NoSpacing"/>
        <w:spacing w:line="480" w:lineRule="auto"/>
        <w:rPr>
          <w:rFonts w:ascii="Times New Roman" w:hAnsi="Times New Roman" w:cs="Times New Roman"/>
        </w:rPr>
      </w:pPr>
    </w:p>
    <w:p w14:paraId="737ED160" w14:textId="39ADC1B4" w:rsidR="000C67F7" w:rsidRPr="00B042F5"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 xml:space="preserve">A recent methodological commentary postulated that to appropriately match control stimuli to a substance-related stimuli, the control category should contain some element of incentive value </w:t>
      </w:r>
      <w:r w:rsidR="001A5D31">
        <w:rPr>
          <w:rFonts w:ascii="Times New Roman" w:hAnsi="Times New Roman" w:cs="Times New Roman"/>
        </w:rPr>
        <w:fldChar w:fldCharType="begin"/>
      </w:r>
      <w:r w:rsidR="001A5D31">
        <w:rPr>
          <w:rFonts w:ascii="Times New Roman" w:hAnsi="Times New Roman" w:cs="Times New Roman"/>
        </w:rPr>
        <w:instrText xml:space="preserve"> ADDIN ZOTERO_ITEM CSL_CITATION {"citationID":"Oa3LRnen","properties":{"formattedCitation":"(Pennington et al., 2021)","plainCitation":"(Pennington et al., 2021)","noteIndex":0},"citationItems":[{"id":1614,"uris":["http://zotero.org/users/7873587/items/LK9L99LW"],"itemData":{"id":1614,"type":"article-journal","abstract":"Background and Aims A range of experimental paradigms claim to measure the cognitive processes underpinning alcohol use, suggesting that heightened attentional bias, greater approach tendencies and reduced cue-specific inhibitory control are important drivers of consumption. This paper identifies methodological shortcomings within this broad domain of research and exemplifies them in studies focused specifically on alcohol-related attentional bias. Argument and analysis We highlight five main methodological issues: (i) the use of inappropriately matched control stimuli; (ii) opacity of stimulus selection and validation procedures; (iii) a credence in noisy measures; (iv) a reliance on unreliable tasks; and (v) variability in design and analysis. This is evidenced through a review of alcohol-related attentional bias (64 empirical articles, 68 tasks), which reveals the following: only 53% of tasks use appropriately matched control stimuli; as few as 38% report their stimulus selection and 19% their validation procedures; less than 28% used indices capable of disambiguating attentional processes; 22% assess reliability; and under 2% of studies were pre-registered. Conclusions Well-matched and validated experimental stimuli, the development of reliable cognitive tasks and explicit assessment of their psychometric properties, and careful consideration of behavioural indices and their analysis will improve the methodological rigour of cognitive alcohol research. Open science principles can facilitate replication and reproducibility in alcohol research.","container-title":"Addiction","DOI":"10.1111/add.15563","ISSN":"1360-0443","issue":"11","language":"en","note":"_eprint: https://onlinelibrary.wiley.com/doi/pdf/10.1111/add.15563","page":"3243-3251","source":"Wiley Online Library","title":"Raising the bar: improving methodological rigour in cognitive alcohol research","title-short":"Raising the bar","volume":"116","author":[{"family":"Pennington","given":"Charlotte R."},{"family":"Jones","given":"Andrew"},{"family":"Bartlett","given":"James E."},{"family":"Copeland","given":"Amber"},{"family":"Shaw","given":"Daniel J."}],"issued":{"date-parts":[["2021"]]}}}],"schema":"https://github.com/citation-style-language/schema/raw/master/csl-citation.json"} </w:instrText>
      </w:r>
      <w:r w:rsidR="001A5D31">
        <w:rPr>
          <w:rFonts w:ascii="Times New Roman" w:hAnsi="Times New Roman" w:cs="Times New Roman"/>
        </w:rPr>
        <w:fldChar w:fldCharType="separate"/>
      </w:r>
      <w:r w:rsidR="001A5D31" w:rsidRPr="001A5D31">
        <w:rPr>
          <w:rFonts w:ascii="Times New Roman" w:hAnsi="Times New Roman" w:cs="Times New Roman"/>
        </w:rPr>
        <w:t>(Pennington et al., 2021)</w:t>
      </w:r>
      <w:r w:rsidR="001A5D31">
        <w:rPr>
          <w:rFonts w:ascii="Times New Roman" w:hAnsi="Times New Roman" w:cs="Times New Roman"/>
        </w:rPr>
        <w:fldChar w:fldCharType="end"/>
      </w:r>
      <w:r w:rsidRPr="00B042F5">
        <w:rPr>
          <w:rFonts w:ascii="Times New Roman" w:hAnsi="Times New Roman" w:cs="Times New Roman"/>
        </w:rPr>
        <w:t>. Within this thesis, I considered using food images as the control category for tobacco-related cues instead of animal images. However, at the time of planning the first research study, there were no openly available validated food image sets that comprised a variety of images that participants would likely evaluate differentially</w:t>
      </w:r>
      <w:r w:rsidR="001A5D31" w:rsidRPr="004B73B2">
        <w:rPr>
          <w:rStyle w:val="FootnoteReference"/>
        </w:rPr>
        <w:footnoteReference w:id="22"/>
      </w:r>
      <w:r w:rsidRPr="00B042F5">
        <w:rPr>
          <w:rFonts w:ascii="Times New Roman" w:hAnsi="Times New Roman" w:cs="Times New Roman"/>
        </w:rPr>
        <w:t xml:space="preserve">. There were additional considerations that guided my decision to use animal images. If food images were to be used, there may be a potential confound: nicotine is a metabolic stimulant and an appetite suppressant and research has demonstrated that appetite changes when people give up smoking </w:t>
      </w:r>
      <w:r w:rsidR="00F62D8A">
        <w:rPr>
          <w:rFonts w:ascii="Times New Roman" w:hAnsi="Times New Roman" w:cs="Times New Roman"/>
        </w:rPr>
        <w:fldChar w:fldCharType="begin"/>
      </w:r>
      <w:r w:rsidR="00F62D8A">
        <w:rPr>
          <w:rFonts w:ascii="Times New Roman" w:hAnsi="Times New Roman" w:cs="Times New Roman"/>
        </w:rPr>
        <w:instrText xml:space="preserve"> ADDIN ZOTERO_ITEM CSL_CITATION {"citationID":"OqQ9nYWa","properties":{"formattedCitation":"(Courtemanche et al., 2018)","plainCitation":"(Courtemanche et al., 2018)","noteIndex":0},"citationItems":[{"id":1776,"uris":["http://zotero.org/users/7873587/items/HRLDL42M"],"itemData":{"id":1776,"type":"article-journal","abstract":"This paper aims to identify the causal effect of smoking on body mass index (BMI) using data from the Lung Health Study, a randomized trial of smoking cessation treatments. Since nicotine is a metabolic stimulant and appetite suppressant, quitting or reducing smoking could lead to weight gain. Using randomized treatment assignment to instrument for smoking, we estimate that quitting smoking leads to an average long-run weight gain of 1.8-1.9 BMI units, or 11-12 pounds at the average height. Semi-parametric models provide evidence of a diminishing marginal effect of smoking on BMI, while subsample regressions show that the impact is largest for younger individuals, those with no college degree, and those in the lowest quartile of baseline BMI.","container-title":"Journal of Health Economics","DOI":"10.1016/j.jhealeco.2017.10.006","ISSN":"1879-1646","journalAbbreviation":"J Health Econ","language":"eng","note":"PMID: 29179027","page":"31-44","source":"PubMed","title":"The effect of smoking on obesity: Evidence from a randomized trial","title-short":"The effect of smoking on obesity","volume":"57","author":[{"family":"Courtemanche","given":"Charles"},{"family":"Tchernis","given":"Rusty"},{"family":"Ukert","given":"Benjamin"}],"issued":{"date-parts":[["2018",1]]}}}],"schema":"https://github.com/citation-style-language/schema/raw/master/csl-citation.json"} </w:instrText>
      </w:r>
      <w:r w:rsidR="00F62D8A">
        <w:rPr>
          <w:rFonts w:ascii="Times New Roman" w:hAnsi="Times New Roman" w:cs="Times New Roman"/>
        </w:rPr>
        <w:fldChar w:fldCharType="separate"/>
      </w:r>
      <w:r w:rsidR="00F62D8A" w:rsidRPr="00F62D8A">
        <w:rPr>
          <w:rFonts w:ascii="Times New Roman" w:hAnsi="Times New Roman" w:cs="Times New Roman"/>
        </w:rPr>
        <w:t>(Courtemanche et al., 2018)</w:t>
      </w:r>
      <w:r w:rsidR="00F62D8A">
        <w:rPr>
          <w:rFonts w:ascii="Times New Roman" w:hAnsi="Times New Roman" w:cs="Times New Roman"/>
        </w:rPr>
        <w:fldChar w:fldCharType="end"/>
      </w:r>
      <w:r w:rsidRPr="00B042F5">
        <w:rPr>
          <w:rFonts w:ascii="Times New Roman" w:hAnsi="Times New Roman" w:cs="Times New Roman"/>
        </w:rPr>
        <w:t xml:space="preserve">. Furthermore, using food as the control category would have required additional inclusion criteria, such as no history of an eating disorder, not being on a diet or trying to lose weight, and not being vegetarian or vegan, </w:t>
      </w:r>
      <w:r w:rsidRPr="00B042F5">
        <w:rPr>
          <w:rFonts w:ascii="Times New Roman" w:hAnsi="Times New Roman" w:cs="Times New Roman"/>
        </w:rPr>
        <w:lastRenderedPageBreak/>
        <w:t xml:space="preserve">which may inadvertently limit the pool of participants available to participate. Nonetheless, food images are commonly used as the comparator in other addiction studies (e.g., </w:t>
      </w:r>
      <w:r w:rsidR="00095C5F">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{"citationID":"SKMKu5di","properties":{"formattedCitation":"(Hogarth et al., 2015, 2017; Hogarth &amp; Chase, 2011)","plainCitation":"(Hogarth et al., 2015, 2017; Hogarth &amp; Chase, 2011)","dontUpdate":true,"noteIndex":0},"citationItems":[{"id":708,"uris":["http://zotero.org/users/7873587/items/XHY9EL6E"],"itemData":{"id":708,"type":"article-journal","abstract":"Background\nTwo theories explain how negative mood primes smoking behaviour. The stimulus–response (S-R) account argues that in the negative mood state, smoking is experienced as more reinforcing, establishing a direct (automatic) association between the negative mood state and smoking behaviour. By contrast, the incentive learning account argues that in the negative mood state smoking is expected to be more reinforcing, which integrates with instrumental knowledge of the response required to produce that outcome.\n\nObjectives\nOne differential prediction is that whereas the incentive learning account anticipates that negative mood induction could augment a novel tobacco-seeking response in an extinction test, the S-R account could not explain this effect because the extinction test prevents S-R learning by omitting experience of the reinforcer.\n\nMethods\nTo test this, overnight-deprived daily smokers (n = 44) acquired two instrumental responses for tobacco and chocolate points, respectively, before smoking to satiety. Half then received negative mood induction to raise the expected value of tobacco, opposing satiety, whilst the remainder received positive mood induction. Finally, a choice between tobacco and chocolate was measured in extinction to test whether negative mood could augment tobacco choice, opposing satiety, in the absence of direct experience of tobacco reinforcement.\n\nResults\nNegative mood induction not only abolished the devaluation of tobacco choice, but participants with a significant increase in negative mood increased their tobacco choice in extinction, despite satiety.\n\nConclusions\nThese findings suggest that negative mood augments drug-seeking by raising the expected value of the drug through incentive learning, rather than through automatic S-R control.","container-title":"Psychopharmacology","DOI":"10.1007/s00213-015-3977-z","ISSN":"0033-3158","issue":"17","journalAbbreviation":"Psychopharmacology (Berl)","note":"PMID: 26041336\nPMCID: PMC4534490","page":"3235-3247","source":"PubMed Central","title":"Negative mood reverses devaluation of goal-directed drug-seeking favouring an incentive learning account of drug dependence","volume":"232","author":[{"family":"Hogarth","given":"Lee"},{"family":"He","given":"Zhimin"},{"family":"Chase","given":"Henry W."},{"family":"Wills","given":"Andy J."},{"family":"Troisi","given":"Joseph"},{"family":"Leventhal","given":"Adam M."},{"family":"Mathew","given":"Amanda R."},{"family":"Hitsman","given":"Brian"}],"issued":{"date-parts":[["2015"]]}},"label":"act"},{"id":931,"uris":["http://zotero.org/users/7873587/items/37L9KG3X"],"itemData":{"id":931,"type":"article-journal","abstract":"Background\nAlthough depression and smoking commonly co-occur, the mechanisms underpinning this association are poorly understood. One hypothesis is that depression promotes tobacco dependence, persistence and relapse by increasing sensitivity to acute negative mood and abstinence induced tobacco-seeking behavior.\n\nMethods\nTwenty nine daily smokers of &gt;10 cigarettes per day, nine with major depression and 20 without, completed two laboratory sessions one week apart, smoking as normal prior to session 1 (sated session), and 6 hours abstinent prior to session 2 (abstinent session). In both sessions, tobacco-seeking was measured at baseline by preference to view smoking versus food images. Negative mood was then induced by negative ruminative statements and sad music, before tobacco-seeking was measured again at test.\n\nResults\nIn the sated session, negative mood induction produced a greater increase in tobacco choice from baseline to test in depressed (p&lt;.001, ηp2=.782) compared to non-depressed smokers (p=.045, ηp2=.216, interaction: p=.046, ηp2=.150). Abstinence also produced a greater increase in baseline tobacco choice between the sated and abstinent sessions in depressed (p=.002, ηp2=.771) compared to non-depressed smokers (p=.22, ηp2=.089, interaction: p=.023, ηp2=.189). These mood and abstinence induced increases in tobacco choice were positively associated with depression symptoms across the sample as a whole (ps≤.04, ηp2≥.159), and correlated with each other (r=.67, p&lt;.001).\n\nConclusions\nCurrent major depression or depression symptoms may promote tobacco dependence, persistence and relapse by increasing sensitivity to both acute negative mood and abstinence induced tobacco-seeking behavior. Treatments should seek to break the association between adverse states and smoking to cope.","container-title":"Drug and alcohol dependence","DOI":"10.1016/j.drugalcdep.2017.02.009","ISSN":"0376-8716","journalAbbreviation":"Drug Alcohol Depend","note":"PMID: 28460322\nPMCID: PMC5499379","page":"1-6","source":"PubMed Central","title":"Current major depression is associated with greater sensitivity to the motivational effect of both negative mood induction and abstinence on tobacco-seeking behaviour","volume":"176","author":[{"family":"Hogarth","given":"Lee"},{"family":"Mathew","given":"Amanda R."},{"family":"Hitsman","given":"Brian"}],"issued":{"date-parts":[["2017",7,1]]}},"label":"act"},{"id":860,"uris":["http://zotero.org/users/7873587/items/AEE43PBX"],"itemData":{"id":860,"type":"article-journal","abstract":"Dual-process theories of learning and addiction propose that whereas freely elected drug/reward-seeking is goal-directed in being mediated by the expected value of the outcome, cue-elicited drug/reward-seeking is habitual in being elicited directly by antecedent stimuli, without retrieving a representation of outcome value. To substantiate this claim, the current study conducted a human devaluation-transfer procedure in which young adult smokers were first trained on a concurrent choice task to earn tobacco and chocolate points before one outcome was devalued by specific satiety or health warnings against consumption of that outcome. When choice was again tested in extinction, the selective reduction in performance of the action associated with the devalued outcome indicated that choice was controlled by an expectation of outcome value, that is, was goal-directed. Moreover, the presentation of tobacco and chocolate cues enhanced selection of the response associated with that outcome, indicating that transfer was also mediated by the retrieval of the outcome representation. Paradoxically, however, the magnitude of this transfer effect was unaffected by devaluation, indicating that the stimulus retrieved a representation of outcome identity but not current incentive value. Individual differences in tobacco dependence in the young adult sample were associated with tobacco preference in the concurrent choice task but not with the devaluation or transfer effects. These data accord with dual-process theories in suggesting that drug/reward-seeking are mediated by goal-directed and habitual controllers under freely elected and cued conditions, respectively, and that initial uptake of drug use is associated with hyper-valuation of the drug as an outcome of goal-directed drug-seeking rather than with accelerated habit formation.","container-title":"Journal of Experimental Psychology. Animal Behavior Processes","DOI":"10.1037/a0022913","ISSN":"1939-2184","issue":"3","journalAbbreviation":"J Exp Psychol Anim Behav Process","language":"eng","note":"PMID: 21500933","page":"261-276","source":"PubMed","title":"Parallel goal-directed and habitual control of human drug-seeking: implications for dependence vulnerability","title-short":"Parallel goal-directed and habitual control of human drug-seeking","volume":"37","author":[{"family":"Hogarth","given":"Lee"},{"family":"Chase","given":"Henry W."}],"issued":{"date-parts":[["2011",7]]}},"label":"act"}],"schema":"https://github.com/citation-style-language/schema/raw/master/csl-citation.json"} </w:instrText>
      </w:r>
      <w:r w:rsidR="00095C5F">
        <w:rPr>
          <w:rFonts w:ascii="Times New Roman" w:hAnsi="Times New Roman" w:cs="Times New Roman"/>
        </w:rPr>
        <w:fldChar w:fldCharType="separate"/>
      </w:r>
      <w:r w:rsidR="00095C5F" w:rsidRPr="00095C5F">
        <w:rPr>
          <w:rFonts w:ascii="Times New Roman" w:hAnsi="Times New Roman" w:cs="Times New Roman"/>
        </w:rPr>
        <w:t>Hogarth et al., 2015, 2017; Hogarth &amp; Chase, 2011)</w:t>
      </w:r>
      <w:r w:rsidR="00095C5F">
        <w:rPr>
          <w:rFonts w:ascii="Times New Roman" w:hAnsi="Times New Roman" w:cs="Times New Roman"/>
        </w:rPr>
        <w:fldChar w:fldCharType="end"/>
      </w:r>
      <w:r w:rsidRPr="00B042F5">
        <w:rPr>
          <w:rFonts w:ascii="Times New Roman" w:hAnsi="Times New Roman" w:cs="Times New Roman"/>
        </w:rPr>
        <w:t xml:space="preserve">, therefore this is an important avenue for future research in the context of VBDM.  </w:t>
      </w:r>
    </w:p>
    <w:p w14:paraId="633336C0" w14:textId="77777777" w:rsidR="000C67F7" w:rsidRPr="00B042F5" w:rsidRDefault="000C67F7" w:rsidP="00762442">
      <w:pPr>
        <w:pStyle w:val="NoSpacing"/>
        <w:spacing w:line="480" w:lineRule="auto"/>
        <w:rPr>
          <w:rFonts w:ascii="Times New Roman" w:hAnsi="Times New Roman" w:cs="Times New Roman"/>
        </w:rPr>
      </w:pPr>
    </w:p>
    <w:p w14:paraId="69F0E4C8" w14:textId="67B3B22D" w:rsidR="00F61E31" w:rsidRDefault="000C67F7" w:rsidP="00762442">
      <w:pPr>
        <w:pStyle w:val="NoSpacing"/>
        <w:spacing w:line="480" w:lineRule="auto"/>
        <w:rPr>
          <w:rFonts w:ascii="Times New Roman" w:hAnsi="Times New Roman" w:cs="Times New Roman"/>
        </w:rPr>
      </w:pPr>
      <w:r w:rsidRPr="00B042F5">
        <w:rPr>
          <w:rFonts w:ascii="Times New Roman" w:hAnsi="Times New Roman" w:cs="Times New Roman"/>
        </w:rPr>
        <w:t>There are also some important limitations to the method used to estimate DDM model parameters. I fitted the EZ-DDM (</w:t>
      </w:r>
      <w:proofErr w:type="spellStart"/>
      <w:r w:rsidRPr="00B042F5">
        <w:rPr>
          <w:rFonts w:ascii="Times New Roman" w:hAnsi="Times New Roman" w:cs="Times New Roman"/>
        </w:rPr>
        <w:t>Wagenmakers</w:t>
      </w:r>
      <w:proofErr w:type="spellEnd"/>
      <w:r w:rsidRPr="00B042F5">
        <w:rPr>
          <w:rFonts w:ascii="Times New Roman" w:hAnsi="Times New Roman" w:cs="Times New Roman"/>
        </w:rPr>
        <w:t xml:space="preserve"> et al., 2007) which uses a closed-form algorithm, and therefore unlike other more complex model approaches (e.g., the “full” DDM; Ratcliff &amp; </w:t>
      </w:r>
      <w:proofErr w:type="spellStart"/>
      <w:r w:rsidRPr="00B042F5">
        <w:rPr>
          <w:rFonts w:ascii="Times New Roman" w:hAnsi="Times New Roman" w:cs="Times New Roman"/>
        </w:rPr>
        <w:t>McKoon</w:t>
      </w:r>
      <w:proofErr w:type="spellEnd"/>
      <w:r w:rsidRPr="00B042F5">
        <w:rPr>
          <w:rFonts w:ascii="Times New Roman" w:hAnsi="Times New Roman" w:cs="Times New Roman"/>
        </w:rPr>
        <w:t xml:space="preserve">, 2008), takes the mean reaction time, variance in reaction time, and proportion of correct responses as input. Although this reduces the complexity and level of computational expertise required (Stafford et al., 2020), it does however mean that only the three most relevant parameters of the diffusion model can be estimated (e.g., EA rates, response thresholds, and non-decision time; </w:t>
      </w:r>
      <w:proofErr w:type="spellStart"/>
      <w:r w:rsidRPr="00B042F5">
        <w:rPr>
          <w:rFonts w:ascii="Times New Roman" w:hAnsi="Times New Roman" w:cs="Times New Roman"/>
        </w:rPr>
        <w:t>Wagenmakers</w:t>
      </w:r>
      <w:proofErr w:type="spellEnd"/>
      <w:r w:rsidRPr="00B042F5">
        <w:rPr>
          <w:rFonts w:ascii="Times New Roman" w:hAnsi="Times New Roman" w:cs="Times New Roman"/>
        </w:rPr>
        <w:t xml:space="preserve"> et al., 2007). Another potential limitation is that the EZ-DDM assumes that the starting point parameter (z) is equidistant from the response thresholds that represent the different response options for each commodity, for example, when choosing between two alcoholic images (on an alcohol block), or two soft</w:t>
      </w:r>
      <w:r w:rsidR="0000382A">
        <w:rPr>
          <w:rFonts w:ascii="Times New Roman" w:hAnsi="Times New Roman" w:cs="Times New Roman"/>
        </w:rPr>
        <w:t xml:space="preserve"> </w:t>
      </w:r>
      <w:r w:rsidRPr="00B042F5">
        <w:rPr>
          <w:rFonts w:ascii="Times New Roman" w:hAnsi="Times New Roman" w:cs="Times New Roman"/>
        </w:rPr>
        <w:t>drink images (on a soft</w:t>
      </w:r>
      <w:r w:rsidR="0000382A">
        <w:rPr>
          <w:rFonts w:ascii="Times New Roman" w:hAnsi="Times New Roman" w:cs="Times New Roman"/>
        </w:rPr>
        <w:t xml:space="preserve"> </w:t>
      </w:r>
      <w:r w:rsidRPr="00B042F5">
        <w:rPr>
          <w:rFonts w:ascii="Times New Roman" w:hAnsi="Times New Roman" w:cs="Times New Roman"/>
        </w:rPr>
        <w:t xml:space="preserve">drink block). If the starting point is closer to the response threshold for a stimulus, then a person would need to accumulate less value evidence to commit to a decision. Some researchers contend this to be problematic in relation to the estimation of other decision parameters </w:t>
      </w:r>
      <w:r w:rsidR="00095C5F">
        <w:rPr>
          <w:rFonts w:ascii="Times New Roman" w:hAnsi="Times New Roman" w:cs="Times New Roman"/>
        </w:rPr>
        <w:fldChar w:fldCharType="begin"/>
      </w:r>
      <w:r w:rsidR="00095C5F">
        <w:rPr>
          <w:rFonts w:ascii="Times New Roman" w:hAnsi="Times New Roman" w:cs="Times New Roman"/>
        </w:rPr>
        <w:instrText xml:space="preserve"> ADDIN ZOTERO_ITEM CSL_CITATION {"citationID":"qtSY9Qpw","properties":{"formattedCitation":"(Alexandrowicz &amp; Gula, 2022)","plainCitation":"(Alexandrowicz &amp; Gula, 2022)","noteIndex":0},"citationItems":[{"id":1779,"uris":["http://zotero.org/users/7873587/items/V4QNJBCE"],"itemData":{"id":1779,"type":"article-journal","abstract":"In a simulation study, Stafford et al. (Behavior Research Methods, 52, 2142-2155, 2020) explored the effect of sample size on detecting group differences in ability in the presence of speed-accuracy trade-offs using the Drift Diffusion Model (DDM) and introduced an online tool to perform a power analysis. They found that the DDM approach was superior to analyzing the observed response times and response accuracies alone. In their simulation, they applied the EZ method to estimate the model parameters. In this article, we demonstrate that the EZ method, which cannot estimate the response bias parameter of the DDM, causes severe estimation bias for all parameters if the true response bias is not 0.5. Moreover, the bias patterns differ between EZ and the equivalent maximum likelihood estimation with z fixed at 0.5. This should be taken into consideration when using the otherwise excellent power analysis tool for experimental designs, in which z≠ 0.5 cannot be ruled out or even stipulate it.","container-title":"Behavior Research Methods","DOI":"10.3758/s13428-021-01786-0","ISSN":"1554-3528","journalAbbreviation":"Behav Res Methods","language":"eng","note":"PMID: 35318590","source":"PubMed","title":"Problems when fixing the response bias parameter z in drift diffusion analysis : A Commentary on Stafford et al. (2020)","title-short":"Problems when fixing the response bias parameter z in drift diffusion analysis","author":[{"family":"Alexandrowicz","given":"Rainer W."},{"family":"Gula","given":"Bartosz"}],"issued":{"date-parts":[["2022",3,22]]}}}],"schema":"https://github.com/citation-style-language/schema/raw/master/csl-citation.json"} </w:instrText>
      </w:r>
      <w:r w:rsidR="00095C5F">
        <w:rPr>
          <w:rFonts w:ascii="Times New Roman" w:hAnsi="Times New Roman" w:cs="Times New Roman"/>
        </w:rPr>
        <w:fldChar w:fldCharType="separate"/>
      </w:r>
      <w:r w:rsidR="00095C5F" w:rsidRPr="00095C5F">
        <w:rPr>
          <w:rFonts w:ascii="Times New Roman" w:hAnsi="Times New Roman" w:cs="Times New Roman"/>
        </w:rPr>
        <w:t>(Alexandrowicz &amp; Gula, 2022)</w:t>
      </w:r>
      <w:r w:rsidR="00095C5F">
        <w:rPr>
          <w:rFonts w:ascii="Times New Roman" w:hAnsi="Times New Roman" w:cs="Times New Roman"/>
        </w:rPr>
        <w:fldChar w:fldCharType="end"/>
      </w:r>
      <w:r w:rsidRPr="00B042F5">
        <w:rPr>
          <w:rFonts w:ascii="Times New Roman" w:hAnsi="Times New Roman" w:cs="Times New Roman"/>
        </w:rPr>
        <w:t xml:space="preserve">. However, I made this decision because it is recommended that other parameters (such as those that relate to trial-by-trial variability) should only be estimated when there is strong justification to do so and when there is a sufficient number of trials to adequately power this and avoid “over-fitting” </w:t>
      </w:r>
      <w:r w:rsidR="00095C5F">
        <w:rPr>
          <w:rFonts w:ascii="Times New Roman" w:hAnsi="Times New Roman" w:cs="Times New Roman"/>
        </w:rPr>
        <w:fldChar w:fldCharType="begin"/>
      </w:r>
      <w:r w:rsidR="00095C5F">
        <w:rPr>
          <w:rFonts w:ascii="Times New Roman" w:hAnsi="Times New Roman" w:cs="Times New Roman"/>
        </w:rPr>
        <w:instrText xml:space="preserve"> ADDIN ZOTERO_ITEM CSL_CITATION {"citationID":"nyhEwsbe","properties":{"formattedCitation":"(Voss et al., 2015)","plainCitation":"(Voss et al., 2015)","noteIndex":0},"citationItems":[{"id":1782,"uris":["http://zotero.org/users/7873587/items/7T6VYJGY"],"itemData":{"id":1782,"type":"article-journal","abstract":"Diffusion models can be used to infer cognitive processes involved in fast binary decision tasks. The model assumes that information is accumulated continuously until one of two thresholds is hit. In the analysis, response time distributions from numerous trials of the decision task are used to estimate a set of parameters mapping distinct cognitive processes. In recent years, diffusion model analyses have become more and more popular in different fields of psychology. This increased popularity is based on the recent development of several software solutions for the parameter estimation. Although these programs make the application of the model relatively easy, there is a shortage of knowledge about different steps of a state-of-the-art diffusion model study. In this paper, we give a concise tutorial on diffusion modeling, and we present fast-dm-30, a thoroughly revised and extended version of the fast-dm software (Voss and Voss, 2007) for diffusion model data analysis. The most important improvement of the fast-dm version is the possibility to choose between different optimization criteria (i.e., Maximum Likelihood, Chi-Square, and Kolmogorov-Smirnov), which differ in applicability for different data sets.","container-title":"Frontiers in Psychology","ISSN":"1664-1078","source":"Frontiers","title":"Assessing cognitive processes with diffusion model analyses: a tutorial based on fast-dm-30","title-short":"Assessing cognitive processes with diffusion model analyses","URL":"https://www.frontiersin.org/articles/10.3389/fpsyg.2015.00336","volume":"6","author":[{"family":"Voss","given":"Andreas"},{"family":"Voss","given":"Jochen"},{"family":"Lerche","given":"Veronika"}],"accessed":{"date-parts":[["2022",8,4]]},"issued":{"date-parts":[["2015"]]}}}],"schema":"https://github.com/citation-style-language/schema/raw/master/csl-citation.json"} </w:instrText>
      </w:r>
      <w:r w:rsidR="00095C5F">
        <w:rPr>
          <w:rFonts w:ascii="Times New Roman" w:hAnsi="Times New Roman" w:cs="Times New Roman"/>
        </w:rPr>
        <w:fldChar w:fldCharType="separate"/>
      </w:r>
      <w:r w:rsidR="00095C5F" w:rsidRPr="00095C5F">
        <w:rPr>
          <w:rFonts w:ascii="Times New Roman" w:hAnsi="Times New Roman" w:cs="Times New Roman"/>
        </w:rPr>
        <w:t>(Voss et al., 2015)</w:t>
      </w:r>
      <w:r w:rsidR="00095C5F">
        <w:rPr>
          <w:rFonts w:ascii="Times New Roman" w:hAnsi="Times New Roman" w:cs="Times New Roman"/>
        </w:rPr>
        <w:fldChar w:fldCharType="end"/>
      </w:r>
      <w:r w:rsidRPr="00B042F5">
        <w:rPr>
          <w:rFonts w:ascii="Times New Roman" w:hAnsi="Times New Roman" w:cs="Times New Roman"/>
        </w:rPr>
        <w:t xml:space="preserve">; neither of which were the case for the studies presented within this thesis. Furthermore, because there was a ‘correct’ answer on the VBDM task that was </w:t>
      </w:r>
      <w:r w:rsidRPr="00B042F5">
        <w:rPr>
          <w:rFonts w:ascii="Times New Roman" w:hAnsi="Times New Roman" w:cs="Times New Roman"/>
        </w:rPr>
        <w:lastRenderedPageBreak/>
        <w:t xml:space="preserve">distributed randomly such that on half of the trials this was on the left and the other half right on the right, there is no sound basis to anticipate or expect the starting point parameter to be biased in favour of either. Therefore, I believe the EZ-DDM to be appropriate for research conducted in this thesis. Indeed, the EZ-DDM has been implemented successfully in a diverse range of research, </w:t>
      </w:r>
      <w:r w:rsidR="00F61E31">
        <w:rPr>
          <w:rFonts w:ascii="Times New Roman" w:hAnsi="Times New Roman" w:cs="Times New Roman"/>
        </w:rPr>
        <w:t>including</w:t>
      </w:r>
      <w:r w:rsidRPr="00B042F5">
        <w:rPr>
          <w:rFonts w:ascii="Times New Roman" w:hAnsi="Times New Roman" w:cs="Times New Roman"/>
        </w:rPr>
        <w:t xml:space="preserve"> children’s development </w:t>
      </w:r>
      <w:r w:rsidR="00095C5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{"citationID":"3YNNJo9K","properties":{"formattedCitation":"(Retzler et al., 2020)","plainCitation":"(Retzler et al., 2020)","noteIndex":0},"citationItems":[{"id":1787,"uris":["http://zotero.org/users/7873587/items/QNZL2K8P"],"itemData":{"id":1787,"type":"article-journal","abstract":"Objective: Children born very preterm are at increased risk of inattention, but it remains unclear whether the underlying processes are the same as in their term-born peers. Drift diffusion modeling (DDM) may better characterize the cognitive processes underlying inattention than standard reaction time (RT) measures. This study used DDM to compare the processes related to inattentive behavior in preterm and term-born children. Method: Performance on a cued continuous performance task was compared between 33 children born very preterm (VP; ≤32 weeks’ gestation) and 32 term-born peers (≥37 weeks’ gestation), aged 8–11 years. Both groups included children with a wide spectrum of parent-rated inattention (above average attention to severe inattention). Performance was defined using standard measures (RT, RT variability and accuracy) and modeled using a DDM. A hierarchical regression assessed the extent to which standard or DDM measures explained variance in parent-rated inattention and whether these relationships differed between VP and term-born children. Results: There were no group differences in performance on standard or DDM measures of task performance. Parent-rated inattention correlated significantly with hit rate, RT variability, and drift rate (a DDM estimate of processing efficiency) in one or both groups. Regression analysis revealed that drift rate was the best predictor of parent-rated inattention. This relationship did not differ significantly between groups. Conclusions: Findings suggest that less efficient information processing is a common mechanism underlying inattention in both VP and term-born children. This study demonstrates the benefits of using DDM to better characterize atypical cognitive processing in clinical samples., Less efficient information processing during a sustained attention task explained individual differences in inattentive behavior. This was true both in 8- to 11-year-olds born very preterm and their term-born peers. Drift diffusion modeling provides a way to help us better characterize the processes that underlie task performance. This is valuable for understanding processing differences that affect clinical groups.","container-title":"Neuropsychology","DOI":"10.1037/neu0000590","ISSN":"0894-4105","issue":"1","journalAbbreviation":"Neuropsychology","note":"PMID: 31580086\nPMCID: PMC6939604","page":"77-87","source":"PubMed Central","title":"Using drift diffusion modeling to understand inattentive behavior in preterm and term-born children","volume":"34","author":[{"family":"Retzler","given":"Jenny"},{"family":"Retzler","given":"Chris"},{"family":"Groom","given":"Madeleine"},{"family":"Johnson","given":"Samantha"},{"family":"Cragg","given":"Lucy"}],"issued":{"date-parts":[["2020",1]]}}}],"schema":"https://github.com/citation-style-language/schema/raw/master/csl-citation.json"} </w:instrText>
      </w:r>
      <w:r w:rsidR="00095C5F">
        <w:rPr>
          <w:rFonts w:ascii="Times New Roman" w:hAnsi="Times New Roman" w:cs="Times New Roman"/>
        </w:rPr>
        <w:fldChar w:fldCharType="separate"/>
      </w:r>
      <w:r w:rsidR="00095C5F" w:rsidRPr="00095C5F">
        <w:rPr>
          <w:rFonts w:ascii="Times New Roman" w:hAnsi="Times New Roman" w:cs="Times New Roman"/>
        </w:rPr>
        <w:t>(Retzler et al., 2020)</w:t>
      </w:r>
      <w:r w:rsidR="00095C5F">
        <w:rPr>
          <w:rFonts w:ascii="Times New Roman" w:hAnsi="Times New Roman" w:cs="Times New Roman"/>
        </w:rPr>
        <w:fldChar w:fldCharType="end"/>
      </w:r>
      <w:r w:rsidR="00F61E31">
        <w:rPr>
          <w:rFonts w:ascii="Times New Roman" w:hAnsi="Times New Roman" w:cs="Times New Roman"/>
        </w:rPr>
        <w:t xml:space="preserve"> and</w:t>
      </w:r>
      <w:r w:rsidRPr="00B042F5">
        <w:rPr>
          <w:rFonts w:ascii="Times New Roman" w:hAnsi="Times New Roman" w:cs="Times New Roman"/>
        </w:rPr>
        <w:t xml:space="preserve"> psychiatric disorders </w:t>
      </w:r>
      <w:r w:rsidR="00095C5F">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{"citationID":"6y05rgzI","properties":{"formattedCitation":"(Sripada &amp; Weigard, 2021)","plainCitation":"(Sripada &amp; Weigard, 2021)","noteIndex":0},"citationItems":[{"id":1790,"uris":["http://zotero.org/users/7873587/items/BQCZ8W22"],"itemData":{"id":1790,"type":"article-journal","abstract":"There is substantial interest in identifying biobehavioral dimensions of individual variation that cut across heterogenous disorder categories, and computational models can play a major role in advancing this goal. In this report, we focused on efficiency of evidence accumulation (EEA), a computationally characterized variable derived from sequential sampling models of choice tasks. We created an EEA factor from three behavioral tasks in the UCLA Phenomics dataset (n = 272), which includes healthy participants (n = 130) as well-participants with schizophrenia (n = 50), bipolar disorder (n = 49), and attention-deficit/hyperactivity disorder (n = 43). We found that the EEA factor was significantly reduced in all three disorders, and that it correlated with an overall severity score for psychopathology as well as self-report measures of impulsivity. Although EEA was significantly correlated with general intelligence, it remained associated with psychopathology and symptom scales even after controlling for intelligence scores. Taken together, these findings suggest EEA is a promising computationally-characterized dimension of neurocognitive variation, with diminished EEA conferring transdiagnostic vulnerability to psychopathology.","container-title":"Frontiers in Psychiatry","DOI":"10.3389/fpsyt.2021.627179","ISSN":"1664-0640","journalAbbreviation":"Front Psychiatry","language":"eng","note":"PMID: 33679485\nPMCID: PMC7925621","page":"627179","source":"PubMed","title":"Impaired evidence accumulation as a transdiagnostic vulnerability factor in psychopathology","volume":"12","author":[{"family":"Sripada","given":"Chandra"},{"family":"Weigard","given":"Alexander"}],"issued":{"date-parts":[["2021"]]}}}],"schema":"https://github.com/citation-style-language/schema/raw/master/csl-citation.json"} </w:instrText>
      </w:r>
      <w:r w:rsidR="00095C5F">
        <w:rPr>
          <w:rFonts w:ascii="Times New Roman" w:hAnsi="Times New Roman" w:cs="Times New Roman"/>
        </w:rPr>
        <w:fldChar w:fldCharType="separate"/>
      </w:r>
      <w:r w:rsidR="00095C5F" w:rsidRPr="00095C5F">
        <w:rPr>
          <w:rFonts w:ascii="Times New Roman" w:hAnsi="Times New Roman" w:cs="Times New Roman"/>
        </w:rPr>
        <w:t>(Sripada &amp; Weigard, 2021)</w:t>
      </w:r>
      <w:r w:rsidR="00095C5F">
        <w:rPr>
          <w:rFonts w:ascii="Times New Roman" w:hAnsi="Times New Roman" w:cs="Times New Roman"/>
        </w:rPr>
        <w:fldChar w:fldCharType="end"/>
      </w:r>
      <w:r w:rsidRPr="00B042F5">
        <w:rPr>
          <w:rFonts w:ascii="Times New Roman" w:hAnsi="Times New Roman" w:cs="Times New Roman"/>
        </w:rPr>
        <w:t xml:space="preserve">. Furthermore, in the process of publishing Chapter 3 </w:t>
      </w:r>
      <w:r w:rsidR="00F61E31">
        <w:rPr>
          <w:rFonts w:ascii="Times New Roman" w:hAnsi="Times New Roman" w:cs="Times New Roman"/>
        </w:rPr>
        <w:fldChar w:fldCharType="begin"/>
      </w:r>
      <w:r w:rsidR="00F61E31">
        <w:rPr>
          <w:rFonts w:ascii="Times New Roman" w:hAnsi="Times New Roman" w:cs="Times New Roman"/>
        </w:rPr>
        <w:instrText xml:space="preserve"> ADDIN ZOTERO_ITEM CSL_CITATION {"citationID":"YTpvzxFF","properties":{"formattedCitation":"(Copeland et al., 2022)","plainCitation":"(Copeland et al., 2022)","noteIndex":0},"citationItems":[{"id":1615,"uris":["http://zotero.org/users/7873587/items/JGK5PMZE"],"itemData":{"id":1615,"type":"article-journal","abstract":"Most value-based decision-making (VBDM) tasks instruct people to make value judgements about stimuli using wording relating to consumption, however in some contexts this may be inappropriate. This study aims to explore whether variations of trial wording capture a common construct of value. This is a pre-registered experimental study with a within-subject design. Fifty-nine participants completed a two-alternative forced-choice task where they chose between two food images. Participants completed three blocks of trials: one asked which they would rather consume (standard wording), one asked which image they liked more, and one asked them to recall which image they rated higher during a previous block. We fitted the EZ drift-diffusion model to the reaction time and choice data to estimate evidence accumulation (EA) processes during the different blocks. There was a highly significant main effect of trial difficulty, but this was not modified by trial wording (F = 2.00, p = .11, ηp2 = .03, BF10 = .05). We also found highly significant positive correlations between the EA rates across task blocks (rs &gt; .44, ps &lt; .001). The findings provide initial validation of alternative wording in VBDM tasks that can be used in contexts where it may be undesirable to ask participants to make consummatory judgements.","container-title":"Cogent Psychology","DOI":"10.1080/23311908.2022.2079801","ISSN":"null","issue":"1","note":"publisher: Cogent OA\n_eprint: https://doi.org/10.1080/23311908.2022.2079801","page":"2079801","source":"Taylor and Francis+NEJM","title":"Methodological issues with value-based decision-making (VBDM) tasks: The effect of trial wording on evidence accumulation outputs from the EZ drift-diffusion model","title-short":"Methodological issues with value-based decision-making (VBDM) tasks","volume":"9","author":[{"family":"Copeland","given":"Amber"},{"family":"Stafford","given":"Tom"},{"family":"Field","given":"Matt"}],"editor":[{"family":"Grange","given":"Jim"}],"issued":{"date-parts":[["2022",12,31]]}}}],"schema":"https://github.com/citation-style-language/schema/raw/master/csl-citation.json"} </w:instrText>
      </w:r>
      <w:r w:rsidR="00F61E31">
        <w:rPr>
          <w:rFonts w:ascii="Times New Roman" w:hAnsi="Times New Roman" w:cs="Times New Roman"/>
        </w:rPr>
        <w:fldChar w:fldCharType="separate"/>
      </w:r>
      <w:r w:rsidR="00F61E31" w:rsidRPr="00F61E31">
        <w:rPr>
          <w:rFonts w:ascii="Times New Roman" w:hAnsi="Times New Roman" w:cs="Times New Roman"/>
        </w:rPr>
        <w:t>(Copeland et al., 2022)</w:t>
      </w:r>
      <w:r w:rsidR="00F61E31">
        <w:rPr>
          <w:rFonts w:ascii="Times New Roman" w:hAnsi="Times New Roman" w:cs="Times New Roman"/>
        </w:rPr>
        <w:fldChar w:fldCharType="end"/>
      </w:r>
      <w:r w:rsidRPr="00B042F5">
        <w:rPr>
          <w:rFonts w:ascii="Times New Roman" w:hAnsi="Times New Roman" w:cs="Times New Roman"/>
        </w:rPr>
        <w:t xml:space="preserve">, as a supplementary analysis I used an alternative model fitting approach that was capable of constraining model parameters across conditions (the </w:t>
      </w:r>
      <w:r w:rsidRPr="00F61E31">
        <w:rPr>
          <w:rFonts w:ascii="Times New Roman" w:hAnsi="Times New Roman" w:cs="Times New Roman"/>
          <w:i/>
          <w:iCs/>
        </w:rPr>
        <w:t>fast</w:t>
      </w:r>
      <w:r w:rsidRPr="00B042F5">
        <w:rPr>
          <w:rFonts w:ascii="Times New Roman" w:hAnsi="Times New Roman" w:cs="Times New Roman"/>
        </w:rPr>
        <w:t xml:space="preserve">-dm-30; </w:t>
      </w:r>
      <w:r w:rsidR="00F61E3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{"citationID":"Ni2qh5Uy","properties":{"formattedCitation":"(Voss et al., 2015)","plainCitation":"(Voss et al., 2015)","dontUpdate":true,"noteIndex":0},"citationItems":[{"id":1782,"uris":["http://zotero.org/users/7873587/items/7T6VYJGY"],"itemData":{"id":1782,"type":"article-journal","abstract":"Diffusion models can be used to infer cognitive processes involved in fast binary decision tasks. The model assumes that information is accumulated continuously until one of two thresholds is hit. In the analysis, response time distributions from numerous trials of the decision task are used to estimate a set of parameters mapping distinct cognitive processes. In recent years, diffusion model analyses have become more and more popular in different fields of psychology. This increased popularity is based on the recent development of several software solutions for the parameter estimation. Although these programs make the application of the model relatively easy, there is a shortage of knowledge about different steps of a state-of-the-art diffusion model study. In this paper, we give a concise tutorial on diffusion modeling, and we present fast-dm-30, a thoroughly revised and extended version of the fast-dm software (Voss and Voss, 2007) for diffusion model data analysis. The most important improvement of the fast-dm version is the possibility to choose between different optimization criteria (i.e., Maximum Likelihood, Chi-Square, and Kolmogorov-Smirnov), which differ in applicability for different data sets.","container-title":"Frontiers in Psychology","ISSN":"1664-1078","source":"Frontiers","title":"Assessing cognitive processes with diffusion model analyses: a tutorial based on fast-dm-30","title-short":"Assessing cognitive processes with diffusion model analyses","URL":"https://www.frontiersin.org/articles/10.3389/fpsyg.2015.00336","volume":"6","author":[{"family":"Voss","given":"Andreas"},{"family":"Voss","given":"Jochen"},{"family":"Lerche","given":"Veronika"}],"accessed":{"date-parts":[["2022",8,4]]},"issued":{"date-parts":[["2015"]]}}}],"schema":"https://github.com/citation-style-language/schema/raw/master/csl-citation.json"} </w:instrText>
      </w:r>
      <w:r w:rsidR="00F61E31">
        <w:rPr>
          <w:rFonts w:ascii="Times New Roman" w:hAnsi="Times New Roman" w:cs="Times New Roman"/>
        </w:rPr>
        <w:fldChar w:fldCharType="separate"/>
      </w:r>
      <w:r w:rsidR="00F61E31" w:rsidRPr="00F61E31">
        <w:rPr>
          <w:rFonts w:ascii="Times New Roman" w:hAnsi="Times New Roman" w:cs="Times New Roman"/>
        </w:rPr>
        <w:t>Voss et al., 2015)</w:t>
      </w:r>
      <w:r w:rsidR="00F61E31">
        <w:rPr>
          <w:rFonts w:ascii="Times New Roman" w:hAnsi="Times New Roman" w:cs="Times New Roman"/>
        </w:rPr>
        <w:fldChar w:fldCharType="end"/>
      </w:r>
      <w:r w:rsidRPr="00B042F5">
        <w:rPr>
          <w:rFonts w:ascii="Times New Roman" w:hAnsi="Times New Roman" w:cs="Times New Roman"/>
        </w:rPr>
        <w:t xml:space="preserve">; this made no material difference to the core conclusion and therefore I did not apply this to other studies within this thesis. </w:t>
      </w:r>
    </w:p>
    <w:p w14:paraId="0F098071" w14:textId="77777777" w:rsidR="00F61E31" w:rsidRPr="00F61E31" w:rsidRDefault="00F61E31" w:rsidP="00762442">
      <w:pPr>
        <w:pStyle w:val="NoSpacing"/>
        <w:spacing w:line="480" w:lineRule="auto"/>
        <w:rPr>
          <w:rFonts w:ascii="Times New Roman" w:hAnsi="Times New Roman" w:cs="Times New Roman"/>
        </w:rPr>
      </w:pPr>
    </w:p>
    <w:p w14:paraId="6532A180" w14:textId="26971CED" w:rsidR="00F61E31" w:rsidRPr="00F61E31" w:rsidRDefault="00F61E31" w:rsidP="00762442">
      <w:pPr>
        <w:pStyle w:val="Heading2"/>
      </w:pPr>
      <w:bookmarkStart w:id="358" w:name="_Toc110612750"/>
      <w:bookmarkStart w:id="359" w:name="_Toc110629090"/>
      <w:bookmarkStart w:id="360" w:name="_Toc110870998"/>
      <w:r w:rsidRPr="00F61E31">
        <w:t>8.6</w:t>
      </w:r>
      <w:r w:rsidR="00403E7C">
        <w:t>.</w:t>
      </w:r>
      <w:r w:rsidRPr="00F61E31">
        <w:t xml:space="preserve"> Future research</w:t>
      </w:r>
      <w:bookmarkEnd w:id="358"/>
      <w:bookmarkEnd w:id="359"/>
      <w:bookmarkEnd w:id="360"/>
    </w:p>
    <w:p w14:paraId="626A9838" w14:textId="1A2BAF86"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 xml:space="preserve">The findings from this thesis highlight exciting avenues for future research. Firstly, it would be interesting for future research to implement qualitative methods to explore further what decision parameters reflect at an individual level. For example, although in Chapter 7 findings demonstrate that recovery from nicotine addiction is characterised by higher tobacco-related response thresholds, less is known about what exactly this means in the context of addiction and recovery from it. The research question of what exactly response thresholds index is of broad interest: a meta-analysis quantified that there is no evidence that response thresholds are correlated with self-report impulsivity (correlation coefficients ranged from -.04 to -.02; </w:t>
      </w:r>
      <w:r>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{"citationID":"hDf8SgRP","properties":{"formattedCitation":"(Hedge et al., 2020)","plainCitation":"(Hedge et al., 2020)","dontUpdate":true,"noteIndex":0},"citationItems":[{"id":1628,"uris":["http://zotero.org/users/7873587/items/I9E2ZDDM"],"itemData":{"id":1628,"type":"article-journal","abstract":"The broad construct of impulsivity is one that spans both personality and cognitive ability. Despite a common overarching construct, previous research has found no relationship between self-report measures of impulsivity and people's ability to inhibit pre-potent responses. Here, we use evidence accumulation models of choice reaction time tasks to extract a measure of \"response caution\" (boundary separation) and examine whether this correlates with self-reported impulsivity as measured by the UPPS-P questionnaire. Response caution reflects whether an individual makes decisions based on more (favouring accuracy) or less (favouring speed) evidence. We reasoned that this strategic dimension of behaviour is conceptually closer to the tendencies that self-report impulsivity measures probe than what is traditional measured by inhibition tasks. In a meta-analysis of five datasets (total N = 296), encompassing 19 correlations per subscale, we observe no evidence that response caution correlates with self-reported impulsivity. Average correlations between response caution and UPPS-P subscales ranged from rho = -0.02 to -0.04. While the construct of response caution has demonstrated value in understanding individual differences in cognition, brain functioning and aging; the factors underlying what has been called \"impulsive information processing\" appear to be distinct from the concept of impulsivity derived from self-report.","container-title":"Personality and Individual Differences","DOI":"10.1016/j.paid.2020.110257","ISSN":"0191-8869","journalAbbreviation":"Pers Individ Dif","language":"eng","note":"PMID: 33273749\nPMCID: PMC7457714","page":"110257","source":"PubMed","title":"Self-reported impulsivity does not predict response caution","volume":"167","author":[{"family":"Hedge","given":"Craig"},{"family":"Powell","given":"Georgina"},{"family":"Bompas","given":"Aline"},{"family":"Sumner","given":"Petroc"}],"issued":{"date-parts":[["2020",12,1]]}}}],"schema":"https://github.com/citation-style-language/schema/raw/master/csl-citation.json"} </w:instrText>
      </w:r>
      <w:r>
        <w:rPr>
          <w:rFonts w:ascii="Times New Roman" w:hAnsi="Times New Roman" w:cs="Times New Roman"/>
        </w:rPr>
        <w:fldChar w:fldCharType="separate"/>
      </w:r>
      <w:r w:rsidR="00212B01" w:rsidRPr="00212B01">
        <w:rPr>
          <w:rFonts w:ascii="Times New Roman" w:hAnsi="Times New Roman" w:cs="Times New Roman"/>
        </w:rPr>
        <w:t>Hedge et al., 2020)</w:t>
      </w:r>
      <w:r>
        <w:rPr>
          <w:rFonts w:ascii="Times New Roman" w:hAnsi="Times New Roman" w:cs="Times New Roman"/>
        </w:rPr>
        <w:fldChar w:fldCharType="end"/>
      </w:r>
      <w:r w:rsidRPr="00F61E31">
        <w:rPr>
          <w:rFonts w:ascii="Times New Roman" w:hAnsi="Times New Roman" w:cs="Times New Roman"/>
        </w:rPr>
        <w:t>. Therefore, this avenue is certainly worth investigating further.</w:t>
      </w:r>
    </w:p>
    <w:p w14:paraId="2E5E8BB0" w14:textId="77777777" w:rsidR="00F61E31" w:rsidRPr="00F61E31" w:rsidRDefault="00F61E31" w:rsidP="00762442">
      <w:pPr>
        <w:pStyle w:val="NoSpacing"/>
        <w:spacing w:line="480" w:lineRule="auto"/>
        <w:rPr>
          <w:rFonts w:ascii="Times New Roman" w:hAnsi="Times New Roman" w:cs="Times New Roman"/>
        </w:rPr>
      </w:pPr>
    </w:p>
    <w:p w14:paraId="7C21B5A0" w14:textId="0A41757D"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 xml:space="preserve">A further possibility is that qualitative research could generate insight into the specific attributes that feed into substance value. This is because unlike current dominating self-report </w:t>
      </w:r>
      <w:r w:rsidRPr="00F61E31">
        <w:rPr>
          <w:rFonts w:ascii="Times New Roman" w:hAnsi="Times New Roman" w:cs="Times New Roman"/>
        </w:rPr>
        <w:lastRenderedPageBreak/>
        <w:t xml:space="preserve">measures of value that limit constraints on alcohol to price only </w:t>
      </w:r>
      <w:r w:rsidR="00212B01">
        <w:rPr>
          <w:rFonts w:ascii="Times New Roman" w:hAnsi="Times New Roman" w:cs="Times New Roman"/>
        </w:rPr>
        <w:fldChar w:fldCharType="begin"/>
      </w:r>
      <w:r w:rsidR="00212B01">
        <w:rPr>
          <w:rFonts w:ascii="Times New Roman" w:hAnsi="Times New Roman" w:cs="Times New Roman"/>
        </w:rPr>
        <w:instrText xml:space="preserve"> ADDIN ZOTERO_ITEM CSL_CITATION {"citationID":"JPF2qfFZ","properties":{"formattedCitation":"(Acuff &amp; Murphy, 2021)","plainCitation":"(Acuff &amp; Murphy, 2021)","noteIndex":0},"citationItems":[{"id":471,"uris":["http://zotero.org/users/7873587/items/WWI2JUCW"],"itemData":{"id":471,"type":"article-journal","container-title":"Addiction","DOI":"10.1111/add.15481","ISSN":"1360-0443","issue":"10","language":"en","page":"2651-2652","source":"Wiley Online Library","title":"Commentary on Martínez-Loredo et al.: Where do we go from here? Increasing the clinical utility of alcohol purchase tasks by expanding our definition of constraint","title-short":"Commentary on Martínez-Loredo et al.","volume":"116","author":[{"family":"Acuff","given":"Samuel F."},{"family":"Murphy","given":"James G."}],"issued":{"date-parts":[["2021"]]}}}],"schema":"https://github.com/citation-style-language/schema/raw/master/csl-citation.json"}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(Acuff &amp; Murphy, 2021)</w:t>
      </w:r>
      <w:r w:rsidR="00212B01">
        <w:rPr>
          <w:rFonts w:ascii="Times New Roman" w:hAnsi="Times New Roman" w:cs="Times New Roman"/>
        </w:rPr>
        <w:fldChar w:fldCharType="end"/>
      </w:r>
      <w:r w:rsidRPr="00F61E31">
        <w:rPr>
          <w:rFonts w:ascii="Times New Roman" w:hAnsi="Times New Roman" w:cs="Times New Roman"/>
        </w:rPr>
        <w:t xml:space="preserve">, VBDM enables a diverse range of constraints that can vary across contexts, people, and time </w:t>
      </w:r>
      <w:r w:rsidR="00212B01">
        <w:rPr>
          <w:rFonts w:ascii="Times New Roman" w:hAnsi="Times New Roman" w:cs="Times New Roman"/>
        </w:rPr>
        <w:fldChar w:fldCharType="begin"/>
      </w:r>
      <w:r w:rsidR="009961C4">
        <w:rPr>
          <w:rFonts w:ascii="Times New Roman" w:hAnsi="Times New Roman" w:cs="Times New Roman"/>
        </w:rPr>
        <w:instrText xml:space="preserve"> ADDIN ZOTERO_ITEM CSL_CITATION {"citationID":"LJzjHE26","properties":{"formattedCitation":"(Copeland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(Copeland et al., 2021; Field, Heather, et al., 2020)</w:t>
      </w:r>
      <w:r w:rsidR="00212B01">
        <w:rPr>
          <w:rFonts w:ascii="Times New Roman" w:hAnsi="Times New Roman" w:cs="Times New Roman"/>
        </w:rPr>
        <w:fldChar w:fldCharType="end"/>
      </w:r>
      <w:r w:rsidRPr="00F61E31">
        <w:rPr>
          <w:rFonts w:ascii="Times New Roman" w:hAnsi="Times New Roman" w:cs="Times New Roman"/>
        </w:rPr>
        <w:t xml:space="preserve">. Berkman (2018) speculates upon how these attributes may be potentially impossible to quantify—both a strength and a weakness of VBDM as a framework (it offers parsimony but at the cost of being difficult to precisely identify targets). By collecting written or verbal responses after experimental manipulations in future research, this may give some insight into the potentially salient attributes that feed into value. Meanwhile, a quantitative approach to exploring the salient attributes that feed into value could be to compare VBDM parameters after experimental manipulations that influence substance value in different ways. For example, if the induction of craving via substance deprivation alters VBDM parameters, but induction of low self-worth does not have any effect, it may be that craving is a more salient attribute that feeds into substance value. Future research that focuses on directly mapping different sources of value to VBDM parameters could be supplemented by comprehensive and robust theoretical reviews, such as the Etiologic, Theory-based, Ontogenetic Hierarchical Framework (ETOH) of AUD recently published by </w:t>
      </w:r>
      <w:r w:rsidR="00212B0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{"citationID":"VjmogPOM","properties":{"formattedCitation":"(Boness et al., 2021)","plainCitation":"(Boness et al., 2021)","dontUpdate":true,"noteIndex":0},"citationItems":[{"id":1082,"uris":["http://zotero.org/users/7873587/items/TSGKBBTK"],"itemData":{"id":1082,"type":"article-journal","abstract":"Modern nosologies (e.g., International Classification of Diseases, 11th edition [ICD-11], Diagnostic and Statistical Manual of Mental Disorders, 5th edition [DSM–5]) for alcohol use disorder (AUD) and dependence prioritize reliability and clinical presentation over etiology, resulting in a diagnosis that is not always strongly grounded in basic theory and research. Within these nosologies, DSM–5 AUD is treated as a discrete, largely categorical, but graded, phenomenon, which results in additional challenges (e.g., significant phenotypic heterogeneity). Efforts to increase the compatibility between AUD diagnosis and modern conceptualizations of alcohol dependence, which describe it as dimensional and partially overlapping with other psychopathology (e.g., other substance use disorders), will inspire a stronger scientific framework and strengthen AUD’s validity. We conducted a systematic review of 144 reviews to integrate addiction constructs and theories into a comprehensive framework to identify fundamental mechanisms implicated in AUD. The product of this effort was the Etiologic, Theory-based, Ontogenetic Hierarchical Framework (ETOH Framework) of AUD mechanisms, which outlines superdomains of cognitive control, reward, and negative valence and emotionality, each of which subsume narrower, hierarchically organized components. We also outline opponent processes and self-awareness as key moderators of AUD mechanisms. In contrast with other frameworks, we recommend an increased conceptual role for negative valence and compulsion in AUD. The ETOH framework serves as a critical step toward conceptualizations of AUD as dimensional and heterogeneous. It has the potential to improve AUD assessment and aid in the development of evidence-based diagnostic measures that focus on key mechanisms in AUD, consequently facilitating precision medicine. (PsycInfo Database Record (c) 2022 APA, all rights reserved)","container-title":"Psychological Bulletin","DOI":"10.1037/bul0000333","ISSN":"1939-1455","issue":"10","note":"publisher-place: US\npublisher: American Psychological Association","page":"1075-1123","source":"APA PsycNet","title":"The etiologic, theory-based, ontogenetic hierarchical framework of alcohol use disorder: A translational systematic review of reviews","title-short":"The etiologic, theory-based, ontogenetic hierarchical framework of alcohol use disorder","volume":"147","author":[{"family":"Boness","given":"Cassandra L."},{"family":"Watts","given":"Ashley L."},{"family":"Moeller","given":"Kimberly N."},{"family":"Sher","given":"Kenneth J."}],"issued":{"date-parts":[["2021"]]}}}],"schema":"https://github.com/citation-style-language/schema/raw/master/csl-citation.json"}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 xml:space="preserve">Boness et al. </w:t>
      </w:r>
      <w:r w:rsidR="00212B01">
        <w:rPr>
          <w:rFonts w:ascii="Times New Roman" w:hAnsi="Times New Roman" w:cs="Times New Roman"/>
        </w:rPr>
        <w:t>(</w:t>
      </w:r>
      <w:r w:rsidR="00212B01" w:rsidRPr="00212B01">
        <w:rPr>
          <w:rFonts w:ascii="Times New Roman" w:hAnsi="Times New Roman" w:cs="Times New Roman"/>
        </w:rPr>
        <w:t>2021)</w:t>
      </w:r>
      <w:r w:rsidR="00212B01">
        <w:rPr>
          <w:rFonts w:ascii="Times New Roman" w:hAnsi="Times New Roman" w:cs="Times New Roman"/>
        </w:rPr>
        <w:fldChar w:fldCharType="end"/>
      </w:r>
      <w:r w:rsidRPr="00F61E31">
        <w:rPr>
          <w:rFonts w:ascii="Times New Roman" w:hAnsi="Times New Roman" w:cs="Times New Roman"/>
        </w:rPr>
        <w:t xml:space="preserve"> which identified a number of fundamental mechanisms implicated in AUD (e.g., craving, coping</w:t>
      </w:r>
      <w:r w:rsidR="00212B01">
        <w:rPr>
          <w:rFonts w:ascii="Times New Roman" w:hAnsi="Times New Roman" w:cs="Times New Roman"/>
        </w:rPr>
        <w:t xml:space="preserve"> motives</w:t>
      </w:r>
      <w:r w:rsidRPr="00F61E31">
        <w:rPr>
          <w:rFonts w:ascii="Times New Roman" w:hAnsi="Times New Roman" w:cs="Times New Roman"/>
        </w:rPr>
        <w:t xml:space="preserve">, and </w:t>
      </w:r>
      <w:r w:rsidR="00212B01">
        <w:rPr>
          <w:rFonts w:ascii="Times New Roman" w:hAnsi="Times New Roman" w:cs="Times New Roman"/>
        </w:rPr>
        <w:t xml:space="preserve">delay </w:t>
      </w:r>
      <w:r w:rsidRPr="00F61E31">
        <w:rPr>
          <w:rFonts w:ascii="Times New Roman" w:hAnsi="Times New Roman" w:cs="Times New Roman"/>
        </w:rPr>
        <w:t xml:space="preserve">discounting). </w:t>
      </w:r>
    </w:p>
    <w:p w14:paraId="3441C166" w14:textId="77777777" w:rsidR="00F61E31" w:rsidRPr="00F61E31" w:rsidRDefault="00F61E31" w:rsidP="00762442">
      <w:pPr>
        <w:pStyle w:val="NoSpacing"/>
        <w:spacing w:line="480" w:lineRule="auto"/>
        <w:rPr>
          <w:rFonts w:ascii="Times New Roman" w:hAnsi="Times New Roman" w:cs="Times New Roman"/>
        </w:rPr>
      </w:pPr>
    </w:p>
    <w:p w14:paraId="59A52CB6" w14:textId="541FE7C1"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 xml:space="preserve">Future studies may also build upon the research presented within this thesis by altering the sample studied. For example, a study comparing heavy drinkers and people who used to be dependent, but no longer consume any alcohol, may be effective in detecting group differences in VBDM. This however would require careful consideration as to whether it is ethically appropriate to ask people with a history of alcohol dependence to make these types of decisions as they could jeopardise stable recovery or cause distress for people who are abstinent. However, it should be emphasised that in existing research, people in recovery </w:t>
      </w:r>
      <w:r w:rsidRPr="00F61E31">
        <w:rPr>
          <w:rFonts w:ascii="Times New Roman" w:hAnsi="Times New Roman" w:cs="Times New Roman"/>
        </w:rPr>
        <w:lastRenderedPageBreak/>
        <w:t>have been recruited and instructed to make value-based decisions about substances (e.g., alcohol) and substance-free alternatives (e.g., Hardy et al., 2018). In future VBDM research, protocols could be designed in combination with feedback from patient and public involvement (PPI) panels comprising lived experience of addiction, such as the Sheffield Addiction Recovery Research Panel (</w:t>
      </w:r>
      <w:proofErr w:type="spellStart"/>
      <w:r w:rsidRPr="00F61E31">
        <w:rPr>
          <w:rFonts w:ascii="Times New Roman" w:hAnsi="Times New Roman" w:cs="Times New Roman"/>
        </w:rPr>
        <w:t>ShARRP</w:t>
      </w:r>
      <w:proofErr w:type="spellEnd"/>
      <w:r w:rsidRPr="00F61E31">
        <w:rPr>
          <w:rFonts w:ascii="Times New Roman" w:hAnsi="Times New Roman" w:cs="Times New Roman"/>
        </w:rPr>
        <w:t xml:space="preserve">; </w:t>
      </w:r>
      <w:r w:rsidR="00212B0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{"citationID":"3YAEH1x0","properties":{"formattedCitation":"(Moore et al., 2020)","plainCitation":"(Moore et al., 2020)","dontUpdate":true,"noteIndex":0},"citationItems":[{"id":1793,"uris":["http://zotero.org/users/7873587/items/NY54SI2N"],"itemData":{"id":1793,"type":"book","abstract":"Patient and public involvement was a critical feature of the evaluation. The Research Governance Framework for Health and Social Care77 states that research should be ‘pursued with the active involvement of service users and carers, including, where appropriate, those from ‘hard-to-reach groups’, and that patients should be involved at every stage of the research process where appropriate. Hard-to-reach groups (also termed ‘seldom heard’ groups) may be defined as minority or socially disadvantaged groups, for example minority ethnic, LGBT or homeless people, people with chronic mental illness, drug users or criminal offenders.78","language":"en","note":"container-title: Evaluating alcohol intoxication management services: the EDARA mixed-methods study","publisher":"NIHR Journals Library","source":"www.ncbi.nlm.nih.gov","title":"Patient and public involvement","URL":"https://www.ncbi.nlm.nih.gov/books/NBK558118/","author":[{"family":"Moore","given":"Simon C."},{"family":"Allen","given":"Davina"},{"family":"Amos","given":"Yvette"},{"family":"Blake","given":"Joanne"},{"family":"Brennan","given":"Alan"},{"family":"Buykx","given":"Penny"},{"family":"Goodacre","given":"Steve"},{"family":"Gray","given":"Laura"},{"family":"Irving","given":"Andy"},{"family":"O’Cathain","given":"Alicia"},{"family":"Sivarajasingam","given":"Vaseekaran"},{"family":"Young","given":"Tracey"}],"accessed":{"date-parts":[["2022",8,4]]},"issued":{"date-parts":[["2020",6]]}}}],"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Moore et al., 2020)</w:t>
      </w:r>
      <w:r w:rsidR="00212B01">
        <w:rPr>
          <w:rFonts w:ascii="Times New Roman" w:hAnsi="Times New Roman" w:cs="Times New Roman"/>
        </w:rPr>
        <w:fldChar w:fldCharType="end"/>
      </w:r>
      <w:r w:rsidRPr="00F61E31">
        <w:rPr>
          <w:rFonts w:ascii="Times New Roman" w:hAnsi="Times New Roman" w:cs="Times New Roman"/>
        </w:rPr>
        <w:t xml:space="preserve">. </w:t>
      </w:r>
    </w:p>
    <w:p w14:paraId="30B126F9" w14:textId="77777777" w:rsidR="00F61E31" w:rsidRPr="00F61E31" w:rsidRDefault="00F61E31" w:rsidP="00762442">
      <w:pPr>
        <w:pStyle w:val="NoSpacing"/>
        <w:spacing w:line="480" w:lineRule="auto"/>
        <w:rPr>
          <w:rFonts w:ascii="Times New Roman" w:hAnsi="Times New Roman" w:cs="Times New Roman"/>
        </w:rPr>
      </w:pPr>
    </w:p>
    <w:p w14:paraId="1730E4AB" w14:textId="6C5DE900"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As this thesis was an initial application of VBDM to recovery from addiction, further refining of VBDM task methodology is warranted, for example, by exploring whether there is an appropriate control category for tobacco-related images. It might also be interesting for future research on alcohol-related decision-making to replace the soft</w:t>
      </w:r>
      <w:r w:rsidR="0000382A">
        <w:rPr>
          <w:rFonts w:ascii="Times New Roman" w:hAnsi="Times New Roman" w:cs="Times New Roman"/>
        </w:rPr>
        <w:t xml:space="preserve"> </w:t>
      </w:r>
      <w:r w:rsidRPr="00F61E31">
        <w:rPr>
          <w:rFonts w:ascii="Times New Roman" w:hAnsi="Times New Roman" w:cs="Times New Roman"/>
        </w:rPr>
        <w:t xml:space="preserve">drink image set with idiographic image sets whereby participants are making decisions about alcohol versus some other real-life choice. Indeed, </w:t>
      </w:r>
      <w:r w:rsidR="00212B0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{"citationID":"TAG0sZi7","properties":{"formattedCitation":"(Steger et al., 2013)","plainCitation":"(Steger et al., 2013)","dontUpdate":true,"noteIndex":0},"citationItems":[{"id":232,"uris":["http://zotero.org/users/7873587/items/RHPJT5S5"],"itemData":{"id":232,"type":"article-journal","abstract":"Although research relying on self-report inventories has built an increased appreciation of the importance of meaning in life, such research has strayed somewhat from the original promise of meaning in life research, which was to shed light on the individual experience of meaning. Some research has focused on understanding people’s sources of meaning. However, previous methods have relied on verbal ways of assessing sources of meaning in life. In recognition of the fact that not everyone has highly developed verbal skills – and that even those who do can find it hard to articulate what life means – we offer a new method for understanding individuals’ experiences with meaning in life. In this article, we describe the use of photography to elicit information about people’s sources of meaning and provide inductive qualitative analysis of a pilot study using this method. Photography holds great potential as a new method for seeing meaning through another’s eyes.","container-title":"The Journal of Positive Psychology","DOI":"10.1080/17439760.2013.830760","ISSN":"1743-9760","issue":"6","note":"publisher: Routledge\n_eprint: https://doi.org/10.1080/17439760.2013.830760","page":"530-542","source":"Taylor and Francis+NEJM","title":"The mind’s eye: A photographic method for understanding meaning in people’s lives","title-short":"The mind’s eye","volume":"8","author":[{"family":"Steger","given":"Michael F."},{"family":"Shim","given":"Yerin"},{"family":"Rush","given":"Brenna R."},{"family":"Brueske","given":"Libby A."},{"family":"Shin","given":"Joo Yeon"},{"family":"Merriman","given":"Leslie A."}],"issued":{"date-parts":[["2013",11,1]]}}}],"schema":"https://github.com/citation-style-language/schema/raw/master/csl-citation.json"}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 xml:space="preserve">Steger et al. </w:t>
      </w:r>
      <w:r w:rsidR="00212B01">
        <w:rPr>
          <w:rFonts w:ascii="Times New Roman" w:hAnsi="Times New Roman" w:cs="Times New Roman"/>
        </w:rPr>
        <w:t>(</w:t>
      </w:r>
      <w:r w:rsidR="00212B01" w:rsidRPr="00212B01">
        <w:rPr>
          <w:rFonts w:ascii="Times New Roman" w:hAnsi="Times New Roman" w:cs="Times New Roman"/>
        </w:rPr>
        <w:t>2013)</w:t>
      </w:r>
      <w:r w:rsidR="00212B01">
        <w:rPr>
          <w:rFonts w:ascii="Times New Roman" w:hAnsi="Times New Roman" w:cs="Times New Roman"/>
        </w:rPr>
        <w:fldChar w:fldCharType="end"/>
      </w:r>
      <w:r w:rsidR="00212B01" w:rsidRPr="00F61E31">
        <w:rPr>
          <w:rFonts w:ascii="Times New Roman" w:hAnsi="Times New Roman" w:cs="Times New Roman"/>
        </w:rPr>
        <w:t xml:space="preserve"> </w:t>
      </w:r>
      <w:r w:rsidRPr="00F61E31">
        <w:rPr>
          <w:rFonts w:ascii="Times New Roman" w:hAnsi="Times New Roman" w:cs="Times New Roman"/>
        </w:rPr>
        <w:t xml:space="preserve">used a photographic method in their research by asking participants to take photos of things that are meaningful to them, many of which are compatible with hobbies and activities that may compete with alcohol use (e.g., hobbies such as painting, spending time with family, driving). A potential benefit of this type of approach is that it may enable more of a comparison to self-report measures of alcohol-free reinforcement that are typically employed in behavioural economic research (e.g., reinforcement surveys; </w:t>
      </w:r>
      <w:r w:rsidR="00212B01">
        <w:rPr>
          <w:rFonts w:ascii="Times New Roman" w:hAnsi="Times New Roman" w:cs="Times New Roman"/>
        </w:rPr>
        <w:fldChar w:fldCharType="begin"/>
      </w:r>
      <w:r w:rsidR="00BA5D4A">
        <w:rPr>
          <w:rFonts w:ascii="Times New Roman" w:hAnsi="Times New Roman" w:cs="Times New Roman"/>
        </w:rPr>
        <w:instrText xml:space="preserve"> ADDIN ZOTERO_ITEM CSL_CITATION {"citationID":"Ns6OealI","properties":{"formattedCitation":"(Acuff et al., 2019)","plainCitation":"(Acuff et al., 2019)","dontUpdate":true,"noteIndex":0},"citationItems":[{"id":1452,"uris":["http://zotero.org/users/7873587/items/2ENG4DDR"],"itemData":{"id":1452,"type":"article-journal","abstract":"A robust body of theoretical and experimental work highlights the influence of alternative, substance-free rewards on decisions to use alcohol and other drugs. However, translational applications have been limited in part by the lack of consensus on how to measure substance-free reinforcement in applied and clinical settings. The current study summarizes extant research utilizing self-report reinforcement or reward methodologies, and critically reviews the psychometric properties of the available measures. These studies (N = 50) fell into three categories: measures of recent substance-related and substance-free activity participation and enjoyment (n = 32), measures of time or monetary resource allocation (n = 15), and rating scale measures of reward availability and experience (n = 8). The available research suggests that, consistent with experimental laboratory research and with behavioral economic predictions, there is an inverse relation between substance-free reinforcement and substance use. These studies also support the clinical utility of these measures in predicting substance use severity and course. Reinforcement measures could be improved by enhancing content validity, multimethod convergent validity, and generalizability. (PsycInfo Database Record (c) 2020 APA, all rights reserved)","container-title":"Clinical Psychology Review","DOI":"10.1016/j.cpr.2019.04.003","ISSN":"1873-7811","note":"publisher-place: Netherlands\npublisher: Elsevier Science","page":"79-90","source":"APA PsycNet","title":"Measurement of substance-free reinforcement in addiction: A systematic review","title-short":"Measurement of substance-free reinforcement in addiction","volume":"70","author":[{"family":"Acuff","given":"Samuel F."},{"family":"Dennhardt","given":"Ashley A."},{"family":"Correia","given":"Christopher J."},{"family":"Murphy","given":"James G."}],"issued":{"date-parts":[["2019"]]}}}],"schema":"https://github.com/citation-style-language/schema/raw/master/csl-citation.json"} </w:instrText>
      </w:r>
      <w:r w:rsidR="00212B01">
        <w:rPr>
          <w:rFonts w:ascii="Times New Roman" w:hAnsi="Times New Roman" w:cs="Times New Roman"/>
        </w:rPr>
        <w:fldChar w:fldCharType="separate"/>
      </w:r>
      <w:r w:rsidR="00212B01" w:rsidRPr="00212B01">
        <w:rPr>
          <w:rFonts w:ascii="Times New Roman" w:hAnsi="Times New Roman" w:cs="Times New Roman"/>
        </w:rPr>
        <w:t>Acuff et al. 2019)</w:t>
      </w:r>
      <w:r w:rsidR="00212B01">
        <w:rPr>
          <w:rFonts w:ascii="Times New Roman" w:hAnsi="Times New Roman" w:cs="Times New Roman"/>
        </w:rPr>
        <w:fldChar w:fldCharType="end"/>
      </w:r>
      <w:r w:rsidRPr="00F61E31">
        <w:rPr>
          <w:rFonts w:ascii="Times New Roman" w:hAnsi="Times New Roman" w:cs="Times New Roman"/>
        </w:rPr>
        <w:t>. However, in doing so, researchers should be cautious in ensuring that the image categories are appropriately matched to make effective comparisons, as discussed previously (</w:t>
      </w:r>
      <w:r w:rsidRPr="00971EA9">
        <w:rPr>
          <w:rFonts w:ascii="Times New Roman" w:hAnsi="Times New Roman" w:cs="Times New Roman"/>
        </w:rPr>
        <w:t>p.</w:t>
      </w:r>
      <w:r w:rsidR="00971EA9" w:rsidRPr="00971EA9">
        <w:rPr>
          <w:rFonts w:ascii="Times New Roman" w:hAnsi="Times New Roman" w:cs="Times New Roman"/>
        </w:rPr>
        <w:t>247</w:t>
      </w:r>
      <w:r w:rsidRPr="00F61E31">
        <w:rPr>
          <w:rFonts w:ascii="Times New Roman" w:hAnsi="Times New Roman" w:cs="Times New Roman"/>
        </w:rPr>
        <w:t>).</w:t>
      </w:r>
    </w:p>
    <w:p w14:paraId="49C12F2A" w14:textId="77777777" w:rsidR="00F61E31" w:rsidRPr="00F61E31" w:rsidRDefault="00F61E31" w:rsidP="00762442">
      <w:pPr>
        <w:pStyle w:val="NoSpacing"/>
        <w:spacing w:line="480" w:lineRule="auto"/>
        <w:rPr>
          <w:rFonts w:ascii="Times New Roman" w:hAnsi="Times New Roman" w:cs="Times New Roman"/>
        </w:rPr>
      </w:pPr>
    </w:p>
    <w:p w14:paraId="133B3D32" w14:textId="18F29FE1"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 xml:space="preserve">Future studies may also consider using methodology that can capture decision-making in real-life contexts and thereby increase ecological validity. A recent study by </w:t>
      </w:r>
      <w:r w:rsidR="00AE5C11">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{"citationID":"o0iwKtfc","properties":{"formattedCitation":"(Motschman et al., 2022)","plainCitation":"(Motschman et al., 2022)","dontUpdate":true,"noteIndex":0},"citationItems":[{"id":1795,"uris":["http://zotero.org/users/7873587/items/I9QDBN4C"],"itemData":{"id":1795,"type":"article-journal","abstract":"Background and Aims Alcohol demand, a measure of alcohol’s reinforcing value, is associated with greater alcohol consumption and alcohol-related problems. Although alcohol demand has primarily been evaluated as a ‘trait-like’, individual difference measure, recent evidence indicates that demand exhibits meaningful short-term fluctuations. We aimed to determine whether moment-to-moment fluctuations in alcohol demand in individuals’ natural drinking environments predicted drinking occurrence, drinking continuation, and drinking quantity. Design Observational study. Setting Individuals’ natural drinking environments in Columbia, Missouri, USA. Participants Eighty-nine young adults (56% female; mean age = 24.8) participated from November 2018 to October 2020. Participants reported 14.5 drinking days [standard deviation (SD = 8.1)] and 4.1 drinks per occasion (SD = 2.5) during ecological momentary assessment (EMA). Measurements Participants completed the alcohol purchase task at baseline. Following this, participants reported on their alcohol demand (breakpoint, Omax, intensity) and drinking behavior during EMA at daily, timed prompts from 6 p.m. to 2 a.m. They provided breathalyzer samples using a BACtrack Mobile® Pro. Models tested concurrent and prospective (lagged) associations between alcohol demand and drinking occurrence and drinking continuation after drinking initiation. Additional models tested concurrent associations between demand and breath alcohol concentrations (BrACs). Findings Higher alcohol demand was associated with higher odds of drinking and continued drinking for all demand indices at the momentary [odds ratio (OR) = 1.27–1.56, ps ≤ 0.03] and day-level (OR = 2.14–3.39, ps &lt; 0.001). Additionally, lagged demand predicted higher odds of drinking occurrence and continuation at the following prompt (OR = 1.32–1.53, ps ≤ 0.004). Higher alcohol demand was associated with higher BrACs at the momentary (bs = 0.0011–0.0026, ps ≤ 0.03) and day-level (bs = 0.0053–0.0062, ps &lt; 0.001). At the person-level, findings varied depending on the demand measure. Conclusions Alcohol demand appears to be associated with both when and how much individuals drink in their natural drinking environments. Elevations in alcohol demand appear to be associated with increased likelihood of drinking and continuing to drink, and greater total alcohol consumption, both within and across drinking days.","container-title":"Addiction","DOI":"10.1111/add.15822","ISSN":"1360-0443","issue":"7","language":"en","note":"_eprint: https://onlinelibrary.wiley.com/doi/pdf/10.1111/add.15822","page":"1887-1896","source":"Wiley Online Library","title":"Alcohol demand as a predictor of drinking behavior in the natural environment","volume":"117","author":[{"family":"Motschman","given":"Courtney A."},{"family":"Amlung","given":"Michael"},{"family":"McCarthy","given":"Denis M."}],"issued":{"date-parts":[["2022"]]}}}],"schema":"https://github.com/citation-style-language/schema/raw/master/csl-citation.json"} </w:instrText>
      </w:r>
      <w:r w:rsidR="00AE5C11">
        <w:rPr>
          <w:rFonts w:ascii="Times New Roman" w:hAnsi="Times New Roman" w:cs="Times New Roman"/>
        </w:rPr>
        <w:fldChar w:fldCharType="separate"/>
      </w:r>
      <w:r w:rsidR="00AE5C11" w:rsidRPr="00AE5C11">
        <w:rPr>
          <w:rFonts w:ascii="Times New Roman" w:hAnsi="Times New Roman" w:cs="Times New Roman"/>
        </w:rPr>
        <w:t xml:space="preserve">Motschman et al. </w:t>
      </w:r>
      <w:r w:rsidR="00AE5C11">
        <w:rPr>
          <w:rFonts w:ascii="Times New Roman" w:hAnsi="Times New Roman" w:cs="Times New Roman"/>
        </w:rPr>
        <w:t>(</w:t>
      </w:r>
      <w:r w:rsidR="00AE5C11" w:rsidRPr="00AE5C11">
        <w:rPr>
          <w:rFonts w:ascii="Times New Roman" w:hAnsi="Times New Roman" w:cs="Times New Roman"/>
        </w:rPr>
        <w:t>2022)</w:t>
      </w:r>
      <w:r w:rsidR="00AE5C11">
        <w:rPr>
          <w:rFonts w:ascii="Times New Roman" w:hAnsi="Times New Roman" w:cs="Times New Roman"/>
        </w:rPr>
        <w:fldChar w:fldCharType="end"/>
      </w:r>
      <w:r w:rsidRPr="00F61E31">
        <w:rPr>
          <w:rFonts w:ascii="Times New Roman" w:hAnsi="Times New Roman" w:cs="Times New Roman"/>
        </w:rPr>
        <w:t xml:space="preserve"> used ecological momentary assessment (EMA) and found that momentary fluctuations in alcohol demand were predictive of elevated alcohol consumption in real-life </w:t>
      </w:r>
      <w:r w:rsidRPr="00F61E31">
        <w:rPr>
          <w:rFonts w:ascii="Times New Roman" w:hAnsi="Times New Roman" w:cs="Times New Roman"/>
        </w:rPr>
        <w:lastRenderedPageBreak/>
        <w:t xml:space="preserve">settings. In the future, it may be possible for VBDM tasks to be administered on different devices (e.g., tablets or mobile phones) which would facilitate the collection of data at frequent intervals. In doing so, this approach would enable the exploration of whether VBDM parameters are capable of accurately predicting real-life behaviours (Field et al., 2020). In addition, extending beyond binary decisions in decision-making tasks and employing more advanced computational methodology such as multi-alternative DDMs </w:t>
      </w:r>
      <w:r w:rsidR="00AE5C11">
        <w:rPr>
          <w:rFonts w:ascii="Times New Roman" w:hAnsi="Times New Roman" w:cs="Times New Roman"/>
        </w:rPr>
        <w:fldChar w:fldCharType="begin"/>
      </w:r>
      <w:r w:rsidR="00AE5C11">
        <w:rPr>
          <w:rFonts w:ascii="Times New Roman" w:hAnsi="Times New Roman" w:cs="Times New Roman"/>
        </w:rPr>
        <w:instrText xml:space="preserve"> ADDIN ZOTERO_ITEM CSL_CITATION {"citationID":"3K7I7Ux9","properties":{"formattedCitation":"(Krajbich &amp; Rangel, 2011)","plainCitation":"(Krajbich &amp; Rangel, 2011)","noteIndex":0},"citationItems":[{"id":934,"uris":["http://zotero.org/users/7873587/items/KL4NESL2"],"itemData":{"id":934,"type":"article-journal","container-title":"Proceedings of the National Academy of Sciences","DOI":"10.1073/pnas.1101328108","issue":"33","note":"publisher: Proceedings of the National Academy of Sciences","page":"13852-13857","source":"pnas.org (Atypon)","title":"Multialternative drift-diffusion model predicts the relationship between visual fixations and choice in value-based decisions","volume":"108","author":[{"family":"Krajbich","given":"Ian"},{"family":"Rangel","given":"Antonio"}],"issued":{"date-parts":[["2011",8,16]]}}}],"schema":"https://github.com/citation-style-language/schema/raw/master/csl-citation.json"} </w:instrText>
      </w:r>
      <w:r w:rsidR="00AE5C11">
        <w:rPr>
          <w:rFonts w:ascii="Times New Roman" w:hAnsi="Times New Roman" w:cs="Times New Roman"/>
        </w:rPr>
        <w:fldChar w:fldCharType="separate"/>
      </w:r>
      <w:r w:rsidR="00AE5C11" w:rsidRPr="00AE5C11">
        <w:rPr>
          <w:rFonts w:ascii="Times New Roman" w:hAnsi="Times New Roman" w:cs="Times New Roman"/>
        </w:rPr>
        <w:t>(Krajbich &amp; Rangel, 2011)</w:t>
      </w:r>
      <w:r w:rsidR="00AE5C11">
        <w:rPr>
          <w:rFonts w:ascii="Times New Roman" w:hAnsi="Times New Roman" w:cs="Times New Roman"/>
        </w:rPr>
        <w:fldChar w:fldCharType="end"/>
      </w:r>
      <w:r w:rsidRPr="00F61E31">
        <w:rPr>
          <w:rFonts w:ascii="Times New Roman" w:hAnsi="Times New Roman" w:cs="Times New Roman"/>
        </w:rPr>
        <w:t xml:space="preserve"> may reflect decision-making that applies more to a real-life setting (e.g., when deciding in a supermarket and faced with multiple choice options), thereby enhancing ecological validity.</w:t>
      </w:r>
    </w:p>
    <w:p w14:paraId="62A75FF5" w14:textId="77777777" w:rsidR="00F61E31" w:rsidRPr="00F61E31" w:rsidRDefault="00F61E31" w:rsidP="00762442">
      <w:pPr>
        <w:pStyle w:val="NoSpacing"/>
        <w:spacing w:line="480" w:lineRule="auto"/>
        <w:rPr>
          <w:rFonts w:ascii="Times New Roman" w:hAnsi="Times New Roman" w:cs="Times New Roman"/>
        </w:rPr>
      </w:pPr>
    </w:p>
    <w:p w14:paraId="4A192E11" w14:textId="5FE24B7A"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Interestingly, other variations of DDMs have been developed to incorporate other potentially important factors, such as attentional bias (AB). VBDM offers a novel interpretation of the importance of attentional biases in addiction: according to this account, AB does not operate through an automatic process, but rather, it inflates the monetary value of alcohol which in turn would make it more likely to be acted upon. Variations of the DDM, such as the attentional drift diffusion model (</w:t>
      </w:r>
      <w:proofErr w:type="spellStart"/>
      <w:r w:rsidRPr="00F61E31">
        <w:rPr>
          <w:rFonts w:ascii="Times New Roman" w:hAnsi="Times New Roman" w:cs="Times New Roman"/>
        </w:rPr>
        <w:t>aDDM</w:t>
      </w:r>
      <w:proofErr w:type="spellEnd"/>
      <w:r w:rsidRPr="00F61E31">
        <w:rPr>
          <w:rFonts w:ascii="Times New Roman" w:hAnsi="Times New Roman" w:cs="Times New Roman"/>
        </w:rPr>
        <w:t xml:space="preserve">; </w:t>
      </w:r>
      <w:r w:rsidR="00AE5C11">
        <w:rPr>
          <w:rFonts w:ascii="Times New Roman" w:hAnsi="Times New Roman" w:cs="Times New Roman"/>
        </w:rPr>
        <w:fldChar w:fldCharType="begin"/>
      </w:r>
      <w:r w:rsidR="009961C4">
        <w:rPr>
          <w:rFonts w:ascii="Times New Roman" w:hAnsi="Times New Roman" w:cs="Times New Roman"/>
        </w:rPr>
        <w:instrText xml:space="preserve"> ADDIN ZOTERO_ITEM CSL_CITATION {"citationID":"h1sfe9Vx","properties":{"formattedCitation":"(Krajbich et al., 2010)","plainCitation":"(Krajbich et al., 2010)","dontUpdate":true,"noteIndex":0},"citationItems":[{"id":1771,"uris":["http://zotero.org/users/7873587/items/3QZ8899I"],"itemData":{"id":1771,"type":"article-journal","abstract":"To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choice","volume":"13","author":[{"family":"Krajbich","given":"Ian"},{"family":"Armel","given":"Carrie"},{"family":"Rangel","given":"Antonio"}],"issued":{"date-parts":[["2010",10]]}}}],"schema":"https://github.com/citation-style-language/schema/raw/master/csl-citation.json"} </w:instrText>
      </w:r>
      <w:r w:rsidR="00AE5C11">
        <w:rPr>
          <w:rFonts w:ascii="Times New Roman" w:hAnsi="Times New Roman" w:cs="Times New Roman"/>
        </w:rPr>
        <w:fldChar w:fldCharType="separate"/>
      </w:r>
      <w:proofErr w:type="spellStart"/>
      <w:r w:rsidR="00AE5C11" w:rsidRPr="00AE5C11">
        <w:rPr>
          <w:rFonts w:ascii="Times New Roman" w:hAnsi="Times New Roman" w:cs="Times New Roman"/>
        </w:rPr>
        <w:t>Krajbich</w:t>
      </w:r>
      <w:proofErr w:type="spellEnd"/>
      <w:r w:rsidR="00AE5C11" w:rsidRPr="00AE5C11">
        <w:rPr>
          <w:rFonts w:ascii="Times New Roman" w:hAnsi="Times New Roman" w:cs="Times New Roman"/>
        </w:rPr>
        <w:t xml:space="preserve"> et al., 2010)</w:t>
      </w:r>
      <w:r w:rsidR="00AE5C11">
        <w:rPr>
          <w:rFonts w:ascii="Times New Roman" w:hAnsi="Times New Roman" w:cs="Times New Roman"/>
        </w:rPr>
        <w:fldChar w:fldCharType="end"/>
      </w:r>
      <w:r w:rsidRPr="00F61E31">
        <w:rPr>
          <w:rFonts w:ascii="Times New Roman" w:hAnsi="Times New Roman" w:cs="Times New Roman"/>
        </w:rPr>
        <w:t xml:space="preserve"> directly support this notion: greater eye fixations augment the value of the commodity as captured by EA rates. Although the </w:t>
      </w:r>
      <w:proofErr w:type="spellStart"/>
      <w:r w:rsidRPr="00F61E31">
        <w:rPr>
          <w:rFonts w:ascii="Times New Roman" w:hAnsi="Times New Roman" w:cs="Times New Roman"/>
        </w:rPr>
        <w:t>aDDM</w:t>
      </w:r>
      <w:proofErr w:type="spellEnd"/>
      <w:r w:rsidRPr="00F61E31">
        <w:rPr>
          <w:rFonts w:ascii="Times New Roman" w:hAnsi="Times New Roman" w:cs="Times New Roman"/>
        </w:rPr>
        <w:t xml:space="preserve"> has been applied to decisions made about food cues </w:t>
      </w:r>
      <w:r w:rsidR="00AE5C11">
        <w:rPr>
          <w:rFonts w:ascii="Times New Roman" w:hAnsi="Times New Roman" w:cs="Times New Roman"/>
        </w:rPr>
        <w:t>(</w:t>
      </w:r>
      <w:r w:rsidR="00AE5C11">
        <w:rPr>
          <w:rFonts w:ascii="Times New Roman" w:hAnsi="Times New Roman" w:cs="Times New Roman"/>
        </w:rPr>
        <w:fldChar w:fldCharType="begin"/>
      </w:r>
      <w:r w:rsidR="009961C4">
        <w:rPr>
          <w:rFonts w:ascii="Times New Roman" w:hAnsi="Times New Roman" w:cs="Times New Roman"/>
        </w:rPr>
        <w:instrText xml:space="preserve"> ADDIN ZOTERO_ITEM CSL_CITATION {"citationID":"707ou1qI","properties":{"formattedCitation":"(Krajbich et al., 2010)","plainCitation":"(Krajbich et al., 2010)","dontUpdate":true,"noteIndex":0},"citationItems":[{"id":1771,"uris":["http://zotero.org/users/7873587/items/3QZ8899I"],"itemData":{"id":1771,"type":"article-journal","abstract":"To choose between two options, we often look repeatedly back and forth between them, presumably as a way of comparing their values. Here the authors propose a computational model of value-based decision making that can explain the relationship between fixation patterns and choices.","container-title":"Nature Neuroscience","DOI":"10.1038/nn.2635","ISSN":"1546-1726","issue":"10","journalAbbreviation":"Nat Neurosci","language":"en","license":"2010 Nature Publishing Group, a division of Macmillan Publishers Limited. All Rights Reserved.","note":"number: 10\npublisher: Nature Publishing Group","page":"1292-1298","source":"www.nature.com","title":"Visual fixations and the computation and comparison of value in simple choice","volume":"13","author":[{"family":"Krajbich","given":"Ian"},{"family":"Armel","given":"Carrie"},{"family":"Rangel","given":"Antonio"}],"issued":{"date-parts":[["2010",10]]}}}],"schema":"https://github.com/citation-style-language/schema/raw/master/csl-citation.json"} </w:instrText>
      </w:r>
      <w:r w:rsidR="00AE5C11">
        <w:rPr>
          <w:rFonts w:ascii="Times New Roman" w:hAnsi="Times New Roman" w:cs="Times New Roman"/>
        </w:rPr>
        <w:fldChar w:fldCharType="separate"/>
      </w:r>
      <w:r w:rsidR="00AE5C11" w:rsidRPr="00AE5C11">
        <w:rPr>
          <w:rFonts w:ascii="Times New Roman" w:hAnsi="Times New Roman" w:cs="Times New Roman"/>
        </w:rPr>
        <w:t>Krajbich et al., 2010)</w:t>
      </w:r>
      <w:r w:rsidR="00AE5C11">
        <w:rPr>
          <w:rFonts w:ascii="Times New Roman" w:hAnsi="Times New Roman" w:cs="Times New Roman"/>
        </w:rPr>
        <w:fldChar w:fldCharType="end"/>
      </w:r>
      <w:r w:rsidRPr="00F61E31">
        <w:rPr>
          <w:rFonts w:ascii="Times New Roman" w:hAnsi="Times New Roman" w:cs="Times New Roman"/>
        </w:rPr>
        <w:t xml:space="preserve">, this has not yet been applied to addiction-related research. Interestingly, experimental studies with somewhat ambiguous conclusions (e.g., </w:t>
      </w:r>
      <w:r w:rsidR="00AE5C11">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{"citationID":"CVsZjdCX","properties":{"formattedCitation":"(Rose et al., 2013, 2018)","plainCitation":"(Rose et al., 2013, 2018)","dontUpdate":true,"noteIndex":0},"citationItems":[{"id":880,"uris":["http://zotero.org/users/7873587/items/XAJJ69YQ"],"itemData":{"id":880,"type":"article-journal","abstract":"Aims\nTo investigate the mediating role of attentional bias for alcohol cues on alcohol-seeking following devaluation of alcohol.\n\nDesign\nBetween subject.\n\nSetting\nEye-tracking laboratory at the University of Liverpool.\n\nParticipants\nStudent social drinkers (n = 64).\n\nMeasurements\nAn operant choice task in which participants chose between simultaneously presented alcohol and non-alcohol drink rewards, while attentional bias for alcohol and non-alcohol drink cues was inferred from eye movements. Participants then consumed 30 mL of an alcoholic beverage, which was either presented alone (no devaluation: n = 32) or had been adulterated to taste unpleasant (devaluation: n = 32). Choice and attentional bias for the alcohol and non-alcohol drink pictures were then measured again.\n\nFindings\nAlcohol devaluation reduced behavioural choice for alcohol (F = 32.64, P &lt; 0.001) and attentional bias for the alcohol pictures indexed by dwell time (F = 22.68, P &lt; 0.001), initial fixation (F = 7.08, P = 0.01) and final fixation (F = 22.44, P &lt; 0.001). Mediation analysis revealed that attentional bias partially mediated the effect of devaluation on alcohol choice; however, the proportion of the variance accounted for by attentional bias is low to moderate (</w:instrText>
      </w:r>
      <w:r w:rsidR="00996CF6">
        <w:rPr>
          <w:rFonts w:ascii="Cambria Math" w:hAnsi="Cambria Math" w:cs="Cambria Math"/>
        </w:rPr>
        <w:instrText>∼</w:instrText>
      </w:r>
      <w:r w:rsidR="00996CF6">
        <w:rPr>
          <w:rFonts w:ascii="Times New Roman" w:hAnsi="Times New Roman" w:cs="Times New Roman"/>
        </w:rPr>
        <w:instrText xml:space="preserve">30%).\n\nConclusions\nAmong student social drinkers, attentional bias is only a partial mediator of alcohol choice following devaluation of alcohol. Value-based decision-making may be a more important determinant of drinking behaviour among student social drinkers than attentional bias.","container-title":"Addiction","DOI":"10.1111/add.12152","ISSN":"0965-2140","issue":"7","journalAbbreviation":"Addiction","note":"PMID: 23614520\nPMCID: PMC3746131","page":"1241-1249","source":"PubMed Central","title":"The contributions of value-based decision-making and attentional bias to alcohol-seeking following devaluation","volume":"108","author":[{"family":"Rose","given":"Abigail K"},{"family":"Brown","given":"Kyle"},{"family":"Field","given":"Matt"},{"family":"Hogarth","given":"Lee"}],"issued":{"date-parts":[["2013",7]]}},"label":"act"},{"id":1352,"uris":["http://zotero.org/users/7873587/items/C77DAMBX"],"itemData":{"id":1352,"type":"article-journal","abstract":"RATIONALE: Substance-related behaviour is often viewed as an appetitive behaviour, motivated by the reinforcing effects of the drug. However, there are various indices of substance motivation (e.g. attentional bias, behavioural economic demand, craving) and it is unclear how these are related or whether they play an important role in all types of substance-related behaviour.\nOBJECTIVES: (1) To determine the effect of alcohol devaluation on several indices of alcohol motivation and goal-directed and cue-elicited alcohol behaviour. (2) To investigate which components of motivation mediate any effect of devaluation on behaviour.\nMETHODS: Sixty-two social drinkers gave baseline measures of alcohol craving, behavioural economic demand and choice for alcohol vs. soft drink. Participants tasted alcohol which was either unadulterated (control) or adulterated with a bitter solution (devaluation) before craving and demand were measured again. Alcohol choice was assessed in several phases: extinction (evaluating goal-directed behaviour), in the presence of drink cues (Pavlovian-to-instrumental transfer (PIT, cue-elicited behaviour)), and reacquisition. Attentional bias (AB) was measured by tracking eye movements towards the drink cues during novel PIT trials where both cues were presented. Finally, consumption was evaluated in a taste test.\nRESULTS: Alcohol devaluation reduced alcohol-related demand, AB, alcohol choice in all phases, and consumption. Alcohol cues presented during PIT increased alcohol choice above baseline irrespective of devaluation. AB and demand for alcohol fully mediated the effect of devaluation on alcohol choice during extinction, AB fully mediated the effect on cue-elicited (specific PIT) alcohol choice and alcohol consumption.\nCONCLUSIONS: Alcohol behaviour in social drinkers is largely sensitive to devaluation, i.e. governed by current motivational value of the drug (suggesting goal-directed behaviour). However, a dissociable form of stimulus control can also drive alcohol-seeking independently of drug value (specific PIT). Mediation analyses suggests that AB may play a paradoxical role in both forms of alcohol seeking and consumption.","container-title":"Psychopharmacology","DOI":"10.1007/s00213-018-4839-2","ISSN":"1432-2072","issue":"4","journalAbbreviation":"Psychopharmacology (Berl)","language":"eng","note":"PMID: 29480437\nPMCID: PMC5869941","page":"1233-1244","source":"PubMed","title":"Alcohol devaluation has dissociable effects on distinct components of alcohol behaviour","volume":"235","author":[{"family":"Rose","given":"Abigail K."},{"family":"Brown","given":"Kyle"},{"family":"MacKillop","given":"James"},{"family":"Field","given":"Matt"},{"family":"Hogarth","given":"Lee"}],"issued":{"date-parts":[["2018",4]]}},"label":"act"}],"schema":"https://github.com/citation-style-language/schema/raw/master/csl-citation.json"} </w:instrText>
      </w:r>
      <w:r w:rsidR="00AE5C11">
        <w:rPr>
          <w:rFonts w:ascii="Times New Roman" w:hAnsi="Times New Roman" w:cs="Times New Roman"/>
        </w:rPr>
        <w:fldChar w:fldCharType="separate"/>
      </w:r>
      <w:r w:rsidR="009961C4" w:rsidRPr="009961C4">
        <w:rPr>
          <w:rFonts w:ascii="Times New Roman" w:hAnsi="Times New Roman" w:cs="Times New Roman"/>
        </w:rPr>
        <w:t>Rose et al., 2013, 2018)</w:t>
      </w:r>
      <w:r w:rsidR="00AE5C11">
        <w:rPr>
          <w:rFonts w:ascii="Times New Roman" w:hAnsi="Times New Roman" w:cs="Times New Roman"/>
        </w:rPr>
        <w:fldChar w:fldCharType="end"/>
      </w:r>
      <w:r w:rsidRPr="00F61E31">
        <w:rPr>
          <w:rFonts w:ascii="Times New Roman" w:hAnsi="Times New Roman" w:cs="Times New Roman"/>
        </w:rPr>
        <w:t xml:space="preserve"> have used eye-tracking methodology and captured value-based choice, albeit not with the DDM. These findings can be reinterpreted in such a way that aligns with the conclusion in Chapter 4 of this thesis: they found increased AB to soft</w:t>
      </w:r>
      <w:r w:rsidR="0000382A">
        <w:rPr>
          <w:rFonts w:ascii="Times New Roman" w:hAnsi="Times New Roman" w:cs="Times New Roman"/>
        </w:rPr>
        <w:t xml:space="preserve"> </w:t>
      </w:r>
      <w:r w:rsidRPr="00F61E31">
        <w:rPr>
          <w:rFonts w:ascii="Times New Roman" w:hAnsi="Times New Roman" w:cs="Times New Roman"/>
        </w:rPr>
        <w:t>drinks when participants were primed to devalue alcohol</w:t>
      </w:r>
      <w:r w:rsidR="00107EBB">
        <w:rPr>
          <w:rFonts w:ascii="Times New Roman" w:hAnsi="Times New Roman" w:cs="Times New Roman"/>
        </w:rPr>
        <w:t xml:space="preserve"> compared to a control condition</w:t>
      </w:r>
      <w:r w:rsidRPr="00F61E31">
        <w:rPr>
          <w:rFonts w:ascii="Times New Roman" w:hAnsi="Times New Roman" w:cs="Times New Roman"/>
        </w:rPr>
        <w:t xml:space="preserve">, which interpreted in line with the </w:t>
      </w:r>
      <w:proofErr w:type="spellStart"/>
      <w:r w:rsidRPr="00F61E31">
        <w:rPr>
          <w:rFonts w:ascii="Times New Roman" w:hAnsi="Times New Roman" w:cs="Times New Roman"/>
        </w:rPr>
        <w:t>aDDM</w:t>
      </w:r>
      <w:proofErr w:type="spellEnd"/>
      <w:r w:rsidRPr="00F61E31">
        <w:rPr>
          <w:rFonts w:ascii="Times New Roman" w:hAnsi="Times New Roman" w:cs="Times New Roman"/>
        </w:rPr>
        <w:t xml:space="preserve"> would suggest that </w:t>
      </w:r>
      <w:r w:rsidRPr="00F61E31">
        <w:rPr>
          <w:rFonts w:ascii="Times New Roman" w:hAnsi="Times New Roman" w:cs="Times New Roman"/>
        </w:rPr>
        <w:lastRenderedPageBreak/>
        <w:t>soft</w:t>
      </w:r>
      <w:r w:rsidR="0000382A">
        <w:rPr>
          <w:rFonts w:ascii="Times New Roman" w:hAnsi="Times New Roman" w:cs="Times New Roman"/>
        </w:rPr>
        <w:t xml:space="preserve"> </w:t>
      </w:r>
      <w:r w:rsidRPr="00F61E31">
        <w:rPr>
          <w:rFonts w:ascii="Times New Roman" w:hAnsi="Times New Roman" w:cs="Times New Roman"/>
        </w:rPr>
        <w:t>drinks increase in value. This is therefore an extremely interesting avenue for future research.</w:t>
      </w:r>
    </w:p>
    <w:p w14:paraId="430929E0" w14:textId="77777777" w:rsidR="00F61E31" w:rsidRPr="00F61E31" w:rsidRDefault="00F61E31" w:rsidP="00762442">
      <w:pPr>
        <w:pStyle w:val="NoSpacing"/>
        <w:spacing w:line="480" w:lineRule="auto"/>
        <w:rPr>
          <w:rFonts w:ascii="Times New Roman" w:hAnsi="Times New Roman" w:cs="Times New Roman"/>
        </w:rPr>
      </w:pPr>
    </w:p>
    <w:p w14:paraId="51985F33" w14:textId="3518BBD0" w:rsidR="00F61E31" w:rsidRPr="00F61E31" w:rsidRDefault="00F61E31" w:rsidP="00762442">
      <w:pPr>
        <w:pStyle w:val="NoSpacing"/>
        <w:spacing w:line="480" w:lineRule="auto"/>
        <w:rPr>
          <w:rFonts w:ascii="Times New Roman" w:hAnsi="Times New Roman" w:cs="Times New Roman"/>
        </w:rPr>
      </w:pPr>
      <w:r w:rsidRPr="00F61E31">
        <w:rPr>
          <w:rFonts w:ascii="Times New Roman" w:hAnsi="Times New Roman" w:cs="Times New Roman"/>
        </w:rPr>
        <w:t xml:space="preserve">To address the cross-sectional limitations of Chapters 6 and 7, future research might use longitudinal designs that prospectively follow people up in order to uncover the temporal and causal relationships between VBDM, behaviour change, and recovery. In doing so, this future research could facilitate, or contribute to, continued refinement of VBDM conceptual accounts </w:t>
      </w:r>
      <w:r w:rsidR="009961C4">
        <w:rPr>
          <w:rFonts w:ascii="Times New Roman" w:hAnsi="Times New Roman" w:cs="Times New Roman"/>
        </w:rPr>
        <w:fldChar w:fldCharType="begin"/>
      </w:r>
      <w:r w:rsidR="009961C4">
        <w:rPr>
          <w:rFonts w:ascii="Times New Roman" w:hAnsi="Times New Roman" w:cs="Times New Roman"/>
        </w:rPr>
        <w:instrText xml:space="preserve"> ADDIN ZOTERO_ITEM CSL_CITATION {"citationID":"CzaGsROW","properties":{"formattedCitation":"(Copeland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9961C4">
        <w:rPr>
          <w:rFonts w:ascii="Times New Roman" w:hAnsi="Times New Roman" w:cs="Times New Roman"/>
        </w:rPr>
        <w:fldChar w:fldCharType="separate"/>
      </w:r>
      <w:r w:rsidR="009961C4" w:rsidRPr="00212B01">
        <w:rPr>
          <w:rFonts w:ascii="Times New Roman" w:hAnsi="Times New Roman" w:cs="Times New Roman"/>
        </w:rPr>
        <w:t>(Copeland et al., 2021; Field, Heather, et al., 2020)</w:t>
      </w:r>
      <w:r w:rsidR="009961C4">
        <w:rPr>
          <w:rFonts w:ascii="Times New Roman" w:hAnsi="Times New Roman" w:cs="Times New Roman"/>
        </w:rPr>
        <w:fldChar w:fldCharType="end"/>
      </w:r>
      <w:r w:rsidRPr="00F61E31">
        <w:rPr>
          <w:rFonts w:ascii="Times New Roman" w:hAnsi="Times New Roman" w:cs="Times New Roman"/>
        </w:rPr>
        <w:t>. Although entirely tentative, here I introduce a theoretical speculation that may inform future iterations of VBDM. In Chapter 4 I found that devaluation of alcohol selectively increases EA rates for soft</w:t>
      </w:r>
      <w:r w:rsidR="0000382A">
        <w:rPr>
          <w:rFonts w:ascii="Times New Roman" w:hAnsi="Times New Roman" w:cs="Times New Roman"/>
        </w:rPr>
        <w:t xml:space="preserve"> </w:t>
      </w:r>
      <w:r w:rsidRPr="00F61E31">
        <w:rPr>
          <w:rFonts w:ascii="Times New Roman" w:hAnsi="Times New Roman" w:cs="Times New Roman"/>
        </w:rPr>
        <w:t xml:space="preserve">drinks, whilst in Chapter 7 I found that ex-smokers have significantly higher response thresholds for tobacco. I therefore speculatively propose that EA rates and response thresholds may have a core temporal component: initial thoughts about changing or early behaviour change may be characterised by alterations in EA rates, and these may gradually stabilise into shifts in response thresholds over time. Therefore, at the point of stable recovery, altered valuation may be reflected in response thresholds rather than EA rates. Interestingly, this speculation may provide one way to reconcile findings from Chapter 7 with behavioural economic accounts which emphasise the reversal of distortions in valuation processes. What this tentative extension to VBDM accounts alludes to is an efficient-causal explanation that can serve as the basis for observed final cause patterns of behaviour over time </w:t>
      </w:r>
      <w:r w:rsidR="009961C4">
        <w:rPr>
          <w:rFonts w:ascii="Times New Roman" w:hAnsi="Times New Roman" w:cs="Times New Roman"/>
        </w:rPr>
        <w:fldChar w:fldCharType="begin"/>
      </w:r>
      <w:r w:rsidR="00762442">
        <w:rPr>
          <w:rFonts w:ascii="Times New Roman" w:hAnsi="Times New Roman" w:cs="Times New Roman"/>
        </w:rPr>
        <w:instrText xml:space="preserve"> ADDIN ZOTERO_ITEM CSL_CITATION {"citationID":"1Mot927N","properties":{"formattedCitation":"(Rachlin, 2017)","plainCitation":"(Rachlin, 2017)","noteIndex":0},"citationItems":[{"id":808,"uris":["http://zotero.org/users/7873587/items/DD5ZEGT8"],"itemData":{"id":808,"type":"article-journal","abstract":"Teleological behaviorism (TEB) is a behavioral identity theory that denies what seems to be the intuitively obvious notion that our minds are contained in our bodies—more specifically, in our brains. TEB holds, instead, that our minds are identical with abstract, temporally, and socially extended patterns in our overt behavior. TEB depends not on efficient causes but on a wide (or inclusive) version of final causes. This article illustrates how TEB accounts for mental acts and defends it against other theories of mind such as neural identity theory and double-aspect theories. (PsycINFO Database Record (c) 2017 APA, all rights reserved)","container-title":"Journal of Theoretical and Philosophical Psychology","DOI":"10.1037/teo0000060","ISSN":"2151-3341","issue":"2","note":"publisher-place: US\npublisher: Educational Publishing Foundation","page":"65-76","source":"APA PsycNet","title":"In defense of teleological behaviorism","volume":"37","author":[{"family":"Rachlin","given":"Howard"}],"issued":{"date-parts":[["2017"]]}}}],"schema":"https://github.com/citation-style-language/schema/raw/master/csl-citation.json"} </w:instrText>
      </w:r>
      <w:r w:rsidR="009961C4">
        <w:rPr>
          <w:rFonts w:ascii="Times New Roman" w:hAnsi="Times New Roman" w:cs="Times New Roman"/>
        </w:rPr>
        <w:fldChar w:fldCharType="separate"/>
      </w:r>
      <w:r w:rsidR="00762442" w:rsidRPr="00762442">
        <w:rPr>
          <w:rFonts w:ascii="Times New Roman" w:hAnsi="Times New Roman" w:cs="Times New Roman"/>
        </w:rPr>
        <w:t>(Rachlin, 2017)</w:t>
      </w:r>
      <w:r w:rsidR="009961C4">
        <w:rPr>
          <w:rFonts w:ascii="Times New Roman" w:hAnsi="Times New Roman" w:cs="Times New Roman"/>
        </w:rPr>
        <w:fldChar w:fldCharType="end"/>
      </w:r>
      <w:r w:rsidRPr="00F61E31">
        <w:rPr>
          <w:rFonts w:ascii="Times New Roman" w:hAnsi="Times New Roman" w:cs="Times New Roman"/>
        </w:rPr>
        <w:t xml:space="preserve">—directly bringing together VBDM and behavioural economic accounts. Efficient causes (i.e., mechanisms that immediately precede a discrete act) and final causes (i.e., temporally extended behaviour patterns) therefore do not need to be mutually exclusive as proposed in </w:t>
      </w:r>
      <w:r w:rsidR="009961C4">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{"citationID":"o9PrNySj","properties":{"formattedCitation":"(Tucker &amp; Vuchinich, 2015)","plainCitation":"(Tucker &amp; Vuchinich, 2015)","dontUpdate":true,"noteIndex":0},"citationItems":[{"id":1387,"uris":["http://zotero.org/users/7873587/items/SR6AQKE7"],"itemData":{"id":1387,"type":"article-journal","abstract":"Comments on an article by M. Amlung et al. (see record 2015-15671-001). Amlung et al. truncated the Alcohol Purchase Task (APT) by asking only one question for each of three demand curve measures. As with the k parameter in discounting research, the demand curve measures from the APT and from Amlung et al. can be given either an efficient cause or a final cause interpretation. The authors clearly favor the efficient cause interpretation that 'alcohol demand could represent an intermediate step between craving and consumption, such that dynamic increases in craving produce a corresponding increase in the relative value of alcohol that, in turn, influences drinking decisions.' This efficient cause interpretation of the demand curve measures is consistent with mainstream psychological science, but it is counter to the historical development and current status of BE. The authors also noted that: 'An advantage of behavioral economics is that it quantifies a construct such as alcohol motivation into externally relevant metrics such as number of drinks and money spent.' (PsycINFO Database Record (c) 2016 APA, all rights reserved)","container-title":"Addiction","DOI":"10.1111/add.12983","ISSN":"1360-0443","issue":"9","note":"publisher-place: United Kingdom\npublisher: Wiley-Blackwell Publishing Ltd.","page":"1429-1430","source":"APA PsycNet","title":"Efficient and final causes of alcohol consumption","volume":"110","author":[{"family":"Tucker","given":"Jalie A."},{"family":"Vuchinich","given":"Rudy E."}],"issued":{"date-parts":[["2015"]]}}}],"schema":"https://github.com/citation-style-language/schema/raw/master/csl-citation.json"} </w:instrText>
      </w:r>
      <w:r w:rsidR="009961C4">
        <w:rPr>
          <w:rFonts w:ascii="Times New Roman" w:hAnsi="Times New Roman" w:cs="Times New Roman"/>
        </w:rPr>
        <w:fldChar w:fldCharType="separate"/>
      </w:r>
      <w:r w:rsidR="009961C4" w:rsidRPr="009961C4">
        <w:rPr>
          <w:rFonts w:ascii="Times New Roman" w:hAnsi="Times New Roman" w:cs="Times New Roman"/>
        </w:rPr>
        <w:t xml:space="preserve">Tucker </w:t>
      </w:r>
      <w:r w:rsidR="009961C4">
        <w:rPr>
          <w:rFonts w:ascii="Times New Roman" w:hAnsi="Times New Roman" w:cs="Times New Roman"/>
        </w:rPr>
        <w:t>and</w:t>
      </w:r>
      <w:r w:rsidR="009961C4" w:rsidRPr="009961C4">
        <w:rPr>
          <w:rFonts w:ascii="Times New Roman" w:hAnsi="Times New Roman" w:cs="Times New Roman"/>
        </w:rPr>
        <w:t xml:space="preserve"> Vuchinich </w:t>
      </w:r>
      <w:r w:rsidR="009961C4">
        <w:rPr>
          <w:rFonts w:ascii="Times New Roman" w:hAnsi="Times New Roman" w:cs="Times New Roman"/>
        </w:rPr>
        <w:t>(</w:t>
      </w:r>
      <w:r w:rsidR="009961C4" w:rsidRPr="009961C4">
        <w:rPr>
          <w:rFonts w:ascii="Times New Roman" w:hAnsi="Times New Roman" w:cs="Times New Roman"/>
        </w:rPr>
        <w:t>2015)</w:t>
      </w:r>
      <w:r w:rsidR="009961C4">
        <w:rPr>
          <w:rFonts w:ascii="Times New Roman" w:hAnsi="Times New Roman" w:cs="Times New Roman"/>
        </w:rPr>
        <w:fldChar w:fldCharType="end"/>
      </w:r>
      <w:r w:rsidRPr="00F61E31">
        <w:rPr>
          <w:rFonts w:ascii="Times New Roman" w:hAnsi="Times New Roman" w:cs="Times New Roman"/>
        </w:rPr>
        <w:t xml:space="preserve">. More recently however, it is becoming recognised that both types of analysis have potential to contribute towards enriching theoretical understanding of </w:t>
      </w:r>
      <w:r w:rsidRPr="00F61E31">
        <w:rPr>
          <w:rFonts w:ascii="Times New Roman" w:hAnsi="Times New Roman" w:cs="Times New Roman"/>
        </w:rPr>
        <w:lastRenderedPageBreak/>
        <w:t xml:space="preserve">addiction and recovery from it </w:t>
      </w:r>
      <w:r w:rsidR="009961C4">
        <w:rPr>
          <w:rFonts w:ascii="Times New Roman" w:hAnsi="Times New Roman" w:cs="Times New Roman"/>
        </w:rPr>
        <w:fldChar w:fldCharType="begin"/>
      </w:r>
      <w:r w:rsidR="00996CF6">
        <w:rPr>
          <w:rFonts w:ascii="Times New Roman" w:hAnsi="Times New Roman" w:cs="Times New Roman"/>
        </w:rPr>
        <w:instrText xml:space="preserve"> ADDIN ZOTERO_ITEM CSL_CITATION {"citationID":"8ZT96WNs","properties":{"formattedCitation":"(Tucker et al., 2022)","plainCitation":"(Tucker et al., 2022)","noteIndex":0},"citationItems":[{"id":1798,"uris":["http://zotero.org/users/7873587/items/G7XU6PHK"],"itemData":{"id":1798,"type":"article-journal","abstract":"Objective: Translational research on addictive behaviors viewed as molar behavioral allocation is critically reviewed. This work relates rates of behavior to rates of reinforcement over time and has been fruitfully applied to addictive behaviors, which involve excessive allocation to short-term rewards with longer term costs. Method: Narrative critical review. Results: This approach distinguishes between final and efficient causes of discrete behaviors. The former refers to temporally extended behavior patterns into which the act fits. The latter refers to environmental stimuli or internal psychological mechanisms immediately preceding the act. Final causes are most clear when addictive behaviors are studied over time as a function of changing environmental circumstances. Discrete acts of addictive behavior are part of an extended/molar behavior pattern when immediate constraints on engagement are low and few rewarding alternatives are available. Research framed by efficient causes often use behavioral economic simulation tasks as individual difference variables that precede discrete acts. Such measures show higher demand for addictive commodities and steeper discounting in various risk groups, but whether they predict molar addictive behavior patterning is understudied. Conclusions: Although efficient cause analysis has dominated translational research, research supports viewing addictive behavior as molar behavioral allocation. Increasing concern with rate variables underpinning final cause analysis and considering how study methods and temporal units of analysis inform an efficient or final cause analysis may advance understanding of addictive behaviors that occur over time in dynamic environmental contexts. This approach provides linkages between behavioral science and disciplines that study social determinants of health. (PsycInfo Database Record (c) 2022 APA, all rights reserved)","container-title":"Psychology of Addictive Behaviors","DOI":"10.1037/adb0000845","ISSN":"1939-1501","note":"publisher-place: US\npublisher: American Psychological Association","source":"APA PsycNet","title":"Addictive behavior as molar behavioral allocation: Distinguishing efficient and final causes in translational research and practice","title-short":"Addictive behavior as molar behavioral allocation","author":[{"family":"Tucker","given":"Jalie A."},{"family":"Buscemi","given":"Joanna"},{"family":"Murphy","given":"James G."},{"family":"Reed","given":"Derek D."},{"family":"Vuchinich","given":"Rudy E."}],"issued":{"date-parts":[["2022"]]}}}],"schema":"https://github.com/citation-style-language/schema/raw/master/csl-citation.json"} </w:instrText>
      </w:r>
      <w:r w:rsidR="009961C4">
        <w:rPr>
          <w:rFonts w:ascii="Times New Roman" w:hAnsi="Times New Roman" w:cs="Times New Roman"/>
        </w:rPr>
        <w:fldChar w:fldCharType="separate"/>
      </w:r>
      <w:r w:rsidR="009961C4" w:rsidRPr="009961C4">
        <w:rPr>
          <w:rFonts w:ascii="Times New Roman" w:hAnsi="Times New Roman" w:cs="Times New Roman"/>
        </w:rPr>
        <w:t>(Tucker et al., 2022)</w:t>
      </w:r>
      <w:r w:rsidR="009961C4">
        <w:rPr>
          <w:rFonts w:ascii="Times New Roman" w:hAnsi="Times New Roman" w:cs="Times New Roman"/>
        </w:rPr>
        <w:fldChar w:fldCharType="end"/>
      </w:r>
      <w:r w:rsidRPr="00F61E31">
        <w:rPr>
          <w:rFonts w:ascii="Times New Roman" w:hAnsi="Times New Roman" w:cs="Times New Roman"/>
        </w:rPr>
        <w:t xml:space="preserve">. Future prospective </w:t>
      </w:r>
      <w:r w:rsidR="00463E60">
        <w:rPr>
          <w:rFonts w:ascii="Times New Roman" w:hAnsi="Times New Roman" w:cs="Times New Roman"/>
        </w:rPr>
        <w:t xml:space="preserve">research </w:t>
      </w:r>
      <w:r w:rsidRPr="00F61E31">
        <w:rPr>
          <w:rFonts w:ascii="Times New Roman" w:hAnsi="Times New Roman" w:cs="Times New Roman"/>
        </w:rPr>
        <w:t xml:space="preserve">may therefore explore this speculation further by conducting longitudinal studies that capture both “in-the-moment” decisions as well as temporally extended patterns of behaviour </w:t>
      </w:r>
      <w:r w:rsidR="009961C4">
        <w:rPr>
          <w:rFonts w:ascii="Times New Roman" w:hAnsi="Times New Roman" w:cs="Times New Roman"/>
        </w:rPr>
        <w:fldChar w:fldCharType="begin"/>
      </w:r>
      <w:r w:rsidR="00762442">
        <w:rPr>
          <w:rFonts w:ascii="Times New Roman" w:hAnsi="Times New Roman" w:cs="Times New Roman"/>
        </w:rPr>
        <w:instrText xml:space="preserve"> ADDIN ZOTERO_ITEM CSL_CITATION {"citationID":"xkwIAjLE","properties":{"formattedCitation":"(Field,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9961C4">
        <w:rPr>
          <w:rFonts w:ascii="Times New Roman" w:hAnsi="Times New Roman" w:cs="Times New Roman"/>
        </w:rPr>
        <w:fldChar w:fldCharType="separate"/>
      </w:r>
      <w:r w:rsidR="009961C4" w:rsidRPr="009961C4">
        <w:rPr>
          <w:rFonts w:ascii="Times New Roman" w:hAnsi="Times New Roman" w:cs="Times New Roman"/>
        </w:rPr>
        <w:t>(Field, Heather, et al., 2020)</w:t>
      </w:r>
      <w:r w:rsidR="009961C4">
        <w:rPr>
          <w:rFonts w:ascii="Times New Roman" w:hAnsi="Times New Roman" w:cs="Times New Roman"/>
        </w:rPr>
        <w:fldChar w:fldCharType="end"/>
      </w:r>
      <w:r w:rsidRPr="00F61E31">
        <w:rPr>
          <w:rFonts w:ascii="Times New Roman" w:hAnsi="Times New Roman" w:cs="Times New Roman"/>
        </w:rPr>
        <w:t>.</w:t>
      </w:r>
    </w:p>
    <w:p w14:paraId="5D8905C9" w14:textId="77777777" w:rsidR="00F61E31" w:rsidRPr="00F61E31" w:rsidRDefault="00F61E31" w:rsidP="00762442">
      <w:pPr>
        <w:pStyle w:val="NoSpacing"/>
        <w:spacing w:line="480" w:lineRule="auto"/>
      </w:pPr>
    </w:p>
    <w:p w14:paraId="6CAFDD30" w14:textId="0E3D65C0" w:rsidR="00F61E31" w:rsidRPr="00F61E31" w:rsidRDefault="00F61E31" w:rsidP="00762442">
      <w:pPr>
        <w:pStyle w:val="Heading2"/>
      </w:pPr>
      <w:bookmarkStart w:id="361" w:name="_Toc110612751"/>
      <w:bookmarkStart w:id="362" w:name="_Toc110629091"/>
      <w:bookmarkStart w:id="363" w:name="_Toc110870999"/>
      <w:r w:rsidRPr="00F61E31">
        <w:t>8.7</w:t>
      </w:r>
      <w:r w:rsidR="00403E7C">
        <w:t>.</w:t>
      </w:r>
      <w:r>
        <w:t xml:space="preserve"> </w:t>
      </w:r>
      <w:r w:rsidRPr="00F61E31">
        <w:t>Conclusion</w:t>
      </w:r>
      <w:bookmarkEnd w:id="361"/>
      <w:bookmarkEnd w:id="362"/>
      <w:bookmarkEnd w:id="363"/>
    </w:p>
    <w:p w14:paraId="5C22148A" w14:textId="46128DF4" w:rsidR="00F61E31" w:rsidRPr="00762442" w:rsidRDefault="00F61E31" w:rsidP="00762442">
      <w:pPr>
        <w:pStyle w:val="NoSpacing"/>
        <w:spacing w:line="480" w:lineRule="auto"/>
        <w:rPr>
          <w:rFonts w:asciiTheme="majorBidi" w:hAnsiTheme="majorBidi" w:cstheme="majorBidi"/>
        </w:rPr>
      </w:pPr>
      <w:r w:rsidRPr="00762442">
        <w:rPr>
          <w:rFonts w:asciiTheme="majorBidi" w:hAnsiTheme="majorBidi" w:cstheme="majorBidi"/>
        </w:rPr>
        <w:t xml:space="preserve">Behavioural economic accounts posit that greater expected value of drugs relative to alternative non-drug rewards underpins addiction and recovery from it. However, these accounts explore patterns of behaviour over time (i.e., the molar perspective) and do not provide any insight into individual “in-the-moment” decisions (i.e., the molecular perspective). Consequently, less is currently known about the underlying mechanisms through which valuation processes influence decisions made about substances and substance-free alternatives. VBDM provides a framework that can be used to explore how momentary decisions are made (Berkman et al., 2017; Berkman, 2018). Inspired by this account, </w:t>
      </w:r>
      <w:r w:rsidR="00762442">
        <w:rPr>
          <w:rFonts w:ascii="Times New Roman" w:hAnsi="Times New Roman" w:cs="Times New Roman"/>
        </w:rPr>
        <w:fldChar w:fldCharType="begin"/>
      </w:r>
      <w:r w:rsidR="00762442">
        <w:rPr>
          <w:rFonts w:ascii="Times New Roman" w:hAnsi="Times New Roman" w:cs="Times New Roman"/>
        </w:rPr>
        <w:instrText xml:space="preserve"> ADDIN ZOTERO_ITEM CSL_CITATION {"citationID":"1pHpTljX","properties":{"formattedCitation":"(Field,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762442">
        <w:rPr>
          <w:rFonts w:ascii="Times New Roman" w:hAnsi="Times New Roman" w:cs="Times New Roman"/>
        </w:rPr>
        <w:fldChar w:fldCharType="separate"/>
      </w:r>
      <w:r w:rsidR="00762442" w:rsidRPr="009961C4">
        <w:rPr>
          <w:rFonts w:ascii="Times New Roman" w:hAnsi="Times New Roman" w:cs="Times New Roman"/>
        </w:rPr>
        <w:t xml:space="preserve">Field, Heather, et al. </w:t>
      </w:r>
      <w:r w:rsidR="00762442">
        <w:rPr>
          <w:rFonts w:ascii="Times New Roman" w:hAnsi="Times New Roman" w:cs="Times New Roman"/>
        </w:rPr>
        <w:t>(</w:t>
      </w:r>
      <w:r w:rsidR="00762442" w:rsidRPr="009961C4">
        <w:rPr>
          <w:rFonts w:ascii="Times New Roman" w:hAnsi="Times New Roman" w:cs="Times New Roman"/>
        </w:rPr>
        <w:t>2020)</w:t>
      </w:r>
      <w:r w:rsidR="00762442">
        <w:rPr>
          <w:rFonts w:ascii="Times New Roman" w:hAnsi="Times New Roman" w:cs="Times New Roman"/>
        </w:rPr>
        <w:fldChar w:fldCharType="end"/>
      </w:r>
      <w:r w:rsidR="00762442">
        <w:rPr>
          <w:rFonts w:ascii="Times New Roman" w:hAnsi="Times New Roman" w:cs="Times New Roman"/>
        </w:rPr>
        <w:t xml:space="preserve"> </w:t>
      </w:r>
      <w:r w:rsidRPr="00762442">
        <w:rPr>
          <w:rFonts w:asciiTheme="majorBidi" w:hAnsiTheme="majorBidi" w:cstheme="majorBidi"/>
        </w:rPr>
        <w:t xml:space="preserve">extended it to the study of recovery from addiction, and in doing so, outlined a number of predictions that await empirical testing. However, prior to this PhD, there was not a VBDM task that could be used to generate the behavioural data required to fit the DDM. I therefore developed a novel VBDM task that can be used to explore predictions from </w:t>
      </w:r>
      <w:r w:rsidR="00762442">
        <w:rPr>
          <w:rFonts w:ascii="Times New Roman" w:hAnsi="Times New Roman" w:cs="Times New Roman"/>
        </w:rPr>
        <w:fldChar w:fldCharType="begin"/>
      </w:r>
      <w:r w:rsidR="00762442">
        <w:rPr>
          <w:rFonts w:ascii="Times New Roman" w:hAnsi="Times New Roman" w:cs="Times New Roman"/>
        </w:rPr>
        <w:instrText xml:space="preserve"> ADDIN ZOTERO_ITEM CSL_CITATION {"citationID":"WzSlhWTC","properties":{"formattedCitation":"(Field, Heather, et al., 2020a)","plainCitation":"(Field, Heather, et al., 2020a)","dontUpdate":true,"noteIndex":0},"citationItems":[{"id":1445,"uris":["http://zotero.org/users/7873587/items/B629PTRW"],"itemData":{"id":1445,"type":"article-journal","abstract":"Behavioral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A."},{"family":"Witkiewitz","given":"Katie"}],"issued":{"date-parts":[["2020",2]]}}}],"schema":"https://github.com/citation-style-language/schema/raw/master/csl-citation.json"} </w:instrText>
      </w:r>
      <w:r w:rsidR="00762442">
        <w:rPr>
          <w:rFonts w:ascii="Times New Roman" w:hAnsi="Times New Roman" w:cs="Times New Roman"/>
        </w:rPr>
        <w:fldChar w:fldCharType="separate"/>
      </w:r>
      <w:r w:rsidR="00762442" w:rsidRPr="009961C4">
        <w:rPr>
          <w:rFonts w:ascii="Times New Roman" w:hAnsi="Times New Roman" w:cs="Times New Roman"/>
        </w:rPr>
        <w:t xml:space="preserve">Field, Heather, et al. </w:t>
      </w:r>
      <w:r w:rsidR="00762442">
        <w:rPr>
          <w:rFonts w:ascii="Times New Roman" w:hAnsi="Times New Roman" w:cs="Times New Roman"/>
        </w:rPr>
        <w:t>(</w:t>
      </w:r>
      <w:r w:rsidR="00762442" w:rsidRPr="009961C4">
        <w:rPr>
          <w:rFonts w:ascii="Times New Roman" w:hAnsi="Times New Roman" w:cs="Times New Roman"/>
        </w:rPr>
        <w:t>2020)</w:t>
      </w:r>
      <w:r w:rsidR="00762442">
        <w:rPr>
          <w:rFonts w:ascii="Times New Roman" w:hAnsi="Times New Roman" w:cs="Times New Roman"/>
        </w:rPr>
        <w:fldChar w:fldCharType="end"/>
      </w:r>
      <w:r w:rsidRPr="00762442">
        <w:rPr>
          <w:rFonts w:asciiTheme="majorBidi" w:hAnsiTheme="majorBidi" w:cstheme="majorBidi"/>
        </w:rPr>
        <w:t xml:space="preserve"> and subsequently applied this to several studies which differ in design (experimental manipulation / cross-sectional comparison), substance focus (alcohol / tobacco), and mode of data collection (in-person / online). Findings from empirical studies presented in this thesis provide partial support for predictions derived from conceptual advances in the field (e.g., </w:t>
      </w:r>
      <w:r w:rsidR="00762442">
        <w:rPr>
          <w:rFonts w:ascii="Times New Roman" w:hAnsi="Times New Roman" w:cs="Times New Roman"/>
        </w:rPr>
        <w:fldChar w:fldCharType="begin"/>
      </w:r>
      <w:r w:rsidR="00762442">
        <w:rPr>
          <w:rFonts w:ascii="Times New Roman" w:hAnsi="Times New Roman" w:cs="Times New Roman"/>
        </w:rPr>
        <w:instrText xml:space="preserve"> ADDIN ZOTERO_ITEM CSL_CITATION {"citationID":"6IhQ2pp3","properties":{"formattedCitation":"(Copeland et al., 2021; Field, Heather, et al., 2020a)","plainCitation":"(Copeland et al., 2021; Field, Heather, et al., 2020a)","dontUpdate":true,"noteIndex":0},"citationItems":[{"id":466,"uris":["http://zotero.org/users/7873587/items/5AW5LCBI"],"itemData":{"id":466,"type":"chapter","abstract":"Most people who suffer from addiction (including alcohol use disorder) eventually recover, often in the absence of formal treatment. Yet the field lacks a coherent theoretical account of the psychology of recovery, in part because recovery is incompatible with dominant theoretical accounts that frame addiction as an irreversible brain disease that promotes compulsive behavior. In this chapter we provide an overview and synthesis of accounts of recovery from addiction that arise from different perspectives (behavioral economics, decision modeling, and dual-process theory). We demonstrate that recovery from alcohol use disorder occurs when the value of alcohol decreases, the value of alcohol-free alternatives increases, and/or self-control improves. Behavioral economics provides a coherent account of how these changes lead to changes in addictive behavior over extended periods of time, but it does not attempt to explain the internal processes that determine discrete choices such as when a person faces an opportunity to drink alcohol, or how these internal processes change during the process of recovery. We then juxtapose two distinct accounts (from value-based decision-making and dual-process theory) of the internal processes that determine individual decisions, and we speculate how those internal processes might change as people develop addiction and then recover from it. Finally, we explain how the study of conflict resolution during decision-making provides an opportunity to empirically distinguish between these competing accounts. Further research in this area could characterize the changes in decision-making that underlie recovery from addiction, and identify novel targets for treatment.","container-title":"The Handbook of Alcohol Use","ISBN":"978-0-12-816720-5","language":"en","note":"DOI: 10.1016/B978-0-12-816720-5.00002-5","page":"563-579","publisher":"Academic Press","source":"ScienceDirect","title":"Recovery from addiction: A synthesis of perspectives from behavioral economics, psychology, and decision modeling","title-short":"Chapter 25 - Recovery from addiction","URL":"https://www.sciencedirect.com/science/article/pii/B9780128167205000025","author":[{"family":"Copeland","given":"Amber"},{"family":"Stafford","given":"Tom"},{"family":"Field","given":"Matt"}],"editor":[{"family":"Frings","given":"Daniel"},{"family":"Albery","given":"Ian P."}],"accessed":{"date-parts":[["2021",11,7]]},"issued":{"date-parts":[["2021",1,1]]}},"label":"act"},{"id":1445,"uris":["http://zotero.org/users/7873587/items/B629PTRW"],"itemData":{"id":1445,"type":"article-journal","abstract":"Behavioral economics provides a general framework to explain the shift in behavioral allocation from substance use to substance-free activities that characterizes recovery from addiction, but it does not attempt to explain the internal processes that prompt those behavioral changes. In this article we outline a novel analysis of addiction recovery based on computational work on value-based decision making (VBDM), which can explain how people with addiction are able to overcome the reinforcement pathologies and decision-making vulnerabilities that characterize the disorder. The central tenet of this account is that shifts in molar reinforcer preferences over time from substance use to substance-free activities can be attributed to changes in evidence accumulation rates and response thresholds in the context of choices involving substance use and substance-free alternatives. We discuss how this account can be reconciled with the established mechanisms of action of psychosocial interventions for addiction and demonstrate how it has the potential to empirically address longstanding debates regarding the nature of impairments to self-control in addiction. We also highlight conceptual and methodological issues that require careful consideration in translating VBDM to addiction and recovery. (PsycINFO Database Record (c) 2020 APA, all rights reserved).","container-title":"Psychology of Addictive Behaviors: Journal of the Society of Psychologists in Addictive Behaviors","DOI":"10.1037/adb0000518","ISSN":"1939-1501","issue":"1","journalAbbreviation":"Psychol Addict Behav","language":"eng","note":"PMID: 31599604","page":"182-193","source":"PubMed","title":"Recovery from addiction: Behavioral economics and value-based decision making","title-short":"Recovery from addiction","volume":"34","author":[{"family":"Field","given":"Matt"},{"family":"Heather","given":"Nick"},{"family":"Murphy","given":"James G."},{"family":"Stafford","given":"Tom"},{"family":"Tucker","given":"Jalie A."},{"family":"Witkiewitz","given":"Katie"}],"issued":{"date-parts":[["2020",2]]}},"label":"act"}],"schema":"https://github.com/citation-style-language/schema/raw/master/csl-citation.json"} </w:instrText>
      </w:r>
      <w:r w:rsidR="00762442">
        <w:rPr>
          <w:rFonts w:ascii="Times New Roman" w:hAnsi="Times New Roman" w:cs="Times New Roman"/>
        </w:rPr>
        <w:fldChar w:fldCharType="separate"/>
      </w:r>
      <w:r w:rsidR="00762442" w:rsidRPr="00212B01">
        <w:rPr>
          <w:rFonts w:ascii="Times New Roman" w:hAnsi="Times New Roman" w:cs="Times New Roman"/>
        </w:rPr>
        <w:t>Copeland et al., 2021; Field, Heather, et al., 2020)</w:t>
      </w:r>
      <w:r w:rsidR="00762442">
        <w:rPr>
          <w:rFonts w:ascii="Times New Roman" w:hAnsi="Times New Roman" w:cs="Times New Roman"/>
        </w:rPr>
        <w:fldChar w:fldCharType="end"/>
      </w:r>
      <w:r w:rsidRPr="00762442">
        <w:rPr>
          <w:rFonts w:asciiTheme="majorBidi" w:hAnsiTheme="majorBidi" w:cstheme="majorBidi"/>
        </w:rPr>
        <w:t>: changes in alcohol value map onto changes in soft</w:t>
      </w:r>
      <w:r w:rsidR="0000382A">
        <w:rPr>
          <w:rFonts w:asciiTheme="majorBidi" w:hAnsiTheme="majorBidi" w:cstheme="majorBidi"/>
        </w:rPr>
        <w:t xml:space="preserve"> </w:t>
      </w:r>
      <w:r w:rsidRPr="00762442">
        <w:rPr>
          <w:rFonts w:asciiTheme="majorBidi" w:hAnsiTheme="majorBidi" w:cstheme="majorBidi"/>
        </w:rPr>
        <w:t xml:space="preserve">drink EA rates and recovery from nicotine addiction is characterised by increased response thresholds when making tobacco-related </w:t>
      </w:r>
      <w:r w:rsidRPr="00762442">
        <w:rPr>
          <w:rFonts w:asciiTheme="majorBidi" w:hAnsiTheme="majorBidi" w:cstheme="majorBidi"/>
        </w:rPr>
        <w:lastRenderedPageBreak/>
        <w:t xml:space="preserve">decisions. Overall, then, manipulation of substance value and recovery from addiction map onto alterations in computational parameters of value-based choice that precede decisions made, however not all empirical studies provided support for these predictions. In line with enthusiasm for extensions to traditional behavioural economic approaches </w:t>
      </w:r>
      <w:r w:rsidR="00762442">
        <w:rPr>
          <w:rFonts w:asciiTheme="majorBidi" w:hAnsiTheme="majorBidi" w:cstheme="majorBidi"/>
        </w:rPr>
        <w:fldChar w:fldCharType="begin"/>
      </w:r>
      <w:r w:rsidR="00985D26">
        <w:rPr>
          <w:rFonts w:asciiTheme="majorBidi" w:hAnsiTheme="majorBidi" w:cstheme="majorBidi"/>
        </w:rPr>
        <w:instrText xml:space="preserve"> ADDIN ZOTERO_ITEM CSL_CITATION {"citationID":"GFi50eet","properties":{"formattedCitation":"(Acuff et al., 2022; Amlung et al., 2015; Bickel &amp; Athamneh, 2020)","plainCitation":"(Acuff et al., 2022; Amlung et al., 2015; Bickel &amp; Athamneh, 2020)","noteIndex":0},"citationItems":[{"id":462,"uris":["http://zotero.org/users/7873587/items/IITQUPNA"],"itemData":{"id":462,"type":"chapter","container-title":"Evaluating the Brain Disease Model of Addiction","page":"459-474","publisher":"Routledge.","title":"Addiction is not (only) in the brain: Molar behavioral economic models of etiology and cessation of harmful substance use","author":[{"family":"Acuff","given":"Samuel F."},{"family":"Tucker","given":"Jalie A."},{"family":"Vuchinich","given":"Rudy E."},{"family":"Murphy","given":"James G."}],"editor":[{"family":"Heather","given":"Nick"},{"family":"Field","given":"Matt"},{"family":"Moss","given":"A.C."},{"family":"Satel","given":"Sally"}],"issued":{"date-parts":[["2022"]]}},"label":"page"},{"id":473,"uris":["http://zotero.org/users/7873587/items/HRDV4WHV"],"itemData":{"id":473,"type":"article-journal","container-title":"Addiction","DOI":"10.1111/add.13015","issue":"9","journalAbbreviation":"Addiction (Abingdon, England)","page":"1430-1","source":"ResearchGate","title":"Response to Tucker &amp; Vuchinich (2015): Behavioral economics in the broader context of addiction science","title-short":"Response to Tucker &amp; Vuchinich (2015)","volume":"110","author":[{"family":"Amlung","given":"Michael"},{"family":"McCarty","given":"Kayleigh"},{"family":"Morris","given":"David"},{"family":"Tsai","given":"Chia-Lin"},{"family":"Mccarthy","given":"Denis"}],"issued":{"date-parts":[["2015",9,1]]}},"label":"act"},{"id":1448,"uris":["http://zotero.org/users/7873587/items/8IP8UJ9D"],"itemData":{"id":1448,"type":"article-journal","abstract":"The Reinforcer Pathology theory proposes conditions under which drugs emerge as excessively preferred reinforcers compared to other available reinforcers among drug users. The theory highlights 2 key variables as important determinants of drug preference: (a) excessive preference for immediate rewards (high discounting of future rewards); and (b) excessive valuation for addictive reinforcers (e.g., drugs). Two iterations of the Reinforcer Pathology theory exist with the latest iteration (i.e., Reinforcer Pathology 2.0) specifying that the temporal window of reinforcer integration (measured by delay discounting) is a determinant of reinforcer value. The 2 iterations of the Reinforcer Pathology theory are described. A novel insight and understanding of abstinence and relapse from a Reinforcer Pathology perspective, limitations, and future directions are discussed. The Reinforcer Pathology theory continues the long-standing efforts to scientifically understand and better define novel concepts and methods to further translational research and improve treatment outcomes. Exploring the complementary relation between the Reinforcer Pathology perspective and other current approaches could have a valuable effect.","container-title":"Journal of the Experimental Analysis of Behavior","DOI":"10.1002/jeab.564","ISSN":"1938-3711","issue":"1","language":"en","note":"_eprint: https://onlinelibrary.wiley.com/doi/pdf/10.1002/jeab.564","page":"48-56","source":"Wiley Online Library","title":"A Reinforcer Pathology perspective on relapse","volume":"113","author":[{"family":"Bickel","given":"Warren K."},{"family":"Athamneh","given":"Liqa N."}],"issued":{"date-parts":[["2020"]]}},"label":"act"}],"schema":"https://github.com/citation-style-language/schema/raw/master/csl-citation.json"} </w:instrText>
      </w:r>
      <w:r w:rsidR="00762442">
        <w:rPr>
          <w:rFonts w:asciiTheme="majorBidi" w:hAnsiTheme="majorBidi" w:cstheme="majorBidi"/>
        </w:rPr>
        <w:fldChar w:fldCharType="separate"/>
      </w:r>
      <w:r w:rsidR="00762442" w:rsidRPr="00762442">
        <w:rPr>
          <w:rFonts w:ascii="Times New Roman" w:hAnsi="Times New Roman" w:cs="Times New Roman"/>
        </w:rPr>
        <w:t>(Acuff et al., 2022; Amlung et al., 2015; Bickel &amp; Athamneh, 2020)</w:t>
      </w:r>
      <w:r w:rsidR="00762442">
        <w:rPr>
          <w:rFonts w:asciiTheme="majorBidi" w:hAnsiTheme="majorBidi" w:cstheme="majorBidi"/>
        </w:rPr>
        <w:fldChar w:fldCharType="end"/>
      </w:r>
      <w:r w:rsidRPr="00762442">
        <w:rPr>
          <w:rFonts w:asciiTheme="majorBidi" w:hAnsiTheme="majorBidi" w:cstheme="majorBidi"/>
        </w:rPr>
        <w:t>, future research should continue to explore VBDM which will add to what is currently an inconsistent evidence base; this may provide greater clarity on the role of momentary decision-making parameters, addiction, and recovery from it.</w:t>
      </w:r>
    </w:p>
    <w:p w14:paraId="451504D2" w14:textId="77777777" w:rsidR="000C67F7" w:rsidRPr="00762442" w:rsidRDefault="000C67F7" w:rsidP="00762442">
      <w:pPr>
        <w:pStyle w:val="NoSpacing"/>
        <w:spacing w:line="480" w:lineRule="auto"/>
        <w:rPr>
          <w:rFonts w:asciiTheme="majorBidi" w:hAnsiTheme="majorBidi" w:cstheme="majorBidi"/>
        </w:rPr>
      </w:pPr>
    </w:p>
    <w:p w14:paraId="4D91EA58" w14:textId="71D81911" w:rsidR="0079507D" w:rsidRDefault="0079507D" w:rsidP="00762442">
      <w:pPr>
        <w:pStyle w:val="NoSpacing"/>
        <w:spacing w:line="480" w:lineRule="auto"/>
        <w:rPr>
          <w:rFonts w:ascii="Times New Roman" w:hAnsi="Times New Roman" w:cs="Times New Roman"/>
        </w:rPr>
      </w:pPr>
    </w:p>
    <w:p w14:paraId="0A469EFC" w14:textId="524DDC1F" w:rsidR="0079507D" w:rsidRDefault="0079507D" w:rsidP="00762442">
      <w:pPr>
        <w:pStyle w:val="NoSpacing"/>
        <w:spacing w:line="480" w:lineRule="auto"/>
        <w:rPr>
          <w:rFonts w:ascii="Times New Roman" w:hAnsi="Times New Roman" w:cs="Times New Roman"/>
        </w:rPr>
      </w:pPr>
    </w:p>
    <w:p w14:paraId="10028268" w14:textId="4B518DE5" w:rsidR="0079507D" w:rsidRDefault="0079507D" w:rsidP="00762442">
      <w:pPr>
        <w:pStyle w:val="NoSpacing"/>
        <w:spacing w:line="480" w:lineRule="auto"/>
        <w:rPr>
          <w:rFonts w:ascii="Times New Roman" w:hAnsi="Times New Roman" w:cs="Times New Roman"/>
        </w:rPr>
      </w:pPr>
    </w:p>
    <w:p w14:paraId="12BD7A4A" w14:textId="0A09122C" w:rsidR="0079507D" w:rsidRDefault="0079507D" w:rsidP="00762442">
      <w:pPr>
        <w:pStyle w:val="NoSpacing"/>
        <w:spacing w:line="480" w:lineRule="auto"/>
        <w:rPr>
          <w:rFonts w:ascii="Times New Roman" w:hAnsi="Times New Roman" w:cs="Times New Roman"/>
        </w:rPr>
      </w:pPr>
    </w:p>
    <w:p w14:paraId="190AD8AF" w14:textId="77777777" w:rsidR="0079507D" w:rsidRPr="002653AB" w:rsidRDefault="0079507D" w:rsidP="00762442">
      <w:pPr>
        <w:pStyle w:val="NoSpacing"/>
        <w:spacing w:line="480" w:lineRule="auto"/>
        <w:rPr>
          <w:rFonts w:ascii="Times New Roman" w:hAnsi="Times New Roman" w:cs="Times New Roman"/>
        </w:rPr>
      </w:pPr>
    </w:p>
    <w:p w14:paraId="48584DF1" w14:textId="7EB30537" w:rsidR="00093B56" w:rsidRDefault="00093B56" w:rsidP="00762442">
      <w:pPr>
        <w:pStyle w:val="NoSpacing"/>
        <w:spacing w:line="480" w:lineRule="auto"/>
      </w:pPr>
    </w:p>
    <w:p w14:paraId="34DC1A0C" w14:textId="7AE01CFE" w:rsidR="00093B56" w:rsidRDefault="00093B56" w:rsidP="00762442">
      <w:pPr>
        <w:pStyle w:val="NoSpacing"/>
        <w:spacing w:line="480" w:lineRule="auto"/>
      </w:pPr>
    </w:p>
    <w:p w14:paraId="02C525ED" w14:textId="604CAD11" w:rsidR="00093B56" w:rsidRDefault="00093B56" w:rsidP="00093B56">
      <w:pPr>
        <w:pStyle w:val="NoSpacing"/>
      </w:pPr>
    </w:p>
    <w:p w14:paraId="78985950" w14:textId="07A757BD" w:rsidR="00093B56" w:rsidRDefault="00093B56" w:rsidP="00093B56">
      <w:pPr>
        <w:pStyle w:val="NoSpacing"/>
      </w:pPr>
    </w:p>
    <w:p w14:paraId="39DDA2EF" w14:textId="06C08A49" w:rsidR="00093B56" w:rsidRDefault="00093B56" w:rsidP="00093B56">
      <w:pPr>
        <w:pStyle w:val="NoSpacing"/>
      </w:pPr>
    </w:p>
    <w:p w14:paraId="2385D5BB" w14:textId="60653E26" w:rsidR="00093B56" w:rsidRDefault="00093B56" w:rsidP="00093B56">
      <w:pPr>
        <w:pStyle w:val="NoSpacing"/>
      </w:pPr>
    </w:p>
    <w:p w14:paraId="5716F357" w14:textId="2682261A" w:rsidR="00093B56" w:rsidRDefault="00093B56" w:rsidP="00093B56">
      <w:pPr>
        <w:pStyle w:val="NoSpacing"/>
      </w:pPr>
    </w:p>
    <w:p w14:paraId="69FC7096" w14:textId="335AE2D1" w:rsidR="00093B56" w:rsidRDefault="00093B56" w:rsidP="00093B56">
      <w:pPr>
        <w:pStyle w:val="NoSpacing"/>
      </w:pPr>
    </w:p>
    <w:p w14:paraId="40BC4072" w14:textId="11012B0F" w:rsidR="00762442" w:rsidRDefault="00762442" w:rsidP="00093B56">
      <w:pPr>
        <w:pStyle w:val="NoSpacing"/>
      </w:pPr>
    </w:p>
    <w:p w14:paraId="74DDA986" w14:textId="3141172F" w:rsidR="00762442" w:rsidRDefault="00762442" w:rsidP="00093B56">
      <w:pPr>
        <w:pStyle w:val="NoSpacing"/>
      </w:pPr>
    </w:p>
    <w:p w14:paraId="2923270A" w14:textId="0CB247DB" w:rsidR="00762442" w:rsidRDefault="00762442" w:rsidP="00093B56">
      <w:pPr>
        <w:pStyle w:val="NoSpacing"/>
      </w:pPr>
    </w:p>
    <w:p w14:paraId="2E7B543B" w14:textId="31395F22" w:rsidR="00762442" w:rsidRDefault="00762442" w:rsidP="00093B56">
      <w:pPr>
        <w:pStyle w:val="NoSpacing"/>
      </w:pPr>
    </w:p>
    <w:p w14:paraId="010361B7" w14:textId="18AE6474" w:rsidR="00762442" w:rsidRDefault="00762442" w:rsidP="00093B56">
      <w:pPr>
        <w:pStyle w:val="NoSpacing"/>
      </w:pPr>
    </w:p>
    <w:p w14:paraId="755082B7" w14:textId="395C8F7C" w:rsidR="00762442" w:rsidRDefault="00762442" w:rsidP="00093B56">
      <w:pPr>
        <w:pStyle w:val="NoSpacing"/>
      </w:pPr>
    </w:p>
    <w:p w14:paraId="2EF95932" w14:textId="511F6EC9" w:rsidR="00762442" w:rsidRDefault="00762442" w:rsidP="00093B56">
      <w:pPr>
        <w:pStyle w:val="NoSpacing"/>
      </w:pPr>
    </w:p>
    <w:p w14:paraId="3DE9E63E" w14:textId="0266BE95" w:rsidR="00762442" w:rsidRDefault="00762442" w:rsidP="00093B56">
      <w:pPr>
        <w:pStyle w:val="NoSpacing"/>
      </w:pPr>
    </w:p>
    <w:p w14:paraId="1038EF34" w14:textId="14EAB1A0" w:rsidR="00762442" w:rsidRDefault="00762442" w:rsidP="00093B56">
      <w:pPr>
        <w:pStyle w:val="NoSpacing"/>
      </w:pPr>
    </w:p>
    <w:p w14:paraId="0AAD02C6" w14:textId="5BC296B5" w:rsidR="00762442" w:rsidRDefault="00762442" w:rsidP="00093B56">
      <w:pPr>
        <w:pStyle w:val="NoSpacing"/>
      </w:pPr>
    </w:p>
    <w:p w14:paraId="531C8FA5" w14:textId="77777777" w:rsidR="00762442" w:rsidRDefault="00762442" w:rsidP="00093B56">
      <w:pPr>
        <w:pStyle w:val="NoSpacing"/>
      </w:pPr>
    </w:p>
    <w:p w14:paraId="21E98887" w14:textId="14780CBA" w:rsidR="00093B56" w:rsidRPr="006F3F8E" w:rsidRDefault="00093B56" w:rsidP="00107EBB">
      <w:pPr>
        <w:pStyle w:val="Heading1"/>
      </w:pPr>
      <w:bookmarkStart w:id="364" w:name="_Toc109911337"/>
      <w:bookmarkStart w:id="365" w:name="_Toc110612752"/>
      <w:bookmarkStart w:id="366" w:name="_Toc110629092"/>
      <w:bookmarkStart w:id="367" w:name="_Toc110871000"/>
      <w:r w:rsidRPr="006F3F8E">
        <w:lastRenderedPageBreak/>
        <w:t>References</w:t>
      </w:r>
      <w:bookmarkEnd w:id="364"/>
      <w:bookmarkEnd w:id="365"/>
      <w:bookmarkEnd w:id="366"/>
      <w:bookmarkEnd w:id="367"/>
    </w:p>
    <w:p w14:paraId="24062720" w14:textId="421F5497" w:rsidR="00985D26" w:rsidRPr="006F3F8E" w:rsidRDefault="008E0E7C" w:rsidP="00985D26">
      <w:pPr>
        <w:pStyle w:val="Bibliography"/>
        <w:rPr>
          <w:rFonts w:ascii="Times New Roman" w:hAnsi="Times New Roman" w:cs="Times New Roman"/>
        </w:rPr>
      </w:pPr>
      <w:r w:rsidRPr="006F3F8E">
        <w:rPr>
          <w:rFonts w:ascii="Times New Roman" w:hAnsi="Times New Roman" w:cs="Times New Roman"/>
        </w:rPr>
        <w:fldChar w:fldCharType="begin"/>
      </w:r>
      <w:r w:rsidR="00985D26" w:rsidRPr="006F3F8E">
        <w:rPr>
          <w:rFonts w:ascii="Times New Roman" w:hAnsi="Times New Roman" w:cs="Times New Roman"/>
        </w:rPr>
        <w:instrText xml:space="preserve"> ADDIN ZOTERO_BIBL {"uncited":[],"omitted":[],"custom":[]} CSL_BIBLIOGRAPHY </w:instrText>
      </w:r>
      <w:r w:rsidRPr="006F3F8E">
        <w:rPr>
          <w:rFonts w:ascii="Times New Roman" w:hAnsi="Times New Roman" w:cs="Times New Roman"/>
        </w:rPr>
        <w:fldChar w:fldCharType="separate"/>
      </w:r>
      <w:r w:rsidR="00985D26" w:rsidRPr="006F3F8E">
        <w:rPr>
          <w:rFonts w:ascii="Times New Roman" w:hAnsi="Times New Roman" w:cs="Times New Roman"/>
        </w:rPr>
        <w:t xml:space="preserve">Abma, I. L., Rovers, M., &amp; van der Wees, P. J. (2016). Appraising convergent validity of patient-reported outcome measures in systematic reviews: Constructing hypotheses and interpreting outcomes. </w:t>
      </w:r>
      <w:r w:rsidR="00985D26" w:rsidRPr="006F3F8E">
        <w:rPr>
          <w:rFonts w:ascii="Times New Roman" w:hAnsi="Times New Roman" w:cs="Times New Roman"/>
          <w:i/>
          <w:iCs/>
        </w:rPr>
        <w:t>BMC Research Notes</w:t>
      </w:r>
      <w:r w:rsidR="00985D26" w:rsidRPr="006F3F8E">
        <w:rPr>
          <w:rFonts w:ascii="Times New Roman" w:hAnsi="Times New Roman" w:cs="Times New Roman"/>
        </w:rPr>
        <w:t xml:space="preserve">, </w:t>
      </w:r>
      <w:r w:rsidR="00985D26" w:rsidRPr="006F3F8E">
        <w:rPr>
          <w:rFonts w:ascii="Times New Roman" w:hAnsi="Times New Roman" w:cs="Times New Roman"/>
          <w:i/>
          <w:iCs/>
        </w:rPr>
        <w:t>9</w:t>
      </w:r>
      <w:r w:rsidR="003C068E" w:rsidRPr="003C068E">
        <w:rPr>
          <w:rFonts w:ascii="Times New Roman" w:hAnsi="Times New Roman" w:cs="Times New Roman"/>
        </w:rPr>
        <w:t>(1)</w:t>
      </w:r>
      <w:r w:rsidR="00985D26" w:rsidRPr="006F3F8E">
        <w:rPr>
          <w:rFonts w:ascii="Times New Roman" w:hAnsi="Times New Roman" w:cs="Times New Roman"/>
        </w:rPr>
        <w:t xml:space="preserve">, </w:t>
      </w:r>
      <w:r w:rsidR="003C068E">
        <w:rPr>
          <w:rFonts w:ascii="Times New Roman" w:hAnsi="Times New Roman" w:cs="Times New Roman"/>
        </w:rPr>
        <w:t>1</w:t>
      </w:r>
      <w:r w:rsidR="003C068E" w:rsidRPr="006F3F8E">
        <w:rPr>
          <w:rFonts w:ascii="Times New Roman" w:hAnsi="Times New Roman" w:cs="Times New Roman"/>
        </w:rPr>
        <w:t>–</w:t>
      </w:r>
      <w:r w:rsidR="003C068E">
        <w:rPr>
          <w:rFonts w:ascii="Times New Roman" w:hAnsi="Times New Roman" w:cs="Times New Roman"/>
        </w:rPr>
        <w:t>5</w:t>
      </w:r>
      <w:r w:rsidR="00985D26" w:rsidRPr="006F3F8E">
        <w:rPr>
          <w:rFonts w:ascii="Times New Roman" w:hAnsi="Times New Roman" w:cs="Times New Roman"/>
        </w:rPr>
        <w:t>. https://doi.org/10.1186/s13104-016-2034-2</w:t>
      </w:r>
    </w:p>
    <w:p w14:paraId="1B17CF7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Amlung, M., Dennhardt, A. A., MacKillop, J., &amp; Murphy, J. G. (2020). Experimental manipulations of behavioral economic demand for addictive commodities: A meta-analysis.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115</w:t>
      </w:r>
      <w:r w:rsidRPr="006F3F8E">
        <w:rPr>
          <w:rFonts w:ascii="Times New Roman" w:hAnsi="Times New Roman" w:cs="Times New Roman"/>
        </w:rPr>
        <w:t>(5), 817–831. https://doi.org/10.1111/add.14865</w:t>
      </w:r>
    </w:p>
    <w:p w14:paraId="7B7FD89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Dennhardt, A. A., Correia, C. J., &amp; Murphy, J. G. (2019). Measurement of substance-free reinforcement in addiction: A systematic review. </w:t>
      </w:r>
      <w:r w:rsidRPr="006F3F8E">
        <w:rPr>
          <w:rFonts w:ascii="Times New Roman" w:hAnsi="Times New Roman" w:cs="Times New Roman"/>
          <w:i/>
          <w:iCs/>
        </w:rPr>
        <w:t>Clinical Psychology Review</w:t>
      </w:r>
      <w:r w:rsidRPr="006F3F8E">
        <w:rPr>
          <w:rFonts w:ascii="Times New Roman" w:hAnsi="Times New Roman" w:cs="Times New Roman"/>
        </w:rPr>
        <w:t xml:space="preserve">, </w:t>
      </w:r>
      <w:r w:rsidRPr="006F3F8E">
        <w:rPr>
          <w:rFonts w:ascii="Times New Roman" w:hAnsi="Times New Roman" w:cs="Times New Roman"/>
          <w:i/>
          <w:iCs/>
        </w:rPr>
        <w:t>70</w:t>
      </w:r>
      <w:r w:rsidRPr="006F3F8E">
        <w:rPr>
          <w:rFonts w:ascii="Times New Roman" w:hAnsi="Times New Roman" w:cs="Times New Roman"/>
        </w:rPr>
        <w:t>, 79–90. https://doi.org/10.1016/j.cpr.2019.04.003</w:t>
      </w:r>
    </w:p>
    <w:p w14:paraId="72A4B4B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&amp; Murphy, J. G. (2017). Further examination of the temporal stability of alcohol demand. </w:t>
      </w:r>
      <w:r w:rsidRPr="006F3F8E">
        <w:rPr>
          <w:rFonts w:ascii="Times New Roman" w:hAnsi="Times New Roman" w:cs="Times New Roman"/>
          <w:i/>
          <w:iCs/>
        </w:rPr>
        <w:t>Behavioural Processes</w:t>
      </w:r>
      <w:r w:rsidRPr="006F3F8E">
        <w:rPr>
          <w:rFonts w:ascii="Times New Roman" w:hAnsi="Times New Roman" w:cs="Times New Roman"/>
        </w:rPr>
        <w:t xml:space="preserve">, </w:t>
      </w:r>
      <w:r w:rsidRPr="006F3F8E">
        <w:rPr>
          <w:rFonts w:ascii="Times New Roman" w:hAnsi="Times New Roman" w:cs="Times New Roman"/>
          <w:i/>
          <w:iCs/>
        </w:rPr>
        <w:t>141</w:t>
      </w:r>
      <w:r w:rsidRPr="006F3F8E">
        <w:rPr>
          <w:rFonts w:ascii="Times New Roman" w:hAnsi="Times New Roman" w:cs="Times New Roman"/>
        </w:rPr>
        <w:t>(1), 33–41. https://doi.org/10.1016/j.beproc.2017.03.020</w:t>
      </w:r>
    </w:p>
    <w:p w14:paraId="33B6334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&amp; Murphy, J. G. (2021). Commentary on Martínez-Loredo et al.: Where do we go from here? Increasing the clinical utility of alcohol purchase tasks by expanding our definition of constraint.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116</w:t>
      </w:r>
      <w:r w:rsidRPr="006F3F8E">
        <w:rPr>
          <w:rFonts w:ascii="Times New Roman" w:hAnsi="Times New Roman" w:cs="Times New Roman"/>
        </w:rPr>
        <w:t>(10), 2651–2652. https://doi.org/10.1111/add.15481</w:t>
      </w:r>
    </w:p>
    <w:p w14:paraId="6FDA712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Soltis, K. E., &amp; Murphy, J. G. (2020). Using demand curves to quantify the reinforcing value of social and solitary drinking.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44</w:t>
      </w:r>
      <w:r w:rsidRPr="006F3F8E">
        <w:rPr>
          <w:rFonts w:ascii="Times New Roman" w:hAnsi="Times New Roman" w:cs="Times New Roman"/>
        </w:rPr>
        <w:t>(7), 1497–1507. https://doi.org/10.1111/acer.14382</w:t>
      </w:r>
    </w:p>
    <w:p w14:paraId="2A32D14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Stoops, W. W., &amp; Strickland, J. C. (2021). Behavioral economics and the aggregate versus proximal impact of sociality on heavy drinking.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220</w:t>
      </w:r>
      <w:r w:rsidRPr="006F3F8E">
        <w:rPr>
          <w:rFonts w:ascii="Times New Roman" w:hAnsi="Times New Roman" w:cs="Times New Roman"/>
        </w:rPr>
        <w:t>, 108523. https://doi.org/10.1016/j.drugalcdep.2021.108523</w:t>
      </w:r>
    </w:p>
    <w:p w14:paraId="7A92BBE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Acuff, S. F., Tucker, J. A., &amp; Murphy, J. G. (2020). Behavioral economics of substance use: Understanding and reducing harmful use during the COVID-19 pandemic.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(6), 739–749. https://doi.org/10.1037/pha0000431</w:t>
      </w:r>
    </w:p>
    <w:p w14:paraId="6A3F481C" w14:textId="7A777FCD"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Acuff, S. F., Tucker, J. A., Vuchinich, R. E., &amp; Murphy, J. G. (2022). Addiction is not (only) in the brain: Molar behavioral economic models of etiology and cessation of harmful substance use. In N. Heather, M. Field, A. C. Moss, &amp; S. Satel (Eds.), </w:t>
      </w:r>
      <w:r w:rsidRPr="006F3F8E">
        <w:rPr>
          <w:rFonts w:ascii="Times New Roman" w:hAnsi="Times New Roman" w:cs="Times New Roman"/>
          <w:i/>
          <w:iCs/>
        </w:rPr>
        <w:t xml:space="preserve">Evaluating the </w:t>
      </w:r>
      <w:r w:rsidR="00830DB6">
        <w:rPr>
          <w:rFonts w:ascii="Times New Roman" w:hAnsi="Times New Roman" w:cs="Times New Roman"/>
          <w:i/>
          <w:iCs/>
        </w:rPr>
        <w:t>b</w:t>
      </w:r>
      <w:r w:rsidRPr="006F3F8E">
        <w:rPr>
          <w:rFonts w:ascii="Times New Roman" w:hAnsi="Times New Roman" w:cs="Times New Roman"/>
          <w:i/>
          <w:iCs/>
        </w:rPr>
        <w:t xml:space="preserve">rain </w:t>
      </w:r>
      <w:r w:rsidR="00830DB6">
        <w:rPr>
          <w:rFonts w:ascii="Times New Roman" w:hAnsi="Times New Roman" w:cs="Times New Roman"/>
          <w:i/>
          <w:iCs/>
        </w:rPr>
        <w:t>d</w:t>
      </w:r>
      <w:r w:rsidRPr="006F3F8E">
        <w:rPr>
          <w:rFonts w:ascii="Times New Roman" w:hAnsi="Times New Roman" w:cs="Times New Roman"/>
          <w:i/>
          <w:iCs/>
        </w:rPr>
        <w:t xml:space="preserve">isease </w:t>
      </w:r>
      <w:r w:rsidR="00830DB6">
        <w:rPr>
          <w:rFonts w:ascii="Times New Roman" w:hAnsi="Times New Roman" w:cs="Times New Roman"/>
          <w:i/>
          <w:iCs/>
        </w:rPr>
        <w:t>m</w:t>
      </w:r>
      <w:r w:rsidRPr="006F3F8E">
        <w:rPr>
          <w:rFonts w:ascii="Times New Roman" w:hAnsi="Times New Roman" w:cs="Times New Roman"/>
          <w:i/>
          <w:iCs/>
        </w:rPr>
        <w:t xml:space="preserve">odel of </w:t>
      </w:r>
      <w:r w:rsidR="00830DB6">
        <w:rPr>
          <w:rFonts w:ascii="Times New Roman" w:hAnsi="Times New Roman" w:cs="Times New Roman"/>
          <w:i/>
          <w:iCs/>
        </w:rPr>
        <w:t>a</w:t>
      </w:r>
      <w:r w:rsidRPr="006F3F8E">
        <w:rPr>
          <w:rFonts w:ascii="Times New Roman" w:hAnsi="Times New Roman" w:cs="Times New Roman"/>
          <w:i/>
          <w:iCs/>
        </w:rPr>
        <w:t>ddiction</w:t>
      </w:r>
      <w:r w:rsidRPr="006F3F8E">
        <w:rPr>
          <w:rFonts w:ascii="Times New Roman" w:hAnsi="Times New Roman" w:cs="Times New Roman"/>
        </w:rPr>
        <w:t xml:space="preserve"> (pp. 459–474). Routledge.</w:t>
      </w:r>
    </w:p>
    <w:p w14:paraId="18BE473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Alcohol Change UK. (2020). </w:t>
      </w:r>
      <w:r w:rsidRPr="006F3F8E">
        <w:rPr>
          <w:rFonts w:ascii="Times New Roman" w:hAnsi="Times New Roman" w:cs="Times New Roman"/>
          <w:i/>
          <w:iCs/>
        </w:rPr>
        <w:t>Alcohol-free and low alcohol drinks</w:t>
      </w:r>
      <w:r w:rsidRPr="006F3F8E">
        <w:rPr>
          <w:rFonts w:ascii="Times New Roman" w:hAnsi="Times New Roman" w:cs="Times New Roman"/>
        </w:rPr>
        <w:t>. https://alcoholchange.org.uk/policy/policy-insights/alcohol-free-and-low-alcohol-drinks</w:t>
      </w:r>
    </w:p>
    <w:p w14:paraId="56BE07A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Alexandrowicz, R. W., &amp; Gula, B. (2022). Problems when fixing the response bias parameter z in drift diffusion analysis: A Commentary on Stafford et al. (2020). </w:t>
      </w:r>
      <w:r w:rsidRPr="006F3F8E">
        <w:rPr>
          <w:rFonts w:ascii="Times New Roman" w:hAnsi="Times New Roman" w:cs="Times New Roman"/>
          <w:i/>
          <w:iCs/>
        </w:rPr>
        <w:t>Behavior Research Methods</w:t>
      </w:r>
      <w:r w:rsidRPr="006F3F8E">
        <w:rPr>
          <w:rFonts w:ascii="Times New Roman" w:hAnsi="Times New Roman" w:cs="Times New Roman"/>
        </w:rPr>
        <w:t>. https://doi.org/10.3758/s13428-021-01786-0</w:t>
      </w:r>
    </w:p>
    <w:p w14:paraId="53387E3D" w14:textId="53893F01"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American Psychiatric Association. (2013). </w:t>
      </w:r>
      <w:r w:rsidRPr="006F3F8E">
        <w:rPr>
          <w:rFonts w:ascii="Times New Roman" w:hAnsi="Times New Roman" w:cs="Times New Roman"/>
          <w:i/>
          <w:iCs/>
        </w:rPr>
        <w:t xml:space="preserve">Diagnostic and </w:t>
      </w:r>
      <w:r w:rsidR="00830DB6">
        <w:rPr>
          <w:rFonts w:ascii="Times New Roman" w:hAnsi="Times New Roman" w:cs="Times New Roman"/>
          <w:i/>
          <w:iCs/>
        </w:rPr>
        <w:t>s</w:t>
      </w:r>
      <w:r w:rsidRPr="006F3F8E">
        <w:rPr>
          <w:rFonts w:ascii="Times New Roman" w:hAnsi="Times New Roman" w:cs="Times New Roman"/>
          <w:i/>
          <w:iCs/>
        </w:rPr>
        <w:t xml:space="preserve">tatistical </w:t>
      </w:r>
      <w:r w:rsidR="00830DB6">
        <w:rPr>
          <w:rFonts w:ascii="Times New Roman" w:hAnsi="Times New Roman" w:cs="Times New Roman"/>
          <w:i/>
          <w:iCs/>
        </w:rPr>
        <w:t>m</w:t>
      </w:r>
      <w:r w:rsidRPr="006F3F8E">
        <w:rPr>
          <w:rFonts w:ascii="Times New Roman" w:hAnsi="Times New Roman" w:cs="Times New Roman"/>
          <w:i/>
          <w:iCs/>
        </w:rPr>
        <w:t xml:space="preserve">anual of </w:t>
      </w:r>
      <w:r w:rsidR="00830DB6">
        <w:rPr>
          <w:rFonts w:ascii="Times New Roman" w:hAnsi="Times New Roman" w:cs="Times New Roman"/>
          <w:i/>
          <w:iCs/>
        </w:rPr>
        <w:t>m</w:t>
      </w:r>
      <w:r w:rsidRPr="006F3F8E">
        <w:rPr>
          <w:rFonts w:ascii="Times New Roman" w:hAnsi="Times New Roman" w:cs="Times New Roman"/>
          <w:i/>
          <w:iCs/>
        </w:rPr>
        <w:t xml:space="preserve">ental </w:t>
      </w:r>
      <w:r w:rsidR="00830DB6">
        <w:rPr>
          <w:rFonts w:ascii="Times New Roman" w:hAnsi="Times New Roman" w:cs="Times New Roman"/>
          <w:i/>
          <w:iCs/>
        </w:rPr>
        <w:t>d</w:t>
      </w:r>
      <w:r w:rsidRPr="006F3F8E">
        <w:rPr>
          <w:rFonts w:ascii="Times New Roman" w:hAnsi="Times New Roman" w:cs="Times New Roman"/>
          <w:i/>
          <w:iCs/>
        </w:rPr>
        <w:t>isorders</w:t>
      </w:r>
      <w:r w:rsidRPr="006F3F8E">
        <w:rPr>
          <w:rFonts w:ascii="Times New Roman" w:hAnsi="Times New Roman" w:cs="Times New Roman"/>
        </w:rPr>
        <w:t xml:space="preserve"> (5th ed.). American Psychiatric Publishing, Inc. https://doi.org/10.1176/appi.books.9780890425596</w:t>
      </w:r>
    </w:p>
    <w:p w14:paraId="394FCB9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Amlung, M., Acker, J., Stojek, M., Murphy, J. G., &amp; MacKillop, J. (2012). Is talk ‘cheap’? An initial investigation of the equivalence of Alcohol Purchase Task performance for hypothetical and actual rewards.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36</w:t>
      </w:r>
      <w:r w:rsidRPr="006F3F8E">
        <w:rPr>
          <w:rFonts w:ascii="Times New Roman" w:hAnsi="Times New Roman" w:cs="Times New Roman"/>
        </w:rPr>
        <w:t>(4), 716–724. https://doi.org/10.1111/j.1530-0277.2011.01656.x</w:t>
      </w:r>
    </w:p>
    <w:p w14:paraId="4541589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Amlung, M., &amp; MacKillop, J. (2014). Understanding the effects of stress and alcohol cues on motivation for alcohol via behavioral economics.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38</w:t>
      </w:r>
      <w:r w:rsidRPr="006F3F8E">
        <w:rPr>
          <w:rFonts w:ascii="Times New Roman" w:hAnsi="Times New Roman" w:cs="Times New Roman"/>
        </w:rPr>
        <w:t>(6), 1780–1789. https://doi.org/10.1111/acer.12423</w:t>
      </w:r>
    </w:p>
    <w:p w14:paraId="76F137D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Amlung, M., &amp; MacKillop, J. (2015). Further evidence of close correspondence for alcohol demand decision making for hypothetical and incentivized rewards. </w:t>
      </w:r>
      <w:r w:rsidRPr="006F3F8E">
        <w:rPr>
          <w:rFonts w:ascii="Times New Roman" w:hAnsi="Times New Roman" w:cs="Times New Roman"/>
          <w:i/>
          <w:iCs/>
        </w:rPr>
        <w:t>Behavioural Processes</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 187–191. https://doi.org/10.1016/j.beproc.2015.02.012</w:t>
      </w:r>
    </w:p>
    <w:p w14:paraId="1EF7B41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Amlung, M., McCarty, K., Morris, D., Tsai, C.-L., &amp; Mccarthy, D. (2015). Response to Tucker &amp; Vuchinich (2015): Behavioral economics in the broader context of addiction science.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110</w:t>
      </w:r>
      <w:r w:rsidRPr="006F3F8E">
        <w:rPr>
          <w:rFonts w:ascii="Times New Roman" w:hAnsi="Times New Roman" w:cs="Times New Roman"/>
        </w:rPr>
        <w:t>(9), 1430–1431. https://doi.org/10.1111/add.13015</w:t>
      </w:r>
    </w:p>
    <w:p w14:paraId="1FC44B0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Amlung, M., Vedelago, L., Acker, J., Balodis, I., &amp; MacKillop, J. (2017). Steep delay discounting and addictive behavior: A meta-analysis of continuous associations.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(1), 51–62. https://doi.org/10.1111/add.13535</w:t>
      </w:r>
    </w:p>
    <w:p w14:paraId="487FAE6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Ashford, R. D., Brown, A., Brown, T., Callis, J., Cleveland, H. H., Eisenhart, E., Groover, H., Hayes, N., Johnston, T., Kimball, T., Manteuffel, B., McDaniel, J., Montgomery, L., Phillips, S., Polacek, M., Statman, M., &amp; Whitney, J. (2019). Defining and operationalizing the phenomena of recovery: A working definition from the recovery science research collaborative. </w:t>
      </w:r>
      <w:r w:rsidRPr="006F3F8E">
        <w:rPr>
          <w:rFonts w:ascii="Times New Roman" w:hAnsi="Times New Roman" w:cs="Times New Roman"/>
          <w:i/>
          <w:iCs/>
        </w:rPr>
        <w:t>Addiction Research &amp; Theory</w:t>
      </w:r>
      <w:r w:rsidRPr="006F3F8E">
        <w:rPr>
          <w:rFonts w:ascii="Times New Roman" w:hAnsi="Times New Roman" w:cs="Times New Roman"/>
        </w:rPr>
        <w:t xml:space="preserve">, </w:t>
      </w:r>
      <w:r w:rsidRPr="006F3F8E">
        <w:rPr>
          <w:rFonts w:ascii="Times New Roman" w:hAnsi="Times New Roman" w:cs="Times New Roman"/>
          <w:i/>
          <w:iCs/>
        </w:rPr>
        <w:t>27</w:t>
      </w:r>
      <w:r w:rsidRPr="006F3F8E">
        <w:rPr>
          <w:rFonts w:ascii="Times New Roman" w:hAnsi="Times New Roman" w:cs="Times New Roman"/>
        </w:rPr>
        <w:t>(3), 179–188. https://doi.org/10.1080/16066359.2018.1515352</w:t>
      </w:r>
    </w:p>
    <w:p w14:paraId="655365B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Aston, E. R., &amp; Cassidy, R. N. (2019). Behavioral economic demand assessments in the addictions. </w:t>
      </w:r>
      <w:r w:rsidRPr="006F3F8E">
        <w:rPr>
          <w:rFonts w:ascii="Times New Roman" w:hAnsi="Times New Roman" w:cs="Times New Roman"/>
          <w:i/>
          <w:iCs/>
        </w:rPr>
        <w:t>Current Opinion in Psychology</w:t>
      </w:r>
      <w:r w:rsidRPr="006F3F8E">
        <w:rPr>
          <w:rFonts w:ascii="Times New Roman" w:hAnsi="Times New Roman" w:cs="Times New Roman"/>
        </w:rPr>
        <w:t xml:space="preserve">, </w:t>
      </w:r>
      <w:r w:rsidRPr="006F3F8E">
        <w:rPr>
          <w:rFonts w:ascii="Times New Roman" w:hAnsi="Times New Roman" w:cs="Times New Roman"/>
          <w:i/>
          <w:iCs/>
        </w:rPr>
        <w:t>30</w:t>
      </w:r>
      <w:r w:rsidRPr="006F3F8E">
        <w:rPr>
          <w:rFonts w:ascii="Times New Roman" w:hAnsi="Times New Roman" w:cs="Times New Roman"/>
        </w:rPr>
        <w:t>, 42–47. https://doi.org/10.1016/j.copsyc.2019.01.016</w:t>
      </w:r>
    </w:p>
    <w:p w14:paraId="4B72CAD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Aston, E. R., Smith, J. E., DiBello, A. M., &amp; Farris, S. G. (2021). Effects of acute distress and tobacco cues on tobacco demand.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221</w:t>
      </w:r>
      <w:r w:rsidRPr="006F3F8E">
        <w:rPr>
          <w:rFonts w:ascii="Times New Roman" w:hAnsi="Times New Roman" w:cs="Times New Roman"/>
        </w:rPr>
        <w:t>, 108522. https://doi.org/10.1016/j.drugalcdep.2021.108522</w:t>
      </w:r>
    </w:p>
    <w:p w14:paraId="0DDC896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Athamneh, L. N., Stein, J. S., Amlung, M., &amp; Bickel, W. K. (2019). Validation of a brief behavioral economic assessment of demand among cigarette smokers.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27</w:t>
      </w:r>
      <w:r w:rsidRPr="006F3F8E">
        <w:rPr>
          <w:rFonts w:ascii="Times New Roman" w:hAnsi="Times New Roman" w:cs="Times New Roman"/>
        </w:rPr>
        <w:t>(1), 96–102. https://doi.org/10.1037/pha0000228</w:t>
      </w:r>
    </w:p>
    <w:p w14:paraId="608EF79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Audrain-McGovern, J., Rodriguez, D., Rodgers, K., &amp; Cuevas, J. (2011). Declining alternative reinforcers link depression to young adult smoking.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(1), 178–187. https://doi.org/10.1111/j.1360-0443.2010.03113.x</w:t>
      </w:r>
    </w:p>
    <w:p w14:paraId="67BD8C9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Bagnardi, V., Rota, M., Botteri, E., Tramacere, I., Islami, F., Fedirko, V., Scotti, L., Jenab, M., Turati, F., Pasquali, E., Pelucchi, C., Galeone, C., Bellocco, R., Negri, E., Corrao, G., Boffetta, P., &amp; La Vecchia, C. (2015). Alcohol consumption and site-specific cancer risk: A comprehensive dose–response meta-analysis. </w:t>
      </w:r>
      <w:r w:rsidRPr="006F3F8E">
        <w:rPr>
          <w:rFonts w:ascii="Times New Roman" w:hAnsi="Times New Roman" w:cs="Times New Roman"/>
          <w:i/>
          <w:iCs/>
        </w:rPr>
        <w:t>British Journal of Cancer</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(3), 580–593. https://doi.org/10.1038/bjc.2014.579</w:t>
      </w:r>
    </w:p>
    <w:p w14:paraId="6DC8295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Baker, M. (2016). 1,500 scientists lift the lid on reproducibility. </w:t>
      </w:r>
      <w:r w:rsidRPr="006F3F8E">
        <w:rPr>
          <w:rFonts w:ascii="Times New Roman" w:hAnsi="Times New Roman" w:cs="Times New Roman"/>
          <w:i/>
          <w:iCs/>
        </w:rPr>
        <w:t>Nature</w:t>
      </w:r>
      <w:r w:rsidRPr="006F3F8E">
        <w:rPr>
          <w:rFonts w:ascii="Times New Roman" w:hAnsi="Times New Roman" w:cs="Times New Roman"/>
        </w:rPr>
        <w:t xml:space="preserve">, </w:t>
      </w:r>
      <w:r w:rsidRPr="006F3F8E">
        <w:rPr>
          <w:rFonts w:ascii="Times New Roman" w:hAnsi="Times New Roman" w:cs="Times New Roman"/>
          <w:i/>
          <w:iCs/>
        </w:rPr>
        <w:t>533</w:t>
      </w:r>
      <w:r w:rsidRPr="006F3F8E">
        <w:rPr>
          <w:rFonts w:ascii="Times New Roman" w:hAnsi="Times New Roman" w:cs="Times New Roman"/>
        </w:rPr>
        <w:t>(7604), 452–454. https://doi.org/10.1038/533452a</w:t>
      </w:r>
    </w:p>
    <w:p w14:paraId="32E5F0C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Baker, T. B., Piper, M. E., McCarthy, D. E., Majeskie, M. R., &amp; Fiore, M. C. (2004). Addiction motivation reformulated: An affective processing model of negative reinforcement. </w:t>
      </w:r>
      <w:r w:rsidRPr="006F3F8E">
        <w:rPr>
          <w:rFonts w:ascii="Times New Roman" w:hAnsi="Times New Roman" w:cs="Times New Roman"/>
          <w:i/>
          <w:iCs/>
        </w:rPr>
        <w:t>Psychological Review</w:t>
      </w:r>
      <w:r w:rsidRPr="006F3F8E">
        <w:rPr>
          <w:rFonts w:ascii="Times New Roman" w:hAnsi="Times New Roman" w:cs="Times New Roman"/>
        </w:rPr>
        <w:t xml:space="preserve">, </w:t>
      </w:r>
      <w:r w:rsidRPr="006F3F8E">
        <w:rPr>
          <w:rFonts w:ascii="Times New Roman" w:hAnsi="Times New Roman" w:cs="Times New Roman"/>
          <w:i/>
          <w:iCs/>
        </w:rPr>
        <w:t>111</w:t>
      </w:r>
      <w:r w:rsidRPr="006F3F8E">
        <w:rPr>
          <w:rFonts w:ascii="Times New Roman" w:hAnsi="Times New Roman" w:cs="Times New Roman"/>
        </w:rPr>
        <w:t>(1), 33–51. https://doi.org/10.1037/0033-295X.111.1.33</w:t>
      </w:r>
    </w:p>
    <w:p w14:paraId="3A53C35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Ballard, J. (2016). What is Dry January? </w:t>
      </w:r>
      <w:r w:rsidRPr="006F3F8E">
        <w:rPr>
          <w:rFonts w:ascii="Times New Roman" w:hAnsi="Times New Roman" w:cs="Times New Roman"/>
          <w:i/>
          <w:iCs/>
        </w:rPr>
        <w:t>The British Journal of General Practice</w:t>
      </w:r>
      <w:r w:rsidRPr="006F3F8E">
        <w:rPr>
          <w:rFonts w:ascii="Times New Roman" w:hAnsi="Times New Roman" w:cs="Times New Roman"/>
        </w:rPr>
        <w:t xml:space="preserve">, </w:t>
      </w:r>
      <w:r w:rsidRPr="006F3F8E">
        <w:rPr>
          <w:rFonts w:ascii="Times New Roman" w:hAnsi="Times New Roman" w:cs="Times New Roman"/>
          <w:i/>
          <w:iCs/>
        </w:rPr>
        <w:t>66</w:t>
      </w:r>
      <w:r w:rsidRPr="006F3F8E">
        <w:rPr>
          <w:rFonts w:ascii="Times New Roman" w:hAnsi="Times New Roman" w:cs="Times New Roman"/>
        </w:rPr>
        <w:t>(642), 32. https://doi.org/10.3399/bjgp16X683173</w:t>
      </w:r>
    </w:p>
    <w:p w14:paraId="3A7A86E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Banks, E., Joshy, G., Korda, R. J., Stavreski, B., Soga, K., Egger, S., Day, C., Clarke, N. E., Lewington, S., &amp; Lopez, A. D. (2019). Tobacco smoking and risk of 36 cardiovascular disease subtypes: Fatal and non-fatal outcomes in a large prospective Australian study. </w:t>
      </w:r>
      <w:r w:rsidRPr="006F3F8E">
        <w:rPr>
          <w:rFonts w:ascii="Times New Roman" w:hAnsi="Times New Roman" w:cs="Times New Roman"/>
          <w:i/>
          <w:iCs/>
        </w:rPr>
        <w:t>BMC Medicine</w:t>
      </w:r>
      <w:r w:rsidRPr="006F3F8E">
        <w:rPr>
          <w:rFonts w:ascii="Times New Roman" w:hAnsi="Times New Roman" w:cs="Times New Roman"/>
        </w:rPr>
        <w:t xml:space="preserve">, </w:t>
      </w:r>
      <w:r w:rsidRPr="006F3F8E">
        <w:rPr>
          <w:rFonts w:ascii="Times New Roman" w:hAnsi="Times New Roman" w:cs="Times New Roman"/>
          <w:i/>
          <w:iCs/>
        </w:rPr>
        <w:t>17</w:t>
      </w:r>
      <w:r w:rsidRPr="006F3F8E">
        <w:rPr>
          <w:rFonts w:ascii="Times New Roman" w:hAnsi="Times New Roman" w:cs="Times New Roman"/>
        </w:rPr>
        <w:t>(1), 128. https://doi.org/10.1186/s12916-019-1351-4</w:t>
      </w:r>
    </w:p>
    <w:p w14:paraId="0996F82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Beard, E., Brown, J., Kaner, E., West, R., &amp; Michie, S. (2017). Predictors of and reasons for attempts to reduce alcohol intake: A population survey of adults in England. </w:t>
      </w:r>
      <w:r w:rsidRPr="006F3F8E">
        <w:rPr>
          <w:rFonts w:ascii="Times New Roman" w:hAnsi="Times New Roman" w:cs="Times New Roman"/>
          <w:i/>
          <w:iCs/>
        </w:rPr>
        <w:t>PLOS ONE</w:t>
      </w:r>
      <w:r w:rsidRPr="006F3F8E">
        <w:rPr>
          <w:rFonts w:ascii="Times New Roman" w:hAnsi="Times New Roman" w:cs="Times New Roman"/>
        </w:rPr>
        <w:t xml:space="preserve">, </w:t>
      </w:r>
      <w:r w:rsidRPr="006F3F8E">
        <w:rPr>
          <w:rFonts w:ascii="Times New Roman" w:hAnsi="Times New Roman" w:cs="Times New Roman"/>
          <w:i/>
          <w:iCs/>
        </w:rPr>
        <w:t>12</w:t>
      </w:r>
      <w:r w:rsidRPr="006F3F8E">
        <w:rPr>
          <w:rFonts w:ascii="Times New Roman" w:hAnsi="Times New Roman" w:cs="Times New Roman"/>
        </w:rPr>
        <w:t>(3), e0173458. https://doi.org/10.1371/journal.pone.0173458</w:t>
      </w:r>
    </w:p>
    <w:p w14:paraId="7FBAE9F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Benishek, L. A., Dugosh, K. L., Kirby, K. C., Matejkowski, J., Clements, N. T., Seymour, B. L., &amp; Festinger, D. S. (2014). Prize-based contingency management for the treatment of substance abusers: A meta-analysis.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109</w:t>
      </w:r>
      <w:r w:rsidRPr="006F3F8E">
        <w:rPr>
          <w:rFonts w:ascii="Times New Roman" w:hAnsi="Times New Roman" w:cs="Times New Roman"/>
        </w:rPr>
        <w:t>(9), 1426–1436. https://doi.org/10.1111/add.12589</w:t>
      </w:r>
    </w:p>
    <w:p w14:paraId="40AFE92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Benowitz, N. L., &amp; Liakoni, E. (2022). Tobacco use disorder and cardiovascular health.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117</w:t>
      </w:r>
      <w:r w:rsidRPr="006F3F8E">
        <w:rPr>
          <w:rFonts w:ascii="Times New Roman" w:hAnsi="Times New Roman" w:cs="Times New Roman"/>
        </w:rPr>
        <w:t>(4), 1128–1138. https://doi.org/10.1111/add.15703</w:t>
      </w:r>
    </w:p>
    <w:p w14:paraId="379141D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Berkman, E. T. (2018). Value-based choice: An integrative, neuroscience-informed model of health goals. </w:t>
      </w:r>
      <w:r w:rsidRPr="006F3F8E">
        <w:rPr>
          <w:rFonts w:ascii="Times New Roman" w:hAnsi="Times New Roman" w:cs="Times New Roman"/>
          <w:i/>
          <w:iCs/>
        </w:rPr>
        <w:t>Psychology &amp; Health</w:t>
      </w:r>
      <w:r w:rsidRPr="006F3F8E">
        <w:rPr>
          <w:rFonts w:ascii="Times New Roman" w:hAnsi="Times New Roman" w:cs="Times New Roman"/>
        </w:rPr>
        <w:t xml:space="preserve">, </w:t>
      </w:r>
      <w:r w:rsidRPr="006F3F8E">
        <w:rPr>
          <w:rFonts w:ascii="Times New Roman" w:hAnsi="Times New Roman" w:cs="Times New Roman"/>
          <w:i/>
          <w:iCs/>
        </w:rPr>
        <w:t>33</w:t>
      </w:r>
      <w:r w:rsidRPr="006F3F8E">
        <w:rPr>
          <w:rFonts w:ascii="Times New Roman" w:hAnsi="Times New Roman" w:cs="Times New Roman"/>
        </w:rPr>
        <w:t>(1), 40–57. https://doi.org/10.1080/08870446.2017.1316847</w:t>
      </w:r>
    </w:p>
    <w:p w14:paraId="5A97641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Berkman, E. T., Hutcherson, C. A., Livingston, J. L., Kahn, L. E., &amp; Inzlicht, M. (2017). Self-control as value-based choice. </w:t>
      </w:r>
      <w:r w:rsidRPr="006F3F8E">
        <w:rPr>
          <w:rFonts w:ascii="Times New Roman" w:hAnsi="Times New Roman" w:cs="Times New Roman"/>
          <w:i/>
          <w:iCs/>
        </w:rPr>
        <w:t>Current Directions in Psychological Science</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(5), 422–428. https://doi.org/10.1177/0963721417704394</w:t>
      </w:r>
    </w:p>
    <w:p w14:paraId="7CE7ACC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Bickel, W. K., &amp; Athamneh, L. N. (2020). A Reinforcer Pathology perspective on relapse. </w:t>
      </w:r>
      <w:r w:rsidRPr="006F3F8E">
        <w:rPr>
          <w:rFonts w:ascii="Times New Roman" w:hAnsi="Times New Roman" w:cs="Times New Roman"/>
          <w:i/>
          <w:iCs/>
        </w:rPr>
        <w:t>Journal of the Experimental Analysis of Behavior</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(1), 48–56. https://doi.org/10.1002/jeab.564</w:t>
      </w:r>
    </w:p>
    <w:p w14:paraId="5EDC5A1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Bickel, W. K., Johnson, M. W., Koffarnus, M. N., MacKillop, J., &amp; Murphy, J. G. (2014). The behavioral economics of substance use disorders: Reinforcement pathologies and their repair. </w:t>
      </w:r>
      <w:r w:rsidRPr="006F3F8E">
        <w:rPr>
          <w:rFonts w:ascii="Times New Roman" w:hAnsi="Times New Roman" w:cs="Times New Roman"/>
          <w:i/>
          <w:iCs/>
        </w:rPr>
        <w:t>Annual Review of Clinical Psychology</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 641–677. https://doi.org/10.1146/annurev-clinpsy-032813-153724</w:t>
      </w:r>
    </w:p>
    <w:p w14:paraId="4679BBEA" w14:textId="060F949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Biener, L., &amp; Abrams, D. B. (1991). The Contemplation Ladder: Validation of a measure of readiness to consider smoking cessation. </w:t>
      </w:r>
      <w:r w:rsidRPr="006F3F8E">
        <w:rPr>
          <w:rFonts w:ascii="Times New Roman" w:hAnsi="Times New Roman" w:cs="Times New Roman"/>
          <w:i/>
          <w:iCs/>
        </w:rPr>
        <w:t>Health Psycholog</w:t>
      </w:r>
      <w:r w:rsidR="00830DB6">
        <w:rPr>
          <w:rFonts w:ascii="Times New Roman" w:hAnsi="Times New Roman" w:cs="Times New Roman"/>
          <w:i/>
          <w:iCs/>
        </w:rPr>
        <w:t>y</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(5), 360–365. https://doi.org/10.1037//0278-6133.10.5.360</w:t>
      </w:r>
    </w:p>
    <w:p w14:paraId="472ACE6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Biernacki, K., Lopez-Guzman, S., Messinger, J. C., Banavar, N. V., Rotrosen, J., Glimcher, P. W., &amp; Konova, A. B. (2021). A neuroeconomic signature of opioid craving: How fluctuations in craving bias drug-related and nondrug-related value. </w:t>
      </w:r>
      <w:r w:rsidRPr="006F3F8E">
        <w:rPr>
          <w:rFonts w:ascii="Times New Roman" w:hAnsi="Times New Roman" w:cs="Times New Roman"/>
          <w:i/>
          <w:iCs/>
        </w:rPr>
        <w:lastRenderedPageBreak/>
        <w:t>Neuropsychopharmacology</w:t>
      </w:r>
      <w:r w:rsidRPr="006F3F8E">
        <w:rPr>
          <w:rFonts w:ascii="Times New Roman" w:hAnsi="Times New Roman" w:cs="Times New Roman"/>
        </w:rPr>
        <w:t xml:space="preserve">, </w:t>
      </w:r>
      <w:r w:rsidRPr="006F3F8E">
        <w:rPr>
          <w:rFonts w:ascii="Times New Roman" w:hAnsi="Times New Roman" w:cs="Times New Roman"/>
          <w:i/>
          <w:iCs/>
        </w:rPr>
        <w:t>47</w:t>
      </w:r>
      <w:r w:rsidRPr="006F3F8E">
        <w:rPr>
          <w:rFonts w:ascii="Times New Roman" w:hAnsi="Times New Roman" w:cs="Times New Roman"/>
        </w:rPr>
        <w:t>, 1440–1448. https://doi.org/10.1038/s41386-021-01248-3</w:t>
      </w:r>
    </w:p>
    <w:p w14:paraId="503C5F4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Blevins, C. E., Abrantes, A. M., &amp; Stephens, R. S. (2016). Motivational pathways from antecedents of alcohol use to consequences: A structural model of using alcohol to cope with negative affect. </w:t>
      </w:r>
      <w:r w:rsidRPr="006F3F8E">
        <w:rPr>
          <w:rFonts w:ascii="Times New Roman" w:hAnsi="Times New Roman" w:cs="Times New Roman"/>
          <w:i/>
          <w:iCs/>
        </w:rPr>
        <w:t>The American Journal of Drug and Alcohol Abuse</w:t>
      </w:r>
      <w:r w:rsidRPr="006F3F8E">
        <w:rPr>
          <w:rFonts w:ascii="Times New Roman" w:hAnsi="Times New Roman" w:cs="Times New Roman"/>
        </w:rPr>
        <w:t xml:space="preserve">, </w:t>
      </w:r>
      <w:r w:rsidRPr="006F3F8E">
        <w:rPr>
          <w:rFonts w:ascii="Times New Roman" w:hAnsi="Times New Roman" w:cs="Times New Roman"/>
          <w:i/>
          <w:iCs/>
        </w:rPr>
        <w:t>42</w:t>
      </w:r>
      <w:r w:rsidRPr="006F3F8E">
        <w:rPr>
          <w:rFonts w:ascii="Times New Roman" w:hAnsi="Times New Roman" w:cs="Times New Roman"/>
        </w:rPr>
        <w:t>(4), 395–403. https://doi.org/10.3109/00952990.2016.1141915</w:t>
      </w:r>
    </w:p>
    <w:p w14:paraId="372083F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Boden, J. M., &amp; Fergusson, D. M. (2011). Alcohol and depression.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(5), 906–914. https://doi.org/10.1111/j.1360-0443.2010.03351.x</w:t>
      </w:r>
    </w:p>
    <w:p w14:paraId="757415D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Bogacz, R., Brown, E., Moehlis, J., Holmes, P., &amp; Cohen, J. D. (2006). The physics of optimal decision making: A formal analysis of models of performance in two-alternative forced-choice tasks. </w:t>
      </w:r>
      <w:r w:rsidRPr="006F3F8E">
        <w:rPr>
          <w:rFonts w:ascii="Times New Roman" w:hAnsi="Times New Roman" w:cs="Times New Roman"/>
          <w:i/>
          <w:iCs/>
        </w:rPr>
        <w:t>Psychological Review</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(4), 700–765. https://doi.org/10.1037/0033-295X.113.4.700</w:t>
      </w:r>
    </w:p>
    <w:p w14:paraId="0175C06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Boness, C. L., Watts, A. L., Moeller, K. N., &amp; Sher, K. J. (2021). The etiologic, theory-based, ontogenetic hierarchical framework of alcohol use disorder: A translational systematic review of reviews. </w:t>
      </w:r>
      <w:r w:rsidRPr="006F3F8E">
        <w:rPr>
          <w:rFonts w:ascii="Times New Roman" w:hAnsi="Times New Roman" w:cs="Times New Roman"/>
          <w:i/>
          <w:iCs/>
        </w:rPr>
        <w:t>Psychological Bulletin</w:t>
      </w:r>
      <w:r w:rsidRPr="006F3F8E">
        <w:rPr>
          <w:rFonts w:ascii="Times New Roman" w:hAnsi="Times New Roman" w:cs="Times New Roman"/>
        </w:rPr>
        <w:t xml:space="preserve">, </w:t>
      </w:r>
      <w:r w:rsidRPr="006F3F8E">
        <w:rPr>
          <w:rFonts w:ascii="Times New Roman" w:hAnsi="Times New Roman" w:cs="Times New Roman"/>
          <w:i/>
          <w:iCs/>
        </w:rPr>
        <w:t>147</w:t>
      </w:r>
      <w:r w:rsidRPr="006F3F8E">
        <w:rPr>
          <w:rFonts w:ascii="Times New Roman" w:hAnsi="Times New Roman" w:cs="Times New Roman"/>
        </w:rPr>
        <w:t>(10), 1075–1123. https://doi.org/10.1037/bul0000333</w:t>
      </w:r>
    </w:p>
    <w:p w14:paraId="1D63025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Boursier, V., Musetti, A., Gioia, F., Flayelle, M., Billieux, J., &amp; Schimmenti, A. (2021). Is watching TV series an adaptive coping strategy during the COVID-19 pandemic? Insights from an Italian community sample. </w:t>
      </w:r>
      <w:r w:rsidRPr="006F3F8E">
        <w:rPr>
          <w:rFonts w:ascii="Times New Roman" w:hAnsi="Times New Roman" w:cs="Times New Roman"/>
          <w:i/>
          <w:iCs/>
        </w:rPr>
        <w:t>Frontiers in Psychiatry</w:t>
      </w:r>
      <w:r w:rsidRPr="006F3F8E">
        <w:rPr>
          <w:rFonts w:ascii="Times New Roman" w:hAnsi="Times New Roman" w:cs="Times New Roman"/>
        </w:rPr>
        <w:t xml:space="preserve">, </w:t>
      </w:r>
      <w:r w:rsidRPr="006F3F8E">
        <w:rPr>
          <w:rFonts w:ascii="Times New Roman" w:hAnsi="Times New Roman" w:cs="Times New Roman"/>
          <w:i/>
          <w:iCs/>
        </w:rPr>
        <w:t>12</w:t>
      </w:r>
      <w:r w:rsidRPr="006F3F8E">
        <w:rPr>
          <w:rFonts w:ascii="Times New Roman" w:hAnsi="Times New Roman" w:cs="Times New Roman"/>
        </w:rPr>
        <w:t>, 599859. https://doi.org/10.3389/fpsyt.2021.698404</w:t>
      </w:r>
    </w:p>
    <w:p w14:paraId="7A5E868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Bravo, A. J., Pilatti, A., Pearson, M. R., Mezquita, L., Ibáñez, M. I., &amp; Ortet, G. (2018). Depressive symptoms, ruminative thinking, drinking motives, and alcohol outcomes: A multiple mediation model among college students in three countries.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76</w:t>
      </w:r>
      <w:r w:rsidRPr="006F3F8E">
        <w:rPr>
          <w:rFonts w:ascii="Times New Roman" w:hAnsi="Times New Roman" w:cs="Times New Roman"/>
        </w:rPr>
        <w:t>, 319–327. https://doi.org/10.1016/j.addbeh.2017.08.028</w:t>
      </w:r>
    </w:p>
    <w:p w14:paraId="175C894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Brewer, J. A., Mallik, S., Babuscio, T. A., Nich, C., Johnson, H. E., Deleone, C. M., Minnix-Cotton, C. A., Byrne, S. A., Kober, H., Weinstein, A. J., Carroll, K. M., &amp; Rounsaville, B. J. (2011). Mindfulness training for smoking cessation: Results from a randomized controlled trial.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119</w:t>
      </w:r>
      <w:r w:rsidRPr="006F3F8E">
        <w:rPr>
          <w:rFonts w:ascii="Times New Roman" w:hAnsi="Times New Roman" w:cs="Times New Roman"/>
        </w:rPr>
        <w:t>(1–2), 72–80. https://doi.org/10.1016/j.drugalcdep.2011.05.027</w:t>
      </w:r>
    </w:p>
    <w:p w14:paraId="540A637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Brière, F. N., Rohde, P., Seeley, J. R., Klein, D., &amp; Lewinsohn, P. M. (2014). Comorbidity between major depression and alcohol use disorder from adolescence to adulthood. </w:t>
      </w:r>
      <w:r w:rsidRPr="006F3F8E">
        <w:rPr>
          <w:rFonts w:ascii="Times New Roman" w:hAnsi="Times New Roman" w:cs="Times New Roman"/>
          <w:i/>
          <w:iCs/>
        </w:rPr>
        <w:t>Comprehensive Psychiatry</w:t>
      </w:r>
      <w:r w:rsidRPr="006F3F8E">
        <w:rPr>
          <w:rFonts w:ascii="Times New Roman" w:hAnsi="Times New Roman" w:cs="Times New Roman"/>
        </w:rPr>
        <w:t xml:space="preserve">, </w:t>
      </w:r>
      <w:r w:rsidRPr="006F3F8E">
        <w:rPr>
          <w:rFonts w:ascii="Times New Roman" w:hAnsi="Times New Roman" w:cs="Times New Roman"/>
          <w:i/>
          <w:iCs/>
        </w:rPr>
        <w:t>55</w:t>
      </w:r>
      <w:r w:rsidRPr="006F3F8E">
        <w:rPr>
          <w:rFonts w:ascii="Times New Roman" w:hAnsi="Times New Roman" w:cs="Times New Roman"/>
        </w:rPr>
        <w:t>(3), 526–533. https://doi.org/10.1016/j.comppsych.2013.10.007</w:t>
      </w:r>
    </w:p>
    <w:p w14:paraId="2D97D3A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Britton, A., Ben-Shlomo, Y., Benzeval, M., Kuh, D., &amp; Bell, S. (2015). Life course trajectories of alcohol consumption in the United Kingdom using longitudinal data from nine cohort studies. </w:t>
      </w:r>
      <w:r w:rsidRPr="006F3F8E">
        <w:rPr>
          <w:rFonts w:ascii="Times New Roman" w:hAnsi="Times New Roman" w:cs="Times New Roman"/>
          <w:i/>
          <w:iCs/>
        </w:rPr>
        <w:t>BMC Medicine</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 47. https://doi.org/10.1186/s12916-015-0273-z</w:t>
      </w:r>
    </w:p>
    <w:p w14:paraId="349FA9A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Brooks, A. T., Magaña Lòpez, M., Ranucci, A., Krumlauf, M., &amp; Wallen, G. R. (2017). A qualitative exploration of social support during treatment for severe alcohol use disorder and recovery. </w:t>
      </w:r>
      <w:r w:rsidRPr="006F3F8E">
        <w:rPr>
          <w:rFonts w:ascii="Times New Roman" w:hAnsi="Times New Roman" w:cs="Times New Roman"/>
          <w:i/>
          <w:iCs/>
        </w:rPr>
        <w:t>Addictive Behaviors Reports</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 76–82. https://doi.org/10.1016/j.abrep.2017.08.002</w:t>
      </w:r>
    </w:p>
    <w:p w14:paraId="6C3D1CE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Brose, L. S., Brown, J., &amp; McNeill, A. (2020). Mental health and smoking cessation—A population survey in England. </w:t>
      </w:r>
      <w:r w:rsidRPr="006F3F8E">
        <w:rPr>
          <w:rFonts w:ascii="Times New Roman" w:hAnsi="Times New Roman" w:cs="Times New Roman"/>
          <w:i/>
          <w:iCs/>
        </w:rPr>
        <w:t>BMC Medicine</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(1), 161. https://doi.org/10.1186/s12916-020-01617-7</w:t>
      </w:r>
    </w:p>
    <w:p w14:paraId="7F8B8A1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Brown, J., Kotz, D., Michie, S., Stapleton, J., Walmsley, M., &amp; West, R. (2014). How effective and cost-effective was the national mass media smoking cessation campaign ‘Stoptober’?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135</w:t>
      </w:r>
      <w:r w:rsidRPr="006F3F8E">
        <w:rPr>
          <w:rFonts w:ascii="Times New Roman" w:hAnsi="Times New Roman" w:cs="Times New Roman"/>
        </w:rPr>
        <w:t>, 52–58. https://doi.org/10.1016/j.drugalcdep.2013.11.003</w:t>
      </w:r>
    </w:p>
    <w:p w14:paraId="273D4DA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Brown, J., West, R., Beard, E., Michie, S., Shahab, L., &amp; McNeill, A. (2014). Prevalence and characteristics of e-cigarette users in Great Britain: Findings from a general population survey of smokers.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(6), 1120–1125. https://doi.org/10.1016/j.addbeh.2014.03.009</w:t>
      </w:r>
    </w:p>
    <w:p w14:paraId="75D9BE09" w14:textId="16597D2D"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Browne, M. W., &amp; Cudeck, R. (1993). Alternative ways of assessing model fit. In K. A. Bollen &amp; J. S. Long (Eds.), </w:t>
      </w:r>
      <w:r w:rsidRPr="006F3F8E">
        <w:rPr>
          <w:rFonts w:ascii="Times New Roman" w:hAnsi="Times New Roman" w:cs="Times New Roman"/>
          <w:i/>
          <w:iCs/>
        </w:rPr>
        <w:t xml:space="preserve">Testing </w:t>
      </w:r>
      <w:r w:rsidR="00830DB6">
        <w:rPr>
          <w:rFonts w:ascii="Times New Roman" w:hAnsi="Times New Roman" w:cs="Times New Roman"/>
          <w:i/>
          <w:iCs/>
        </w:rPr>
        <w:t>s</w:t>
      </w:r>
      <w:r w:rsidRPr="006F3F8E">
        <w:rPr>
          <w:rFonts w:ascii="Times New Roman" w:hAnsi="Times New Roman" w:cs="Times New Roman"/>
          <w:i/>
          <w:iCs/>
        </w:rPr>
        <w:t xml:space="preserve">tructural </w:t>
      </w:r>
      <w:r w:rsidR="00830DB6">
        <w:rPr>
          <w:rFonts w:ascii="Times New Roman" w:hAnsi="Times New Roman" w:cs="Times New Roman"/>
          <w:i/>
          <w:iCs/>
        </w:rPr>
        <w:t>e</w:t>
      </w:r>
      <w:r w:rsidRPr="006F3F8E">
        <w:rPr>
          <w:rFonts w:ascii="Times New Roman" w:hAnsi="Times New Roman" w:cs="Times New Roman"/>
          <w:i/>
          <w:iCs/>
        </w:rPr>
        <w:t xml:space="preserve">quation </w:t>
      </w:r>
      <w:r w:rsidR="00830DB6">
        <w:rPr>
          <w:rFonts w:ascii="Times New Roman" w:hAnsi="Times New Roman" w:cs="Times New Roman"/>
          <w:i/>
          <w:iCs/>
        </w:rPr>
        <w:t>m</w:t>
      </w:r>
      <w:r w:rsidRPr="006F3F8E">
        <w:rPr>
          <w:rFonts w:ascii="Times New Roman" w:hAnsi="Times New Roman" w:cs="Times New Roman"/>
          <w:i/>
          <w:iCs/>
        </w:rPr>
        <w:t>odels</w:t>
      </w:r>
      <w:r w:rsidRPr="006F3F8E">
        <w:rPr>
          <w:rFonts w:ascii="Times New Roman" w:hAnsi="Times New Roman" w:cs="Times New Roman"/>
        </w:rPr>
        <w:t xml:space="preserve"> (pp. 136–162). Sage.</w:t>
      </w:r>
    </w:p>
    <w:p w14:paraId="3D5C577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Bulley, A., &amp; Gullo, M. J. (2017). The influence of episodic foresight on delay discounting and demand for alcohol.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66</w:t>
      </w:r>
      <w:r w:rsidRPr="006F3F8E">
        <w:rPr>
          <w:rFonts w:ascii="Times New Roman" w:hAnsi="Times New Roman" w:cs="Times New Roman"/>
        </w:rPr>
        <w:t>, 1–6. https://doi.org/10.1016/j.addbeh.2016.11.003</w:t>
      </w:r>
    </w:p>
    <w:p w14:paraId="1A93E47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Busemeyer, J. R., Gluth, S., Rieskamp, J., &amp; Turner, B. M. (2019). Cognitive and neural bases of multi-attribute, multi-alternative, value-based decisions. </w:t>
      </w:r>
      <w:r w:rsidRPr="006F3F8E">
        <w:rPr>
          <w:rFonts w:ascii="Times New Roman" w:hAnsi="Times New Roman" w:cs="Times New Roman"/>
          <w:i/>
          <w:iCs/>
        </w:rPr>
        <w:t>Trends in Cognitive Sciences</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(3), 251–263. https://doi.org/10.1016/j.tics.2018.12.003</w:t>
      </w:r>
    </w:p>
    <w:p w14:paraId="36B0959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Cairney, J., Kwan, M. Y. W., Veldhuizen, S., &amp; Faulkner, G. E. J. (2014). Who uses exercise as a coping strategy for stress? Results from a national survey of Canadians. </w:t>
      </w:r>
      <w:r w:rsidRPr="006F3F8E">
        <w:rPr>
          <w:rFonts w:ascii="Times New Roman" w:hAnsi="Times New Roman" w:cs="Times New Roman"/>
          <w:i/>
          <w:iCs/>
        </w:rPr>
        <w:t>Journal of Physical Activity &amp; Health</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(5), 908–916. https://doi.org/10.1123/jpah.2012-0107</w:t>
      </w:r>
    </w:p>
    <w:p w14:paraId="2F671B4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Calluso, C., Committeri, G., Pezzulo, G., Lepora, N., &amp; Tosoni, A. (2015). Analysis of hand kinematics reveals inter-individual differences in intertemporal decision dynamics. </w:t>
      </w:r>
      <w:r w:rsidRPr="006F3F8E">
        <w:rPr>
          <w:rFonts w:ascii="Times New Roman" w:hAnsi="Times New Roman" w:cs="Times New Roman"/>
          <w:i/>
          <w:iCs/>
        </w:rPr>
        <w:t>Experimental Brain Research</w:t>
      </w:r>
      <w:r w:rsidRPr="006F3F8E">
        <w:rPr>
          <w:rFonts w:ascii="Times New Roman" w:hAnsi="Times New Roman" w:cs="Times New Roman"/>
        </w:rPr>
        <w:t xml:space="preserve">, </w:t>
      </w:r>
      <w:r w:rsidRPr="006F3F8E">
        <w:rPr>
          <w:rFonts w:ascii="Times New Roman" w:hAnsi="Times New Roman" w:cs="Times New Roman"/>
          <w:i/>
          <w:iCs/>
        </w:rPr>
        <w:t>233</w:t>
      </w:r>
      <w:r w:rsidRPr="006F3F8E">
        <w:rPr>
          <w:rFonts w:ascii="Times New Roman" w:hAnsi="Times New Roman" w:cs="Times New Roman"/>
        </w:rPr>
        <w:t>(12), 3597–3611. https://doi.org/10.1007/s00221-015-4427-1</w:t>
      </w:r>
    </w:p>
    <w:p w14:paraId="218DEB0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Cancer Research UK. (2021). </w:t>
      </w:r>
      <w:r w:rsidRPr="006F3F8E">
        <w:rPr>
          <w:rFonts w:ascii="Times New Roman" w:hAnsi="Times New Roman" w:cs="Times New Roman"/>
          <w:i/>
          <w:iCs/>
        </w:rPr>
        <w:t>How does smoking cause cancer?</w:t>
      </w:r>
      <w:r w:rsidRPr="006F3F8E">
        <w:rPr>
          <w:rFonts w:ascii="Times New Roman" w:hAnsi="Times New Roman" w:cs="Times New Roman"/>
        </w:rPr>
        <w:t xml:space="preserve"> Cancer Research UK. https://www.cancerresearchuk.org/about-cancer/causes-of-cancer/smoking-and-cancer/how-does-smoking-cause-cancer</w:t>
      </w:r>
    </w:p>
    <w:p w14:paraId="5C7D3D0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Centers for Disease Control and Prevention. (2021). </w:t>
      </w:r>
      <w:r w:rsidRPr="006F3F8E">
        <w:rPr>
          <w:rFonts w:ascii="Times New Roman" w:hAnsi="Times New Roman" w:cs="Times New Roman"/>
          <w:i/>
          <w:iCs/>
        </w:rPr>
        <w:t>Drug Overdose Deaths in the U.S. Top 100,000 Annually</w:t>
      </w:r>
      <w:r w:rsidRPr="006F3F8E">
        <w:rPr>
          <w:rFonts w:ascii="Times New Roman" w:hAnsi="Times New Roman" w:cs="Times New Roman"/>
        </w:rPr>
        <w:t>. https://www.cdc.gov/nchs/pressroom/nchs_press_releases/2021/20211117.htm</w:t>
      </w:r>
    </w:p>
    <w:p w14:paraId="4B9B5A8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Chaiyasong, S., Huckle, T., Mackintosh, A.-M., Meier, P., Parry, C. D. H., Callinan, S., Viet Cuong, P., Kazantseva, E., Gray-Phillip, G., Parker, K., &amp; Casswell, S. (2018). Drinking patterns vary by gender, age and country-level income: Cross-country analysis of the International Alcohol Control Study. </w:t>
      </w:r>
      <w:r w:rsidRPr="006F3F8E">
        <w:rPr>
          <w:rFonts w:ascii="Times New Roman" w:hAnsi="Times New Roman" w:cs="Times New Roman"/>
          <w:i/>
          <w:iCs/>
        </w:rPr>
        <w:t>Drug and Alcohol Review</w:t>
      </w:r>
      <w:r w:rsidRPr="006F3F8E">
        <w:rPr>
          <w:rFonts w:ascii="Times New Roman" w:hAnsi="Times New Roman" w:cs="Times New Roman"/>
        </w:rPr>
        <w:t xml:space="preserve">, </w:t>
      </w:r>
      <w:r w:rsidRPr="006F3F8E">
        <w:rPr>
          <w:rFonts w:ascii="Times New Roman" w:hAnsi="Times New Roman" w:cs="Times New Roman"/>
          <w:i/>
          <w:iCs/>
        </w:rPr>
        <w:t>37 Suppl 2</w:t>
      </w:r>
      <w:r w:rsidRPr="006F3F8E">
        <w:rPr>
          <w:rFonts w:ascii="Times New Roman" w:hAnsi="Times New Roman" w:cs="Times New Roman"/>
        </w:rPr>
        <w:t>, S53–S62. https://doi.org/10.1111/dar.12820</w:t>
      </w:r>
    </w:p>
    <w:p w14:paraId="21ED129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Chase, H. W., Mackillop, J., &amp; Hogarth, L. (2013). Isolating behavioural economic indices of demand in relation to nicotine dependence.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226</w:t>
      </w:r>
      <w:r w:rsidRPr="006F3F8E">
        <w:rPr>
          <w:rFonts w:ascii="Times New Roman" w:hAnsi="Times New Roman" w:cs="Times New Roman"/>
        </w:rPr>
        <w:t>(2), 371–380. https://doi.org/10.1007/s00213-012-2911-x</w:t>
      </w:r>
    </w:p>
    <w:p w14:paraId="1EEDDB2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Christiansen, P., Cole, J. C., Goudie, A. J., &amp; Field, M. (2012). Components of behavioural impulsivity and automatic cue approach predict unique variance in hazardous drinking.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219</w:t>
      </w:r>
      <w:r w:rsidRPr="006F3F8E">
        <w:rPr>
          <w:rFonts w:ascii="Times New Roman" w:hAnsi="Times New Roman" w:cs="Times New Roman"/>
        </w:rPr>
        <w:t>(2), 501–510. https://doi.org/10.1007/s00213-011-2396-z</w:t>
      </w:r>
    </w:p>
    <w:p w14:paraId="25FD53E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Clemens, K. J., Castino, M. R., Cornish, J. L., Goodchild, A. K., &amp; Holmes, N. M. (2014). Behavioral and neural substrates of habit formation in rats intravenously self-administering nicotine. </w:t>
      </w:r>
      <w:r w:rsidRPr="006F3F8E">
        <w:rPr>
          <w:rFonts w:ascii="Times New Roman" w:hAnsi="Times New Roman" w:cs="Times New Roman"/>
          <w:i/>
          <w:iCs/>
        </w:rPr>
        <w:t>Neuropsychopharmacology</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(11), 2584–2593. https://doi.org/10.1038/npp.2014.111</w:t>
      </w:r>
    </w:p>
    <w:p w14:paraId="02881AD0" w14:textId="7C16865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Cohen, J. (1988). </w:t>
      </w:r>
      <w:r w:rsidRPr="006F3F8E">
        <w:rPr>
          <w:rFonts w:ascii="Times New Roman" w:hAnsi="Times New Roman" w:cs="Times New Roman"/>
          <w:i/>
          <w:iCs/>
        </w:rPr>
        <w:t xml:space="preserve">Statistical </w:t>
      </w:r>
      <w:r w:rsidR="00830DB6">
        <w:rPr>
          <w:rFonts w:ascii="Times New Roman" w:hAnsi="Times New Roman" w:cs="Times New Roman"/>
          <w:i/>
          <w:iCs/>
        </w:rPr>
        <w:t>p</w:t>
      </w:r>
      <w:r w:rsidRPr="006F3F8E">
        <w:rPr>
          <w:rFonts w:ascii="Times New Roman" w:hAnsi="Times New Roman" w:cs="Times New Roman"/>
          <w:i/>
          <w:iCs/>
        </w:rPr>
        <w:t xml:space="preserve">ower </w:t>
      </w:r>
      <w:r w:rsidR="00830DB6">
        <w:rPr>
          <w:rFonts w:ascii="Times New Roman" w:hAnsi="Times New Roman" w:cs="Times New Roman"/>
          <w:i/>
          <w:iCs/>
        </w:rPr>
        <w:t>a</w:t>
      </w:r>
      <w:r w:rsidRPr="006F3F8E">
        <w:rPr>
          <w:rFonts w:ascii="Times New Roman" w:hAnsi="Times New Roman" w:cs="Times New Roman"/>
          <w:i/>
          <w:iCs/>
        </w:rPr>
        <w:t xml:space="preserve">nalysis for the </w:t>
      </w:r>
      <w:r w:rsidR="00830DB6">
        <w:rPr>
          <w:rFonts w:ascii="Times New Roman" w:hAnsi="Times New Roman" w:cs="Times New Roman"/>
          <w:i/>
          <w:iCs/>
        </w:rPr>
        <w:t>b</w:t>
      </w:r>
      <w:r w:rsidRPr="006F3F8E">
        <w:rPr>
          <w:rFonts w:ascii="Times New Roman" w:hAnsi="Times New Roman" w:cs="Times New Roman"/>
          <w:i/>
          <w:iCs/>
        </w:rPr>
        <w:t xml:space="preserve">ehavioral </w:t>
      </w:r>
      <w:r w:rsidR="00830DB6">
        <w:rPr>
          <w:rFonts w:ascii="Times New Roman" w:hAnsi="Times New Roman" w:cs="Times New Roman"/>
          <w:i/>
          <w:iCs/>
        </w:rPr>
        <w:t>s</w:t>
      </w:r>
      <w:r w:rsidRPr="006F3F8E">
        <w:rPr>
          <w:rFonts w:ascii="Times New Roman" w:hAnsi="Times New Roman" w:cs="Times New Roman"/>
          <w:i/>
          <w:iCs/>
        </w:rPr>
        <w:t>ciences</w:t>
      </w:r>
      <w:r w:rsidRPr="006F3F8E">
        <w:rPr>
          <w:rFonts w:ascii="Times New Roman" w:hAnsi="Times New Roman" w:cs="Times New Roman"/>
        </w:rPr>
        <w:t xml:space="preserve"> (2nd ed.). Routledge. https://doi.org/10.4324/9780203771587</w:t>
      </w:r>
    </w:p>
    <w:p w14:paraId="3A794DE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Colas, J. T. (2017). Value-based decision making via sequential sampling with hierarchical competition and attentional modulation. </w:t>
      </w:r>
      <w:r w:rsidRPr="006F3F8E">
        <w:rPr>
          <w:rFonts w:ascii="Times New Roman" w:hAnsi="Times New Roman" w:cs="Times New Roman"/>
          <w:i/>
          <w:iCs/>
        </w:rPr>
        <w:t>PLOS ONE</w:t>
      </w:r>
      <w:r w:rsidRPr="006F3F8E">
        <w:rPr>
          <w:rFonts w:ascii="Times New Roman" w:hAnsi="Times New Roman" w:cs="Times New Roman"/>
        </w:rPr>
        <w:t xml:space="preserve">, </w:t>
      </w:r>
      <w:r w:rsidRPr="006F3F8E">
        <w:rPr>
          <w:rFonts w:ascii="Times New Roman" w:hAnsi="Times New Roman" w:cs="Times New Roman"/>
          <w:i/>
          <w:iCs/>
        </w:rPr>
        <w:t>12</w:t>
      </w:r>
      <w:r w:rsidRPr="006F3F8E">
        <w:rPr>
          <w:rFonts w:ascii="Times New Roman" w:hAnsi="Times New Roman" w:cs="Times New Roman"/>
        </w:rPr>
        <w:t>(10), e0186822. https://doi.org/10.1371/journal.pone.0186822</w:t>
      </w:r>
    </w:p>
    <w:p w14:paraId="5AAE03B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Cooper, M. L. (1994). Motivations for alcohol use among adolescents: Development and validation of a four-factor model. </w:t>
      </w:r>
      <w:r w:rsidRPr="006F3F8E">
        <w:rPr>
          <w:rFonts w:ascii="Times New Roman" w:hAnsi="Times New Roman" w:cs="Times New Roman"/>
          <w:i/>
          <w:iCs/>
        </w:rPr>
        <w:t>Psychological Assessment</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(2), 117–128. https://doi.org/10.1037/1040-3590.6.2.117</w:t>
      </w:r>
    </w:p>
    <w:p w14:paraId="60D2475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Cooper, M. L., Frone, M. R., Russell, M., &amp; Mudar, P. (1995). Drinking to regulate positive and negative emotions: A motivational model of alcohol use. </w:t>
      </w:r>
      <w:r w:rsidRPr="006F3F8E">
        <w:rPr>
          <w:rFonts w:ascii="Times New Roman" w:hAnsi="Times New Roman" w:cs="Times New Roman"/>
          <w:i/>
          <w:iCs/>
        </w:rPr>
        <w:t>Journal of Personality and Social Psychology</w:t>
      </w:r>
      <w:r w:rsidRPr="006F3F8E">
        <w:rPr>
          <w:rFonts w:ascii="Times New Roman" w:hAnsi="Times New Roman" w:cs="Times New Roman"/>
        </w:rPr>
        <w:t xml:space="preserve">, </w:t>
      </w:r>
      <w:r w:rsidRPr="006F3F8E">
        <w:rPr>
          <w:rFonts w:ascii="Times New Roman" w:hAnsi="Times New Roman" w:cs="Times New Roman"/>
          <w:i/>
          <w:iCs/>
        </w:rPr>
        <w:t>69</w:t>
      </w:r>
      <w:r w:rsidRPr="006F3F8E">
        <w:rPr>
          <w:rFonts w:ascii="Times New Roman" w:hAnsi="Times New Roman" w:cs="Times New Roman"/>
        </w:rPr>
        <w:t>(5), 990–1005. https://doi.org/10.1037//0022-3514.69.5.990</w:t>
      </w:r>
    </w:p>
    <w:p w14:paraId="7E06F09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Cooper, M. L., Kuntsche, E., Levitt, A., Barber, L. L., &amp; Wolf, S. (2016). Motivational models of substance use: A review of theory and research on motives for using alcohol, marijuana, and tobacco. In K. J. Sher (Ed.), </w:t>
      </w:r>
      <w:r w:rsidRPr="006F3F8E">
        <w:rPr>
          <w:rFonts w:ascii="Times New Roman" w:hAnsi="Times New Roman" w:cs="Times New Roman"/>
          <w:i/>
          <w:iCs/>
        </w:rPr>
        <w:t>The Oxford handbook of substance use and substance use disorders</w:t>
      </w:r>
      <w:r w:rsidRPr="006F3F8E">
        <w:rPr>
          <w:rFonts w:ascii="Times New Roman" w:hAnsi="Times New Roman" w:cs="Times New Roman"/>
        </w:rPr>
        <w:t xml:space="preserve"> (Vol. 1, pp. 375–421). Oxford University Press. https://doi.org/10.1093/oxfordhb/9780199381678.013.017</w:t>
      </w:r>
    </w:p>
    <w:p w14:paraId="6B4824C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Copeland, A., Jones, A., &amp; Field, M. (2020). The association between meaning in life and harmful drinking is mediated by individual differences in self-control and alcohol value. </w:t>
      </w:r>
      <w:r w:rsidRPr="006F3F8E">
        <w:rPr>
          <w:rFonts w:ascii="Times New Roman" w:hAnsi="Times New Roman" w:cs="Times New Roman"/>
          <w:i/>
          <w:iCs/>
        </w:rPr>
        <w:t>Addictive Behaviors Reports</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 100258. https://doi.org/10.1016/j.abrep.2020.100258</w:t>
      </w:r>
    </w:p>
    <w:p w14:paraId="49B88771" w14:textId="460239CE"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Copeland, A., Stafford, T., &amp; Field, M. (2021). Recovery from addiction: A synthesis of perspectives from behavioral economics, psychology, and decision modeling. In D. Frings &amp; I. P. Albery (Eds.), </w:t>
      </w:r>
      <w:r w:rsidRPr="006F3F8E">
        <w:rPr>
          <w:rFonts w:ascii="Times New Roman" w:hAnsi="Times New Roman" w:cs="Times New Roman"/>
          <w:i/>
          <w:iCs/>
        </w:rPr>
        <w:t xml:space="preserve">The </w:t>
      </w:r>
      <w:r w:rsidR="00830DB6">
        <w:rPr>
          <w:rFonts w:ascii="Times New Roman" w:hAnsi="Times New Roman" w:cs="Times New Roman"/>
          <w:i/>
          <w:iCs/>
        </w:rPr>
        <w:t>h</w:t>
      </w:r>
      <w:r w:rsidRPr="006F3F8E">
        <w:rPr>
          <w:rFonts w:ascii="Times New Roman" w:hAnsi="Times New Roman" w:cs="Times New Roman"/>
          <w:i/>
          <w:iCs/>
        </w:rPr>
        <w:t xml:space="preserve">andbook of </w:t>
      </w:r>
      <w:r w:rsidR="00830DB6">
        <w:rPr>
          <w:rFonts w:ascii="Times New Roman" w:hAnsi="Times New Roman" w:cs="Times New Roman"/>
          <w:i/>
          <w:iCs/>
        </w:rPr>
        <w:t>a</w:t>
      </w:r>
      <w:r w:rsidRPr="006F3F8E">
        <w:rPr>
          <w:rFonts w:ascii="Times New Roman" w:hAnsi="Times New Roman" w:cs="Times New Roman"/>
          <w:i/>
          <w:iCs/>
        </w:rPr>
        <w:t xml:space="preserve">lcohol </w:t>
      </w:r>
      <w:r w:rsidR="00830DB6">
        <w:rPr>
          <w:rFonts w:ascii="Times New Roman" w:hAnsi="Times New Roman" w:cs="Times New Roman"/>
          <w:i/>
          <w:iCs/>
        </w:rPr>
        <w:t>u</w:t>
      </w:r>
      <w:r w:rsidRPr="006F3F8E">
        <w:rPr>
          <w:rFonts w:ascii="Times New Roman" w:hAnsi="Times New Roman" w:cs="Times New Roman"/>
          <w:i/>
          <w:iCs/>
        </w:rPr>
        <w:t>se</w:t>
      </w:r>
      <w:r w:rsidRPr="006F3F8E">
        <w:rPr>
          <w:rFonts w:ascii="Times New Roman" w:hAnsi="Times New Roman" w:cs="Times New Roman"/>
        </w:rPr>
        <w:t xml:space="preserve"> (pp. 563–579). Academic Press. https://doi.org/10.1016/B978-0-12-816720-5.00002-5</w:t>
      </w:r>
    </w:p>
    <w:p w14:paraId="4730D21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Copeland, A., Stafford, T., &amp; Field, M. (2022). Methodological issues with value-based decision-making (VBDM) tasks: The effect of trial wording on evidence accumulation outputs from the EZ drift-diffusion model. </w:t>
      </w:r>
      <w:r w:rsidRPr="006F3F8E">
        <w:rPr>
          <w:rFonts w:ascii="Times New Roman" w:hAnsi="Times New Roman" w:cs="Times New Roman"/>
          <w:i/>
          <w:iCs/>
        </w:rPr>
        <w:t>Cogent Psychology</w:t>
      </w:r>
      <w:r w:rsidRPr="006F3F8E">
        <w:rPr>
          <w:rFonts w:ascii="Times New Roman" w:hAnsi="Times New Roman" w:cs="Times New Roman"/>
        </w:rPr>
        <w:t xml:space="preserve">, </w:t>
      </w:r>
      <w:r w:rsidRPr="006F3F8E">
        <w:rPr>
          <w:rFonts w:ascii="Times New Roman" w:hAnsi="Times New Roman" w:cs="Times New Roman"/>
          <w:i/>
          <w:iCs/>
        </w:rPr>
        <w:t>9</w:t>
      </w:r>
      <w:r w:rsidRPr="006F3F8E">
        <w:rPr>
          <w:rFonts w:ascii="Times New Roman" w:hAnsi="Times New Roman" w:cs="Times New Roman"/>
        </w:rPr>
        <w:t>(1), 2079801. https://doi.org/10.1080/23311908.2022.2079801</w:t>
      </w:r>
    </w:p>
    <w:p w14:paraId="36F8A69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Correia, C. J., Benson, T. A., &amp; Carey, K. B. (2005). Decreased substance use following increases in alternative behaviors: A preliminary investigation.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30</w:t>
      </w:r>
      <w:r w:rsidRPr="006F3F8E">
        <w:rPr>
          <w:rFonts w:ascii="Times New Roman" w:hAnsi="Times New Roman" w:cs="Times New Roman"/>
        </w:rPr>
        <w:t>(1), 19–27. https://doi.org/10.1016/j.addbeh.2004.04.006</w:t>
      </w:r>
    </w:p>
    <w:p w14:paraId="7C1C518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Correia, C. J., Carey, K. B., Simons, J., &amp; Borsari, B. E. (2003). Relationships between binge drinking and substance-free reinforcement in a sample of college students A preliminary investigation.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28</w:t>
      </w:r>
      <w:r w:rsidRPr="006F3F8E">
        <w:rPr>
          <w:rFonts w:ascii="Times New Roman" w:hAnsi="Times New Roman" w:cs="Times New Roman"/>
        </w:rPr>
        <w:t>(2), 361–368.</w:t>
      </w:r>
    </w:p>
    <w:p w14:paraId="656FFA2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Correia, C. J., Murphy, J. G., Irons, J. G., &amp; Vasi, A. E. (2010). The behavioral economics of substance use: Research on the relationship between substance use and alternative reinforcers. </w:t>
      </w:r>
      <w:r w:rsidRPr="006F3F8E">
        <w:rPr>
          <w:rFonts w:ascii="Times New Roman" w:hAnsi="Times New Roman" w:cs="Times New Roman"/>
          <w:i/>
          <w:iCs/>
        </w:rPr>
        <w:t>Journal of Behavioral Health and Medicine</w:t>
      </w:r>
      <w:r w:rsidRPr="006F3F8E">
        <w:rPr>
          <w:rFonts w:ascii="Times New Roman" w:hAnsi="Times New Roman" w:cs="Times New Roman"/>
        </w:rPr>
        <w:t xml:space="preserve">, </w:t>
      </w:r>
      <w:r w:rsidRPr="006F3F8E">
        <w:rPr>
          <w:rFonts w:ascii="Times New Roman" w:hAnsi="Times New Roman" w:cs="Times New Roman"/>
          <w:i/>
          <w:iCs/>
        </w:rPr>
        <w:t>1</w:t>
      </w:r>
      <w:r w:rsidRPr="006F3F8E">
        <w:rPr>
          <w:rFonts w:ascii="Times New Roman" w:hAnsi="Times New Roman" w:cs="Times New Roman"/>
        </w:rPr>
        <w:t>(3), 216. https://doi.org/10.1037/h0100553</w:t>
      </w:r>
    </w:p>
    <w:p w14:paraId="13DDD6F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Corrigan, P. W., &amp; Nieweglowski, K. (2018). Stigma and the public health agenda for the opioid crisis in America. </w:t>
      </w:r>
      <w:r w:rsidRPr="006F3F8E">
        <w:rPr>
          <w:rFonts w:ascii="Times New Roman" w:hAnsi="Times New Roman" w:cs="Times New Roman"/>
          <w:i/>
          <w:iCs/>
        </w:rPr>
        <w:t>The International Journal on Drug Policy</w:t>
      </w:r>
      <w:r w:rsidRPr="006F3F8E">
        <w:rPr>
          <w:rFonts w:ascii="Times New Roman" w:hAnsi="Times New Roman" w:cs="Times New Roman"/>
        </w:rPr>
        <w:t xml:space="preserve">, </w:t>
      </w:r>
      <w:r w:rsidRPr="006F3F8E">
        <w:rPr>
          <w:rFonts w:ascii="Times New Roman" w:hAnsi="Times New Roman" w:cs="Times New Roman"/>
          <w:i/>
          <w:iCs/>
        </w:rPr>
        <w:t>59</w:t>
      </w:r>
      <w:r w:rsidRPr="006F3F8E">
        <w:rPr>
          <w:rFonts w:ascii="Times New Roman" w:hAnsi="Times New Roman" w:cs="Times New Roman"/>
        </w:rPr>
        <w:t>, 44–49. https://doi.org/10.1016/j.drugpo.2018.06.015</w:t>
      </w:r>
    </w:p>
    <w:p w14:paraId="408D495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Cosme, D., Ludwig, R. M., &amp; Berkman, E. T. (2019). Comparing two neurocognitive models of self-control during dietary decisions. </w:t>
      </w:r>
      <w:r w:rsidRPr="006F3F8E">
        <w:rPr>
          <w:rFonts w:ascii="Times New Roman" w:hAnsi="Times New Roman" w:cs="Times New Roman"/>
          <w:i/>
          <w:iCs/>
        </w:rPr>
        <w:t>Social Cognitive and Affective Neuroscience</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(9), 957–966. https://doi.org/10.1093/scan/nsz068</w:t>
      </w:r>
    </w:p>
    <w:p w14:paraId="0742F5C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Coughlin, L. N., Bonar, E. E., &amp; Bickel, W. K. (2021). Considerations for remote delivery of behavioral economic interventions for substance use disorder during COVID-19 and beyond.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120</w:t>
      </w:r>
      <w:r w:rsidRPr="006F3F8E">
        <w:rPr>
          <w:rFonts w:ascii="Times New Roman" w:hAnsi="Times New Roman" w:cs="Times New Roman"/>
        </w:rPr>
        <w:t>, 108150. https://doi.org/10.1016/j.jsat.2020.108150</w:t>
      </w:r>
    </w:p>
    <w:p w14:paraId="2EDCB4F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Courtemanche, C., Tchernis, R., &amp; Ukert, B. (2018). The effect of smoking on obesity: Evidence from a randomized trial. </w:t>
      </w:r>
      <w:r w:rsidRPr="006F3F8E">
        <w:rPr>
          <w:rFonts w:ascii="Times New Roman" w:hAnsi="Times New Roman" w:cs="Times New Roman"/>
          <w:i/>
          <w:iCs/>
        </w:rPr>
        <w:t>Journal of Health Economics</w:t>
      </w:r>
      <w:r w:rsidRPr="006F3F8E">
        <w:rPr>
          <w:rFonts w:ascii="Times New Roman" w:hAnsi="Times New Roman" w:cs="Times New Roman"/>
        </w:rPr>
        <w:t xml:space="preserve">, </w:t>
      </w:r>
      <w:r w:rsidRPr="006F3F8E">
        <w:rPr>
          <w:rFonts w:ascii="Times New Roman" w:hAnsi="Times New Roman" w:cs="Times New Roman"/>
          <w:i/>
          <w:iCs/>
        </w:rPr>
        <w:t>57</w:t>
      </w:r>
      <w:r w:rsidRPr="006F3F8E">
        <w:rPr>
          <w:rFonts w:ascii="Times New Roman" w:hAnsi="Times New Roman" w:cs="Times New Roman"/>
        </w:rPr>
        <w:t>, 31–44. https://doi.org/10.1016/j.jhealeco.2017.10.006</w:t>
      </w:r>
    </w:p>
    <w:p w14:paraId="6416DBA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Cowlishaw, S., &amp; Kessler, D. (2016). Problem gambling in the UK: Implications for health, psychosocial adjustment and health care utilization. </w:t>
      </w:r>
      <w:r w:rsidRPr="006F3F8E">
        <w:rPr>
          <w:rFonts w:ascii="Times New Roman" w:hAnsi="Times New Roman" w:cs="Times New Roman"/>
          <w:i/>
          <w:iCs/>
        </w:rPr>
        <w:t>European Addiction Research</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(2), 90–98. https://doi.org/10.1159/000437260</w:t>
      </w:r>
    </w:p>
    <w:p w14:paraId="5BF5FF9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Csabonyi, M., &amp; Phillips, L. J. (2017). Meaning in life and substance use. </w:t>
      </w:r>
      <w:r w:rsidRPr="006F3F8E">
        <w:rPr>
          <w:rFonts w:ascii="Times New Roman" w:hAnsi="Times New Roman" w:cs="Times New Roman"/>
          <w:i/>
          <w:iCs/>
        </w:rPr>
        <w:t>Journal of Humanistic Psychology</w:t>
      </w:r>
      <w:r w:rsidRPr="006F3F8E">
        <w:rPr>
          <w:rFonts w:ascii="Times New Roman" w:hAnsi="Times New Roman" w:cs="Times New Roman"/>
        </w:rPr>
        <w:t xml:space="preserve">, </w:t>
      </w:r>
      <w:r w:rsidRPr="006F3F8E">
        <w:rPr>
          <w:rFonts w:ascii="Times New Roman" w:hAnsi="Times New Roman" w:cs="Times New Roman"/>
          <w:i/>
          <w:iCs/>
        </w:rPr>
        <w:t>60</w:t>
      </w:r>
      <w:r w:rsidRPr="006F3F8E">
        <w:rPr>
          <w:rFonts w:ascii="Times New Roman" w:hAnsi="Times New Roman" w:cs="Times New Roman"/>
        </w:rPr>
        <w:t>(1), 3–19. https://doi.org/10.1177/0022167816687674</w:t>
      </w:r>
    </w:p>
    <w:p w14:paraId="075B473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Dahne, J., Murphy, J. G., &amp; MacPherson, L. (2017). Depressive symptoms and cigarette demand as a function of induced stress. </w:t>
      </w:r>
      <w:r w:rsidRPr="006F3F8E">
        <w:rPr>
          <w:rFonts w:ascii="Times New Roman" w:hAnsi="Times New Roman" w:cs="Times New Roman"/>
          <w:i/>
          <w:iCs/>
        </w:rPr>
        <w:t>Nicotine &amp; Tobacco Research</w:t>
      </w:r>
      <w:r w:rsidRPr="006F3F8E">
        <w:rPr>
          <w:rFonts w:ascii="Times New Roman" w:hAnsi="Times New Roman" w:cs="Times New Roman"/>
        </w:rPr>
        <w:t xml:space="preserve">, </w:t>
      </w:r>
      <w:r w:rsidRPr="006F3F8E">
        <w:rPr>
          <w:rFonts w:ascii="Times New Roman" w:hAnsi="Times New Roman" w:cs="Times New Roman"/>
          <w:i/>
          <w:iCs/>
        </w:rPr>
        <w:t>19</w:t>
      </w:r>
      <w:r w:rsidRPr="006F3F8E">
        <w:rPr>
          <w:rFonts w:ascii="Times New Roman" w:hAnsi="Times New Roman" w:cs="Times New Roman"/>
        </w:rPr>
        <w:t>(1), 49–58. https://doi.org/10.1093/ntr/ntw145</w:t>
      </w:r>
    </w:p>
    <w:p w14:paraId="53C77FB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Dang, J., King, K. M., &amp; Inzlicht, M. (2020). Why are self-report and behavioral Mmeasures weakly correlated? </w:t>
      </w:r>
      <w:r w:rsidRPr="006F3F8E">
        <w:rPr>
          <w:rFonts w:ascii="Times New Roman" w:hAnsi="Times New Roman" w:cs="Times New Roman"/>
          <w:i/>
          <w:iCs/>
        </w:rPr>
        <w:t>Trends in Cognitive Sciences</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(4), 267–269. https://doi.org/10.1016/j.tics.2020.01.007</w:t>
      </w:r>
    </w:p>
    <w:p w14:paraId="277A6F10" w14:textId="5E70619C"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Daughters, S. B., Magidson, J. F., Anand, D., Seitz-Brown, C. J., Chen, Y., &amp; Baker, S. (2018). The effect of a behavioral activation treatment for substance use on post-treatment abstinence: A randomized controlled trial.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(3), 535–544. https://doi.org/10.1111/add.14049</w:t>
      </w:r>
    </w:p>
    <w:p w14:paraId="1F03706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Dawson, D. A., Grant, B. F., Stinson, F. S., &amp; Chou, P. S. (2006). Maturing out of alcohol dependence: The impact of transitional life events. </w:t>
      </w:r>
      <w:r w:rsidRPr="006F3F8E">
        <w:rPr>
          <w:rFonts w:ascii="Times New Roman" w:hAnsi="Times New Roman" w:cs="Times New Roman"/>
          <w:i/>
          <w:iCs/>
        </w:rPr>
        <w:t>Journal of Studies on Alcohol</w:t>
      </w:r>
      <w:r w:rsidRPr="006F3F8E">
        <w:rPr>
          <w:rFonts w:ascii="Times New Roman" w:hAnsi="Times New Roman" w:cs="Times New Roman"/>
        </w:rPr>
        <w:t xml:space="preserve">, </w:t>
      </w:r>
      <w:r w:rsidRPr="006F3F8E">
        <w:rPr>
          <w:rFonts w:ascii="Times New Roman" w:hAnsi="Times New Roman" w:cs="Times New Roman"/>
          <w:i/>
          <w:iCs/>
        </w:rPr>
        <w:t>67</w:t>
      </w:r>
      <w:r w:rsidRPr="006F3F8E">
        <w:rPr>
          <w:rFonts w:ascii="Times New Roman" w:hAnsi="Times New Roman" w:cs="Times New Roman"/>
        </w:rPr>
        <w:t>(2), 195–203. https://doi.org/10.15288/jsa.2006.67.195</w:t>
      </w:r>
    </w:p>
    <w:p w14:paraId="61FC3D7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Dawson, D. A., Grant, B. F., Stinson, F. S., Chou, P. S., Huang, B., &amp; Ruan, W. J. (2005). Recovery from DSM-IV alcohol dependence: United States, 2001–2002.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100</w:t>
      </w:r>
      <w:r w:rsidRPr="006F3F8E">
        <w:rPr>
          <w:rFonts w:ascii="Times New Roman" w:hAnsi="Times New Roman" w:cs="Times New Roman"/>
        </w:rPr>
        <w:t>(3), 281–292. https://doi.org/10.1111/j.1360-0443.2004.00964.x</w:t>
      </w:r>
    </w:p>
    <w:p w14:paraId="24CDF4F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 Ridder, D. T. D., Lensvelt-Mulders, G., Finkenauer, C., Stok, F. M., &amp; Baumeister, R. F. (2012). Taking stock of self-control: A meta-analysis of how trait self-control relates to a wide range of behaviors. </w:t>
      </w:r>
      <w:r w:rsidRPr="006F3F8E">
        <w:rPr>
          <w:rFonts w:ascii="Times New Roman" w:hAnsi="Times New Roman" w:cs="Times New Roman"/>
          <w:i/>
          <w:iCs/>
        </w:rPr>
        <w:t>Personality and Social Psychology Review</w:t>
      </w:r>
      <w:r w:rsidRPr="006F3F8E">
        <w:rPr>
          <w:rFonts w:ascii="Times New Roman" w:hAnsi="Times New Roman" w:cs="Times New Roman"/>
        </w:rPr>
        <w:t xml:space="preserve">, </w:t>
      </w:r>
      <w:r w:rsidRPr="006F3F8E">
        <w:rPr>
          <w:rFonts w:ascii="Times New Roman" w:hAnsi="Times New Roman" w:cs="Times New Roman"/>
          <w:i/>
          <w:iCs/>
        </w:rPr>
        <w:t>16</w:t>
      </w:r>
      <w:r w:rsidRPr="006F3F8E">
        <w:rPr>
          <w:rFonts w:ascii="Times New Roman" w:hAnsi="Times New Roman" w:cs="Times New Roman"/>
        </w:rPr>
        <w:t>(1), 76–99. https://doi.org/10.1177/1088868311418749</w:t>
      </w:r>
    </w:p>
    <w:p w14:paraId="0C3B643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de Visser, R. O., &amp; Nicholls, J. (2020). Temporary abstinence during Dry January: Predictors of success; impact on well-being and self-efficacy. </w:t>
      </w:r>
      <w:r w:rsidRPr="006F3F8E">
        <w:rPr>
          <w:rFonts w:ascii="Times New Roman" w:hAnsi="Times New Roman" w:cs="Times New Roman"/>
          <w:i/>
          <w:iCs/>
        </w:rPr>
        <w:t>Psychology &amp; Health</w:t>
      </w:r>
      <w:r w:rsidRPr="006F3F8E">
        <w:rPr>
          <w:rFonts w:ascii="Times New Roman" w:hAnsi="Times New Roman" w:cs="Times New Roman"/>
        </w:rPr>
        <w:t xml:space="preserve">, </w:t>
      </w:r>
      <w:r w:rsidRPr="006F3F8E">
        <w:rPr>
          <w:rFonts w:ascii="Times New Roman" w:hAnsi="Times New Roman" w:cs="Times New Roman"/>
          <w:i/>
          <w:iCs/>
        </w:rPr>
        <w:t>35</w:t>
      </w:r>
      <w:r w:rsidRPr="006F3F8E">
        <w:rPr>
          <w:rFonts w:ascii="Times New Roman" w:hAnsi="Times New Roman" w:cs="Times New Roman"/>
        </w:rPr>
        <w:t>(11), 1293–1305. https://doi.org/10.1080/08870446.2020.1743840</w:t>
      </w:r>
    </w:p>
    <w:p w14:paraId="5D7FC26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 Visser, R. O., &amp; Piper, R. (2020). Short- and longer-term benefits of temporary alcohol abstinence during ‘Dry January’ are not also observed among adult drinkers in the general population: Prospective cohort study. </w:t>
      </w:r>
      <w:r w:rsidRPr="006F3F8E">
        <w:rPr>
          <w:rFonts w:ascii="Times New Roman" w:hAnsi="Times New Roman" w:cs="Times New Roman"/>
          <w:i/>
          <w:iCs/>
        </w:rPr>
        <w:t>Alcohol and Alcoholism</w:t>
      </w:r>
      <w:r w:rsidRPr="006F3F8E">
        <w:rPr>
          <w:rFonts w:ascii="Times New Roman" w:hAnsi="Times New Roman" w:cs="Times New Roman"/>
        </w:rPr>
        <w:t xml:space="preserve">, </w:t>
      </w:r>
      <w:r w:rsidRPr="006F3F8E">
        <w:rPr>
          <w:rFonts w:ascii="Times New Roman" w:hAnsi="Times New Roman" w:cs="Times New Roman"/>
          <w:i/>
          <w:iCs/>
        </w:rPr>
        <w:t>55</w:t>
      </w:r>
      <w:r w:rsidRPr="006F3F8E">
        <w:rPr>
          <w:rFonts w:ascii="Times New Roman" w:hAnsi="Times New Roman" w:cs="Times New Roman"/>
        </w:rPr>
        <w:t>(4), 433–438. https://doi.org/10.1093/alcalc/agaa025</w:t>
      </w:r>
    </w:p>
    <w:p w14:paraId="0951ED5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 Visser, R. O., Robinson, E., &amp; Bond, R. (2016). Voluntary temporary abstinence from alcohol during “Dry January” and subsequent alcohol use. </w:t>
      </w:r>
      <w:r w:rsidRPr="006F3F8E">
        <w:rPr>
          <w:rFonts w:ascii="Times New Roman" w:hAnsi="Times New Roman" w:cs="Times New Roman"/>
          <w:i/>
          <w:iCs/>
        </w:rPr>
        <w:t>Health Psychology</w:t>
      </w:r>
      <w:r w:rsidRPr="006F3F8E">
        <w:rPr>
          <w:rFonts w:ascii="Times New Roman" w:hAnsi="Times New Roman" w:cs="Times New Roman"/>
        </w:rPr>
        <w:t xml:space="preserve">, </w:t>
      </w:r>
      <w:r w:rsidRPr="006F3F8E">
        <w:rPr>
          <w:rFonts w:ascii="Times New Roman" w:hAnsi="Times New Roman" w:cs="Times New Roman"/>
          <w:i/>
          <w:iCs/>
        </w:rPr>
        <w:t>35</w:t>
      </w:r>
      <w:r w:rsidRPr="006F3F8E">
        <w:rPr>
          <w:rFonts w:ascii="Times New Roman" w:hAnsi="Times New Roman" w:cs="Times New Roman"/>
        </w:rPr>
        <w:t>(3), 281–289. https://doi.org/10.1037/hea0000297</w:t>
      </w:r>
    </w:p>
    <w:p w14:paraId="270C03F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 Vocht, F., Brown, J., Beard, E., West, R., Michie, S., Campbell, R., &amp; Hickman, M. (2018). Motivation to reduce alcohol consumption and subsequent attempts at reduction and changes in consumption in increasing and higher-risk drinkers in England: A prospective population survey.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(5), 817–827. https://doi.org/10.1111/add.14132</w:t>
      </w:r>
    </w:p>
    <w:p w14:paraId="13010C4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Debats, D. (1999). Sources of meaning: An investigation of significant commitments in life. </w:t>
      </w:r>
      <w:r w:rsidRPr="006F3F8E">
        <w:rPr>
          <w:rFonts w:ascii="Times New Roman" w:hAnsi="Times New Roman" w:cs="Times New Roman"/>
          <w:i/>
          <w:iCs/>
        </w:rPr>
        <w:t>Journal of Humanistic Psychology</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 30–57. https://doi.org/10.1177/0022167899394003</w:t>
      </w:r>
    </w:p>
    <w:p w14:paraId="2A3FADD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Degenhardt, L., Charlson, F., Ferrari, A., Santomauro, D., Erskine, H., Mantilla-Herrara, A., Whiteford, H., Leung, J., Naghavi, M., Griswold, M., Rehm, J., Hall, W., Sartorius, B., Scott, J., Vollset, S. E., Knudsen, A. K., Haro, J. M., Patton, G., Kopec, J., … Vos, T. (2018). The global burden of disease attributable to alcohol and drug use in 195 countries and territories, 1990–2016: A systematic analysis for the Global Burden of Disease Study 2016. </w:t>
      </w:r>
      <w:r w:rsidRPr="006F3F8E">
        <w:rPr>
          <w:rFonts w:ascii="Times New Roman" w:hAnsi="Times New Roman" w:cs="Times New Roman"/>
          <w:i/>
          <w:iCs/>
        </w:rPr>
        <w:t>The Lancet Psychiatry</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(12), 987–1012. https://doi.org/10.1016/S2215-0366(18)30337-7</w:t>
      </w:r>
    </w:p>
    <w:p w14:paraId="67FD12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Department of Health. (2016). </w:t>
      </w:r>
      <w:r w:rsidRPr="006F3F8E">
        <w:rPr>
          <w:rFonts w:ascii="Times New Roman" w:hAnsi="Times New Roman" w:cs="Times New Roman"/>
          <w:i/>
          <w:iCs/>
        </w:rPr>
        <w:t>UK Chief Medical Officers’ Low Risk Drinking Guidelines.</w:t>
      </w:r>
      <w:r w:rsidRPr="006F3F8E">
        <w:rPr>
          <w:rFonts w:ascii="Times New Roman" w:hAnsi="Times New Roman" w:cs="Times New Roman"/>
        </w:rPr>
        <w:t xml:space="preserve"> Department of Health. https:// assets.publishing.service.gov.uk/government/uploads/system/uploads/ attachment_data/file/602132/Communicating_2016_CMO_guidelines_Mar_17.pdf</w:t>
      </w:r>
    </w:p>
    <w:p w14:paraId="72CD128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Department of Health &amp; Social Care. (2021). </w:t>
      </w:r>
      <w:r w:rsidRPr="006F3F8E">
        <w:rPr>
          <w:rFonts w:ascii="Times New Roman" w:hAnsi="Times New Roman" w:cs="Times New Roman"/>
          <w:i/>
          <w:iCs/>
        </w:rPr>
        <w:t>Changes to packaging requirements for tobacco products</w:t>
      </w:r>
      <w:r w:rsidRPr="006F3F8E">
        <w:rPr>
          <w:rFonts w:ascii="Times New Roman" w:hAnsi="Times New Roman" w:cs="Times New Roman"/>
        </w:rPr>
        <w:t>. GOV.UK. https://www.gov.uk/government/publications/packaging-of-tobacco-products/packaging-requirements-for-tobacco-products</w:t>
      </w:r>
    </w:p>
    <w:p w14:paraId="404C907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Di Lemma, L. C. G., Dickson, J. M., Jedras, P., Roefs, A., &amp; Field, M. (2015). Priming of conflicting motivational orientations in heavy drinkers: Robust effects on self-report but not implicit measures.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 1465.</w:t>
      </w:r>
    </w:p>
    <w:p w14:paraId="54502EA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Disabato, D. J., Kashdan, T. B., Short, J. L., &amp; Jarden, A. (2017). What predicts positive life events that influence the course of depression? A longitudinal examination of gratitude and meaning in life. </w:t>
      </w:r>
      <w:r w:rsidRPr="006F3F8E">
        <w:rPr>
          <w:rFonts w:ascii="Times New Roman" w:hAnsi="Times New Roman" w:cs="Times New Roman"/>
          <w:i/>
          <w:iCs/>
        </w:rPr>
        <w:t>Cognitive Therapy and Research</w:t>
      </w:r>
      <w:r w:rsidRPr="006F3F8E">
        <w:rPr>
          <w:rFonts w:ascii="Times New Roman" w:hAnsi="Times New Roman" w:cs="Times New Roman"/>
        </w:rPr>
        <w:t xml:space="preserve">, </w:t>
      </w:r>
      <w:r w:rsidRPr="006F3F8E">
        <w:rPr>
          <w:rFonts w:ascii="Times New Roman" w:hAnsi="Times New Roman" w:cs="Times New Roman"/>
          <w:i/>
          <w:iCs/>
        </w:rPr>
        <w:t>41</w:t>
      </w:r>
      <w:r w:rsidRPr="006F3F8E">
        <w:rPr>
          <w:rFonts w:ascii="Times New Roman" w:hAnsi="Times New Roman" w:cs="Times New Roman"/>
        </w:rPr>
        <w:t>(3), 444–458. https://doi.org/10.1007/s10608-016-9785-x</w:t>
      </w:r>
    </w:p>
    <w:p w14:paraId="231B9B2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Dolan, R. J., &amp; Dayan, P. (2013). Goals and habits in the brain. </w:t>
      </w:r>
      <w:r w:rsidRPr="006F3F8E">
        <w:rPr>
          <w:rFonts w:ascii="Times New Roman" w:hAnsi="Times New Roman" w:cs="Times New Roman"/>
          <w:i/>
          <w:iCs/>
        </w:rPr>
        <w:t>Neuron</w:t>
      </w:r>
      <w:r w:rsidRPr="006F3F8E">
        <w:rPr>
          <w:rFonts w:ascii="Times New Roman" w:hAnsi="Times New Roman" w:cs="Times New Roman"/>
        </w:rPr>
        <w:t xml:space="preserve">, </w:t>
      </w:r>
      <w:r w:rsidRPr="006F3F8E">
        <w:rPr>
          <w:rFonts w:ascii="Times New Roman" w:hAnsi="Times New Roman" w:cs="Times New Roman"/>
          <w:i/>
          <w:iCs/>
        </w:rPr>
        <w:t>80</w:t>
      </w:r>
      <w:r w:rsidRPr="006F3F8E">
        <w:rPr>
          <w:rFonts w:ascii="Times New Roman" w:hAnsi="Times New Roman" w:cs="Times New Roman"/>
        </w:rPr>
        <w:t>(2), 312–325. https://doi.org/10.1016/j.neuron.2013.09.007</w:t>
      </w:r>
    </w:p>
    <w:p w14:paraId="751D28F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Dora, J., Piccirillo, M., Foster, K. T., Arbeau, K., Armeli, S., Auriacombe, M., Bartholow, B. D., Beltz, A., Blumenstock, S., Bold, K., Bonar, E., Braitman, A., Carpenter, R., Creswell, K., DeHart, T., Dvorak, R., Emery, N. N., Enkema, M., Fairbairn, C., … King, K. (2022). The daily association between affect and alcohol use: A meta-analysis of individual participant data. In </w:t>
      </w:r>
      <w:r w:rsidRPr="006F3F8E">
        <w:rPr>
          <w:rFonts w:ascii="Times New Roman" w:hAnsi="Times New Roman" w:cs="Times New Roman"/>
          <w:i/>
          <w:iCs/>
        </w:rPr>
        <w:t>PsyArXiv</w:t>
      </w:r>
      <w:r w:rsidRPr="006F3F8E">
        <w:rPr>
          <w:rFonts w:ascii="Times New Roman" w:hAnsi="Times New Roman" w:cs="Times New Roman"/>
        </w:rPr>
        <w:t>. https://doi.org/10.31234/osf.io/xevct</w:t>
      </w:r>
    </w:p>
    <w:p w14:paraId="7AB9BC8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Drinkaware. (2022). </w:t>
      </w:r>
      <w:r w:rsidRPr="006F3F8E">
        <w:rPr>
          <w:rFonts w:ascii="Times New Roman" w:hAnsi="Times New Roman" w:cs="Times New Roman"/>
          <w:i/>
          <w:iCs/>
        </w:rPr>
        <w:t>Low alcohol drinks</w:t>
      </w:r>
      <w:r w:rsidRPr="006F3F8E">
        <w:rPr>
          <w:rFonts w:ascii="Times New Roman" w:hAnsi="Times New Roman" w:cs="Times New Roman"/>
        </w:rPr>
        <w:t>. https://www.drinkaware.co.uk/advice/how-to-reduce-your-drinking/low-alcohol-drinks</w:t>
      </w:r>
    </w:p>
    <w:p w14:paraId="4283AD9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Duckworth, A. L., Gendler, T. S., &amp; Gross, J. J. (2016). Situational strategies for self-control. </w:t>
      </w:r>
      <w:r w:rsidRPr="006F3F8E">
        <w:rPr>
          <w:rFonts w:ascii="Times New Roman" w:hAnsi="Times New Roman" w:cs="Times New Roman"/>
          <w:i/>
          <w:iCs/>
        </w:rPr>
        <w:t>Perspectives on Psychological Science</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(1), 35–55. https://doi.org/10.1177/1745691615623247</w:t>
      </w:r>
    </w:p>
    <w:p w14:paraId="50A651A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Duckworth, A. L., &amp; Kern, M. L. (2011). A meta-analysis of the convergent validity of self-control measures. </w:t>
      </w:r>
      <w:r w:rsidRPr="006F3F8E">
        <w:rPr>
          <w:rFonts w:ascii="Times New Roman" w:hAnsi="Times New Roman" w:cs="Times New Roman"/>
          <w:i/>
          <w:iCs/>
        </w:rPr>
        <w:t>Journal of Research in Personality</w:t>
      </w:r>
      <w:r w:rsidRPr="006F3F8E">
        <w:rPr>
          <w:rFonts w:ascii="Times New Roman" w:hAnsi="Times New Roman" w:cs="Times New Roman"/>
        </w:rPr>
        <w:t xml:space="preserve">, </w:t>
      </w:r>
      <w:r w:rsidRPr="006F3F8E">
        <w:rPr>
          <w:rFonts w:ascii="Times New Roman" w:hAnsi="Times New Roman" w:cs="Times New Roman"/>
          <w:i/>
          <w:iCs/>
        </w:rPr>
        <w:t>45</w:t>
      </w:r>
      <w:r w:rsidRPr="006F3F8E">
        <w:rPr>
          <w:rFonts w:ascii="Times New Roman" w:hAnsi="Times New Roman" w:cs="Times New Roman"/>
        </w:rPr>
        <w:t>(3), 259–268. https://doi.org/10.1016/j.jrp.2011.02.004</w:t>
      </w:r>
    </w:p>
    <w:p w14:paraId="1796E2B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Dutilh, G., Annis, J., Brown, S. D., Cassey, P., Evans, N. J., Grasman, R. P. P. P., Hawkins, G. E., Heathcote, A., Holmes, W. R., Krypotos, A.-M., Kupitz, C. N., Leite, F. P., Lerche, V., Lin, Y.-S., Logan, G. D., Palmeri, T. J., Starns, J. J., Trueblood, J. S., van Maanen, L., … Donkin, C. (2019). The quality of response time data inference: A blinded, collaborative assessment of the validity of cognitive models.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(4), 1051–1069. https://doi.org/10.3758/s13423-017-1417-2</w:t>
      </w:r>
    </w:p>
    <w:p w14:paraId="12851E3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Dutilh, G., &amp; Rieskamp, J. (2016). Comparing perceptual and preferential decision making.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(3), 723–737. https://doi.org/10.3758/s13423-015-0941-1</w:t>
      </w:r>
    </w:p>
    <w:p w14:paraId="17E3F3C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Dutra, L., Stathopoulou, G., Basden, S. L., Leyro, T. M., Powers, M. B., &amp; Otto, M. W. (2008). A meta-analytic review of psychosocial interventions for substance use disorders. </w:t>
      </w:r>
      <w:r w:rsidRPr="006F3F8E">
        <w:rPr>
          <w:rFonts w:ascii="Times New Roman" w:hAnsi="Times New Roman" w:cs="Times New Roman"/>
          <w:i/>
          <w:iCs/>
        </w:rPr>
        <w:t>The American Journal of Psychiatry</w:t>
      </w:r>
      <w:r w:rsidRPr="006F3F8E">
        <w:rPr>
          <w:rFonts w:ascii="Times New Roman" w:hAnsi="Times New Roman" w:cs="Times New Roman"/>
        </w:rPr>
        <w:t xml:space="preserve">, </w:t>
      </w:r>
      <w:r w:rsidRPr="006F3F8E">
        <w:rPr>
          <w:rFonts w:ascii="Times New Roman" w:hAnsi="Times New Roman" w:cs="Times New Roman"/>
          <w:i/>
          <w:iCs/>
        </w:rPr>
        <w:t>165</w:t>
      </w:r>
      <w:r w:rsidRPr="006F3F8E">
        <w:rPr>
          <w:rFonts w:ascii="Times New Roman" w:hAnsi="Times New Roman" w:cs="Times New Roman"/>
        </w:rPr>
        <w:t>(2), 179–187. https://doi.org/10.1176/appi.ajp.2007.06111851</w:t>
      </w:r>
    </w:p>
    <w:p w14:paraId="1F0ADE3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Dvorak, R. D., Simons, J. S., &amp; Wray, T. B. (2011). Alcohol use and problem severity: Associations with dual systems of self-control. </w:t>
      </w:r>
      <w:r w:rsidRPr="006F3F8E">
        <w:rPr>
          <w:rFonts w:ascii="Times New Roman" w:hAnsi="Times New Roman" w:cs="Times New Roman"/>
          <w:i/>
          <w:iCs/>
        </w:rPr>
        <w:t>Journal of Studies on Alcohol and Drugs</w:t>
      </w:r>
      <w:r w:rsidRPr="006F3F8E">
        <w:rPr>
          <w:rFonts w:ascii="Times New Roman" w:hAnsi="Times New Roman" w:cs="Times New Roman"/>
        </w:rPr>
        <w:t xml:space="preserve">, </w:t>
      </w:r>
      <w:r w:rsidRPr="006F3F8E">
        <w:rPr>
          <w:rFonts w:ascii="Times New Roman" w:hAnsi="Times New Roman" w:cs="Times New Roman"/>
          <w:i/>
          <w:iCs/>
        </w:rPr>
        <w:t>72</w:t>
      </w:r>
      <w:r w:rsidRPr="006F3F8E">
        <w:rPr>
          <w:rFonts w:ascii="Times New Roman" w:hAnsi="Times New Roman" w:cs="Times New Roman"/>
        </w:rPr>
        <w:t>(4), 678–684.</w:t>
      </w:r>
    </w:p>
    <w:p w14:paraId="7EFB0F0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East, K. A., Reid, J. L., Burkhalter, R., Kock, L., Hyland, A., Fong, G. T., &amp; Hammond, D. (2022). Evaluating the outcomes of the menthol cigarette ban in England by comparing menthol cigarette smoking among youth in England, Canada, and the US, </w:t>
      </w:r>
      <w:r w:rsidRPr="006F3F8E">
        <w:rPr>
          <w:rFonts w:ascii="Times New Roman" w:hAnsi="Times New Roman" w:cs="Times New Roman"/>
        </w:rPr>
        <w:lastRenderedPageBreak/>
        <w:t xml:space="preserve">2018-2020. </w:t>
      </w:r>
      <w:r w:rsidRPr="006F3F8E">
        <w:rPr>
          <w:rFonts w:ascii="Times New Roman" w:hAnsi="Times New Roman" w:cs="Times New Roman"/>
          <w:i/>
          <w:iCs/>
        </w:rPr>
        <w:t>JAMA Network Open</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(5), e2210029. https://doi.org/10.1001/jamanetworkopen.2022.10029</w:t>
      </w:r>
    </w:p>
    <w:p w14:paraId="007BC0A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Ekhtiari, H., Victor, T. A., &amp; Paulus, M. P. (2017). Aberrant decision-making and drug addiction—How strong is the evidence? </w:t>
      </w:r>
      <w:r w:rsidRPr="006F3F8E">
        <w:rPr>
          <w:rFonts w:ascii="Times New Roman" w:hAnsi="Times New Roman" w:cs="Times New Roman"/>
          <w:i/>
          <w:iCs/>
        </w:rPr>
        <w:t>Current Opinion in Behavioral Sciences</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 25–33. https://doi.org/10.1016/j.cobeha.2016.09.002</w:t>
      </w:r>
    </w:p>
    <w:p w14:paraId="269B9DE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Elshatarat, R. A., Yacoub, M. I., Khraim, F. M., Saleh, Z. T., &amp; Afaneh, T. R. (2016). Self-efficacy in treating tobacco use: A review article. </w:t>
      </w:r>
      <w:r w:rsidRPr="006F3F8E">
        <w:rPr>
          <w:rFonts w:ascii="Times New Roman" w:hAnsi="Times New Roman" w:cs="Times New Roman"/>
          <w:i/>
          <w:iCs/>
        </w:rPr>
        <w:t>Proceedings of Singapore Healthcare</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(4), 243–248. https://doi.org/10.1177/2010105816667137</w:t>
      </w:r>
    </w:p>
    <w:p w14:paraId="3B05F78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Evans, N. J., &amp; Wagenmakers, E.-J. (2019). Theoretically meaningful models can answer clinically relevant questions. </w:t>
      </w:r>
      <w:r w:rsidRPr="006F3F8E">
        <w:rPr>
          <w:rFonts w:ascii="Times New Roman" w:hAnsi="Times New Roman" w:cs="Times New Roman"/>
          <w:i/>
          <w:iCs/>
        </w:rPr>
        <w:t>Brain</w:t>
      </w:r>
      <w:r w:rsidRPr="006F3F8E">
        <w:rPr>
          <w:rFonts w:ascii="Times New Roman" w:hAnsi="Times New Roman" w:cs="Times New Roman"/>
        </w:rPr>
        <w:t xml:space="preserve">, </w:t>
      </w:r>
      <w:r w:rsidRPr="006F3F8E">
        <w:rPr>
          <w:rFonts w:ascii="Times New Roman" w:hAnsi="Times New Roman" w:cs="Times New Roman"/>
          <w:i/>
          <w:iCs/>
        </w:rPr>
        <w:t>142</w:t>
      </w:r>
      <w:r w:rsidRPr="006F3F8E">
        <w:rPr>
          <w:rFonts w:ascii="Times New Roman" w:hAnsi="Times New Roman" w:cs="Times New Roman"/>
        </w:rPr>
        <w:t>(5), 1172–1175. https://doi.org/10.1093/brain/awz073</w:t>
      </w:r>
    </w:p>
    <w:p w14:paraId="6EF582A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Everitt, B. J., &amp; Robbins, T. W. (2005). Neural systems of reinforcement for drug addiction: From actions to habits to compulsion. </w:t>
      </w:r>
      <w:r w:rsidRPr="006F3F8E">
        <w:rPr>
          <w:rFonts w:ascii="Times New Roman" w:hAnsi="Times New Roman" w:cs="Times New Roman"/>
          <w:i/>
          <w:iCs/>
        </w:rPr>
        <w:t>Nature Neuroscience</w:t>
      </w:r>
      <w:r w:rsidRPr="006F3F8E">
        <w:rPr>
          <w:rFonts w:ascii="Times New Roman" w:hAnsi="Times New Roman" w:cs="Times New Roman"/>
        </w:rPr>
        <w:t xml:space="preserve">, </w:t>
      </w:r>
      <w:r w:rsidRPr="006F3F8E">
        <w:rPr>
          <w:rFonts w:ascii="Times New Roman" w:hAnsi="Times New Roman" w:cs="Times New Roman"/>
          <w:i/>
          <w:iCs/>
        </w:rPr>
        <w:t>8</w:t>
      </w:r>
      <w:r w:rsidRPr="006F3F8E">
        <w:rPr>
          <w:rFonts w:ascii="Times New Roman" w:hAnsi="Times New Roman" w:cs="Times New Roman"/>
        </w:rPr>
        <w:t>(11), 1481–1489. https://doi.org/10.1038/nn1579</w:t>
      </w:r>
    </w:p>
    <w:p w14:paraId="5BA2B81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Everitt, B. J., &amp; Robbins, T. W. (2016). Drug addiction: Updating actions to habits to compulsions ten years on. </w:t>
      </w:r>
      <w:r w:rsidRPr="006F3F8E">
        <w:rPr>
          <w:rFonts w:ascii="Times New Roman" w:hAnsi="Times New Roman" w:cs="Times New Roman"/>
          <w:i/>
          <w:iCs/>
        </w:rPr>
        <w:t>Annual Review of Psychology</w:t>
      </w:r>
      <w:r w:rsidRPr="006F3F8E">
        <w:rPr>
          <w:rFonts w:ascii="Times New Roman" w:hAnsi="Times New Roman" w:cs="Times New Roman"/>
        </w:rPr>
        <w:t xml:space="preserve">, </w:t>
      </w:r>
      <w:r w:rsidRPr="006F3F8E">
        <w:rPr>
          <w:rFonts w:ascii="Times New Roman" w:hAnsi="Times New Roman" w:cs="Times New Roman"/>
          <w:i/>
          <w:iCs/>
        </w:rPr>
        <w:t>67</w:t>
      </w:r>
      <w:r w:rsidRPr="006F3F8E">
        <w:rPr>
          <w:rFonts w:ascii="Times New Roman" w:hAnsi="Times New Roman" w:cs="Times New Roman"/>
        </w:rPr>
        <w:t>, 23–50. https://doi.org/10.1146/annurev-psych-122414-033457</w:t>
      </w:r>
    </w:p>
    <w:p w14:paraId="0C7CCF14" w14:textId="3621B07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Fagerström, K. (2012). Determinants of tobacco use and renaming the FTND to the Fagerstrom Test for Cigarette Dependence. </w:t>
      </w:r>
      <w:r w:rsidRPr="006F3F8E">
        <w:rPr>
          <w:rFonts w:ascii="Times New Roman" w:hAnsi="Times New Roman" w:cs="Times New Roman"/>
          <w:i/>
          <w:iCs/>
        </w:rPr>
        <w:t>Nicotine &amp; Tobacco Research</w:t>
      </w:r>
      <w:r w:rsidR="00412CC3">
        <w:rPr>
          <w:rFonts w:ascii="Times New Roman" w:hAnsi="Times New Roman" w:cs="Times New Roman"/>
          <w:i/>
          <w:iCs/>
        </w:rPr>
        <w:t xml:space="preserve">, </w:t>
      </w:r>
      <w:r w:rsidRPr="006F3F8E">
        <w:rPr>
          <w:rFonts w:ascii="Times New Roman" w:hAnsi="Times New Roman" w:cs="Times New Roman"/>
          <w:i/>
          <w:iCs/>
        </w:rPr>
        <w:t>14</w:t>
      </w:r>
      <w:r w:rsidRPr="006F3F8E">
        <w:rPr>
          <w:rFonts w:ascii="Times New Roman" w:hAnsi="Times New Roman" w:cs="Times New Roman"/>
        </w:rPr>
        <w:t>(1), 75–78. https://doi.org/10.1093/ntr/ntr137</w:t>
      </w:r>
    </w:p>
    <w:p w14:paraId="2B20F6C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Fairchild, A. J., &amp; McDaniel, H. L. (2017). Best (but oft-forgotten) practices: Mediation analysis. </w:t>
      </w:r>
      <w:r w:rsidRPr="006F3F8E">
        <w:rPr>
          <w:rFonts w:ascii="Times New Roman" w:hAnsi="Times New Roman" w:cs="Times New Roman"/>
          <w:i/>
          <w:iCs/>
        </w:rPr>
        <w:t>The American Journal of Clinical Nutrition</w:t>
      </w:r>
      <w:r w:rsidRPr="006F3F8E">
        <w:rPr>
          <w:rFonts w:ascii="Times New Roman" w:hAnsi="Times New Roman" w:cs="Times New Roman"/>
        </w:rPr>
        <w:t xml:space="preserve">, </w:t>
      </w:r>
      <w:r w:rsidRPr="006F3F8E">
        <w:rPr>
          <w:rFonts w:ascii="Times New Roman" w:hAnsi="Times New Roman" w:cs="Times New Roman"/>
          <w:i/>
          <w:iCs/>
        </w:rPr>
        <w:t>105</w:t>
      </w:r>
      <w:r w:rsidRPr="006F3F8E">
        <w:rPr>
          <w:rFonts w:ascii="Times New Roman" w:hAnsi="Times New Roman" w:cs="Times New Roman"/>
        </w:rPr>
        <w:t>(6), 1259–1271. https://doi.org/10.3945/ajcn.117.152546</w:t>
      </w:r>
    </w:p>
    <w:p w14:paraId="2AA6FE5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Faul, F., Erdfelder, E., Lang, A.-G., &amp; Buchner, A. (2007). G*Power 3: A flexible statistical power analysis program for the social, behavioral, and biomedical sciences.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(2), 175–191. https://doi.org/10.3758/BF03193146</w:t>
      </w:r>
    </w:p>
    <w:p w14:paraId="63781A3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Fazzino, T. L., Bjorlie, K., &amp; Lejuez, C. W. (2019). A systematic review of reinforcement-based interventions for substance use: Efficacy, mechanisms of action, and moderators of treatment effects.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104</w:t>
      </w:r>
      <w:r w:rsidRPr="006F3F8E">
        <w:rPr>
          <w:rFonts w:ascii="Times New Roman" w:hAnsi="Times New Roman" w:cs="Times New Roman"/>
        </w:rPr>
        <w:t>, 83–96. https://doi.org/10.1016/j.jsat.2019.06.016</w:t>
      </w:r>
    </w:p>
    <w:p w14:paraId="1193465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Fergusson, D. M., Boden, J. M., &amp; Horwood, L. J. (2009). Tests of causal links between alcohol abuse or dependence and major depression. </w:t>
      </w:r>
      <w:r w:rsidRPr="006F3F8E">
        <w:rPr>
          <w:rFonts w:ascii="Times New Roman" w:hAnsi="Times New Roman" w:cs="Times New Roman"/>
          <w:i/>
          <w:iCs/>
        </w:rPr>
        <w:t>Archives of General Psychiatry</w:t>
      </w:r>
      <w:r w:rsidRPr="006F3F8E">
        <w:rPr>
          <w:rFonts w:ascii="Times New Roman" w:hAnsi="Times New Roman" w:cs="Times New Roman"/>
        </w:rPr>
        <w:t xml:space="preserve">, </w:t>
      </w:r>
      <w:r w:rsidRPr="006F3F8E">
        <w:rPr>
          <w:rFonts w:ascii="Times New Roman" w:hAnsi="Times New Roman" w:cs="Times New Roman"/>
          <w:i/>
          <w:iCs/>
        </w:rPr>
        <w:t>66</w:t>
      </w:r>
      <w:r w:rsidRPr="006F3F8E">
        <w:rPr>
          <w:rFonts w:ascii="Times New Roman" w:hAnsi="Times New Roman" w:cs="Times New Roman"/>
        </w:rPr>
        <w:t>(3), 260–266. https://doi.org/10.1001/archgenpsychiatry.2008.543</w:t>
      </w:r>
    </w:p>
    <w:p w14:paraId="59FE4993" w14:textId="4691BE5B"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Field, M., Heather, N., Murphy, J. G., Stafford, T., Tucker, J. A., &amp; Witkiewitz, K. (2020). Recovery from addiction: Behavioral economics and value-based decision making.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34</w:t>
      </w:r>
      <w:r w:rsidRPr="006F3F8E">
        <w:rPr>
          <w:rFonts w:ascii="Times New Roman" w:hAnsi="Times New Roman" w:cs="Times New Roman"/>
        </w:rPr>
        <w:t>(1), 182–193. https://doi.org/10.1037/adb0000518</w:t>
      </w:r>
    </w:p>
    <w:p w14:paraId="03D03AD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Field, M., &amp; Kersbergen, I. (2019). Are animal models of addiction useful?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115</w:t>
      </w:r>
      <w:r w:rsidRPr="006F3F8E">
        <w:rPr>
          <w:rFonts w:ascii="Times New Roman" w:hAnsi="Times New Roman" w:cs="Times New Roman"/>
        </w:rPr>
        <w:t>(1), 6–12. https://doi.org/10.1111/add.14764</w:t>
      </w:r>
    </w:p>
    <w:p w14:paraId="666EFD8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Field, M., Puddephatt, J.-A., Goodwin, L., Owens, L., Reaves, D., &amp; Holmes, J. (2020). Benefits of temporary alcohol restriction: A feasibility randomized trial. </w:t>
      </w:r>
      <w:r w:rsidRPr="006F3F8E">
        <w:rPr>
          <w:rFonts w:ascii="Times New Roman" w:hAnsi="Times New Roman" w:cs="Times New Roman"/>
          <w:i/>
          <w:iCs/>
        </w:rPr>
        <w:t>Pilot and Feasibility Studies</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(1), 9. https://doi.org/10.1186/s40814-020-0554-y</w:t>
      </w:r>
    </w:p>
    <w:p w14:paraId="4B01550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Fontanesi, L., Gluth, S., Spektor, M. S., &amp; Rieskamp, J. (2019). A reinforcement learning diffusion decision model for value-based decisions.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(4), 1099–1121. https://doi.org/10.3758/s13423-018-1554-2</w:t>
      </w:r>
    </w:p>
    <w:p w14:paraId="0D27A25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Forouzanfar, M. H., Afshin, A., Alexander, L. T., Anderson, H. R., Bhutta, Z. A., Biryukov, S., Brauer, M., Burnett, R., Cercy, K., Charlson, F. J., Cohen, A. J., Dandona, L., Estep, K., Ferrari, A. J., Frostad, J. J., Fullman, N., Gething, P. W., Godwin, W. W., </w:t>
      </w:r>
      <w:r w:rsidRPr="006F3F8E">
        <w:rPr>
          <w:rFonts w:ascii="Times New Roman" w:hAnsi="Times New Roman" w:cs="Times New Roman"/>
        </w:rPr>
        <w:lastRenderedPageBreak/>
        <w:t xml:space="preserve">Griswold, M., … Murray, C. J. L. (2016). Global, regional, and national comparative risk assessment of 79 behavioural, environmental and occupational, and metabolic risks or clusters of risks, 1990–2015: A systematic analysis for the Global Burden of Disease Study 2015. </w:t>
      </w:r>
      <w:r w:rsidRPr="006F3F8E">
        <w:rPr>
          <w:rFonts w:ascii="Times New Roman" w:hAnsi="Times New Roman" w:cs="Times New Roman"/>
          <w:i/>
          <w:iCs/>
        </w:rPr>
        <w:t>The Lancet</w:t>
      </w:r>
      <w:r w:rsidRPr="006F3F8E">
        <w:rPr>
          <w:rFonts w:ascii="Times New Roman" w:hAnsi="Times New Roman" w:cs="Times New Roman"/>
        </w:rPr>
        <w:t xml:space="preserve">, </w:t>
      </w:r>
      <w:r w:rsidRPr="006F3F8E">
        <w:rPr>
          <w:rFonts w:ascii="Times New Roman" w:hAnsi="Times New Roman" w:cs="Times New Roman"/>
          <w:i/>
          <w:iCs/>
        </w:rPr>
        <w:t>388</w:t>
      </w:r>
      <w:r w:rsidRPr="006F3F8E">
        <w:rPr>
          <w:rFonts w:ascii="Times New Roman" w:hAnsi="Times New Roman" w:cs="Times New Roman"/>
        </w:rPr>
        <w:t>(10053), 1659–1724. https://doi.org/10.1016/S0140-6736(16)31679-8</w:t>
      </w:r>
    </w:p>
    <w:p w14:paraId="448CCC2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Forstmann, B. U., Ratcliff, R., &amp; Wagenmakers, E.-J. (2016). Sequential sampling models in cognitive neuroscience: Advantages, applications, and extensions. </w:t>
      </w:r>
      <w:r w:rsidRPr="006F3F8E">
        <w:rPr>
          <w:rFonts w:ascii="Times New Roman" w:hAnsi="Times New Roman" w:cs="Times New Roman"/>
          <w:i/>
          <w:iCs/>
        </w:rPr>
        <w:t>Annual Review of Psychology</w:t>
      </w:r>
      <w:r w:rsidRPr="006F3F8E">
        <w:rPr>
          <w:rFonts w:ascii="Times New Roman" w:hAnsi="Times New Roman" w:cs="Times New Roman"/>
        </w:rPr>
        <w:t xml:space="preserve">, </w:t>
      </w:r>
      <w:r w:rsidRPr="006F3F8E">
        <w:rPr>
          <w:rFonts w:ascii="Times New Roman" w:hAnsi="Times New Roman" w:cs="Times New Roman"/>
          <w:i/>
          <w:iCs/>
        </w:rPr>
        <w:t>67</w:t>
      </w:r>
      <w:r w:rsidRPr="006F3F8E">
        <w:rPr>
          <w:rFonts w:ascii="Times New Roman" w:hAnsi="Times New Roman" w:cs="Times New Roman"/>
        </w:rPr>
        <w:t>, 641–666. https://doi.org/10.1146/annurev-psych-122414-033645</w:t>
      </w:r>
    </w:p>
    <w:p w14:paraId="68811CD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Frankl, V. E. (1985). </w:t>
      </w:r>
      <w:r w:rsidRPr="006F3F8E">
        <w:rPr>
          <w:rFonts w:ascii="Times New Roman" w:hAnsi="Times New Roman" w:cs="Times New Roman"/>
          <w:i/>
          <w:iCs/>
        </w:rPr>
        <w:t>Man’s search for meaning</w:t>
      </w:r>
      <w:r w:rsidRPr="006F3F8E">
        <w:rPr>
          <w:rFonts w:ascii="Times New Roman" w:hAnsi="Times New Roman" w:cs="Times New Roman"/>
        </w:rPr>
        <w:t>. Simon and Schuster.</w:t>
      </w:r>
    </w:p>
    <w:p w14:paraId="3C3BEC5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Freeman, J. B. (2014). Abrupt category shifts during real-time person perception.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21</w:t>
      </w:r>
      <w:r w:rsidRPr="006F3F8E">
        <w:rPr>
          <w:rFonts w:ascii="Times New Roman" w:hAnsi="Times New Roman" w:cs="Times New Roman"/>
        </w:rPr>
        <w:t>(1), 85–92. https://doi.org/10.3758/s13423-013-0470-8</w:t>
      </w:r>
    </w:p>
    <w:p w14:paraId="61E6EB6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Freeman, J. B. (2018). Doing psychological science by hand. </w:t>
      </w:r>
      <w:r w:rsidRPr="006F3F8E">
        <w:rPr>
          <w:rFonts w:ascii="Times New Roman" w:hAnsi="Times New Roman" w:cs="Times New Roman"/>
          <w:i/>
          <w:iCs/>
        </w:rPr>
        <w:t>Current Directions in Psychological Science</w:t>
      </w:r>
      <w:r w:rsidRPr="006F3F8E">
        <w:rPr>
          <w:rFonts w:ascii="Times New Roman" w:hAnsi="Times New Roman" w:cs="Times New Roman"/>
        </w:rPr>
        <w:t xml:space="preserve">, </w:t>
      </w:r>
      <w:r w:rsidRPr="006F3F8E">
        <w:rPr>
          <w:rFonts w:ascii="Times New Roman" w:hAnsi="Times New Roman" w:cs="Times New Roman"/>
          <w:i/>
          <w:iCs/>
        </w:rPr>
        <w:t>27</w:t>
      </w:r>
      <w:r w:rsidRPr="006F3F8E">
        <w:rPr>
          <w:rFonts w:ascii="Times New Roman" w:hAnsi="Times New Roman" w:cs="Times New Roman"/>
        </w:rPr>
        <w:t>(5), 315–323. https://doi.org/10.1177/0963721417746793</w:t>
      </w:r>
    </w:p>
    <w:p w14:paraId="72E266F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Freeman, J. B., &amp; Ambady, N. (2010). MouseTracker: Software for studying real-time mental processing using a computer mouse-tracking method.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42</w:t>
      </w:r>
      <w:r w:rsidRPr="006F3F8E">
        <w:rPr>
          <w:rFonts w:ascii="Times New Roman" w:hAnsi="Times New Roman" w:cs="Times New Roman"/>
        </w:rPr>
        <w:t>(1), 226–241. https://doi.org/10.3758/BRM.42.1.226</w:t>
      </w:r>
    </w:p>
    <w:p w14:paraId="7294548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Freeman, J. B., &amp; Dale, R. (2013). Assessing bimodality to detect the presence of a dual cognitive process.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45</w:t>
      </w:r>
      <w:r w:rsidRPr="006F3F8E">
        <w:rPr>
          <w:rFonts w:ascii="Times New Roman" w:hAnsi="Times New Roman" w:cs="Times New Roman"/>
        </w:rPr>
        <w:t>(1), 83–97. https://doi.org/10.3758/s13428-012-0225-x</w:t>
      </w:r>
    </w:p>
    <w:p w14:paraId="3F7B168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Freeman, J. B., Dale, R., &amp; Farmer, T. A. (2011). Hand in motion reveals mind in motion.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2</w:t>
      </w:r>
      <w:r w:rsidRPr="006F3F8E">
        <w:rPr>
          <w:rFonts w:ascii="Times New Roman" w:hAnsi="Times New Roman" w:cs="Times New Roman"/>
        </w:rPr>
        <w:t>, 59. https://doi.org/10.3389/fpsyg.2011.00059</w:t>
      </w:r>
    </w:p>
    <w:p w14:paraId="701B48D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Fujita, K. (2011). On conceptualizing self-control as more than the effortful inhibition of impulses. </w:t>
      </w:r>
      <w:r w:rsidRPr="006F3F8E">
        <w:rPr>
          <w:rFonts w:ascii="Times New Roman" w:hAnsi="Times New Roman" w:cs="Times New Roman"/>
          <w:i/>
          <w:iCs/>
        </w:rPr>
        <w:t>Personality and Social Psychology Review</w:t>
      </w:r>
      <w:r w:rsidRPr="006F3F8E">
        <w:rPr>
          <w:rFonts w:ascii="Times New Roman" w:hAnsi="Times New Roman" w:cs="Times New Roman"/>
        </w:rPr>
        <w:t xml:space="preserve">, </w:t>
      </w:r>
      <w:r w:rsidRPr="006F3F8E">
        <w:rPr>
          <w:rFonts w:ascii="Times New Roman" w:hAnsi="Times New Roman" w:cs="Times New Roman"/>
          <w:i/>
          <w:iCs/>
        </w:rPr>
        <w:t>15</w:t>
      </w:r>
      <w:r w:rsidRPr="006F3F8E">
        <w:rPr>
          <w:rFonts w:ascii="Times New Roman" w:hAnsi="Times New Roman" w:cs="Times New Roman"/>
        </w:rPr>
        <w:t>(4), 352–366. https://doi.org/10.1177/1088868311411165</w:t>
      </w:r>
    </w:p>
    <w:p w14:paraId="61C7966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Gambling Commission. (2022). </w:t>
      </w:r>
      <w:r w:rsidRPr="006F3F8E">
        <w:rPr>
          <w:rFonts w:ascii="Times New Roman" w:hAnsi="Times New Roman" w:cs="Times New Roman"/>
          <w:i/>
          <w:iCs/>
        </w:rPr>
        <w:t>Problem and at-risk gambling</w:t>
      </w:r>
      <w:r w:rsidRPr="006F3F8E">
        <w:rPr>
          <w:rFonts w:ascii="Times New Roman" w:hAnsi="Times New Roman" w:cs="Times New Roman"/>
        </w:rPr>
        <w:t>. Gambling Commission. https://www.gamblingcommission.gov.uk/about-us/guide/page/problem-and-at-risk-gambling</w:t>
      </w:r>
    </w:p>
    <w:p w14:paraId="40E3113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Garfield, J. B. B., Lubman, D. I., &amp; Yücel, M. (2014). Anhedonia in substance use disorders: A systematic review of its nature, course and clinical correlates. </w:t>
      </w:r>
      <w:r w:rsidRPr="006F3F8E">
        <w:rPr>
          <w:rFonts w:ascii="Times New Roman" w:hAnsi="Times New Roman" w:cs="Times New Roman"/>
          <w:i/>
          <w:iCs/>
        </w:rPr>
        <w:t>The Australian and New Zealand Journal of Psychiatry</w:t>
      </w:r>
      <w:r w:rsidRPr="006F3F8E">
        <w:rPr>
          <w:rFonts w:ascii="Times New Roman" w:hAnsi="Times New Roman" w:cs="Times New Roman"/>
        </w:rPr>
        <w:t xml:space="preserve">, </w:t>
      </w:r>
      <w:r w:rsidRPr="006F3F8E">
        <w:rPr>
          <w:rFonts w:ascii="Times New Roman" w:hAnsi="Times New Roman" w:cs="Times New Roman"/>
          <w:i/>
          <w:iCs/>
        </w:rPr>
        <w:t>48</w:t>
      </w:r>
      <w:r w:rsidRPr="006F3F8E">
        <w:rPr>
          <w:rFonts w:ascii="Times New Roman" w:hAnsi="Times New Roman" w:cs="Times New Roman"/>
        </w:rPr>
        <w:t>(1), 36–51. https://doi.org/10.1177/0004867413508455</w:t>
      </w:r>
    </w:p>
    <w:p w14:paraId="6219471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George, L. S., &amp; Park, C. L. (2013). Are meaning and purpose distinct? An examination of correlates and predictors. </w:t>
      </w:r>
      <w:r w:rsidRPr="006F3F8E">
        <w:rPr>
          <w:rFonts w:ascii="Times New Roman" w:hAnsi="Times New Roman" w:cs="Times New Roman"/>
          <w:i/>
          <w:iCs/>
        </w:rPr>
        <w:t>The Journal of Positive Psychology</w:t>
      </w:r>
      <w:r w:rsidRPr="006F3F8E">
        <w:rPr>
          <w:rFonts w:ascii="Times New Roman" w:hAnsi="Times New Roman" w:cs="Times New Roman"/>
        </w:rPr>
        <w:t xml:space="preserve">, </w:t>
      </w:r>
      <w:r w:rsidRPr="006F3F8E">
        <w:rPr>
          <w:rFonts w:ascii="Times New Roman" w:hAnsi="Times New Roman" w:cs="Times New Roman"/>
          <w:i/>
          <w:iCs/>
        </w:rPr>
        <w:t>8</w:t>
      </w:r>
      <w:r w:rsidRPr="006F3F8E">
        <w:rPr>
          <w:rFonts w:ascii="Times New Roman" w:hAnsi="Times New Roman" w:cs="Times New Roman"/>
        </w:rPr>
        <w:t>(5), 365–375. https://doi.org/10.1080/17439760.2013.805801</w:t>
      </w:r>
    </w:p>
    <w:p w14:paraId="7EC9602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Gilbert, L. J., Murphy, J. G., &amp; Dennhardt, A. A. (2014). A behavioral economic analysis of the effect of next-day responsibilities on drinking.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28</w:t>
      </w:r>
      <w:r w:rsidRPr="006F3F8E">
        <w:rPr>
          <w:rFonts w:ascii="Times New Roman" w:hAnsi="Times New Roman" w:cs="Times New Roman"/>
        </w:rPr>
        <w:t>(4), 1253–1258. https://doi.org/10.1037/a0038369</w:t>
      </w:r>
    </w:p>
    <w:p w14:paraId="0E7B6CE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Gillebaart, M., Schneider, I. K., &amp; De Ridder, D. T. D. (2016). Effects of trait self-control on response conflict about healthy and unhealthy food. </w:t>
      </w:r>
      <w:r w:rsidRPr="006F3F8E">
        <w:rPr>
          <w:rFonts w:ascii="Times New Roman" w:hAnsi="Times New Roman" w:cs="Times New Roman"/>
          <w:i/>
          <w:iCs/>
        </w:rPr>
        <w:t>Journal of Personality</w:t>
      </w:r>
      <w:r w:rsidRPr="006F3F8E">
        <w:rPr>
          <w:rFonts w:ascii="Times New Roman" w:hAnsi="Times New Roman" w:cs="Times New Roman"/>
        </w:rPr>
        <w:t xml:space="preserve">, </w:t>
      </w:r>
      <w:r w:rsidRPr="006F3F8E">
        <w:rPr>
          <w:rFonts w:ascii="Times New Roman" w:hAnsi="Times New Roman" w:cs="Times New Roman"/>
          <w:i/>
          <w:iCs/>
        </w:rPr>
        <w:t>84</w:t>
      </w:r>
      <w:r w:rsidRPr="006F3F8E">
        <w:rPr>
          <w:rFonts w:ascii="Times New Roman" w:hAnsi="Times New Roman" w:cs="Times New Roman"/>
        </w:rPr>
        <w:t>(6), 789–798. https://doi.org/10.1111/jopy.12219</w:t>
      </w:r>
    </w:p>
    <w:p w14:paraId="300C8EA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Ginsburg, B. C., &amp; Lamb, R. J. (2018). Frustration stress (unexpected loss of alternative reinforcement) increases opioid self-administration in a model of recovery.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182</w:t>
      </w:r>
      <w:r w:rsidRPr="006F3F8E">
        <w:rPr>
          <w:rFonts w:ascii="Times New Roman" w:hAnsi="Times New Roman" w:cs="Times New Roman"/>
        </w:rPr>
        <w:t>, 33–39. https://doi.org/10.1016/j.drugalcdep.2017.09.016</w:t>
      </w:r>
    </w:p>
    <w:p w14:paraId="6CC8E51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Glaw, X., Kable, A., Hazelton, M., &amp; Inder, K. (2017). Meaning in life and meaning of life in mental health care: An integrative literature review. </w:t>
      </w:r>
      <w:r w:rsidRPr="006F3F8E">
        <w:rPr>
          <w:rFonts w:ascii="Times New Roman" w:hAnsi="Times New Roman" w:cs="Times New Roman"/>
          <w:i/>
          <w:iCs/>
        </w:rPr>
        <w:t>Issues in Mental Health Nursing</w:t>
      </w:r>
      <w:r w:rsidRPr="006F3F8E">
        <w:rPr>
          <w:rFonts w:ascii="Times New Roman" w:hAnsi="Times New Roman" w:cs="Times New Roman"/>
        </w:rPr>
        <w:t xml:space="preserve">, </w:t>
      </w:r>
      <w:r w:rsidRPr="006F3F8E">
        <w:rPr>
          <w:rFonts w:ascii="Times New Roman" w:hAnsi="Times New Roman" w:cs="Times New Roman"/>
          <w:i/>
          <w:iCs/>
        </w:rPr>
        <w:t>38</w:t>
      </w:r>
      <w:r w:rsidRPr="006F3F8E">
        <w:rPr>
          <w:rFonts w:ascii="Times New Roman" w:hAnsi="Times New Roman" w:cs="Times New Roman"/>
        </w:rPr>
        <w:t>(3), 243–252. https://doi.org/10.1080/01612840.2016.1253804</w:t>
      </w:r>
    </w:p>
    <w:p w14:paraId="7208C5E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Goelz, P. M., Audrain-McGovern, J. E., Hitsman, B., Leone, F. T., Veluz-Wilkins, A., Jepson, C., Wileyto, E. P., D’Avanzo, P. A., Rivera, J. G., &amp; Schnoll, R. A. (2014). The association between changes in alternative reinforcers and short-term smoking </w:t>
      </w:r>
      <w:r w:rsidRPr="006F3F8E">
        <w:rPr>
          <w:rFonts w:ascii="Times New Roman" w:hAnsi="Times New Roman" w:cs="Times New Roman"/>
        </w:rPr>
        <w:lastRenderedPageBreak/>
        <w:t xml:space="preserve">cessation.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138</w:t>
      </w:r>
      <w:r w:rsidRPr="006F3F8E">
        <w:rPr>
          <w:rFonts w:ascii="Times New Roman" w:hAnsi="Times New Roman" w:cs="Times New Roman"/>
        </w:rPr>
        <w:t>, 67–74. https://doi.org/10.1016/j.drugalcdep.2014.02.007</w:t>
      </w:r>
    </w:p>
    <w:p w14:paraId="559DB53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Goldberg, S. B., Tucker, R. P., Greene, P. A., Davidson, R. J., Wampold, B. E., Kearney, D. J., &amp; Simpson, T. L. (2018). Mindfulness-based interventions for psychiatric disorders: A systematic review and meta-analysis. </w:t>
      </w:r>
      <w:r w:rsidRPr="006F3F8E">
        <w:rPr>
          <w:rFonts w:ascii="Times New Roman" w:hAnsi="Times New Roman" w:cs="Times New Roman"/>
          <w:i/>
          <w:iCs/>
        </w:rPr>
        <w:t>Clinical Psychology Review</w:t>
      </w:r>
      <w:r w:rsidRPr="006F3F8E">
        <w:rPr>
          <w:rFonts w:ascii="Times New Roman" w:hAnsi="Times New Roman" w:cs="Times New Roman"/>
        </w:rPr>
        <w:t xml:space="preserve">, </w:t>
      </w:r>
      <w:r w:rsidRPr="006F3F8E">
        <w:rPr>
          <w:rFonts w:ascii="Times New Roman" w:hAnsi="Times New Roman" w:cs="Times New Roman"/>
          <w:i/>
          <w:iCs/>
        </w:rPr>
        <w:t>59</w:t>
      </w:r>
      <w:r w:rsidRPr="006F3F8E">
        <w:rPr>
          <w:rFonts w:ascii="Times New Roman" w:hAnsi="Times New Roman" w:cs="Times New Roman"/>
        </w:rPr>
        <w:t>, 52–60. https://doi.org/10.1016/j.cpr.2017.10.011</w:t>
      </w:r>
    </w:p>
    <w:p w14:paraId="1E3EE28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González-Roz, A., Jackson, J., Murphy, C., Rohsenow, D. J., &amp; MacKillop, J. (2019). Behavioral economic tobacco demand in relation to cigarette consumption and nicotine dependence: A meta-analysis of cross-sectional relationships.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114</w:t>
      </w:r>
      <w:r w:rsidRPr="006F3F8E">
        <w:rPr>
          <w:rFonts w:ascii="Times New Roman" w:hAnsi="Times New Roman" w:cs="Times New Roman"/>
        </w:rPr>
        <w:t>(11), 1926–1940. https://doi.org/10.1111/add.14736</w:t>
      </w:r>
    </w:p>
    <w:p w14:paraId="6D84B75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González-Roz, A., Secades-Villa, R., Aonso-Diego, G., Weidberg, S., &amp; Fernández-Hermida, J. R. (2021). No evidence of the clinical utility of single-item breakpoint to inform on tobacco demand in persons with substance use disorders.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238</w:t>
      </w:r>
      <w:r w:rsidRPr="006F3F8E">
        <w:rPr>
          <w:rFonts w:ascii="Times New Roman" w:hAnsi="Times New Roman" w:cs="Times New Roman"/>
        </w:rPr>
        <w:t>(9), 2525–2533. https://doi.org/10.1007/s00213-021-05875-y</w:t>
      </w:r>
    </w:p>
    <w:p w14:paraId="177B940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Grace, R. C., Kivell, B. M., &amp; Laugesen, M. (2015). Predicting decreases in smoking with a cigarette purchase task: Evidence from an excise tax rise in New Zealand. </w:t>
      </w:r>
      <w:r w:rsidRPr="006F3F8E">
        <w:rPr>
          <w:rFonts w:ascii="Times New Roman" w:hAnsi="Times New Roman" w:cs="Times New Roman"/>
          <w:i/>
          <w:iCs/>
        </w:rPr>
        <w:t>Tobacco Control</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(6), 582–587. https://doi.org/10.1136/tobaccocontrol-2014-051594</w:t>
      </w:r>
    </w:p>
    <w:p w14:paraId="7AEB76C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Graham, K., Massak, A., Demers, A., &amp; Rehm, J. (2007). Does the association between alcohol consumption and depression depend on how they are measured?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31</w:t>
      </w:r>
      <w:r w:rsidRPr="006F3F8E">
        <w:rPr>
          <w:rFonts w:ascii="Times New Roman" w:hAnsi="Times New Roman" w:cs="Times New Roman"/>
        </w:rPr>
        <w:t>(1), 78–88. https://doi.org/10.1111/j.1530-0277.2006.00274.x</w:t>
      </w:r>
    </w:p>
    <w:p w14:paraId="3638E27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Grant, V. V., Stewart, S. H., &amp; Mohr, C. D. (2009). Coping-anxiety and coping-depression motives predict different daily mood-drinking relationships.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(2), 226–237. https://doi.org/10.1037/a0015006</w:t>
      </w:r>
    </w:p>
    <w:p w14:paraId="3F5513B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Green, R., &amp; Ray, L. A. (2018). Effects of varenicline on subjective craving and relative reinforcing value of cigarettes.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188</w:t>
      </w:r>
      <w:r w:rsidRPr="006F3F8E">
        <w:rPr>
          <w:rFonts w:ascii="Times New Roman" w:hAnsi="Times New Roman" w:cs="Times New Roman"/>
        </w:rPr>
        <w:t>, 53–59. https://doi.org/10.1016/j.drugalcdep.2018.03.037</w:t>
      </w:r>
    </w:p>
    <w:p w14:paraId="3DE1886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Hagström, H., Hemmingsson, T., Discacciati, A., &amp; Andreasson, A. (2018). Alcohol consumption in late adolescence is associated with an increased risk of severe liver disease later in life. </w:t>
      </w:r>
      <w:r w:rsidRPr="006F3F8E">
        <w:rPr>
          <w:rFonts w:ascii="Times New Roman" w:hAnsi="Times New Roman" w:cs="Times New Roman"/>
          <w:i/>
          <w:iCs/>
        </w:rPr>
        <w:t>Journal of Hepatology</w:t>
      </w:r>
      <w:r w:rsidRPr="006F3F8E">
        <w:rPr>
          <w:rFonts w:ascii="Times New Roman" w:hAnsi="Times New Roman" w:cs="Times New Roman"/>
        </w:rPr>
        <w:t xml:space="preserve">, </w:t>
      </w:r>
      <w:r w:rsidRPr="006F3F8E">
        <w:rPr>
          <w:rFonts w:ascii="Times New Roman" w:hAnsi="Times New Roman" w:cs="Times New Roman"/>
          <w:i/>
          <w:iCs/>
        </w:rPr>
        <w:t>68</w:t>
      </w:r>
      <w:r w:rsidRPr="006F3F8E">
        <w:rPr>
          <w:rFonts w:ascii="Times New Roman" w:hAnsi="Times New Roman" w:cs="Times New Roman"/>
        </w:rPr>
        <w:t>(3), 505–510. https://doi.org/10.1016/j.jhep.2017.11.019</w:t>
      </w:r>
    </w:p>
    <w:p w14:paraId="103AB11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Hallgren, K. A., Greenfield, B. L., &amp; Ladd, B. O. (2016). Psychometric properties of the adolescent reinforcement survey schedule – alcohol use version with college student drinkers. </w:t>
      </w:r>
      <w:r w:rsidRPr="006F3F8E">
        <w:rPr>
          <w:rFonts w:ascii="Times New Roman" w:hAnsi="Times New Roman" w:cs="Times New Roman"/>
          <w:i/>
          <w:iCs/>
        </w:rPr>
        <w:t>Substance Use &amp; Misuse</w:t>
      </w:r>
      <w:r w:rsidRPr="006F3F8E">
        <w:rPr>
          <w:rFonts w:ascii="Times New Roman" w:hAnsi="Times New Roman" w:cs="Times New Roman"/>
        </w:rPr>
        <w:t xml:space="preserve">, </w:t>
      </w:r>
      <w:r w:rsidRPr="006F3F8E">
        <w:rPr>
          <w:rFonts w:ascii="Times New Roman" w:hAnsi="Times New Roman" w:cs="Times New Roman"/>
          <w:i/>
          <w:iCs/>
        </w:rPr>
        <w:t>51</w:t>
      </w:r>
      <w:r w:rsidRPr="006F3F8E">
        <w:rPr>
          <w:rFonts w:ascii="Times New Roman" w:hAnsi="Times New Roman" w:cs="Times New Roman"/>
        </w:rPr>
        <w:t>(7), 812–822. https://doi.org/10.3109/10826084.2016.1155609</w:t>
      </w:r>
    </w:p>
    <w:p w14:paraId="36A942E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Halsall, L., Jones, A., Roberts, C., Knibb, G., &amp; Rose, A. K. (2022). The impact of alcohol priming on craving and motivation to drink: A meta-analysis. </w:t>
      </w:r>
      <w:r w:rsidRPr="006F3F8E">
        <w:rPr>
          <w:rFonts w:ascii="Times New Roman" w:hAnsi="Times New Roman" w:cs="Times New Roman"/>
          <w:i/>
          <w:iCs/>
        </w:rPr>
        <w:t>Addiction</w:t>
      </w:r>
      <w:r w:rsidRPr="006F3F8E">
        <w:rPr>
          <w:rFonts w:ascii="Times New Roman" w:hAnsi="Times New Roman" w:cs="Times New Roman"/>
        </w:rPr>
        <w:t>. https://doi.org/10.1111/add.15962</w:t>
      </w:r>
    </w:p>
    <w:p w14:paraId="16789FE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Hardy, L., Bakou, A. E., Shuai, R., Acuff, S. F., MacKillop, J., Murphy, C. M., Murphy, J. G., &amp; Hogarth, L. (2021). Associations between the Brief Assessment of Alcohol Demand (BAAD) questionnaire and alcohol use disorder severity in UK samples of student and community drinkers.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 106724. https://doi.org/10.1016/j.addbeh.2020.106724</w:t>
      </w:r>
    </w:p>
    <w:p w14:paraId="2C9BA17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Hardy, L., &amp; Hogarth, L. (2017). A novel concurrent pictorial choice model of mood-induced relapse in hazardous drinkers.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(6), 448–455. https://doi.org/10.1037/pha0000155</w:t>
      </w:r>
    </w:p>
    <w:p w14:paraId="698EE4D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Hardy, L., Mitchell, C., Seabrooke, T., &amp; Hogarth, L. (2017). Drug cue reactivity involves hierarchical instrumental learning: Evidence from a biconditional Pavlovian to </w:t>
      </w:r>
      <w:r w:rsidRPr="006F3F8E">
        <w:rPr>
          <w:rFonts w:ascii="Times New Roman" w:hAnsi="Times New Roman" w:cs="Times New Roman"/>
        </w:rPr>
        <w:lastRenderedPageBreak/>
        <w:t xml:space="preserve">instrumental transfer task.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234</w:t>
      </w:r>
      <w:r w:rsidRPr="006F3F8E">
        <w:rPr>
          <w:rFonts w:ascii="Times New Roman" w:hAnsi="Times New Roman" w:cs="Times New Roman"/>
        </w:rPr>
        <w:t>(13), 1977–1984. https://doi.org/10.1007/s00213-017-4605-x</w:t>
      </w:r>
    </w:p>
    <w:p w14:paraId="29EE014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Hardy, L., Parker, S., Hartley, L., &amp; Hogarth, L. (2018). A concurrent pictorial drug choice task marks multiple risk factors in treatment-engaged smokers and drinkers. </w:t>
      </w:r>
      <w:r w:rsidRPr="006F3F8E">
        <w:rPr>
          <w:rFonts w:ascii="Times New Roman" w:hAnsi="Times New Roman" w:cs="Times New Roman"/>
          <w:i/>
          <w:iCs/>
        </w:rPr>
        <w:t>Behavioural Pharmacology</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(8), 716–725. https://doi.org/10.1097/FBP.0000000000000421</w:t>
      </w:r>
    </w:p>
    <w:p w14:paraId="2AB47762" w14:textId="0FA5EA7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Hartigan, J. A., &amp; Hartigan, P. M. (1985). The </w:t>
      </w:r>
      <w:r w:rsidR="00412CC3">
        <w:rPr>
          <w:rFonts w:ascii="Times New Roman" w:hAnsi="Times New Roman" w:cs="Times New Roman"/>
        </w:rPr>
        <w:t>d</w:t>
      </w:r>
      <w:r w:rsidRPr="006F3F8E">
        <w:rPr>
          <w:rFonts w:ascii="Times New Roman" w:hAnsi="Times New Roman" w:cs="Times New Roman"/>
        </w:rPr>
        <w:t xml:space="preserve">ip </w:t>
      </w:r>
      <w:r w:rsidR="00412CC3">
        <w:rPr>
          <w:rFonts w:ascii="Times New Roman" w:hAnsi="Times New Roman" w:cs="Times New Roman"/>
        </w:rPr>
        <w:t>t</w:t>
      </w:r>
      <w:r w:rsidRPr="006F3F8E">
        <w:rPr>
          <w:rFonts w:ascii="Times New Roman" w:hAnsi="Times New Roman" w:cs="Times New Roman"/>
        </w:rPr>
        <w:t>est of</w:t>
      </w:r>
      <w:r w:rsidR="00412CC3">
        <w:rPr>
          <w:rFonts w:ascii="Times New Roman" w:hAnsi="Times New Roman" w:cs="Times New Roman"/>
        </w:rPr>
        <w:t xml:space="preserve"> u</w:t>
      </w:r>
      <w:r w:rsidRPr="006F3F8E">
        <w:rPr>
          <w:rFonts w:ascii="Times New Roman" w:hAnsi="Times New Roman" w:cs="Times New Roman"/>
        </w:rPr>
        <w:t xml:space="preserve">nimodality. </w:t>
      </w:r>
      <w:r w:rsidRPr="006F3F8E">
        <w:rPr>
          <w:rFonts w:ascii="Times New Roman" w:hAnsi="Times New Roman" w:cs="Times New Roman"/>
          <w:i/>
          <w:iCs/>
        </w:rPr>
        <w:t>The Annals of Statistics</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(1), 70–84.</w:t>
      </w:r>
    </w:p>
    <w:p w14:paraId="6854BBF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Hasin, D. S., Fenton, M. C., Beseler, C., Park, J. Y., &amp; Wall, M. M. (2012). Analyses related to the development of DSM-5 criteria for substance use related disorders: 2. Proposed DSM-5 criteria for alcohol, cannabis, cocaine and heroin disorders in 663 substance abuse patients.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122</w:t>
      </w:r>
      <w:r w:rsidRPr="006F3F8E">
        <w:rPr>
          <w:rFonts w:ascii="Times New Roman" w:hAnsi="Times New Roman" w:cs="Times New Roman"/>
        </w:rPr>
        <w:t>(1), 28–37. https://doi.org/10.1016/j.drugalcdep.2011.09.005</w:t>
      </w:r>
    </w:p>
    <w:p w14:paraId="15BC235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Hasin, D. S., Hatzenbueler, M., Smith, S., &amp; Grant, B. F. (2005). Co-occurring DSM-IV drug abuse in DSM-IV drug dependence: Results from the National Epidemiologic Survey on Alcohol and Related Conditions.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80</w:t>
      </w:r>
      <w:r w:rsidRPr="006F3F8E">
        <w:rPr>
          <w:rFonts w:ascii="Times New Roman" w:hAnsi="Times New Roman" w:cs="Times New Roman"/>
        </w:rPr>
        <w:t>(1), 117–123. https://doi.org/10.1016/j.drugalcdep.2005.03.010</w:t>
      </w:r>
    </w:p>
    <w:p w14:paraId="6DA478F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Hasin, D. S., O’Brien, C. P., Auriacombe, M., Borges, G., Bucholz, K., Budney, A., Compton, W. M., Crowley, T., Ling, W., Petry, N. M., Schuckit, M., &amp; Grant, B. F. (2013). DSM-5 criteria for substance use disorders: Recommendations and rationale. </w:t>
      </w:r>
      <w:r w:rsidRPr="006F3F8E">
        <w:rPr>
          <w:rFonts w:ascii="Times New Roman" w:hAnsi="Times New Roman" w:cs="Times New Roman"/>
          <w:i/>
          <w:iCs/>
        </w:rPr>
        <w:t>The American Journal of Psychiatry</w:t>
      </w:r>
      <w:r w:rsidRPr="006F3F8E">
        <w:rPr>
          <w:rFonts w:ascii="Times New Roman" w:hAnsi="Times New Roman" w:cs="Times New Roman"/>
        </w:rPr>
        <w:t xml:space="preserve">, </w:t>
      </w:r>
      <w:r w:rsidRPr="006F3F8E">
        <w:rPr>
          <w:rFonts w:ascii="Times New Roman" w:hAnsi="Times New Roman" w:cs="Times New Roman"/>
          <w:i/>
          <w:iCs/>
        </w:rPr>
        <w:t>170</w:t>
      </w:r>
      <w:r w:rsidRPr="006F3F8E">
        <w:rPr>
          <w:rFonts w:ascii="Times New Roman" w:hAnsi="Times New Roman" w:cs="Times New Roman"/>
        </w:rPr>
        <w:t>(8), 834–851. https://doi.org/10.1176/appi.ajp.2013.12060782</w:t>
      </w:r>
    </w:p>
    <w:p w14:paraId="59C0F2E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Heather, N. (2017). On defining addiction. In N. Heather &amp; G. Segal (Eds.), </w:t>
      </w:r>
      <w:r w:rsidRPr="006F3F8E">
        <w:rPr>
          <w:rFonts w:ascii="Times New Roman" w:hAnsi="Times New Roman" w:cs="Times New Roman"/>
          <w:i/>
          <w:iCs/>
        </w:rPr>
        <w:t>Addiction and choice: Rethinking the relationship</w:t>
      </w:r>
      <w:r w:rsidRPr="006F3F8E">
        <w:rPr>
          <w:rFonts w:ascii="Times New Roman" w:hAnsi="Times New Roman" w:cs="Times New Roman"/>
        </w:rPr>
        <w:t xml:space="preserve"> (pp. 3–25). Oxford University Press. https://academic.oup.com/book/2163/chapter/142139187</w:t>
      </w:r>
    </w:p>
    <w:p w14:paraId="5A33155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Hedge, C., Powell, G., Bompas, A., &amp; Sumner, P. (2020). Self-reported impulsivity does not predict response caution. </w:t>
      </w:r>
      <w:r w:rsidRPr="006F3F8E">
        <w:rPr>
          <w:rFonts w:ascii="Times New Roman" w:hAnsi="Times New Roman" w:cs="Times New Roman"/>
          <w:i/>
          <w:iCs/>
        </w:rPr>
        <w:t>Personality and Individual Differences</w:t>
      </w:r>
      <w:r w:rsidRPr="006F3F8E">
        <w:rPr>
          <w:rFonts w:ascii="Times New Roman" w:hAnsi="Times New Roman" w:cs="Times New Roman"/>
        </w:rPr>
        <w:t xml:space="preserve">, </w:t>
      </w:r>
      <w:r w:rsidRPr="006F3F8E">
        <w:rPr>
          <w:rFonts w:ascii="Times New Roman" w:hAnsi="Times New Roman" w:cs="Times New Roman"/>
          <w:i/>
          <w:iCs/>
        </w:rPr>
        <w:t>167</w:t>
      </w:r>
      <w:r w:rsidRPr="006F3F8E">
        <w:rPr>
          <w:rFonts w:ascii="Times New Roman" w:hAnsi="Times New Roman" w:cs="Times New Roman"/>
        </w:rPr>
        <w:t>, 110257. https://doi.org/10.1016/j.paid.2020.110257</w:t>
      </w:r>
    </w:p>
    <w:p w14:paraId="74C6250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Hedge, C., Powell, G., &amp; Sumner, P. (2018). The reliability paradox: Why robust cognitive tasks do not produce reliable individual differences.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50</w:t>
      </w:r>
      <w:r w:rsidRPr="006F3F8E">
        <w:rPr>
          <w:rFonts w:ascii="Times New Roman" w:hAnsi="Times New Roman" w:cs="Times New Roman"/>
        </w:rPr>
        <w:t>(3), 1166–1186. https://doi.org/10.3758/s13428-017-0935-1</w:t>
      </w:r>
    </w:p>
    <w:p w14:paraId="70889FB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Heitz, R. P. (2014). The speed-accuracy tradeoff: History, physiology, methodology, and behavior. </w:t>
      </w:r>
      <w:r w:rsidRPr="006F3F8E">
        <w:rPr>
          <w:rFonts w:ascii="Times New Roman" w:hAnsi="Times New Roman" w:cs="Times New Roman"/>
          <w:i/>
          <w:iCs/>
        </w:rPr>
        <w:t>Frontiers in Neuroscience</w:t>
      </w:r>
      <w:r w:rsidRPr="006F3F8E">
        <w:rPr>
          <w:rFonts w:ascii="Times New Roman" w:hAnsi="Times New Roman" w:cs="Times New Roman"/>
        </w:rPr>
        <w:t xml:space="preserve">, </w:t>
      </w:r>
      <w:r w:rsidRPr="006F3F8E">
        <w:rPr>
          <w:rFonts w:ascii="Times New Roman" w:hAnsi="Times New Roman" w:cs="Times New Roman"/>
          <w:i/>
          <w:iCs/>
        </w:rPr>
        <w:t>8</w:t>
      </w:r>
      <w:r w:rsidRPr="006F3F8E">
        <w:rPr>
          <w:rFonts w:ascii="Times New Roman" w:hAnsi="Times New Roman" w:cs="Times New Roman"/>
        </w:rPr>
        <w:t>. https://www.frontiersin.org/articles/10.3389/fnins.2014.00150</w:t>
      </w:r>
    </w:p>
    <w:p w14:paraId="446425A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Hendricks, P. S., Delucchi, K. L., &amp; Hall, S. M. (2010). Mechanisms of change in extended cognitive behavioral treatment for tobacco dependence.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109</w:t>
      </w:r>
      <w:r w:rsidRPr="006F3F8E">
        <w:rPr>
          <w:rFonts w:ascii="Times New Roman" w:hAnsi="Times New Roman" w:cs="Times New Roman"/>
        </w:rPr>
        <w:t>(1–3), 114–119. https://doi.org/10.1016/j.drugalcdep.2009.12.021</w:t>
      </w:r>
    </w:p>
    <w:p w14:paraId="5104EFA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Herrnstein, R. J. (1974). Formal properties of the matching law. </w:t>
      </w:r>
      <w:r w:rsidRPr="006F3F8E">
        <w:rPr>
          <w:rFonts w:ascii="Times New Roman" w:hAnsi="Times New Roman" w:cs="Times New Roman"/>
          <w:i/>
          <w:iCs/>
        </w:rPr>
        <w:t>Journal of the Experimental Analysis of Behavior</w:t>
      </w:r>
      <w:r w:rsidRPr="006F3F8E">
        <w:rPr>
          <w:rFonts w:ascii="Times New Roman" w:hAnsi="Times New Roman" w:cs="Times New Roman"/>
        </w:rPr>
        <w:t xml:space="preserve">, </w:t>
      </w:r>
      <w:r w:rsidRPr="006F3F8E">
        <w:rPr>
          <w:rFonts w:ascii="Times New Roman" w:hAnsi="Times New Roman" w:cs="Times New Roman"/>
          <w:i/>
          <w:iCs/>
        </w:rPr>
        <w:t>21</w:t>
      </w:r>
      <w:r w:rsidRPr="006F3F8E">
        <w:rPr>
          <w:rFonts w:ascii="Times New Roman" w:hAnsi="Times New Roman" w:cs="Times New Roman"/>
        </w:rPr>
        <w:t>(1), 159–164. https://doi.org/10.1901/jeab.1974.21-159</w:t>
      </w:r>
    </w:p>
    <w:p w14:paraId="456AA2C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Heyman, G. M. (2013). Addiction and Choice: Theory and New Data. </w:t>
      </w:r>
      <w:r w:rsidRPr="006F3F8E">
        <w:rPr>
          <w:rFonts w:ascii="Times New Roman" w:hAnsi="Times New Roman" w:cs="Times New Roman"/>
          <w:i/>
          <w:iCs/>
        </w:rPr>
        <w:t>Frontiers in Psychiatry</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 https://www.frontiersin.org/articles/10.3389/fpsyt.2013.00031</w:t>
      </w:r>
    </w:p>
    <w:p w14:paraId="26F450B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Heyman, G. M. (2017). Do addicts have free will? An empirical approach to a vexing question. </w:t>
      </w:r>
      <w:r w:rsidRPr="006F3F8E">
        <w:rPr>
          <w:rFonts w:ascii="Times New Roman" w:hAnsi="Times New Roman" w:cs="Times New Roman"/>
          <w:i/>
          <w:iCs/>
        </w:rPr>
        <w:t>Addictive Behaviors Reports</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 85–93. https://doi.org/10.1016/j.abrep.2017.02.001</w:t>
      </w:r>
    </w:p>
    <w:p w14:paraId="05CA3A5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Higgins, S. T., Heil, S. H., &amp; Lussier, J. P. (2004). Clinical implications of reinforcement as a determinant of substance use disorders. </w:t>
      </w:r>
      <w:r w:rsidRPr="006F3F8E">
        <w:rPr>
          <w:rFonts w:ascii="Times New Roman" w:hAnsi="Times New Roman" w:cs="Times New Roman"/>
          <w:i/>
          <w:iCs/>
        </w:rPr>
        <w:t>Annual Review of Psychology</w:t>
      </w:r>
      <w:r w:rsidRPr="006F3F8E">
        <w:rPr>
          <w:rFonts w:ascii="Times New Roman" w:hAnsi="Times New Roman" w:cs="Times New Roman"/>
        </w:rPr>
        <w:t xml:space="preserve">, </w:t>
      </w:r>
      <w:r w:rsidRPr="006F3F8E">
        <w:rPr>
          <w:rFonts w:ascii="Times New Roman" w:hAnsi="Times New Roman" w:cs="Times New Roman"/>
          <w:i/>
          <w:iCs/>
        </w:rPr>
        <w:t>55</w:t>
      </w:r>
      <w:r w:rsidRPr="006F3F8E">
        <w:rPr>
          <w:rFonts w:ascii="Times New Roman" w:hAnsi="Times New Roman" w:cs="Times New Roman"/>
        </w:rPr>
        <w:t>, 431–461. https://doi.org/10.1146/annurev.psych.55.090902.142033</w:t>
      </w:r>
    </w:p>
    <w:p w14:paraId="3A2C6FE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Higgins-Biddle, J. C., &amp; Babor, T. F. (2018). A review of the Alcohol Use Disorders Identification Test (AUDIT), AUDIT-C, and USAUDIT for screening in the United </w:t>
      </w:r>
      <w:r w:rsidRPr="006F3F8E">
        <w:rPr>
          <w:rFonts w:ascii="Times New Roman" w:hAnsi="Times New Roman" w:cs="Times New Roman"/>
        </w:rPr>
        <w:lastRenderedPageBreak/>
        <w:t xml:space="preserve">States: Past issues and future directions. </w:t>
      </w:r>
      <w:r w:rsidRPr="006F3F8E">
        <w:rPr>
          <w:rFonts w:ascii="Times New Roman" w:hAnsi="Times New Roman" w:cs="Times New Roman"/>
          <w:i/>
          <w:iCs/>
        </w:rPr>
        <w:t>The American Journal of Drug and Alcohol Abuse</w:t>
      </w:r>
      <w:r w:rsidRPr="006F3F8E">
        <w:rPr>
          <w:rFonts w:ascii="Times New Roman" w:hAnsi="Times New Roman" w:cs="Times New Roman"/>
        </w:rPr>
        <w:t xml:space="preserve">, </w:t>
      </w:r>
      <w:r w:rsidRPr="006F3F8E">
        <w:rPr>
          <w:rFonts w:ascii="Times New Roman" w:hAnsi="Times New Roman" w:cs="Times New Roman"/>
          <w:i/>
          <w:iCs/>
        </w:rPr>
        <w:t>44</w:t>
      </w:r>
      <w:r w:rsidRPr="006F3F8E">
        <w:rPr>
          <w:rFonts w:ascii="Times New Roman" w:hAnsi="Times New Roman" w:cs="Times New Roman"/>
        </w:rPr>
        <w:t>(6), 578–586. https://doi.org/10.1080/00952990.2018.1456545</w:t>
      </w:r>
    </w:p>
    <w:p w14:paraId="55CE8E8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Hill, C., Bowers, G., Costello, A., England, J., Houston-Ludlam, A., Knowlton, G., May, M., Moraff, E., Pinto-Coelho, K., Rosenberg, L., Sauber, E., Crook-Lyon, R., &amp; Thompson, B. (2013). What’s it all about? A qualitative study of undergraduate students’ beliefs about meaning of life. </w:t>
      </w:r>
      <w:r w:rsidRPr="006F3F8E">
        <w:rPr>
          <w:rFonts w:ascii="Times New Roman" w:hAnsi="Times New Roman" w:cs="Times New Roman"/>
          <w:i/>
          <w:iCs/>
        </w:rPr>
        <w:t>Journal of Humanistic Psychology</w:t>
      </w:r>
      <w:r w:rsidRPr="006F3F8E">
        <w:rPr>
          <w:rFonts w:ascii="Times New Roman" w:hAnsi="Times New Roman" w:cs="Times New Roman"/>
        </w:rPr>
        <w:t xml:space="preserve">, </w:t>
      </w:r>
      <w:r w:rsidRPr="006F3F8E">
        <w:rPr>
          <w:rFonts w:ascii="Times New Roman" w:hAnsi="Times New Roman" w:cs="Times New Roman"/>
          <w:i/>
          <w:iCs/>
        </w:rPr>
        <w:t>53</w:t>
      </w:r>
      <w:r w:rsidRPr="006F3F8E">
        <w:rPr>
          <w:rFonts w:ascii="Times New Roman" w:hAnsi="Times New Roman" w:cs="Times New Roman"/>
        </w:rPr>
        <w:t>, 386–414. https://doi.org/10.1177/0022167813477733</w:t>
      </w:r>
    </w:p>
    <w:p w14:paraId="703F543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HM Revenue &amp; Customs. (2021). </w:t>
      </w:r>
      <w:r w:rsidRPr="006F3F8E">
        <w:rPr>
          <w:rFonts w:ascii="Times New Roman" w:hAnsi="Times New Roman" w:cs="Times New Roman"/>
          <w:i/>
          <w:iCs/>
        </w:rPr>
        <w:t>Changes to tobacco duty rates</w:t>
      </w:r>
      <w:r w:rsidRPr="006F3F8E">
        <w:rPr>
          <w:rFonts w:ascii="Times New Roman" w:hAnsi="Times New Roman" w:cs="Times New Roman"/>
        </w:rPr>
        <w:t>. GOV.UK. https://www.gov.uk/government/publications/changes-to-tobacco-duty-rates/changes-to-tobacco-duty-rates</w:t>
      </w:r>
    </w:p>
    <w:p w14:paraId="488ECD7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Hofmann, W., Baumeister, R. F., Förster, G., &amp; Vohs, K. D. (2012). Everyday temptations: An experience sampling study of desire, conflict, and self-control. </w:t>
      </w:r>
      <w:r w:rsidRPr="006F3F8E">
        <w:rPr>
          <w:rFonts w:ascii="Times New Roman" w:hAnsi="Times New Roman" w:cs="Times New Roman"/>
          <w:i/>
          <w:iCs/>
        </w:rPr>
        <w:t>Journal of Personality and Social Psychology</w:t>
      </w:r>
      <w:r w:rsidRPr="006F3F8E">
        <w:rPr>
          <w:rFonts w:ascii="Times New Roman" w:hAnsi="Times New Roman" w:cs="Times New Roman"/>
        </w:rPr>
        <w:t xml:space="preserve">, </w:t>
      </w:r>
      <w:r w:rsidRPr="006F3F8E">
        <w:rPr>
          <w:rFonts w:ascii="Times New Roman" w:hAnsi="Times New Roman" w:cs="Times New Roman"/>
          <w:i/>
          <w:iCs/>
        </w:rPr>
        <w:t>102</w:t>
      </w:r>
      <w:r w:rsidRPr="006F3F8E">
        <w:rPr>
          <w:rFonts w:ascii="Times New Roman" w:hAnsi="Times New Roman" w:cs="Times New Roman"/>
        </w:rPr>
        <w:t>(6), 1318–1335. https://doi.org/10.1037/a0026545</w:t>
      </w:r>
    </w:p>
    <w:p w14:paraId="296E635F" w14:textId="52D47B5D"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(2012). Goal-directed and transfer-cue-elicited drug-seeking are dissociated by pharmacotherapy: Evidence for independent additive controllers. </w:t>
      </w:r>
      <w:r w:rsidRPr="006F3F8E">
        <w:rPr>
          <w:rFonts w:ascii="Times New Roman" w:hAnsi="Times New Roman" w:cs="Times New Roman"/>
          <w:i/>
          <w:iCs/>
        </w:rPr>
        <w:t>Journal of Experimental Psycholog</w:t>
      </w:r>
      <w:r w:rsidR="00412CC3">
        <w:rPr>
          <w:rFonts w:ascii="Times New Roman" w:hAnsi="Times New Roman" w:cs="Times New Roman"/>
          <w:i/>
          <w:iCs/>
        </w:rPr>
        <w:t xml:space="preserve">y: </w:t>
      </w:r>
      <w:r w:rsidRPr="006F3F8E">
        <w:rPr>
          <w:rFonts w:ascii="Times New Roman" w:hAnsi="Times New Roman" w:cs="Times New Roman"/>
          <w:i/>
          <w:iCs/>
        </w:rPr>
        <w:t>Animal Behavior Processes</w:t>
      </w:r>
      <w:r w:rsidRPr="006F3F8E">
        <w:rPr>
          <w:rFonts w:ascii="Times New Roman" w:hAnsi="Times New Roman" w:cs="Times New Roman"/>
        </w:rPr>
        <w:t xml:space="preserve">, </w:t>
      </w:r>
      <w:r w:rsidRPr="006F3F8E">
        <w:rPr>
          <w:rFonts w:ascii="Times New Roman" w:hAnsi="Times New Roman" w:cs="Times New Roman"/>
          <w:i/>
          <w:iCs/>
        </w:rPr>
        <w:t>38</w:t>
      </w:r>
      <w:r w:rsidRPr="006F3F8E">
        <w:rPr>
          <w:rFonts w:ascii="Times New Roman" w:hAnsi="Times New Roman" w:cs="Times New Roman"/>
        </w:rPr>
        <w:t>(3), 266–278. https://doi.org/10.1037/a0028914</w:t>
      </w:r>
    </w:p>
    <w:p w14:paraId="0AE6EC0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(2020). Addiction is driven by excessive goal-directed drug choice under negative affect: Translational critique of habit and compulsion theory. </w:t>
      </w:r>
      <w:r w:rsidRPr="006F3F8E">
        <w:rPr>
          <w:rFonts w:ascii="Times New Roman" w:hAnsi="Times New Roman" w:cs="Times New Roman"/>
          <w:i/>
          <w:iCs/>
        </w:rPr>
        <w:t>Neuropsychopharmacology</w:t>
      </w:r>
      <w:r w:rsidRPr="006F3F8E">
        <w:rPr>
          <w:rFonts w:ascii="Times New Roman" w:hAnsi="Times New Roman" w:cs="Times New Roman"/>
        </w:rPr>
        <w:t xml:space="preserve">, </w:t>
      </w:r>
      <w:r w:rsidRPr="006F3F8E">
        <w:rPr>
          <w:rFonts w:ascii="Times New Roman" w:hAnsi="Times New Roman" w:cs="Times New Roman"/>
          <w:i/>
          <w:iCs/>
        </w:rPr>
        <w:t>45</w:t>
      </w:r>
      <w:r w:rsidRPr="006F3F8E">
        <w:rPr>
          <w:rFonts w:ascii="Times New Roman" w:hAnsi="Times New Roman" w:cs="Times New Roman"/>
        </w:rPr>
        <w:t>(5), 720–735. https://doi.org/10.1038/s41386-020-0600-8</w:t>
      </w:r>
    </w:p>
    <w:p w14:paraId="57F8E0EB" w14:textId="1089D373"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(2022). The persistence of addiction is better explained by socioeconomic deprivation-related factors powerfully motivating goal-directed drug choice than by automaticity, habit or compulsion theories favored by the brain disease model. In N. </w:t>
      </w:r>
      <w:r w:rsidRPr="006F3F8E">
        <w:rPr>
          <w:rFonts w:ascii="Times New Roman" w:hAnsi="Times New Roman" w:cs="Times New Roman"/>
        </w:rPr>
        <w:lastRenderedPageBreak/>
        <w:t xml:space="preserve">Heather, M. Field, A. C. Moss, &amp; S. Satel (Eds.), </w:t>
      </w:r>
      <w:r w:rsidRPr="006F3F8E">
        <w:rPr>
          <w:rFonts w:ascii="Times New Roman" w:hAnsi="Times New Roman" w:cs="Times New Roman"/>
          <w:i/>
          <w:iCs/>
        </w:rPr>
        <w:t xml:space="preserve">Evaluating the </w:t>
      </w:r>
      <w:r w:rsidR="00412CC3">
        <w:rPr>
          <w:rFonts w:ascii="Times New Roman" w:hAnsi="Times New Roman" w:cs="Times New Roman"/>
          <w:i/>
          <w:iCs/>
        </w:rPr>
        <w:t>b</w:t>
      </w:r>
      <w:r w:rsidRPr="006F3F8E">
        <w:rPr>
          <w:rFonts w:ascii="Times New Roman" w:hAnsi="Times New Roman" w:cs="Times New Roman"/>
          <w:i/>
          <w:iCs/>
        </w:rPr>
        <w:t xml:space="preserve">rain </w:t>
      </w:r>
      <w:r w:rsidR="00412CC3">
        <w:rPr>
          <w:rFonts w:ascii="Times New Roman" w:hAnsi="Times New Roman" w:cs="Times New Roman"/>
          <w:i/>
          <w:iCs/>
        </w:rPr>
        <w:t>d</w:t>
      </w:r>
      <w:r w:rsidRPr="006F3F8E">
        <w:rPr>
          <w:rFonts w:ascii="Times New Roman" w:hAnsi="Times New Roman" w:cs="Times New Roman"/>
          <w:i/>
          <w:iCs/>
        </w:rPr>
        <w:t xml:space="preserve">isease </w:t>
      </w:r>
      <w:r w:rsidR="00412CC3">
        <w:rPr>
          <w:rFonts w:ascii="Times New Roman" w:hAnsi="Times New Roman" w:cs="Times New Roman"/>
          <w:i/>
          <w:iCs/>
        </w:rPr>
        <w:t>m</w:t>
      </w:r>
      <w:r w:rsidRPr="006F3F8E">
        <w:rPr>
          <w:rFonts w:ascii="Times New Roman" w:hAnsi="Times New Roman" w:cs="Times New Roman"/>
          <w:i/>
          <w:iCs/>
        </w:rPr>
        <w:t xml:space="preserve">odel of </w:t>
      </w:r>
      <w:r w:rsidR="00412CC3">
        <w:rPr>
          <w:rFonts w:ascii="Times New Roman" w:hAnsi="Times New Roman" w:cs="Times New Roman"/>
          <w:i/>
          <w:iCs/>
        </w:rPr>
        <w:t>a</w:t>
      </w:r>
      <w:r w:rsidRPr="006F3F8E">
        <w:rPr>
          <w:rFonts w:ascii="Times New Roman" w:hAnsi="Times New Roman" w:cs="Times New Roman"/>
          <w:i/>
          <w:iCs/>
        </w:rPr>
        <w:t>ddiction</w:t>
      </w:r>
      <w:r w:rsidRPr="006F3F8E">
        <w:rPr>
          <w:rFonts w:ascii="Times New Roman" w:hAnsi="Times New Roman" w:cs="Times New Roman"/>
        </w:rPr>
        <w:t>. Routledge.</w:t>
      </w:r>
    </w:p>
    <w:p w14:paraId="01D96932" w14:textId="10A4AAD5"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&amp; Chase, H. W. (2011). Parallel goal-directed and habitual control of human drug-seeking: Implications for dependence vulnerability. </w:t>
      </w:r>
      <w:r w:rsidRPr="006F3F8E">
        <w:rPr>
          <w:rFonts w:ascii="Times New Roman" w:hAnsi="Times New Roman" w:cs="Times New Roman"/>
          <w:i/>
          <w:iCs/>
        </w:rPr>
        <w:t>Journal of Experimental Psychology</w:t>
      </w:r>
      <w:r w:rsidR="00412CC3">
        <w:rPr>
          <w:rFonts w:ascii="Times New Roman" w:hAnsi="Times New Roman" w:cs="Times New Roman"/>
          <w:i/>
          <w:iCs/>
        </w:rPr>
        <w:t>:</w:t>
      </w:r>
      <w:r w:rsidRPr="006F3F8E">
        <w:rPr>
          <w:rFonts w:ascii="Times New Roman" w:hAnsi="Times New Roman" w:cs="Times New Roman"/>
          <w:i/>
          <w:iCs/>
        </w:rPr>
        <w:t xml:space="preserve"> Animal Behavior Processes</w:t>
      </w:r>
      <w:r w:rsidRPr="006F3F8E">
        <w:rPr>
          <w:rFonts w:ascii="Times New Roman" w:hAnsi="Times New Roman" w:cs="Times New Roman"/>
        </w:rPr>
        <w:t xml:space="preserve">, </w:t>
      </w:r>
      <w:r w:rsidRPr="006F3F8E">
        <w:rPr>
          <w:rFonts w:ascii="Times New Roman" w:hAnsi="Times New Roman" w:cs="Times New Roman"/>
          <w:i/>
          <w:iCs/>
        </w:rPr>
        <w:t>37</w:t>
      </w:r>
      <w:r w:rsidRPr="006F3F8E">
        <w:rPr>
          <w:rFonts w:ascii="Times New Roman" w:hAnsi="Times New Roman" w:cs="Times New Roman"/>
        </w:rPr>
        <w:t>(3), 261–276. https://doi.org/10.1037/a0022913</w:t>
      </w:r>
    </w:p>
    <w:p w14:paraId="0CA5642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&amp; Field, M. (2020). Relative expected value of drugs versus competing rewards underpins vulnerability to and recovery from addiction. </w:t>
      </w:r>
      <w:r w:rsidRPr="006F3F8E">
        <w:rPr>
          <w:rFonts w:ascii="Times New Roman" w:hAnsi="Times New Roman" w:cs="Times New Roman"/>
          <w:i/>
          <w:iCs/>
        </w:rPr>
        <w:t>Behavioural Brain Research</w:t>
      </w:r>
      <w:r w:rsidRPr="006F3F8E">
        <w:rPr>
          <w:rFonts w:ascii="Times New Roman" w:hAnsi="Times New Roman" w:cs="Times New Roman"/>
        </w:rPr>
        <w:t xml:space="preserve">, </w:t>
      </w:r>
      <w:r w:rsidRPr="006F3F8E">
        <w:rPr>
          <w:rFonts w:ascii="Times New Roman" w:hAnsi="Times New Roman" w:cs="Times New Roman"/>
          <w:i/>
          <w:iCs/>
        </w:rPr>
        <w:t>394</w:t>
      </w:r>
      <w:r w:rsidRPr="006F3F8E">
        <w:rPr>
          <w:rFonts w:ascii="Times New Roman" w:hAnsi="Times New Roman" w:cs="Times New Roman"/>
        </w:rPr>
        <w:t>, 112815. https://doi.org/10.1016/j.bbr.2020.112815</w:t>
      </w:r>
    </w:p>
    <w:p w14:paraId="3FFF0BF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&amp; Hardy, L. (2018a). Depressive statements prime goal-directed alcohol-seeking in individuals who report drinking to cope with negative affect.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235</w:t>
      </w:r>
      <w:r w:rsidRPr="006F3F8E">
        <w:rPr>
          <w:rFonts w:ascii="Times New Roman" w:hAnsi="Times New Roman" w:cs="Times New Roman"/>
        </w:rPr>
        <w:t>(1), 269–279. https://doi.org/10.1007/s00213-017-4765-8</w:t>
      </w:r>
    </w:p>
    <w:p w14:paraId="367B32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&amp; Hardy, L. (2018b). Alcohol use disorder symptoms are associated with greater relative value ascribed to alcohol, but not greater discounting of costs imposed on alcohol.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235</w:t>
      </w:r>
      <w:r w:rsidRPr="006F3F8E">
        <w:rPr>
          <w:rFonts w:ascii="Times New Roman" w:hAnsi="Times New Roman" w:cs="Times New Roman"/>
        </w:rPr>
        <w:t>(8), 2257–2266. https://doi.org/10.1007/s00213-018-4922-8</w:t>
      </w:r>
    </w:p>
    <w:p w14:paraId="2F5E8D9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Hardy, L., Mathew, A. R., &amp; Hitsman, B. (2018). Negative mood-induced alcohol-seeking is greater in young adults who report depression symptoms, drinking to cope, and subjective reactivity.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(2), 138–146. https://doi.org/10.1037/pha0000177</w:t>
      </w:r>
    </w:p>
    <w:p w14:paraId="596A904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He, Z., Chase, H. W., Wills, A. J., Troisi, J., Leventhal, A. M., Mathew, A. R., &amp; Hitsman, B. (2015). Negative mood reverses devaluation of goal-directed drug-seeking favouring an incentive learning account of drug dependence.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232</w:t>
      </w:r>
      <w:r w:rsidRPr="006F3F8E">
        <w:rPr>
          <w:rFonts w:ascii="Times New Roman" w:hAnsi="Times New Roman" w:cs="Times New Roman"/>
        </w:rPr>
        <w:t>(17), 3235–3247. https://doi.org/10.1007/s00213-015-3977-z</w:t>
      </w:r>
    </w:p>
    <w:p w14:paraId="682CE28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Hogarth, L., Lam-Cassettari, C., Pacitti, H., Currah, T., Mahlberg, J., Hartley, L., &amp; Moustafa, A. (2019). Intact goal-directed control in treatment-seeking drug users indexed by outcome-devaluation and Pavlovian to instrumental transfer: Critique of habit theory. </w:t>
      </w:r>
      <w:r w:rsidRPr="006F3F8E">
        <w:rPr>
          <w:rFonts w:ascii="Times New Roman" w:hAnsi="Times New Roman" w:cs="Times New Roman"/>
          <w:i/>
          <w:iCs/>
        </w:rPr>
        <w:t>The European Journal of Neuroscience</w:t>
      </w:r>
      <w:r w:rsidRPr="006F3F8E">
        <w:rPr>
          <w:rFonts w:ascii="Times New Roman" w:hAnsi="Times New Roman" w:cs="Times New Roman"/>
        </w:rPr>
        <w:t xml:space="preserve">, </w:t>
      </w:r>
      <w:r w:rsidRPr="006F3F8E">
        <w:rPr>
          <w:rFonts w:ascii="Times New Roman" w:hAnsi="Times New Roman" w:cs="Times New Roman"/>
          <w:i/>
          <w:iCs/>
        </w:rPr>
        <w:t>50</w:t>
      </w:r>
      <w:r w:rsidRPr="006F3F8E">
        <w:rPr>
          <w:rFonts w:ascii="Times New Roman" w:hAnsi="Times New Roman" w:cs="Times New Roman"/>
        </w:rPr>
        <w:t>(3), 2513–2525. https://doi.org/10.1111/ejn.13961</w:t>
      </w:r>
    </w:p>
    <w:p w14:paraId="1CFA675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Hogarth, L., Mathew, A. R., &amp; Hitsman, B. (2017). Current major depression is associated with greater sensitivity to the motivational effect of both negative mood induction and abstinence on tobacco-seeking behaviour.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176</w:t>
      </w:r>
      <w:r w:rsidRPr="006F3F8E">
        <w:rPr>
          <w:rFonts w:ascii="Times New Roman" w:hAnsi="Times New Roman" w:cs="Times New Roman"/>
        </w:rPr>
        <w:t>, 1–6. https://doi.org/10.1016/j.drugalcdep.2017.02.009</w:t>
      </w:r>
    </w:p>
    <w:p w14:paraId="4D5B9E2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Holahan, C. J., Moos, R. H., Holahan, C. K., Cronkite, R. C., &amp; Randall, P. K. (2003). Drinking to cope and alcohol use and abuse in unipolar depression: A 10-year model.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(1), 159–165. https://doi.org/10.1037/0021-843X.112.1.159</w:t>
      </w:r>
    </w:p>
    <w:p w14:paraId="4ECFB37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Holmes, J., Fairbrother, H., Livingston, M., Meier, P. S., Oldham, M., Pennay, A., &amp; Whitaker, V. (2022). Youth drinking in decline: What are the implications for public health, public policy and public debate? </w:t>
      </w:r>
      <w:r w:rsidRPr="006F3F8E">
        <w:rPr>
          <w:rFonts w:ascii="Times New Roman" w:hAnsi="Times New Roman" w:cs="Times New Roman"/>
          <w:i/>
          <w:iCs/>
        </w:rPr>
        <w:t>The International Journal on Drug Policy</w:t>
      </w:r>
      <w:r w:rsidRPr="006F3F8E">
        <w:rPr>
          <w:rFonts w:ascii="Times New Roman" w:hAnsi="Times New Roman" w:cs="Times New Roman"/>
        </w:rPr>
        <w:t xml:space="preserve">, </w:t>
      </w:r>
      <w:r w:rsidRPr="006F3F8E">
        <w:rPr>
          <w:rFonts w:ascii="Times New Roman" w:hAnsi="Times New Roman" w:cs="Times New Roman"/>
          <w:i/>
          <w:iCs/>
        </w:rPr>
        <w:t>102</w:t>
      </w:r>
      <w:r w:rsidRPr="006F3F8E">
        <w:rPr>
          <w:rFonts w:ascii="Times New Roman" w:hAnsi="Times New Roman" w:cs="Times New Roman"/>
        </w:rPr>
        <w:t>, 103606. https://doi.org/10.1016/j.drugpo.2022.103606</w:t>
      </w:r>
    </w:p>
    <w:p w14:paraId="11256A0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Hooker, S. A., &amp; Masters, K. S. (2016). Purpose in life is associated with physical activity measured by accelerometer. </w:t>
      </w:r>
      <w:r w:rsidRPr="006F3F8E">
        <w:rPr>
          <w:rFonts w:ascii="Times New Roman" w:hAnsi="Times New Roman" w:cs="Times New Roman"/>
          <w:i/>
          <w:iCs/>
        </w:rPr>
        <w:t>Journal of Health Psychology</w:t>
      </w:r>
      <w:r w:rsidRPr="006F3F8E">
        <w:rPr>
          <w:rFonts w:ascii="Times New Roman" w:hAnsi="Times New Roman" w:cs="Times New Roman"/>
        </w:rPr>
        <w:t xml:space="preserve">, </w:t>
      </w:r>
      <w:r w:rsidRPr="006F3F8E">
        <w:rPr>
          <w:rFonts w:ascii="Times New Roman" w:hAnsi="Times New Roman" w:cs="Times New Roman"/>
          <w:i/>
          <w:iCs/>
        </w:rPr>
        <w:t>21</w:t>
      </w:r>
      <w:r w:rsidRPr="006F3F8E">
        <w:rPr>
          <w:rFonts w:ascii="Times New Roman" w:hAnsi="Times New Roman" w:cs="Times New Roman"/>
        </w:rPr>
        <w:t>(6), 962–971. https://doi.org/10.1177/1359105314542822</w:t>
      </w:r>
    </w:p>
    <w:p w14:paraId="63622B9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Hooker, S. A., Masters, K. S., &amp; Park, C. L. (2018). A meaningful life is a healthy life: A conceptual model linking meaning and meaning salience to health. </w:t>
      </w:r>
      <w:r w:rsidRPr="006F3F8E">
        <w:rPr>
          <w:rFonts w:ascii="Times New Roman" w:hAnsi="Times New Roman" w:cs="Times New Roman"/>
          <w:i/>
          <w:iCs/>
        </w:rPr>
        <w:t>Review of General Psychology</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(1), 11–24. https://doi.org/10.1037/gpr0000115</w:t>
      </w:r>
    </w:p>
    <w:p w14:paraId="482E586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Houston, R. J., Derrick, J. L., Leonard, K. E., Testa, M., Quigley, B. M., &amp; Kubiak, A. (2014). Effects of heavy drinking on executive cognitive functioning in a community </w:t>
      </w:r>
      <w:r w:rsidRPr="006F3F8E">
        <w:rPr>
          <w:rFonts w:ascii="Times New Roman" w:hAnsi="Times New Roman" w:cs="Times New Roman"/>
        </w:rPr>
        <w:lastRenderedPageBreak/>
        <w:t xml:space="preserve">sample.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(1), 345–349. https://doi.org/10.1016/j.addbeh.2013.09.032</w:t>
      </w:r>
    </w:p>
    <w:p w14:paraId="350160F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Hu, L., &amp; Bentler, P. M. (1999). Cutoff criteria for fit indexes in covariance structure analysis: Conventional criteria versus new alternatives. </w:t>
      </w:r>
      <w:r w:rsidRPr="006F3F8E">
        <w:rPr>
          <w:rFonts w:ascii="Times New Roman" w:hAnsi="Times New Roman" w:cs="Times New Roman"/>
          <w:i/>
          <w:iCs/>
        </w:rPr>
        <w:t>Structural Equation Modeling</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(1), 1–55. https://doi.org/10.1080/10705519909540118</w:t>
      </w:r>
    </w:p>
    <w:p w14:paraId="10F2F5B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Hughes, J. R., Baker, T., Breslau, N., Covey, L., &amp; Shiffman, S. (2011). Applicability of DSM criteria to nicotine dependence.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(5), 894–895; discussion 895-897. https://doi.org/10.1111/j.1360-0443.2010.03281.x</w:t>
      </w:r>
    </w:p>
    <w:p w14:paraId="53C980F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Hursh, S. R., &amp; Silberberg, A. (2008). Economic demand and essential value. </w:t>
      </w:r>
      <w:r w:rsidRPr="006F3F8E">
        <w:rPr>
          <w:rFonts w:ascii="Times New Roman" w:hAnsi="Times New Roman" w:cs="Times New Roman"/>
          <w:i/>
          <w:iCs/>
        </w:rPr>
        <w:t>Psychological Review</w:t>
      </w:r>
      <w:r w:rsidRPr="006F3F8E">
        <w:rPr>
          <w:rFonts w:ascii="Times New Roman" w:hAnsi="Times New Roman" w:cs="Times New Roman"/>
        </w:rPr>
        <w:t xml:space="preserve">, </w:t>
      </w:r>
      <w:r w:rsidRPr="006F3F8E">
        <w:rPr>
          <w:rFonts w:ascii="Times New Roman" w:hAnsi="Times New Roman" w:cs="Times New Roman"/>
          <w:i/>
          <w:iCs/>
        </w:rPr>
        <w:t>115</w:t>
      </w:r>
      <w:r w:rsidRPr="006F3F8E">
        <w:rPr>
          <w:rFonts w:ascii="Times New Roman" w:hAnsi="Times New Roman" w:cs="Times New Roman"/>
        </w:rPr>
        <w:t>(1), 186–198. https://doi.org/10.1037/0033-295X.115.1.186</w:t>
      </w:r>
    </w:p>
    <w:p w14:paraId="7464630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Irizar, P., Jones, A., Christiansen, P., Goodwin, L., Gage, S. H., Roberts, C., Knibb, G., Cooke, R., &amp; Rose, A. K. (2021). Longitudinal associations with alcohol consumption during the first COVID-19 lockdown: Associations with mood, drinking motives, context of drinking, and mental health.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226</w:t>
      </w:r>
      <w:r w:rsidRPr="006F3F8E">
        <w:rPr>
          <w:rFonts w:ascii="Times New Roman" w:hAnsi="Times New Roman" w:cs="Times New Roman"/>
        </w:rPr>
        <w:t>, 108913. https://doi.org/10.1016/j.drugalcdep.2021.108913</w:t>
      </w:r>
    </w:p>
    <w:p w14:paraId="4A372C2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Jackson, S., Brown, J., Norris, E., Livingstone-Banks, J., Hayes, E., &amp; Lindson, N. (2022). Mindfulness for smoking cessation. </w:t>
      </w:r>
      <w:r w:rsidRPr="006F3F8E">
        <w:rPr>
          <w:rFonts w:ascii="Times New Roman" w:hAnsi="Times New Roman" w:cs="Times New Roman"/>
          <w:i/>
          <w:iCs/>
        </w:rPr>
        <w:t>The Cochrane Database of Systematic Reviews</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 CD013696. https://doi.org/10.1002/14651858.CD013696.pub2</w:t>
      </w:r>
    </w:p>
    <w:p w14:paraId="41A69C4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Jacobs, E. A., &amp; Bickel, W. K. (1999). Modeling drug consumption in the clinic using simulation procedures: Demand for heroin and cigarettes in opioid-dependent outpatients.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7</w:t>
      </w:r>
      <w:r w:rsidRPr="006F3F8E">
        <w:rPr>
          <w:rFonts w:ascii="Times New Roman" w:hAnsi="Times New Roman" w:cs="Times New Roman"/>
        </w:rPr>
        <w:t>(4), 412–426. https://doi.org/10.1037/1064-1297.7.4.412</w:t>
      </w:r>
    </w:p>
    <w:p w14:paraId="2FC6392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Jané-Llopis, E., &amp; Matytsina, I. (2006). Mental health and alcohol, drugs and tobacco: A review of the comorbidity between mental disorders and the use of alcohol, tobacco </w:t>
      </w:r>
      <w:r w:rsidRPr="006F3F8E">
        <w:rPr>
          <w:rFonts w:ascii="Times New Roman" w:hAnsi="Times New Roman" w:cs="Times New Roman"/>
        </w:rPr>
        <w:lastRenderedPageBreak/>
        <w:t xml:space="preserve">and illicit drugs. </w:t>
      </w:r>
      <w:r w:rsidRPr="006F3F8E">
        <w:rPr>
          <w:rFonts w:ascii="Times New Roman" w:hAnsi="Times New Roman" w:cs="Times New Roman"/>
          <w:i/>
          <w:iCs/>
        </w:rPr>
        <w:t>Drug and Alcohol Review</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(6), 515–536. https://doi.org/10.1080/09595230600944461</w:t>
      </w:r>
    </w:p>
    <w:p w14:paraId="628B02C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JASP Team. (2021). </w:t>
      </w:r>
      <w:r w:rsidRPr="006F3F8E">
        <w:rPr>
          <w:rFonts w:ascii="Times New Roman" w:hAnsi="Times New Roman" w:cs="Times New Roman"/>
          <w:i/>
          <w:iCs/>
        </w:rPr>
        <w:t>JASP (Version 0.16)</w:t>
      </w:r>
      <w:r w:rsidRPr="006F3F8E">
        <w:rPr>
          <w:rFonts w:ascii="Times New Roman" w:hAnsi="Times New Roman" w:cs="Times New Roman"/>
        </w:rPr>
        <w:t>. https://jasp-stats.org/</w:t>
      </w:r>
    </w:p>
    <w:p w14:paraId="09F5767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Jeffreys, H. (1961). </w:t>
      </w:r>
      <w:r w:rsidRPr="006F3F8E">
        <w:rPr>
          <w:rFonts w:ascii="Times New Roman" w:hAnsi="Times New Roman" w:cs="Times New Roman"/>
          <w:i/>
          <w:iCs/>
        </w:rPr>
        <w:t>Theory of probability</w:t>
      </w:r>
      <w:r w:rsidRPr="006F3F8E">
        <w:rPr>
          <w:rFonts w:ascii="Times New Roman" w:hAnsi="Times New Roman" w:cs="Times New Roman"/>
        </w:rPr>
        <w:t xml:space="preserve"> (3rd ed.). Oxford University Press.</w:t>
      </w:r>
    </w:p>
    <w:p w14:paraId="28CD75B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Johannessen, D. A., Nordfjærn, T., &amp; Geirdal, A. Ø. (2019). Change in psychosocial factors connected to coping after inpatient treatment for substance use disorder: A systematic review. </w:t>
      </w:r>
      <w:r w:rsidRPr="006F3F8E">
        <w:rPr>
          <w:rFonts w:ascii="Times New Roman" w:hAnsi="Times New Roman" w:cs="Times New Roman"/>
          <w:i/>
          <w:iCs/>
        </w:rPr>
        <w:t>Substance Abuse Treatment, Prevention, and Policy</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(1), 16. https://doi.org/10.1186/s13011-019-0210-9</w:t>
      </w:r>
    </w:p>
    <w:p w14:paraId="6D2A9F5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Joyner, K. J., Acuff, S. F., Meshesha, L. Z., Patrick, C. J., &amp; Murphy, J. G. (2018). Alcohol family history moderates the association between evening substance-free reinforcement and alcohol problems.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(6), 560–569. https://doi.org/10.1037/pha0000223</w:t>
      </w:r>
    </w:p>
    <w:p w14:paraId="172F919E" w14:textId="5128EAB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Kahneman, D. (2011). </w:t>
      </w:r>
      <w:r w:rsidRPr="006F3F8E">
        <w:rPr>
          <w:rFonts w:ascii="Times New Roman" w:hAnsi="Times New Roman" w:cs="Times New Roman"/>
          <w:i/>
          <w:iCs/>
        </w:rPr>
        <w:t xml:space="preserve">Thinking, </w:t>
      </w:r>
      <w:r w:rsidR="00DE7798">
        <w:rPr>
          <w:rFonts w:ascii="Times New Roman" w:hAnsi="Times New Roman" w:cs="Times New Roman"/>
          <w:i/>
          <w:iCs/>
        </w:rPr>
        <w:t>f</w:t>
      </w:r>
      <w:r w:rsidRPr="006F3F8E">
        <w:rPr>
          <w:rFonts w:ascii="Times New Roman" w:hAnsi="Times New Roman" w:cs="Times New Roman"/>
          <w:i/>
          <w:iCs/>
        </w:rPr>
        <w:t xml:space="preserve">ast and </w:t>
      </w:r>
      <w:r w:rsidR="00DE7798">
        <w:rPr>
          <w:rFonts w:ascii="Times New Roman" w:hAnsi="Times New Roman" w:cs="Times New Roman"/>
          <w:i/>
          <w:iCs/>
        </w:rPr>
        <w:t>s</w:t>
      </w:r>
      <w:r w:rsidRPr="006F3F8E">
        <w:rPr>
          <w:rFonts w:ascii="Times New Roman" w:hAnsi="Times New Roman" w:cs="Times New Roman"/>
          <w:i/>
          <w:iCs/>
        </w:rPr>
        <w:t>low</w:t>
      </w:r>
      <w:r w:rsidRPr="006F3F8E">
        <w:rPr>
          <w:rFonts w:ascii="Times New Roman" w:hAnsi="Times New Roman" w:cs="Times New Roman"/>
        </w:rPr>
        <w:t xml:space="preserve"> (1st edition). Farrar, Straus and Giroux.</w:t>
      </w:r>
    </w:p>
    <w:p w14:paraId="16F2191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Kanter, J. W., Manos, R. C., Bowe, W. M., Baruch, D. E., Busch, A. M., &amp; Rusch, L. C. (2010). What is behavioral activation? A review of the empirical literature. </w:t>
      </w:r>
      <w:r w:rsidRPr="006F3F8E">
        <w:rPr>
          <w:rFonts w:ascii="Times New Roman" w:hAnsi="Times New Roman" w:cs="Times New Roman"/>
          <w:i/>
          <w:iCs/>
        </w:rPr>
        <w:t>Clinical Psychology Review</w:t>
      </w:r>
      <w:r w:rsidRPr="006F3F8E">
        <w:rPr>
          <w:rFonts w:ascii="Times New Roman" w:hAnsi="Times New Roman" w:cs="Times New Roman"/>
        </w:rPr>
        <w:t xml:space="preserve">, </w:t>
      </w:r>
      <w:r w:rsidRPr="006F3F8E">
        <w:rPr>
          <w:rFonts w:ascii="Times New Roman" w:hAnsi="Times New Roman" w:cs="Times New Roman"/>
          <w:i/>
          <w:iCs/>
        </w:rPr>
        <w:t>30</w:t>
      </w:r>
      <w:r w:rsidRPr="006F3F8E">
        <w:rPr>
          <w:rFonts w:ascii="Times New Roman" w:hAnsi="Times New Roman" w:cs="Times New Roman"/>
        </w:rPr>
        <w:t>(6), 608–620. https://doi.org/10.1016/j.cpr.2010.04.001</w:t>
      </w:r>
    </w:p>
    <w:p w14:paraId="60BA48A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Kaplan, B. A., Foster, R. N. S., Reed, D. D., Amlung, M., Murphy, J. G., &amp; MacKillop, J. (2018). Understanding alcohol motivation using the alcohol purchase task: A methodological systematic review.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191</w:t>
      </w:r>
      <w:r w:rsidRPr="006F3F8E">
        <w:rPr>
          <w:rFonts w:ascii="Times New Roman" w:hAnsi="Times New Roman" w:cs="Times New Roman"/>
        </w:rPr>
        <w:t>, 117–140. https://doi.org/10.1016/j.drugalcdep.2018.06.029</w:t>
      </w:r>
    </w:p>
    <w:p w14:paraId="6581DD5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Kaplan, B. A., Gilroy, S. P., Reed, D. D., Koffarnus, M. N., &amp; Hursh, S. R. (2019). The R package beezdemand: Behavioral Economic Easy Demand. </w:t>
      </w:r>
      <w:r w:rsidRPr="006F3F8E">
        <w:rPr>
          <w:rFonts w:ascii="Times New Roman" w:hAnsi="Times New Roman" w:cs="Times New Roman"/>
          <w:i/>
          <w:iCs/>
        </w:rPr>
        <w:t>Perspectives on Behavior Science</w:t>
      </w:r>
      <w:r w:rsidRPr="006F3F8E">
        <w:rPr>
          <w:rFonts w:ascii="Times New Roman" w:hAnsi="Times New Roman" w:cs="Times New Roman"/>
        </w:rPr>
        <w:t xml:space="preserve">, </w:t>
      </w:r>
      <w:r w:rsidRPr="006F3F8E">
        <w:rPr>
          <w:rFonts w:ascii="Times New Roman" w:hAnsi="Times New Roman" w:cs="Times New Roman"/>
          <w:i/>
          <w:iCs/>
        </w:rPr>
        <w:t>42</w:t>
      </w:r>
      <w:r w:rsidRPr="006F3F8E">
        <w:rPr>
          <w:rFonts w:ascii="Times New Roman" w:hAnsi="Times New Roman" w:cs="Times New Roman"/>
        </w:rPr>
        <w:t>(1), 163–180. https://doi.org/10.1007/s40614-018-00187-7</w:t>
      </w:r>
    </w:p>
    <w:p w14:paraId="42157F64" w14:textId="2A1378E1"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Kaplan, B. A., &amp; Reed, D. D. (2018). Happy hour drink specials in the </w:t>
      </w:r>
      <w:r w:rsidR="00DE7798">
        <w:rPr>
          <w:rFonts w:ascii="Times New Roman" w:hAnsi="Times New Roman" w:cs="Times New Roman"/>
        </w:rPr>
        <w:t>a</w:t>
      </w:r>
      <w:r w:rsidRPr="006F3F8E">
        <w:rPr>
          <w:rFonts w:ascii="Times New Roman" w:hAnsi="Times New Roman" w:cs="Times New Roman"/>
        </w:rPr>
        <w:t xml:space="preserve">lcohol </w:t>
      </w:r>
      <w:r w:rsidR="00DE7798">
        <w:rPr>
          <w:rFonts w:ascii="Times New Roman" w:hAnsi="Times New Roman" w:cs="Times New Roman"/>
        </w:rPr>
        <w:t>p</w:t>
      </w:r>
      <w:r w:rsidRPr="006F3F8E">
        <w:rPr>
          <w:rFonts w:ascii="Times New Roman" w:hAnsi="Times New Roman" w:cs="Times New Roman"/>
        </w:rPr>
        <w:t xml:space="preserve">urchase </w:t>
      </w:r>
      <w:r w:rsidR="00DE7798">
        <w:rPr>
          <w:rFonts w:ascii="Times New Roman" w:hAnsi="Times New Roman" w:cs="Times New Roman"/>
        </w:rPr>
        <w:t>t</w:t>
      </w:r>
      <w:r w:rsidRPr="006F3F8E">
        <w:rPr>
          <w:rFonts w:ascii="Times New Roman" w:hAnsi="Times New Roman" w:cs="Times New Roman"/>
        </w:rPr>
        <w:t xml:space="preserve">ask.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(2), 156–167. https://doi.org/10.1037/pha0000174</w:t>
      </w:r>
    </w:p>
    <w:p w14:paraId="4DC4F3E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Kelly, J. F. (2017). Is Alcoholics Anonymous religious, spiritual, neither? Findings from 25 years of mechanisms of behavior change research.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(6), 929–936. https://doi.org/10.1111/add.13590</w:t>
      </w:r>
    </w:p>
    <w:p w14:paraId="17CE8159" w14:textId="481126A8"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Kelly, J. F., Hoeppner, B., Stout, R. L., &amp; Pagano, M. (2012). Determining the relative importance of the mechanisms of behavior change within Alcoholics Anonymous: A multiple mediator 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107</w:t>
      </w:r>
      <w:r w:rsidRPr="006F3F8E">
        <w:rPr>
          <w:rFonts w:ascii="Times New Roman" w:hAnsi="Times New Roman" w:cs="Times New Roman"/>
        </w:rPr>
        <w:t>(2), 289–299. https://doi.org/10.1111/j.1360-0443.2011.03593.x</w:t>
      </w:r>
    </w:p>
    <w:p w14:paraId="6844FA4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Kelly, J. F., Magill, M., &amp; Stout, R. L. (2009). How do people recover from alcohol dependence? A systematic review of the research on mechanisms of behavior change in Alcoholics Anonymous. </w:t>
      </w:r>
      <w:r w:rsidRPr="006F3F8E">
        <w:rPr>
          <w:rFonts w:ascii="Times New Roman" w:hAnsi="Times New Roman" w:cs="Times New Roman"/>
          <w:i/>
          <w:iCs/>
        </w:rPr>
        <w:t>Addiction Research &amp; Theory</w:t>
      </w:r>
      <w:r w:rsidRPr="006F3F8E">
        <w:rPr>
          <w:rFonts w:ascii="Times New Roman" w:hAnsi="Times New Roman" w:cs="Times New Roman"/>
        </w:rPr>
        <w:t xml:space="preserve">, </w:t>
      </w:r>
      <w:r w:rsidRPr="006F3F8E">
        <w:rPr>
          <w:rFonts w:ascii="Times New Roman" w:hAnsi="Times New Roman" w:cs="Times New Roman"/>
          <w:i/>
          <w:iCs/>
        </w:rPr>
        <w:t>17</w:t>
      </w:r>
      <w:r w:rsidRPr="006F3F8E">
        <w:rPr>
          <w:rFonts w:ascii="Times New Roman" w:hAnsi="Times New Roman" w:cs="Times New Roman"/>
        </w:rPr>
        <w:t>(3), 236–259. https://doi.org/10.1080/16066350902770458</w:t>
      </w:r>
    </w:p>
    <w:p w14:paraId="3942C33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Kenney, S., Jones, R. N., &amp; Barnett, N. P. (2015). Gender differences in the effect of depressive symptoms on prospective alcohol expectancies, coping motives, and alcohol outcomes in the first year of college. </w:t>
      </w:r>
      <w:r w:rsidRPr="006F3F8E">
        <w:rPr>
          <w:rFonts w:ascii="Times New Roman" w:hAnsi="Times New Roman" w:cs="Times New Roman"/>
          <w:i/>
          <w:iCs/>
        </w:rPr>
        <w:t>Journal of Youth and Adolescence</w:t>
      </w:r>
      <w:r w:rsidRPr="006F3F8E">
        <w:rPr>
          <w:rFonts w:ascii="Times New Roman" w:hAnsi="Times New Roman" w:cs="Times New Roman"/>
        </w:rPr>
        <w:t xml:space="preserve">, </w:t>
      </w:r>
      <w:r w:rsidRPr="006F3F8E">
        <w:rPr>
          <w:rFonts w:ascii="Times New Roman" w:hAnsi="Times New Roman" w:cs="Times New Roman"/>
          <w:i/>
          <w:iCs/>
        </w:rPr>
        <w:t>44</w:t>
      </w:r>
      <w:r w:rsidRPr="006F3F8E">
        <w:rPr>
          <w:rFonts w:ascii="Times New Roman" w:hAnsi="Times New Roman" w:cs="Times New Roman"/>
        </w:rPr>
        <w:t>(10), 1884–1897. https://doi.org/10.1007/s10964-015-0311-3</w:t>
      </w:r>
    </w:p>
    <w:p w14:paraId="514923F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Kenny, D. A. (2020). </w:t>
      </w:r>
      <w:r w:rsidRPr="006F3F8E">
        <w:rPr>
          <w:rFonts w:ascii="Times New Roman" w:hAnsi="Times New Roman" w:cs="Times New Roman"/>
          <w:i/>
          <w:iCs/>
        </w:rPr>
        <w:t>Measuring model fit</w:t>
      </w:r>
      <w:r w:rsidRPr="006F3F8E">
        <w:rPr>
          <w:rFonts w:ascii="Times New Roman" w:hAnsi="Times New Roman" w:cs="Times New Roman"/>
        </w:rPr>
        <w:t>. http://www.davidakenny.net/cm/fit.htm</w:t>
      </w:r>
    </w:p>
    <w:p w14:paraId="7DF5EA5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Kessler, R. C., Crum, R. M., Warner, L. A., Nelson, C. B., Schulenberg, J., &amp; Anthony, J. C. (1997). Lifetime co-occurrence of DSM-III-R alcohol abuse and dependence with other psychiatric disorders in the National Comorbidity Survey. </w:t>
      </w:r>
      <w:r w:rsidRPr="006F3F8E">
        <w:rPr>
          <w:rFonts w:ascii="Times New Roman" w:hAnsi="Times New Roman" w:cs="Times New Roman"/>
          <w:i/>
          <w:iCs/>
        </w:rPr>
        <w:t>Archives of General Psychiatry</w:t>
      </w:r>
      <w:r w:rsidRPr="006F3F8E">
        <w:rPr>
          <w:rFonts w:ascii="Times New Roman" w:hAnsi="Times New Roman" w:cs="Times New Roman"/>
        </w:rPr>
        <w:t xml:space="preserve">, </w:t>
      </w:r>
      <w:r w:rsidRPr="006F3F8E">
        <w:rPr>
          <w:rFonts w:ascii="Times New Roman" w:hAnsi="Times New Roman" w:cs="Times New Roman"/>
          <w:i/>
          <w:iCs/>
        </w:rPr>
        <w:t>54</w:t>
      </w:r>
      <w:r w:rsidRPr="006F3F8E">
        <w:rPr>
          <w:rFonts w:ascii="Times New Roman" w:hAnsi="Times New Roman" w:cs="Times New Roman"/>
        </w:rPr>
        <w:t>(4), 313–321. https://doi.org/10.1001/archpsyc.1997.01830160031005</w:t>
      </w:r>
    </w:p>
    <w:p w14:paraId="5E2CC2A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Khan, S. S., Ning, H., Sinha, A., Wilkins, J., Allen, N. B., Vu, T. H. T., Berry, J. D., Lloyd‐Jones, D. M., &amp; Sweis, R. (2021). Cigarette smoking and competing risks for fatal </w:t>
      </w:r>
      <w:r w:rsidRPr="006F3F8E">
        <w:rPr>
          <w:rFonts w:ascii="Times New Roman" w:hAnsi="Times New Roman" w:cs="Times New Roman"/>
        </w:rPr>
        <w:lastRenderedPageBreak/>
        <w:t xml:space="preserve">and nonfatal cardiovascular disease subtypes across the life course. </w:t>
      </w:r>
      <w:r w:rsidRPr="006F3F8E">
        <w:rPr>
          <w:rFonts w:ascii="Times New Roman" w:hAnsi="Times New Roman" w:cs="Times New Roman"/>
          <w:i/>
          <w:iCs/>
        </w:rPr>
        <w:t>Journal of the American Heart Association</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(23), e021751. https://doi.org/10.1161/JAHA.121.021751</w:t>
      </w:r>
    </w:p>
    <w:p w14:paraId="76339A6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Khazaal, Y., Zullino, D., &amp; Billieux, J. (2012). The Geneva Smoking Pictures: Development and preliminary validation. </w:t>
      </w:r>
      <w:r w:rsidRPr="006F3F8E">
        <w:rPr>
          <w:rFonts w:ascii="Times New Roman" w:hAnsi="Times New Roman" w:cs="Times New Roman"/>
          <w:i/>
          <w:iCs/>
        </w:rPr>
        <w:t>European Addiction Research</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(3), 103–109. https://doi.org/10.1159/000335083</w:t>
      </w:r>
    </w:p>
    <w:p w14:paraId="34B6CA7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Khoddam, R., &amp; Leventhal, A. M. (2016). Alternative and complementary reinforcers as mechanisms linking adolescent conduct problems and substance use.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(5), 376–389. https://doi.org/10.1037/pha0000088</w:t>
      </w:r>
    </w:p>
    <w:p w14:paraId="6383076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Kieslich, P. J., Schoemann, M., Grage, T., Hepp, J., &amp; Scherbaum, S. (2020). Design factors in mouse-tracking: What makes a difference?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52</w:t>
      </w:r>
      <w:r w:rsidRPr="006F3F8E">
        <w:rPr>
          <w:rFonts w:ascii="Times New Roman" w:hAnsi="Times New Roman" w:cs="Times New Roman"/>
        </w:rPr>
        <w:t>(1), 317–341. https://doi.org/10.3758/s13428-019-01228-y</w:t>
      </w:r>
    </w:p>
    <w:p w14:paraId="34C107F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Kline, R. B. (1998). </w:t>
      </w:r>
      <w:r w:rsidRPr="006F3F8E">
        <w:rPr>
          <w:rFonts w:ascii="Times New Roman" w:hAnsi="Times New Roman" w:cs="Times New Roman"/>
          <w:i/>
          <w:iCs/>
        </w:rPr>
        <w:t>Principles and practice of structural equation modeling</w:t>
      </w:r>
      <w:r w:rsidRPr="006F3F8E">
        <w:rPr>
          <w:rFonts w:ascii="Times New Roman" w:hAnsi="Times New Roman" w:cs="Times New Roman"/>
        </w:rPr>
        <w:t>. Guilford Press.</w:t>
      </w:r>
    </w:p>
    <w:p w14:paraId="6C5C468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Kline, R. B. (2005). </w:t>
      </w:r>
      <w:r w:rsidRPr="006F3F8E">
        <w:rPr>
          <w:rFonts w:ascii="Times New Roman" w:hAnsi="Times New Roman" w:cs="Times New Roman"/>
          <w:i/>
          <w:iCs/>
        </w:rPr>
        <w:t>Principles and practice of structural equation modeling, 2nd ed</w:t>
      </w:r>
      <w:r w:rsidRPr="006F3F8E">
        <w:rPr>
          <w:rFonts w:ascii="Times New Roman" w:hAnsi="Times New Roman" w:cs="Times New Roman"/>
        </w:rPr>
        <w:t>. Guilford Press.</w:t>
      </w:r>
    </w:p>
    <w:p w14:paraId="2B09BBA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Klingemann, H., Sobell, M. B., &amp; Sobell, L. C. (2010). Continuities and changes in self-change research.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105</w:t>
      </w:r>
      <w:r w:rsidRPr="006F3F8E">
        <w:rPr>
          <w:rFonts w:ascii="Times New Roman" w:hAnsi="Times New Roman" w:cs="Times New Roman"/>
        </w:rPr>
        <w:t>(9), 1510–1518. https://doi.org/10.1111/j.1360-0443.2009.02770.x</w:t>
      </w:r>
    </w:p>
    <w:p w14:paraId="2F70A1A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Koffarnus, M. N., Franck, C. T., Stein, J. S., &amp; Bickel, W. K. (2015). A modified exponential behavioral economic demand model to better describe consumption data.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(6), 504–512. https://doi.org/10.1037/pha0000045</w:t>
      </w:r>
    </w:p>
    <w:p w14:paraId="0EF64F0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Krajbich, I., Armel, C., &amp; Rangel, A. (2010). Visual fixations and the computation and comparison of value in simple choice. </w:t>
      </w:r>
      <w:r w:rsidRPr="006F3F8E">
        <w:rPr>
          <w:rFonts w:ascii="Times New Roman" w:hAnsi="Times New Roman" w:cs="Times New Roman"/>
          <w:i/>
          <w:iCs/>
        </w:rPr>
        <w:t>Nature Neuroscience</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(10), 1292–1298. https://doi.org/10.1038/nn.2635</w:t>
      </w:r>
    </w:p>
    <w:p w14:paraId="1A434ED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Krajbich, I., Hare, T., Bartling, B., Morishima, Y., &amp; Fehr, E. (2015). A common mechanism underlying food choice and social decisions. </w:t>
      </w:r>
      <w:r w:rsidRPr="006F3F8E">
        <w:rPr>
          <w:rFonts w:ascii="Times New Roman" w:hAnsi="Times New Roman" w:cs="Times New Roman"/>
          <w:i/>
          <w:iCs/>
        </w:rPr>
        <w:t>PLoS Computational Biology</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(10), e1004371. https://doi.org/10.1371/journal.pcbi.1004371</w:t>
      </w:r>
    </w:p>
    <w:p w14:paraId="23351D0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Krajbich, I., Lu, D., Camerer, C., &amp; Rangel, A. (2012). The attentional drift-diffusion model extends to simple purchasing decisions.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3</w:t>
      </w:r>
      <w:r w:rsidRPr="006F3F8E">
        <w:rPr>
          <w:rFonts w:ascii="Times New Roman" w:hAnsi="Times New Roman" w:cs="Times New Roman"/>
        </w:rPr>
        <w:t>. https://www.frontiersin.org/articles/10.3389/fpsyg.2012.00193</w:t>
      </w:r>
    </w:p>
    <w:p w14:paraId="47A8280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Krajbich, I., &amp; Rangel, A. (2011). Multialternative drift-diffusion model predicts the relationship between visual fixations and choice in value-based decisions. </w:t>
      </w:r>
      <w:r w:rsidRPr="006F3F8E">
        <w:rPr>
          <w:rFonts w:ascii="Times New Roman" w:hAnsi="Times New Roman" w:cs="Times New Roman"/>
          <w:i/>
          <w:iCs/>
        </w:rPr>
        <w:t>Proceedings of the National Academy of Sciences</w:t>
      </w:r>
      <w:r w:rsidRPr="006F3F8E">
        <w:rPr>
          <w:rFonts w:ascii="Times New Roman" w:hAnsi="Times New Roman" w:cs="Times New Roman"/>
        </w:rPr>
        <w:t xml:space="preserve">, </w:t>
      </w:r>
      <w:r w:rsidRPr="006F3F8E">
        <w:rPr>
          <w:rFonts w:ascii="Times New Roman" w:hAnsi="Times New Roman" w:cs="Times New Roman"/>
          <w:i/>
          <w:iCs/>
        </w:rPr>
        <w:t>108</w:t>
      </w:r>
      <w:r w:rsidRPr="006F3F8E">
        <w:rPr>
          <w:rFonts w:ascii="Times New Roman" w:hAnsi="Times New Roman" w:cs="Times New Roman"/>
        </w:rPr>
        <w:t>(33), 13852–13857. https://doi.org/10.1073/pnas.1101328108</w:t>
      </w:r>
    </w:p>
    <w:p w14:paraId="1913959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Krentzman, A. R., Cranford, J., &amp; Robinson, E. (2015). Long-term increases in purpose in life are associated with remission from alcohol dependence. </w:t>
      </w:r>
      <w:r w:rsidRPr="006F3F8E">
        <w:rPr>
          <w:rFonts w:ascii="Times New Roman" w:hAnsi="Times New Roman" w:cs="Times New Roman"/>
          <w:i/>
          <w:iCs/>
        </w:rPr>
        <w:t>Alcoholism Treatment Quarterly</w:t>
      </w:r>
      <w:r w:rsidRPr="006F3F8E">
        <w:rPr>
          <w:rFonts w:ascii="Times New Roman" w:hAnsi="Times New Roman" w:cs="Times New Roman"/>
        </w:rPr>
        <w:t xml:space="preserve">, </w:t>
      </w:r>
      <w:r w:rsidRPr="006F3F8E">
        <w:rPr>
          <w:rFonts w:ascii="Times New Roman" w:hAnsi="Times New Roman" w:cs="Times New Roman"/>
          <w:i/>
          <w:iCs/>
        </w:rPr>
        <w:t>33</w:t>
      </w:r>
      <w:r w:rsidRPr="006F3F8E">
        <w:rPr>
          <w:rFonts w:ascii="Times New Roman" w:hAnsi="Times New Roman" w:cs="Times New Roman"/>
        </w:rPr>
        <w:t>, 252–269. https://doi.org/10.1080/07347324.2015.1050924</w:t>
      </w:r>
    </w:p>
    <w:p w14:paraId="1F5F8D6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Krentzman, A. R., Strobbe, S., Harris, J. I., Jester, J. M., &amp; Robinson, E. A. R. (2017). Decreased drinking and alcoholics anonymous are associated with different dimensions of spirituality. </w:t>
      </w:r>
      <w:r w:rsidRPr="006F3F8E">
        <w:rPr>
          <w:rFonts w:ascii="Times New Roman" w:hAnsi="Times New Roman" w:cs="Times New Roman"/>
          <w:i/>
          <w:iCs/>
        </w:rPr>
        <w:t>Psychology of Religion and Spirituality</w:t>
      </w:r>
      <w:r w:rsidRPr="006F3F8E">
        <w:rPr>
          <w:rFonts w:ascii="Times New Roman" w:hAnsi="Times New Roman" w:cs="Times New Roman"/>
        </w:rPr>
        <w:t xml:space="preserve">, </w:t>
      </w:r>
      <w:r w:rsidRPr="006F3F8E">
        <w:rPr>
          <w:rFonts w:ascii="Times New Roman" w:hAnsi="Times New Roman" w:cs="Times New Roman"/>
          <w:i/>
          <w:iCs/>
        </w:rPr>
        <w:t>9</w:t>
      </w:r>
      <w:r w:rsidRPr="006F3F8E">
        <w:rPr>
          <w:rFonts w:ascii="Times New Roman" w:hAnsi="Times New Roman" w:cs="Times New Roman"/>
        </w:rPr>
        <w:t>(Suppl 1), S40–S48. https://doi.org/10.1037/rel0000121</w:t>
      </w:r>
    </w:p>
    <w:p w14:paraId="2FC0EC2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Kroenke, K., Spitzer, R. L., &amp; Williams, J. B. W. (2003). The Patient Health Questionnaire-2: Validity of a two-item depression screener. </w:t>
      </w:r>
      <w:r w:rsidRPr="006F3F8E">
        <w:rPr>
          <w:rFonts w:ascii="Times New Roman" w:hAnsi="Times New Roman" w:cs="Times New Roman"/>
          <w:i/>
          <w:iCs/>
        </w:rPr>
        <w:t>Medical Care</w:t>
      </w:r>
      <w:r w:rsidRPr="006F3F8E">
        <w:rPr>
          <w:rFonts w:ascii="Times New Roman" w:hAnsi="Times New Roman" w:cs="Times New Roman"/>
        </w:rPr>
        <w:t xml:space="preserve">, </w:t>
      </w:r>
      <w:r w:rsidRPr="006F3F8E">
        <w:rPr>
          <w:rFonts w:ascii="Times New Roman" w:hAnsi="Times New Roman" w:cs="Times New Roman"/>
          <w:i/>
          <w:iCs/>
        </w:rPr>
        <w:t>41</w:t>
      </w:r>
      <w:r w:rsidRPr="006F3F8E">
        <w:rPr>
          <w:rFonts w:ascii="Times New Roman" w:hAnsi="Times New Roman" w:cs="Times New Roman"/>
        </w:rPr>
        <w:t>(11), 1284–1292. https://doi.org/10.1097/01.MLR.0000093487.78664.3C</w:t>
      </w:r>
    </w:p>
    <w:p w14:paraId="172F98E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Kroenke, K., Strine, T. W., Spitzer, R. L., Williams, J. B. W., Berry, J. T., &amp; Mokdad, A. H. (2009). The PHQ-8 as a measure of current depression in the general population. </w:t>
      </w:r>
      <w:r w:rsidRPr="006F3F8E">
        <w:rPr>
          <w:rFonts w:ascii="Times New Roman" w:hAnsi="Times New Roman" w:cs="Times New Roman"/>
          <w:i/>
          <w:iCs/>
        </w:rPr>
        <w:lastRenderedPageBreak/>
        <w:t>Journal of Affective Disorders</w:t>
      </w:r>
      <w:r w:rsidRPr="006F3F8E">
        <w:rPr>
          <w:rFonts w:ascii="Times New Roman" w:hAnsi="Times New Roman" w:cs="Times New Roman"/>
        </w:rPr>
        <w:t xml:space="preserve">, </w:t>
      </w:r>
      <w:r w:rsidRPr="006F3F8E">
        <w:rPr>
          <w:rFonts w:ascii="Times New Roman" w:hAnsi="Times New Roman" w:cs="Times New Roman"/>
          <w:i/>
          <w:iCs/>
        </w:rPr>
        <w:t>114</w:t>
      </w:r>
      <w:r w:rsidRPr="006F3F8E">
        <w:rPr>
          <w:rFonts w:ascii="Times New Roman" w:hAnsi="Times New Roman" w:cs="Times New Roman"/>
        </w:rPr>
        <w:t>(1–3), 163–173. https://doi.org/10.1016/j.jad.2008.06.026</w:t>
      </w:r>
    </w:p>
    <w:p w14:paraId="180A043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Kuipers, M. A. G., Beard, E., West, R., &amp; Brown, J. (2018). Associations between tobacco control mass media campaign expenditure and smoking prevalence and quitting in England: A time series analysis. </w:t>
      </w:r>
      <w:r w:rsidRPr="006F3F8E">
        <w:rPr>
          <w:rFonts w:ascii="Times New Roman" w:hAnsi="Times New Roman" w:cs="Times New Roman"/>
          <w:i/>
          <w:iCs/>
        </w:rPr>
        <w:t>Tobacco Control</w:t>
      </w:r>
      <w:r w:rsidRPr="006F3F8E">
        <w:rPr>
          <w:rFonts w:ascii="Times New Roman" w:hAnsi="Times New Roman" w:cs="Times New Roman"/>
        </w:rPr>
        <w:t xml:space="preserve">, </w:t>
      </w:r>
      <w:r w:rsidRPr="006F3F8E">
        <w:rPr>
          <w:rFonts w:ascii="Times New Roman" w:hAnsi="Times New Roman" w:cs="Times New Roman"/>
          <w:i/>
          <w:iCs/>
        </w:rPr>
        <w:t>27</w:t>
      </w:r>
      <w:r w:rsidRPr="006F3F8E">
        <w:rPr>
          <w:rFonts w:ascii="Times New Roman" w:hAnsi="Times New Roman" w:cs="Times New Roman"/>
        </w:rPr>
        <w:t>(4), 455–462. https://doi.org/10.1136/tobaccocontrol-2017-053662</w:t>
      </w:r>
    </w:p>
    <w:p w14:paraId="5350056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Kuipers, M. A. G., West, R., Beard, E. V., &amp; Brown, J. (2019). Impact of the “Stoptober” smoking cessation campaign in England from 2012 to 2017: A quasiexperimental repeat cross-sectional study. </w:t>
      </w:r>
      <w:r w:rsidRPr="006F3F8E">
        <w:rPr>
          <w:rFonts w:ascii="Times New Roman" w:hAnsi="Times New Roman" w:cs="Times New Roman"/>
          <w:i/>
          <w:iCs/>
        </w:rPr>
        <w:t>Nicotine &amp; Tobacco Research</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(9), 1453–1459. https://doi.org/10.1093/ntr/ntz108</w:t>
      </w:r>
    </w:p>
    <w:p w14:paraId="3FEBF0F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Kuntsche, E., &amp; Gmel, G. (2013). Alcohol consumption in late adolescence and early adulthood—Where is the problem? </w:t>
      </w:r>
      <w:r w:rsidRPr="006F3F8E">
        <w:rPr>
          <w:rFonts w:ascii="Times New Roman" w:hAnsi="Times New Roman" w:cs="Times New Roman"/>
          <w:i/>
          <w:iCs/>
        </w:rPr>
        <w:t>Swiss Medical Weekly</w:t>
      </w:r>
      <w:r w:rsidRPr="006F3F8E">
        <w:rPr>
          <w:rFonts w:ascii="Times New Roman" w:hAnsi="Times New Roman" w:cs="Times New Roman"/>
        </w:rPr>
        <w:t xml:space="preserve">, </w:t>
      </w:r>
      <w:r w:rsidRPr="006F3F8E">
        <w:rPr>
          <w:rFonts w:ascii="Times New Roman" w:hAnsi="Times New Roman" w:cs="Times New Roman"/>
          <w:i/>
          <w:iCs/>
        </w:rPr>
        <w:t>143</w:t>
      </w:r>
      <w:r w:rsidRPr="006F3F8E">
        <w:rPr>
          <w:rFonts w:ascii="Times New Roman" w:hAnsi="Times New Roman" w:cs="Times New Roman"/>
        </w:rPr>
        <w:t>, w13826. https://doi.org/10.4414/smw.2013.13826</w:t>
      </w:r>
    </w:p>
    <w:p w14:paraId="59884EE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Lai, H. M. X., Cleary, M., Sitharthan, T., &amp; Hunt, G. E. (2015). Prevalence of comorbid substance use, anxiety and mood disorders in epidemiological surveys, 1990–2014: A systematic review and meta-analysis.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154</w:t>
      </w:r>
      <w:r w:rsidRPr="006F3F8E">
        <w:rPr>
          <w:rFonts w:ascii="Times New Roman" w:hAnsi="Times New Roman" w:cs="Times New Roman"/>
        </w:rPr>
        <w:t>, 1–13. https://doi.org/10.1016/j.drugalcdep.2015.05.031</w:t>
      </w:r>
    </w:p>
    <w:p w14:paraId="5D47FAF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Lakens, D. (2021). </w:t>
      </w:r>
      <w:r w:rsidRPr="006F3F8E">
        <w:rPr>
          <w:rFonts w:ascii="Times New Roman" w:hAnsi="Times New Roman" w:cs="Times New Roman"/>
          <w:i/>
          <w:iCs/>
        </w:rPr>
        <w:t>Sample size justification</w:t>
      </w:r>
      <w:r w:rsidRPr="006F3F8E">
        <w:rPr>
          <w:rFonts w:ascii="Times New Roman" w:hAnsi="Times New Roman" w:cs="Times New Roman"/>
        </w:rPr>
        <w:t>. PsyArXiv. https://doi.org/10.31234/osf.io/9d3yf</w:t>
      </w:r>
    </w:p>
    <w:p w14:paraId="2D72AF2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Lang, P. J., Bradley, M., &amp; Cuthbert, B. (2008). </w:t>
      </w:r>
      <w:r w:rsidRPr="006F3F8E">
        <w:rPr>
          <w:rFonts w:ascii="Times New Roman" w:hAnsi="Times New Roman" w:cs="Times New Roman"/>
          <w:i/>
          <w:iCs/>
        </w:rPr>
        <w:t>International affective picture system (IAPS): Affective ratings of pictures and instruction manual</w:t>
      </w:r>
      <w:r w:rsidRPr="006F3F8E">
        <w:rPr>
          <w:rFonts w:ascii="Times New Roman" w:hAnsi="Times New Roman" w:cs="Times New Roman"/>
        </w:rPr>
        <w:t>. University of Florida. https://ci.nii.ac.jp/naid/20001061266/</w:t>
      </w:r>
    </w:p>
    <w:p w14:paraId="23B6C04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Lawn, W., Freeman, T. P., East, K., Gaule, A., Aston, E. R., Bloomfield, M. A. P., Das, R. K., Morgan, C. J. A., &amp; Curran, H. V. (2018). The acute effects of a dopamine D3 receptor preferring agonist on motivation for cigarettes in dependent and occasional </w:t>
      </w:r>
      <w:r w:rsidRPr="006F3F8E">
        <w:rPr>
          <w:rFonts w:ascii="Times New Roman" w:hAnsi="Times New Roman" w:cs="Times New Roman"/>
        </w:rPr>
        <w:lastRenderedPageBreak/>
        <w:t xml:space="preserve">cigarette smokers. </w:t>
      </w:r>
      <w:r w:rsidRPr="006F3F8E">
        <w:rPr>
          <w:rFonts w:ascii="Times New Roman" w:hAnsi="Times New Roman" w:cs="Times New Roman"/>
          <w:i/>
          <w:iCs/>
        </w:rPr>
        <w:t>Nicotine &amp; Tobacco Research</w:t>
      </w:r>
      <w:r w:rsidRPr="006F3F8E">
        <w:rPr>
          <w:rFonts w:ascii="Times New Roman" w:hAnsi="Times New Roman" w:cs="Times New Roman"/>
        </w:rPr>
        <w:t xml:space="preserve">, </w:t>
      </w:r>
      <w:r w:rsidRPr="006F3F8E">
        <w:rPr>
          <w:rFonts w:ascii="Times New Roman" w:hAnsi="Times New Roman" w:cs="Times New Roman"/>
          <w:i/>
          <w:iCs/>
        </w:rPr>
        <w:t>20</w:t>
      </w:r>
      <w:r w:rsidRPr="006F3F8E">
        <w:rPr>
          <w:rFonts w:ascii="Times New Roman" w:hAnsi="Times New Roman" w:cs="Times New Roman"/>
        </w:rPr>
        <w:t>(7), 800–809. https://doi.org/10.1093/ntr/ntx159</w:t>
      </w:r>
    </w:p>
    <w:p w14:paraId="34FABAA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Lawn, W., Freeman, T. P., Hindocha, C., Mokrysz, C., Das, R. K., Morgan, C. J. A., &amp; Curran, H. V. (2015). The effects of nicotine dependence and acute abstinence on the processing of drug and non-drug rewards.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232</w:t>
      </w:r>
      <w:r w:rsidRPr="006F3F8E">
        <w:rPr>
          <w:rFonts w:ascii="Times New Roman" w:hAnsi="Times New Roman" w:cs="Times New Roman"/>
        </w:rPr>
        <w:t>(14), 2503–2517. https://doi.org/10.1007/s00213-015-3883-4</w:t>
      </w:r>
    </w:p>
    <w:p w14:paraId="11D7A39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Lawn, W., Mithchener, L., Freeman, T. P., Benattayallah, A., Bisby, J. A., Wall, M. B., Dodds, C. M., Curran, H. V., &amp; Morgan, C. J. A. (2019). Value-based decision-making of cigarette and nondrug rewards in dependent and occasional cigarette smokers: An FMRI study. </w:t>
      </w:r>
      <w:r w:rsidRPr="006F3F8E">
        <w:rPr>
          <w:rFonts w:ascii="Times New Roman" w:hAnsi="Times New Roman" w:cs="Times New Roman"/>
          <w:i/>
          <w:iCs/>
        </w:rPr>
        <w:t>Addiction Biology</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(4), e12802. https://doi.org/10.1111/adb.12802</w:t>
      </w:r>
    </w:p>
    <w:p w14:paraId="18AB823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Lee, P. N., Forey, B. A., &amp; Coombs, K. J. (2012). Systematic review with meta-analysis of the epidemiological evidence in the 1900s relating smoking to lung cancer. </w:t>
      </w:r>
      <w:r w:rsidRPr="006F3F8E">
        <w:rPr>
          <w:rFonts w:ascii="Times New Roman" w:hAnsi="Times New Roman" w:cs="Times New Roman"/>
          <w:i/>
          <w:iCs/>
        </w:rPr>
        <w:t>BMC Cancer</w:t>
      </w:r>
      <w:r w:rsidRPr="006F3F8E">
        <w:rPr>
          <w:rFonts w:ascii="Times New Roman" w:hAnsi="Times New Roman" w:cs="Times New Roman"/>
        </w:rPr>
        <w:t xml:space="preserve">, </w:t>
      </w:r>
      <w:r w:rsidRPr="006F3F8E">
        <w:rPr>
          <w:rFonts w:ascii="Times New Roman" w:hAnsi="Times New Roman" w:cs="Times New Roman"/>
          <w:i/>
          <w:iCs/>
        </w:rPr>
        <w:t>12</w:t>
      </w:r>
      <w:r w:rsidRPr="006F3F8E">
        <w:rPr>
          <w:rFonts w:ascii="Times New Roman" w:hAnsi="Times New Roman" w:cs="Times New Roman"/>
        </w:rPr>
        <w:t>(1), 385. https://doi.org/10.1186/1471-2407-12-385</w:t>
      </w:r>
    </w:p>
    <w:p w14:paraId="06AE5D5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Lejuez, C. W., Hopko, D. R., Acierno, R., Daughters, S. B., &amp; Pagoto, S. L. (2011). Ten year revision of the brief behavioral activation treatment for depression: Revised treatment manual. </w:t>
      </w:r>
      <w:r w:rsidRPr="006F3F8E">
        <w:rPr>
          <w:rFonts w:ascii="Times New Roman" w:hAnsi="Times New Roman" w:cs="Times New Roman"/>
          <w:i/>
          <w:iCs/>
        </w:rPr>
        <w:t>Behavior Modification</w:t>
      </w:r>
      <w:r w:rsidRPr="006F3F8E">
        <w:rPr>
          <w:rFonts w:ascii="Times New Roman" w:hAnsi="Times New Roman" w:cs="Times New Roman"/>
        </w:rPr>
        <w:t xml:space="preserve">, </w:t>
      </w:r>
      <w:r w:rsidRPr="006F3F8E">
        <w:rPr>
          <w:rFonts w:ascii="Times New Roman" w:hAnsi="Times New Roman" w:cs="Times New Roman"/>
          <w:i/>
          <w:iCs/>
        </w:rPr>
        <w:t>35</w:t>
      </w:r>
      <w:r w:rsidRPr="006F3F8E">
        <w:rPr>
          <w:rFonts w:ascii="Times New Roman" w:hAnsi="Times New Roman" w:cs="Times New Roman"/>
        </w:rPr>
        <w:t>(2), 111–161. https://doi.org/10.1177/0145445510390929</w:t>
      </w:r>
    </w:p>
    <w:p w14:paraId="6A3F3CF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Lerche, V., Voss, A., &amp; Nagler, M. (2017). How many trials are required for parameter estimation in diffusion modeling? A comparison of different optimization criteria.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49</w:t>
      </w:r>
      <w:r w:rsidRPr="006F3F8E">
        <w:rPr>
          <w:rFonts w:ascii="Times New Roman" w:hAnsi="Times New Roman" w:cs="Times New Roman"/>
        </w:rPr>
        <w:t>(2), 513–537. https://doi.org/10.3758/s13428-016-0740-2</w:t>
      </w:r>
    </w:p>
    <w:p w14:paraId="1712238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Leshner, A. I. (2001). Addiction is a brain disease. </w:t>
      </w:r>
      <w:r w:rsidRPr="006F3F8E">
        <w:rPr>
          <w:rFonts w:ascii="Times New Roman" w:hAnsi="Times New Roman" w:cs="Times New Roman"/>
          <w:i/>
          <w:iCs/>
        </w:rPr>
        <w:t>Issues in Science and Technology</w:t>
      </w:r>
      <w:r w:rsidRPr="006F3F8E">
        <w:rPr>
          <w:rFonts w:ascii="Times New Roman" w:hAnsi="Times New Roman" w:cs="Times New Roman"/>
        </w:rPr>
        <w:t xml:space="preserve">, </w:t>
      </w:r>
      <w:r w:rsidRPr="006F3F8E">
        <w:rPr>
          <w:rFonts w:ascii="Times New Roman" w:hAnsi="Times New Roman" w:cs="Times New Roman"/>
          <w:i/>
          <w:iCs/>
        </w:rPr>
        <w:t>17</w:t>
      </w:r>
      <w:r w:rsidRPr="006F3F8E">
        <w:rPr>
          <w:rFonts w:ascii="Times New Roman" w:hAnsi="Times New Roman" w:cs="Times New Roman"/>
        </w:rPr>
        <w:t>(3), 75–80.</w:t>
      </w:r>
    </w:p>
    <w:p w14:paraId="2DE99F1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Leventhal, A. M., Piper, M. E., Japuntich, S. J., Baker, T. B., &amp; Cook, J. W. (2014). Anhedonia, depressed mood, and smoking cessation outcome.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82</w:t>
      </w:r>
      <w:r w:rsidRPr="006F3F8E">
        <w:rPr>
          <w:rFonts w:ascii="Times New Roman" w:hAnsi="Times New Roman" w:cs="Times New Roman"/>
        </w:rPr>
        <w:t>(1), 122–129. https://doi.org/10.1037/a0035046</w:t>
      </w:r>
    </w:p>
    <w:p w14:paraId="76887C1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Leventhal, A. M., Trujillo, M., Ameringer, K. J., Tidey, J. W., Sussman, S., &amp; Kahler, C. W. (2014). Anhedonia and the relative reward value of drug and nondrug reinforcers in cigarette smokers.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123</w:t>
      </w:r>
      <w:r w:rsidRPr="006F3F8E">
        <w:rPr>
          <w:rFonts w:ascii="Times New Roman" w:hAnsi="Times New Roman" w:cs="Times New Roman"/>
        </w:rPr>
        <w:t>(2), 375–386. https://doi.org/10.1037/a0036384</w:t>
      </w:r>
    </w:p>
    <w:p w14:paraId="6D0E20B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Levy, D. J., &amp; Glimcher, P. W. (2012). The root of all value: A neural common currency for choice. </w:t>
      </w:r>
      <w:r w:rsidRPr="006F3F8E">
        <w:rPr>
          <w:rFonts w:ascii="Times New Roman" w:hAnsi="Times New Roman" w:cs="Times New Roman"/>
          <w:i/>
          <w:iCs/>
        </w:rPr>
        <w:t>Current Opinion in Neurobiology</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(6), 1027–1038. https://doi.org/10.1016/j.conb.2012.06.001</w:t>
      </w:r>
    </w:p>
    <w:p w14:paraId="52096DD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Lim, T. Y., Stringfellow, E. J., Stafford, C. A., DiGennaro, C., Homer, J. B., Wakeland, W., Eggers, S. L., Kazemi, R., Glos, L., Ewing, E. G., Bannister, C. B., Humphreys, K., Throckmorton, D. C., &amp; Jalali, M. S. (2022). Modeling the evolution of the US opioid crisis for national policy development. </w:t>
      </w:r>
      <w:r w:rsidRPr="006F3F8E">
        <w:rPr>
          <w:rFonts w:ascii="Times New Roman" w:hAnsi="Times New Roman" w:cs="Times New Roman"/>
          <w:i/>
          <w:iCs/>
        </w:rPr>
        <w:t>Proceedings of the National Academy of Sciences</w:t>
      </w:r>
      <w:r w:rsidRPr="006F3F8E">
        <w:rPr>
          <w:rFonts w:ascii="Times New Roman" w:hAnsi="Times New Roman" w:cs="Times New Roman"/>
        </w:rPr>
        <w:t xml:space="preserve">, </w:t>
      </w:r>
      <w:r w:rsidRPr="006F3F8E">
        <w:rPr>
          <w:rFonts w:ascii="Times New Roman" w:hAnsi="Times New Roman" w:cs="Times New Roman"/>
          <w:i/>
          <w:iCs/>
        </w:rPr>
        <w:t>119</w:t>
      </w:r>
      <w:r w:rsidRPr="006F3F8E">
        <w:rPr>
          <w:rFonts w:ascii="Times New Roman" w:hAnsi="Times New Roman" w:cs="Times New Roman"/>
        </w:rPr>
        <w:t>(23), e2115714119. https://doi.org/10.1073/pnas.2115714119</w:t>
      </w:r>
    </w:p>
    <w:p w14:paraId="4EC7797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Limongi, R., Bohaterewicz, B., Nowicka, M., Plewka, A., &amp; Friston, K. J. (2018). Knowing when to stop: Aberrant precision and evidence accumulation in schizophrenia. </w:t>
      </w:r>
      <w:r w:rsidRPr="006F3F8E">
        <w:rPr>
          <w:rFonts w:ascii="Times New Roman" w:hAnsi="Times New Roman" w:cs="Times New Roman"/>
          <w:i/>
          <w:iCs/>
        </w:rPr>
        <w:t>Schizophrenia Research</w:t>
      </w:r>
      <w:r w:rsidRPr="006F3F8E">
        <w:rPr>
          <w:rFonts w:ascii="Times New Roman" w:hAnsi="Times New Roman" w:cs="Times New Roman"/>
        </w:rPr>
        <w:t xml:space="preserve">, </w:t>
      </w:r>
      <w:r w:rsidRPr="006F3F8E">
        <w:rPr>
          <w:rFonts w:ascii="Times New Roman" w:hAnsi="Times New Roman" w:cs="Times New Roman"/>
          <w:i/>
          <w:iCs/>
        </w:rPr>
        <w:t>197</w:t>
      </w:r>
      <w:r w:rsidRPr="006F3F8E">
        <w:rPr>
          <w:rFonts w:ascii="Times New Roman" w:hAnsi="Times New Roman" w:cs="Times New Roman"/>
        </w:rPr>
        <w:t>, 386–391. https://doi.org/10.1016/j.schres.2017.12.018</w:t>
      </w:r>
    </w:p>
    <w:p w14:paraId="558CACF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Lin, H., Saunders, B., Friese, M., Evans, N. J., &amp; Inzlicht, M. (2020). Strong effort manipulations reduce response caution: A preregistered reinvention of the ego-depletion paradigm. </w:t>
      </w:r>
      <w:r w:rsidRPr="006F3F8E">
        <w:rPr>
          <w:rFonts w:ascii="Times New Roman" w:hAnsi="Times New Roman" w:cs="Times New Roman"/>
          <w:i/>
          <w:iCs/>
        </w:rPr>
        <w:t>Psychological Science</w:t>
      </w:r>
      <w:r w:rsidRPr="006F3F8E">
        <w:rPr>
          <w:rFonts w:ascii="Times New Roman" w:hAnsi="Times New Roman" w:cs="Times New Roman"/>
        </w:rPr>
        <w:t xml:space="preserve">, </w:t>
      </w:r>
      <w:r w:rsidRPr="006F3F8E">
        <w:rPr>
          <w:rFonts w:ascii="Times New Roman" w:hAnsi="Times New Roman" w:cs="Times New Roman"/>
          <w:i/>
          <w:iCs/>
        </w:rPr>
        <w:t>31</w:t>
      </w:r>
      <w:r w:rsidRPr="006F3F8E">
        <w:rPr>
          <w:rFonts w:ascii="Times New Roman" w:hAnsi="Times New Roman" w:cs="Times New Roman"/>
        </w:rPr>
        <w:t>(5), 531–547. https://doi.org/10.1177/0956797620904990</w:t>
      </w:r>
    </w:p>
    <w:p w14:paraId="10D36F0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Lin, J. H., Wen, C. P., Jiang, C. Q., Yuan, J.-M., Chen, C. J., Ho, S. Y., Gao, W., Zhang, W., Wang, R., Chien, Y.-C., Xu, L., Wu, X., Jin, Y. L., Koh, W.-P., Hsu, W.-L., Zhu, F., Wen, C., Zhu, T., Lee, J. H., … Lam, T.-H. (2021). Smoking and nasopharyngeal </w:t>
      </w:r>
      <w:r w:rsidRPr="006F3F8E">
        <w:rPr>
          <w:rFonts w:ascii="Times New Roman" w:hAnsi="Times New Roman" w:cs="Times New Roman"/>
        </w:rPr>
        <w:lastRenderedPageBreak/>
        <w:t xml:space="preserve">cancer: Individual data meta-analysis of six prospective studies on 334 935 men. </w:t>
      </w:r>
      <w:r w:rsidRPr="006F3F8E">
        <w:rPr>
          <w:rFonts w:ascii="Times New Roman" w:hAnsi="Times New Roman" w:cs="Times New Roman"/>
          <w:i/>
          <w:iCs/>
        </w:rPr>
        <w:t>International Journal of Epidemiology</w:t>
      </w:r>
      <w:r w:rsidRPr="006F3F8E">
        <w:rPr>
          <w:rFonts w:ascii="Times New Roman" w:hAnsi="Times New Roman" w:cs="Times New Roman"/>
        </w:rPr>
        <w:t xml:space="preserve">, </w:t>
      </w:r>
      <w:r w:rsidRPr="006F3F8E">
        <w:rPr>
          <w:rFonts w:ascii="Times New Roman" w:hAnsi="Times New Roman" w:cs="Times New Roman"/>
          <w:i/>
          <w:iCs/>
        </w:rPr>
        <w:t>50</w:t>
      </w:r>
      <w:r w:rsidRPr="006F3F8E">
        <w:rPr>
          <w:rFonts w:ascii="Times New Roman" w:hAnsi="Times New Roman" w:cs="Times New Roman"/>
        </w:rPr>
        <w:t>(3), 975–986. https://doi.org/10.1093/ije/dyab060</w:t>
      </w:r>
    </w:p>
    <w:p w14:paraId="1A57DC8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Lindson, N., Chepkin, S. C., Ye, W., Fanshawe, T. R., Bullen, C., &amp; Hartmann-Boyce, J. (2019). Different doses, durations and modes of delivery of nicotine replacement therapy for smoking cessation. </w:t>
      </w:r>
      <w:r w:rsidRPr="006F3F8E">
        <w:rPr>
          <w:rFonts w:ascii="Times New Roman" w:hAnsi="Times New Roman" w:cs="Times New Roman"/>
          <w:i/>
          <w:iCs/>
        </w:rPr>
        <w:t>The Cochrane Database of Systematic Reviews</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 CD013308. https://doi.org/10.1002/14651858.CD013308</w:t>
      </w:r>
    </w:p>
    <w:p w14:paraId="37B2FCB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Lopez-Quintero, C., Hasin, D. S., de los Cobos, J. P., Pines, A., Wang, S., Grant, B. F., &amp; Blanco, C. (2011). Probability and predictors of remission from lifetime nicotine, alcohol, cannabis, or cocaine dependence: Results from the National Epidemiologic Survey on Alcohol and Related Conditions.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(3), 657–669. https://doi.org/10.1111/j.1360-0443.2010.03194.x</w:t>
      </w:r>
    </w:p>
    <w:p w14:paraId="689670CA" w14:textId="34096EEA"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Luciano, M. T., Acuff, S. F., McDevitt-Murphy, M. E., &amp; Murphy, J. G. (2019). Behavioral economics and coping-related drinking motives in trauma exposed drinkers: Implications for the self-medication hypothesis. </w:t>
      </w:r>
      <w:r w:rsidRPr="006F3F8E">
        <w:rPr>
          <w:rFonts w:ascii="Times New Roman" w:hAnsi="Times New Roman" w:cs="Times New Roman"/>
          <w:i/>
          <w:iCs/>
        </w:rPr>
        <w:t>Experimental and Clinical Psychopharmacology</w:t>
      </w:r>
      <w:r w:rsidR="00DE7798">
        <w:rPr>
          <w:rFonts w:ascii="Times New Roman" w:hAnsi="Times New Roman" w:cs="Times New Roman"/>
          <w:i/>
          <w:iCs/>
        </w:rPr>
        <w:t>, 28</w:t>
      </w:r>
      <w:r w:rsidR="00DE7798" w:rsidRPr="00DE7798">
        <w:rPr>
          <w:rFonts w:ascii="Times New Roman" w:hAnsi="Times New Roman" w:cs="Times New Roman"/>
        </w:rPr>
        <w:t>(</w:t>
      </w:r>
      <w:r w:rsidR="00DE7798">
        <w:rPr>
          <w:rFonts w:ascii="Times New Roman" w:hAnsi="Times New Roman" w:cs="Times New Roman"/>
        </w:rPr>
        <w:t>3</w:t>
      </w:r>
      <w:r w:rsidR="00DE7798" w:rsidRPr="00DE7798">
        <w:rPr>
          <w:rFonts w:ascii="Times New Roman" w:hAnsi="Times New Roman" w:cs="Times New Roman"/>
        </w:rPr>
        <w:t>)</w:t>
      </w:r>
      <w:r w:rsidR="00DE7798">
        <w:rPr>
          <w:rFonts w:ascii="Times New Roman" w:hAnsi="Times New Roman" w:cs="Times New Roman"/>
        </w:rPr>
        <w:t xml:space="preserve">, </w:t>
      </w:r>
      <w:r w:rsidR="00125B3F">
        <w:rPr>
          <w:rFonts w:ascii="Times New Roman" w:hAnsi="Times New Roman" w:cs="Times New Roman"/>
        </w:rPr>
        <w:t>265</w:t>
      </w:r>
      <w:r w:rsidR="00125B3F" w:rsidRPr="006F3F8E">
        <w:rPr>
          <w:rFonts w:ascii="Times New Roman" w:hAnsi="Times New Roman" w:cs="Times New Roman"/>
        </w:rPr>
        <w:t>–</w:t>
      </w:r>
      <w:r w:rsidR="00125B3F">
        <w:rPr>
          <w:rFonts w:ascii="Times New Roman" w:hAnsi="Times New Roman" w:cs="Times New Roman"/>
        </w:rPr>
        <w:t>270</w:t>
      </w:r>
      <w:r w:rsidRPr="006F3F8E">
        <w:rPr>
          <w:rFonts w:ascii="Times New Roman" w:hAnsi="Times New Roman" w:cs="Times New Roman"/>
        </w:rPr>
        <w:t>. https://doi.org/10.1037/pha0000318</w:t>
      </w:r>
    </w:p>
    <w:p w14:paraId="6E71F3E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Lunnay, B., Foley, K., Meyer, S. B., Warin, M., Wilson, C., Olver, I., Miller, E. R., Thomas, J., &amp; Ward, P. R. (2021). Alcohol consumption and perceptions of health risks during COVID-19: A qualitative study of middle-aged women in South Australia. </w:t>
      </w:r>
      <w:r w:rsidRPr="006F3F8E">
        <w:rPr>
          <w:rFonts w:ascii="Times New Roman" w:hAnsi="Times New Roman" w:cs="Times New Roman"/>
          <w:i/>
          <w:iCs/>
        </w:rPr>
        <w:t>Frontiers in Public Health</w:t>
      </w:r>
      <w:r w:rsidRPr="006F3F8E">
        <w:rPr>
          <w:rFonts w:ascii="Times New Roman" w:hAnsi="Times New Roman" w:cs="Times New Roman"/>
        </w:rPr>
        <w:t xml:space="preserve">, </w:t>
      </w:r>
      <w:r w:rsidRPr="006F3F8E">
        <w:rPr>
          <w:rFonts w:ascii="Times New Roman" w:hAnsi="Times New Roman" w:cs="Times New Roman"/>
          <w:i/>
          <w:iCs/>
        </w:rPr>
        <w:t>9</w:t>
      </w:r>
      <w:r w:rsidRPr="006F3F8E">
        <w:rPr>
          <w:rFonts w:ascii="Times New Roman" w:hAnsi="Times New Roman" w:cs="Times New Roman"/>
        </w:rPr>
        <w:t>, 401. https://doi.org/10.3389/fpubh.2021.616870</w:t>
      </w:r>
    </w:p>
    <w:p w14:paraId="24A8100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Lussier, J. P., Heil, S. H., Mongeon, J. A., Badger, G. J., &amp; Higgins, S. T. (2006). A meta-analysis of voucher-based reinforcement therapy for substance use disorders.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101</w:t>
      </w:r>
      <w:r w:rsidRPr="006F3F8E">
        <w:rPr>
          <w:rFonts w:ascii="Times New Roman" w:hAnsi="Times New Roman" w:cs="Times New Roman"/>
        </w:rPr>
        <w:t>(2), 192–203. https://doi.org/10.1111/j.1360-0443.2006.01311.x</w:t>
      </w:r>
    </w:p>
    <w:p w14:paraId="5E7B040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MacKillop, J. (2016). The behavioral economics and neuroeconomics of alcohol use disorders.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(4), 672–685. https://doi.org/10.1111/acer.13004</w:t>
      </w:r>
    </w:p>
    <w:p w14:paraId="3057531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Amlung, M. T., Few, L. R., Ray, L. A., Sweet, L. H., &amp; Munafò, M. R. (2011). Delayed reward discounting and addictive behavior: A meta-analysis.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216</w:t>
      </w:r>
      <w:r w:rsidRPr="006F3F8E">
        <w:rPr>
          <w:rFonts w:ascii="Times New Roman" w:hAnsi="Times New Roman" w:cs="Times New Roman"/>
        </w:rPr>
        <w:t>(3), 305–321. https://doi.org/10.1007/s00213-011-2229-0</w:t>
      </w:r>
    </w:p>
    <w:p w14:paraId="211AA60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Brown, C. L., Stojek, M. K., Murphy, C. M., Sweet, L., &amp; Niaura, R. S. (2012). Behavioral economic analysis of withdrawal- and cue-elicited craving for tobacco: An initial investigation. </w:t>
      </w:r>
      <w:r w:rsidRPr="006F3F8E">
        <w:rPr>
          <w:rFonts w:ascii="Times New Roman" w:hAnsi="Times New Roman" w:cs="Times New Roman"/>
          <w:i/>
          <w:iCs/>
        </w:rPr>
        <w:t>Nicotine &amp; Tobacco Research</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(12), 1426–1434. https://doi.org/10.1093/ntr/nts006</w:t>
      </w:r>
    </w:p>
    <w:p w14:paraId="1660B8E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Miranda, R., Monti, P. M., Ray, L. A., Murphy, J. G., Rohsenow, D. J., McGeary, J. E., Swift, R. M., Tidey, J. W., &amp; Gwaltney, C. J. (2010). Alcohol demand, delayed reward discounting, and craving in relation to drinking and alcohol use disorders.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119</w:t>
      </w:r>
      <w:r w:rsidRPr="006F3F8E">
        <w:rPr>
          <w:rFonts w:ascii="Times New Roman" w:hAnsi="Times New Roman" w:cs="Times New Roman"/>
        </w:rPr>
        <w:t>(1), 106–114. https://doi.org/10.1037/a0017513</w:t>
      </w:r>
    </w:p>
    <w:p w14:paraId="17A3608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Murphy, C. M., Martin, R. A., Stojek, M., Tidey, J. W., Colby, S. M., &amp; Rohsenow, D. J. (2016). Predictive validity of a Cigarette Purchase Task in a randomized controlled trial of contingent vouchers for smoking in individuals with substance use disorders. </w:t>
      </w:r>
      <w:r w:rsidRPr="006F3F8E">
        <w:rPr>
          <w:rFonts w:ascii="Times New Roman" w:hAnsi="Times New Roman" w:cs="Times New Roman"/>
          <w:i/>
          <w:iCs/>
        </w:rPr>
        <w:t>Nicotine &amp; Tobacco Research</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(5), 531–537. https://doi.org/10.1093/ntr/ntv233</w:t>
      </w:r>
    </w:p>
    <w:p w14:paraId="71B9C06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&amp; Murphy, J. G. (2007). A behavioral economic measure of demand for alcohol predicts brief intervention outcomes.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89</w:t>
      </w:r>
      <w:r w:rsidRPr="006F3F8E">
        <w:rPr>
          <w:rFonts w:ascii="Times New Roman" w:hAnsi="Times New Roman" w:cs="Times New Roman"/>
        </w:rPr>
        <w:t>(2–3), 227–233. https://doi.org/10.1016/j.drugalcdep.2007.01.002</w:t>
      </w:r>
    </w:p>
    <w:p w14:paraId="7E17083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Murphy, J. G., Ray, L. A., Eisenberg, D. T. A., Lisman, S. A., Lum, J. K., &amp; Wilson, D. S. (2008). Further validation of a cigarette purchase task for assessing the </w:t>
      </w:r>
      <w:r w:rsidRPr="006F3F8E">
        <w:rPr>
          <w:rFonts w:ascii="Times New Roman" w:hAnsi="Times New Roman" w:cs="Times New Roman"/>
        </w:rPr>
        <w:lastRenderedPageBreak/>
        <w:t xml:space="preserve">relative reinforcing efficacy of nicotine in college smokers.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16</w:t>
      </w:r>
      <w:r w:rsidRPr="006F3F8E">
        <w:rPr>
          <w:rFonts w:ascii="Times New Roman" w:hAnsi="Times New Roman" w:cs="Times New Roman"/>
        </w:rPr>
        <w:t>(1), 57–65. https://doi.org/10.1037/1064-1297.16.1.57</w:t>
      </w:r>
    </w:p>
    <w:p w14:paraId="54A2BC8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MacKillop, J., Murphy, J. G., Tidey, J. W., Kahler, C. W., Ray, L. A., &amp; Bickel, W. K. (2009). Latent structure of facets of alcohol reinforcement from a behavioral economic demand curve.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203</w:t>
      </w:r>
      <w:r w:rsidRPr="006F3F8E">
        <w:rPr>
          <w:rFonts w:ascii="Times New Roman" w:hAnsi="Times New Roman" w:cs="Times New Roman"/>
        </w:rPr>
        <w:t>(1), 33–40. https://doi.org/10.1007/s00213-008-1367-5</w:t>
      </w:r>
    </w:p>
    <w:p w14:paraId="0227A12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Magee, K. E., &amp; Connell, A. M. (2021). The role of substance use coping in linking depression and alcohol use from late adolescence through early adulthood.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26</w:t>
      </w:r>
      <w:r w:rsidRPr="006F3F8E">
        <w:rPr>
          <w:rFonts w:ascii="Times New Roman" w:hAnsi="Times New Roman" w:cs="Times New Roman"/>
        </w:rPr>
        <w:t>(6), 659–669. https://doi.org/10.1037/pha0000436</w:t>
      </w:r>
    </w:p>
    <w:p w14:paraId="455EE0D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Magill, M., Apodaca, T. R., Borsari, B., Gaume, J., Hoadley, A., Gordon, R. E. F., Tonigan, J. S., &amp; Moyers, T. (2018). A meta-analysis of motivational interviewing process: Technical, relational, and conditional process models of change.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86</w:t>
      </w:r>
      <w:r w:rsidRPr="006F3F8E">
        <w:rPr>
          <w:rFonts w:ascii="Times New Roman" w:hAnsi="Times New Roman" w:cs="Times New Roman"/>
        </w:rPr>
        <w:t>(2), 140–157. https://doi.org/10.1037/ccp0000250</w:t>
      </w:r>
    </w:p>
    <w:p w14:paraId="63E35E8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Magill, M., Gaume, J., Apodaca, T. R., Walthers, J., Mastroleo, N. R., Borsari, B., &amp; Longabaugh, R. (2014). The technical hypothesis of motivational interviewing: A meta-analysis of MI’s key causal model.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82</w:t>
      </w:r>
      <w:r w:rsidRPr="006F3F8E">
        <w:rPr>
          <w:rFonts w:ascii="Times New Roman" w:hAnsi="Times New Roman" w:cs="Times New Roman"/>
        </w:rPr>
        <w:t>(6), 973–983. https://doi.org/10.1037/a0036833</w:t>
      </w:r>
    </w:p>
    <w:p w14:paraId="24AD94F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Marcusson-Clavertz, D., Kjell, O. N. E., Persson, S. D., &amp; Cardeña, E. (2019). Online validation of combined mood induction procedures. </w:t>
      </w:r>
      <w:r w:rsidRPr="006F3F8E">
        <w:rPr>
          <w:rFonts w:ascii="Times New Roman" w:hAnsi="Times New Roman" w:cs="Times New Roman"/>
          <w:i/>
          <w:iCs/>
        </w:rPr>
        <w:t>PLoS ONE</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(6). https://doi.org/10.1371/journal.pone.0217848</w:t>
      </w:r>
    </w:p>
    <w:p w14:paraId="3239A01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Martela, F., &amp; Steger, M. F. (2016). The three meanings of meaning in life: Distinguishing coherence, purpose, and significance. </w:t>
      </w:r>
      <w:r w:rsidRPr="006F3F8E">
        <w:rPr>
          <w:rFonts w:ascii="Times New Roman" w:hAnsi="Times New Roman" w:cs="Times New Roman"/>
          <w:i/>
          <w:iCs/>
        </w:rPr>
        <w:t>The Journal of Positive Psychology</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(5), 531–545. https://doi.org/10.1080/17439760.2015.1137623</w:t>
      </w:r>
    </w:p>
    <w:p w14:paraId="67BFD86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Martin, R. A., MacKinnon, S., Johnson, J., &amp; Rohsenow, D. J. (2011). Purpose in life predicts treatment outcome among adult cocaine abusers in treatment.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(2), 183–188. https://doi.org/10.1016/j.jsat.2010.10.002</w:t>
      </w:r>
    </w:p>
    <w:p w14:paraId="45DD511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Martínez-Loredo, V., González-Roz, A., Secades-Villa, R., Fernández-Hermida, J. R., &amp; MacKillop, J. (2021). Concurrent validity of the Alcohol Purchase Task for measuring the reinforcing efficacy of alcohol: An updated systematic review and meta-analysis.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116</w:t>
      </w:r>
      <w:r w:rsidRPr="006F3F8E">
        <w:rPr>
          <w:rFonts w:ascii="Times New Roman" w:hAnsi="Times New Roman" w:cs="Times New Roman"/>
        </w:rPr>
        <w:t>(10), 2635–2650. https://doi.org/10.1111/add.15379</w:t>
      </w:r>
    </w:p>
    <w:p w14:paraId="567CB44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Martínez-Vispo, C., Martínez, Ú., López-Durán, A., Fernández Del Río, E., &amp; Becoña, E. (2018). Effects of behavioural activation on substance use and depression: A systematic review. </w:t>
      </w:r>
      <w:r w:rsidRPr="006F3F8E">
        <w:rPr>
          <w:rFonts w:ascii="Times New Roman" w:hAnsi="Times New Roman" w:cs="Times New Roman"/>
          <w:i/>
          <w:iCs/>
        </w:rPr>
        <w:t>Substance Abuse Treatment, Prevention, and Policy</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(1), 36. https://doi.org/10.1186/s13011-018-0173-2</w:t>
      </w:r>
    </w:p>
    <w:p w14:paraId="091BCD60" w14:textId="0FA4B748"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Maté, G. (2022). Beyond the medical model: Addiction as a response to trauma and stress. In N. Heather, M. Field, A. C. Moss, &amp; S. Satel (Eds.), </w:t>
      </w:r>
      <w:r w:rsidRPr="006F3F8E">
        <w:rPr>
          <w:rFonts w:ascii="Times New Roman" w:hAnsi="Times New Roman" w:cs="Times New Roman"/>
          <w:i/>
          <w:iCs/>
        </w:rPr>
        <w:t xml:space="preserve">Evaluating the </w:t>
      </w:r>
      <w:r w:rsidR="00125B3F">
        <w:rPr>
          <w:rFonts w:ascii="Times New Roman" w:hAnsi="Times New Roman" w:cs="Times New Roman"/>
          <w:i/>
          <w:iCs/>
        </w:rPr>
        <w:t>b</w:t>
      </w:r>
      <w:r w:rsidRPr="006F3F8E">
        <w:rPr>
          <w:rFonts w:ascii="Times New Roman" w:hAnsi="Times New Roman" w:cs="Times New Roman"/>
          <w:i/>
          <w:iCs/>
        </w:rPr>
        <w:t xml:space="preserve">rain </w:t>
      </w:r>
      <w:r w:rsidR="00125B3F">
        <w:rPr>
          <w:rFonts w:ascii="Times New Roman" w:hAnsi="Times New Roman" w:cs="Times New Roman"/>
          <w:i/>
          <w:iCs/>
        </w:rPr>
        <w:t>d</w:t>
      </w:r>
      <w:r w:rsidRPr="006F3F8E">
        <w:rPr>
          <w:rFonts w:ascii="Times New Roman" w:hAnsi="Times New Roman" w:cs="Times New Roman"/>
          <w:i/>
          <w:iCs/>
        </w:rPr>
        <w:t xml:space="preserve">isease </w:t>
      </w:r>
      <w:r w:rsidR="00125B3F">
        <w:rPr>
          <w:rFonts w:ascii="Times New Roman" w:hAnsi="Times New Roman" w:cs="Times New Roman"/>
          <w:i/>
          <w:iCs/>
        </w:rPr>
        <w:t>m</w:t>
      </w:r>
      <w:r w:rsidRPr="006F3F8E">
        <w:rPr>
          <w:rFonts w:ascii="Times New Roman" w:hAnsi="Times New Roman" w:cs="Times New Roman"/>
          <w:i/>
          <w:iCs/>
        </w:rPr>
        <w:t xml:space="preserve">odel of </w:t>
      </w:r>
      <w:r w:rsidR="00125B3F">
        <w:rPr>
          <w:rFonts w:ascii="Times New Roman" w:hAnsi="Times New Roman" w:cs="Times New Roman"/>
          <w:i/>
          <w:iCs/>
        </w:rPr>
        <w:t>a</w:t>
      </w:r>
      <w:r w:rsidRPr="006F3F8E">
        <w:rPr>
          <w:rFonts w:ascii="Times New Roman" w:hAnsi="Times New Roman" w:cs="Times New Roman"/>
          <w:i/>
          <w:iCs/>
        </w:rPr>
        <w:t>ddiction</w:t>
      </w:r>
      <w:r w:rsidRPr="006F3F8E">
        <w:rPr>
          <w:rFonts w:ascii="Times New Roman" w:hAnsi="Times New Roman" w:cs="Times New Roman"/>
        </w:rPr>
        <w:t xml:space="preserve"> (pp. 431–443). Routledge.</w:t>
      </w:r>
    </w:p>
    <w:p w14:paraId="0AA2925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McClure, S. M., &amp; Bickel, W. K. (2014). A dual-systems perspective on addiction: Contributions from neuroimaging and cognitive training. </w:t>
      </w:r>
      <w:r w:rsidRPr="006F3F8E">
        <w:rPr>
          <w:rFonts w:ascii="Times New Roman" w:hAnsi="Times New Roman" w:cs="Times New Roman"/>
          <w:i/>
          <w:iCs/>
        </w:rPr>
        <w:t>Annals of the New York Academy of Sciences</w:t>
      </w:r>
      <w:r w:rsidRPr="006F3F8E">
        <w:rPr>
          <w:rFonts w:ascii="Times New Roman" w:hAnsi="Times New Roman" w:cs="Times New Roman"/>
        </w:rPr>
        <w:t xml:space="preserve">, </w:t>
      </w:r>
      <w:r w:rsidRPr="006F3F8E">
        <w:rPr>
          <w:rFonts w:ascii="Times New Roman" w:hAnsi="Times New Roman" w:cs="Times New Roman"/>
          <w:i/>
          <w:iCs/>
        </w:rPr>
        <w:t>1327</w:t>
      </w:r>
      <w:r w:rsidRPr="006F3F8E">
        <w:rPr>
          <w:rFonts w:ascii="Times New Roman" w:hAnsi="Times New Roman" w:cs="Times New Roman"/>
        </w:rPr>
        <w:t>, 62–78. https://doi.org/10.1111/nyas.12561</w:t>
      </w:r>
    </w:p>
    <w:p w14:paraId="19D53C3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McDonald, R. P. (1970). The theoretical foundations of principal factor analysis, canonical factor analysis, and alpha factor analysis. </w:t>
      </w:r>
      <w:r w:rsidRPr="006F3F8E">
        <w:rPr>
          <w:rFonts w:ascii="Times New Roman" w:hAnsi="Times New Roman" w:cs="Times New Roman"/>
          <w:i/>
          <w:iCs/>
        </w:rPr>
        <w:t>British Journal of Mathematical and Statistical Psychology</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(1), 1–21. https://doi.org/10.1111/j.2044-8317.1970.tb00432.x</w:t>
      </w:r>
    </w:p>
    <w:p w14:paraId="2473182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McDonald, R. P. (1999). </w:t>
      </w:r>
      <w:r w:rsidRPr="006F3F8E">
        <w:rPr>
          <w:rFonts w:ascii="Times New Roman" w:hAnsi="Times New Roman" w:cs="Times New Roman"/>
          <w:i/>
          <w:iCs/>
        </w:rPr>
        <w:t>Test theory: A unified treatment</w:t>
      </w:r>
      <w:r w:rsidRPr="006F3F8E">
        <w:rPr>
          <w:rFonts w:ascii="Times New Roman" w:hAnsi="Times New Roman" w:cs="Times New Roman"/>
        </w:rPr>
        <w:t>. Lawrence Erlbaum Associates Publishers.</w:t>
      </w:r>
    </w:p>
    <w:p w14:paraId="6E72E07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McEvoy, P. M., Stritzke, W. G. K., French, D. J., Lang, A. R., &amp; Ketterman, R. (2004). Comparison of three models of alcohol craving in young adults: A cross-validation.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99</w:t>
      </w:r>
      <w:r w:rsidRPr="006F3F8E">
        <w:rPr>
          <w:rFonts w:ascii="Times New Roman" w:hAnsi="Times New Roman" w:cs="Times New Roman"/>
        </w:rPr>
        <w:t>(4), 482–497. https://doi.org/10.1111/j.1360-0443.2004.00714.x</w:t>
      </w:r>
    </w:p>
    <w:p w14:paraId="481A33E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McKay, J. R. (2017). Making the hard work of recovery more attractive for those with substance use disorders.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(5), 751–757. https://doi.org/10.1111/add.13502</w:t>
      </w:r>
    </w:p>
    <w:p w14:paraId="304737A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McPhee, M. D., Keough, M. T., Rundle, S., Heath, L. M., Wardell, J. D., &amp; Hendershot, C. S. (2020). Depression, environmental reward, coping motives and alcohol consumption during the COVID-19 pandemic. </w:t>
      </w:r>
      <w:r w:rsidRPr="006F3F8E">
        <w:rPr>
          <w:rFonts w:ascii="Times New Roman" w:hAnsi="Times New Roman" w:cs="Times New Roman"/>
          <w:i/>
          <w:iCs/>
        </w:rPr>
        <w:t>Frontiers in Psychiatry</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 574676. https://doi.org/10.3389/fpsyt.2020.574676</w:t>
      </w:r>
    </w:p>
    <w:p w14:paraId="372F0E1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Mellis, A. M., Snider, S. E., Deshpande, H. U., LaConte, S. M., &amp; Bickel, W. K. (2019). Practicing prospection promotes patience: Repeated episodic future thinking cumulatively reduces delay discounting.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204</w:t>
      </w:r>
      <w:r w:rsidRPr="006F3F8E">
        <w:rPr>
          <w:rFonts w:ascii="Times New Roman" w:hAnsi="Times New Roman" w:cs="Times New Roman"/>
        </w:rPr>
        <w:t>, 107507. https://doi.org/10.1016/j.drugalcdep.2019.06.010</w:t>
      </w:r>
    </w:p>
    <w:p w14:paraId="233C249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Merrill, J. E., &amp; Aston, E. R. (2020). Alcohol demand assessed daily: Validity, variability, and the influence of drinking-related consequences.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208</w:t>
      </w:r>
      <w:r w:rsidRPr="006F3F8E">
        <w:rPr>
          <w:rFonts w:ascii="Times New Roman" w:hAnsi="Times New Roman" w:cs="Times New Roman"/>
        </w:rPr>
        <w:t>, 107838. https://doi.org/10.1016/j.drugalcdep.2020.107838</w:t>
      </w:r>
    </w:p>
    <w:p w14:paraId="5555142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Meshesha, L. Z., Soltis, K. E., Wise, E. A., Rohsenow, D. J., Witkiewitz, K., &amp; Murphy, J. G. (2020). Pilot trial investigating a brief behavioral economic intervention as an adjunctive treatment for alcohol use disorder.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 108002. https://doi.org/10.1016/j.jsat.2020.108002</w:t>
      </w:r>
    </w:p>
    <w:p w14:paraId="3BF28E0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Metcalfe, J., &amp; Mischel, W. (1999). A hot/cool-system analysis of delay of gratification: Dynamics of willpower. </w:t>
      </w:r>
      <w:r w:rsidRPr="006F3F8E">
        <w:rPr>
          <w:rFonts w:ascii="Times New Roman" w:hAnsi="Times New Roman" w:cs="Times New Roman"/>
          <w:i/>
          <w:iCs/>
        </w:rPr>
        <w:t>Psychological Review</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(1), 3–19. https://doi.org/10.1037/0033-295X.106.1.3</w:t>
      </w:r>
    </w:p>
    <w:p w14:paraId="633EAFE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Meyer, P. J., King, C. P., &amp; Ferrario, C. R. (2016). Motivational processes underlying   substance abuse disorder. </w:t>
      </w:r>
      <w:r w:rsidRPr="006F3F8E">
        <w:rPr>
          <w:rFonts w:ascii="Times New Roman" w:hAnsi="Times New Roman" w:cs="Times New Roman"/>
          <w:i/>
          <w:iCs/>
        </w:rPr>
        <w:t>Current Topics in Behavioral Neurosciences</w:t>
      </w:r>
      <w:r w:rsidRPr="006F3F8E">
        <w:rPr>
          <w:rFonts w:ascii="Times New Roman" w:hAnsi="Times New Roman" w:cs="Times New Roman"/>
        </w:rPr>
        <w:t xml:space="preserve">, </w:t>
      </w:r>
      <w:r w:rsidRPr="006F3F8E">
        <w:rPr>
          <w:rFonts w:ascii="Times New Roman" w:hAnsi="Times New Roman" w:cs="Times New Roman"/>
          <w:i/>
          <w:iCs/>
        </w:rPr>
        <w:t>27</w:t>
      </w:r>
      <w:r w:rsidRPr="006F3F8E">
        <w:rPr>
          <w:rFonts w:ascii="Times New Roman" w:hAnsi="Times New Roman" w:cs="Times New Roman"/>
        </w:rPr>
        <w:t>, 473–506. https://doi.org/10.1007/7854_2015_391</w:t>
      </w:r>
    </w:p>
    <w:p w14:paraId="76EF0E3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Miao, M., &amp; Gan, Y. (2018). How does meaning in life predict proactive coping? The self‐regulatory mechanism on emotion and cognition. </w:t>
      </w:r>
      <w:r w:rsidRPr="006F3F8E">
        <w:rPr>
          <w:rFonts w:ascii="Times New Roman" w:hAnsi="Times New Roman" w:cs="Times New Roman"/>
          <w:i/>
          <w:iCs/>
        </w:rPr>
        <w:t>Journal of Personality</w:t>
      </w:r>
      <w:r w:rsidRPr="006F3F8E">
        <w:rPr>
          <w:rFonts w:ascii="Times New Roman" w:hAnsi="Times New Roman" w:cs="Times New Roman"/>
        </w:rPr>
        <w:t xml:space="preserve">, </w:t>
      </w:r>
      <w:r w:rsidRPr="006F3F8E">
        <w:rPr>
          <w:rFonts w:ascii="Times New Roman" w:hAnsi="Times New Roman" w:cs="Times New Roman"/>
          <w:i/>
          <w:iCs/>
        </w:rPr>
        <w:t>87</w:t>
      </w:r>
      <w:r w:rsidRPr="006F3F8E">
        <w:rPr>
          <w:rFonts w:ascii="Times New Roman" w:hAnsi="Times New Roman" w:cs="Times New Roman"/>
        </w:rPr>
        <w:t>(3), 579–592. https://doi.org/10.1111/jopy.12416</w:t>
      </w:r>
    </w:p>
    <w:p w14:paraId="4C00C03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Miele, A., Thompson, M., Jao, N. C., Kalhan, R., Leone, F., Hogarth, L., Hitsman, B., &amp; Schnoll, R. (2018). Cancer patients enrolled in a smoking cessation clinical trial: Characteristics and correlates of smoking rate and nicotine dependence. </w:t>
      </w:r>
      <w:r w:rsidRPr="006F3F8E">
        <w:rPr>
          <w:rFonts w:ascii="Times New Roman" w:hAnsi="Times New Roman" w:cs="Times New Roman"/>
          <w:i/>
          <w:iCs/>
        </w:rPr>
        <w:t>Journal of Addiction</w:t>
      </w:r>
      <w:r w:rsidRPr="006F3F8E">
        <w:rPr>
          <w:rFonts w:ascii="Times New Roman" w:hAnsi="Times New Roman" w:cs="Times New Roman"/>
        </w:rPr>
        <w:t xml:space="preserve">, </w:t>
      </w:r>
      <w:r w:rsidRPr="006F3F8E">
        <w:rPr>
          <w:rFonts w:ascii="Times New Roman" w:hAnsi="Times New Roman" w:cs="Times New Roman"/>
          <w:i/>
          <w:iCs/>
        </w:rPr>
        <w:t>2018</w:t>
      </w:r>
      <w:r w:rsidRPr="006F3F8E">
        <w:rPr>
          <w:rFonts w:ascii="Times New Roman" w:hAnsi="Times New Roman" w:cs="Times New Roman"/>
        </w:rPr>
        <w:t>, 2438161. https://doi.org/10.1155/2018/2438161</w:t>
      </w:r>
    </w:p>
    <w:p w14:paraId="53DA402A" w14:textId="0A7E71B4"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Miller, W. R., &amp; Rollnick, S. (2012). </w:t>
      </w:r>
      <w:r w:rsidRPr="006F3F8E">
        <w:rPr>
          <w:rFonts w:ascii="Times New Roman" w:hAnsi="Times New Roman" w:cs="Times New Roman"/>
          <w:i/>
          <w:iCs/>
        </w:rPr>
        <w:t>Motivational interviewing: Helping people change</w:t>
      </w:r>
      <w:r w:rsidRPr="006F3F8E">
        <w:rPr>
          <w:rFonts w:ascii="Times New Roman" w:hAnsi="Times New Roman" w:cs="Times New Roman"/>
        </w:rPr>
        <w:t>. Guilford Press.</w:t>
      </w:r>
    </w:p>
    <w:p w14:paraId="76DC6AB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Miller, W. R., &amp; Tonigan, J. S. (1996). Assessing drinkers’ motivation for change: The Stages of Change Readiness and Treatment Eagerness Scale (SOCRATES).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(2), 81–89. https://doi.org/10.1037/0893-164X.10.2.81</w:t>
      </w:r>
    </w:p>
    <w:p w14:paraId="00F6D80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Moeller, S. J., Beebe-Wang, N., Woicik, P. A., Konova, A. B., Maloney, T., &amp; Goldstein, R. Z. (2013). Choice to view cocaine images predicts concurrent and prospective drug use in cocaine addiction.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130</w:t>
      </w:r>
      <w:r w:rsidRPr="006F3F8E">
        <w:rPr>
          <w:rFonts w:ascii="Times New Roman" w:hAnsi="Times New Roman" w:cs="Times New Roman"/>
        </w:rPr>
        <w:t>(0), 178–185. https://doi.org/10.1016/j.drugalcdep.2012.11.001</w:t>
      </w:r>
    </w:p>
    <w:p w14:paraId="18CB686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Moeller, S. J., Hanley, A. W., &amp; Garland, E. L. (2020). Behavioral preference for viewing drug v. Pleasant images predicts current and future opioid misuse among chronic pain patients. </w:t>
      </w:r>
      <w:r w:rsidRPr="006F3F8E">
        <w:rPr>
          <w:rFonts w:ascii="Times New Roman" w:hAnsi="Times New Roman" w:cs="Times New Roman"/>
          <w:i/>
          <w:iCs/>
        </w:rPr>
        <w:t>Psychological Medicine</w:t>
      </w:r>
      <w:r w:rsidRPr="006F3F8E">
        <w:rPr>
          <w:rFonts w:ascii="Times New Roman" w:hAnsi="Times New Roman" w:cs="Times New Roman"/>
        </w:rPr>
        <w:t xml:space="preserve">, </w:t>
      </w:r>
      <w:r w:rsidRPr="006F3F8E">
        <w:rPr>
          <w:rFonts w:ascii="Times New Roman" w:hAnsi="Times New Roman" w:cs="Times New Roman"/>
          <w:i/>
          <w:iCs/>
        </w:rPr>
        <w:t>50</w:t>
      </w:r>
      <w:r w:rsidRPr="006F3F8E">
        <w:rPr>
          <w:rFonts w:ascii="Times New Roman" w:hAnsi="Times New Roman" w:cs="Times New Roman"/>
        </w:rPr>
        <w:t>(4), 644–652. https://doi.org/10.1017/S0033291719000461</w:t>
      </w:r>
    </w:p>
    <w:p w14:paraId="4E701C2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Moeller, S. J., Maloney, T., Parvaz, M. A., Dunning, J. P., Alia-Klein, N., Woicik, P. A., Hajcak, G., Telang, F., Wang, G.-J., Volkow, N. D., &amp; Goldstein, R. Z. (2009). Enhanced choice for viewing cocaine pictures in cocaine addiction. </w:t>
      </w:r>
      <w:r w:rsidRPr="006F3F8E">
        <w:rPr>
          <w:rFonts w:ascii="Times New Roman" w:hAnsi="Times New Roman" w:cs="Times New Roman"/>
          <w:i/>
          <w:iCs/>
        </w:rPr>
        <w:t>Biological Psychiatry</w:t>
      </w:r>
      <w:r w:rsidRPr="006F3F8E">
        <w:rPr>
          <w:rFonts w:ascii="Times New Roman" w:hAnsi="Times New Roman" w:cs="Times New Roman"/>
        </w:rPr>
        <w:t xml:space="preserve">, </w:t>
      </w:r>
      <w:r w:rsidRPr="006F3F8E">
        <w:rPr>
          <w:rFonts w:ascii="Times New Roman" w:hAnsi="Times New Roman" w:cs="Times New Roman"/>
          <w:i/>
          <w:iCs/>
        </w:rPr>
        <w:t>66</w:t>
      </w:r>
      <w:r w:rsidRPr="006F3F8E">
        <w:rPr>
          <w:rFonts w:ascii="Times New Roman" w:hAnsi="Times New Roman" w:cs="Times New Roman"/>
        </w:rPr>
        <w:t>(2), 169. https://doi.org/10.1016/j.biopsych.2009.02.015</w:t>
      </w:r>
    </w:p>
    <w:p w14:paraId="3DF5752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Moeller, S. J., &amp; Stoops, W. W. (2015). Cocaine choice procedures in animals, humans, and treatment-seekers: Can we bridge the divide? </w:t>
      </w:r>
      <w:r w:rsidRPr="006F3F8E">
        <w:rPr>
          <w:rFonts w:ascii="Times New Roman" w:hAnsi="Times New Roman" w:cs="Times New Roman"/>
          <w:i/>
          <w:iCs/>
        </w:rPr>
        <w:t>Pharmacology, Biochemistry, and Behavior</w:t>
      </w:r>
      <w:r w:rsidRPr="006F3F8E">
        <w:rPr>
          <w:rFonts w:ascii="Times New Roman" w:hAnsi="Times New Roman" w:cs="Times New Roman"/>
        </w:rPr>
        <w:t xml:space="preserve">, </w:t>
      </w:r>
      <w:r w:rsidRPr="006F3F8E">
        <w:rPr>
          <w:rFonts w:ascii="Times New Roman" w:hAnsi="Times New Roman" w:cs="Times New Roman"/>
          <w:i/>
          <w:iCs/>
        </w:rPr>
        <w:t>138</w:t>
      </w:r>
      <w:r w:rsidRPr="006F3F8E">
        <w:rPr>
          <w:rFonts w:ascii="Times New Roman" w:hAnsi="Times New Roman" w:cs="Times New Roman"/>
        </w:rPr>
        <w:t>, 133–141. https://doi.org/10.1016/j.pbb.2015.09.020</w:t>
      </w:r>
    </w:p>
    <w:p w14:paraId="0C9D0F86" w14:textId="73366878"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Moeller, S. J., Zilverstand, A., Konova, A. B., Kundu, P., Parvaz, M. A., Preston-Campbell, R., Bachi, K., Alia-Klein, N., &amp; Goldstein, R. Z. (2018). Neural correlates of drug-biased choice in currently-using and abstinent individuals with cocaine use disorder. </w:t>
      </w:r>
      <w:r w:rsidRPr="006F3F8E">
        <w:rPr>
          <w:rFonts w:ascii="Times New Roman" w:hAnsi="Times New Roman" w:cs="Times New Roman"/>
          <w:i/>
          <w:iCs/>
        </w:rPr>
        <w:t>Biological Psychiatry</w:t>
      </w:r>
      <w:r w:rsidR="00DF4465">
        <w:rPr>
          <w:rFonts w:ascii="Times New Roman" w:hAnsi="Times New Roman" w:cs="Times New Roman"/>
          <w:i/>
          <w:iCs/>
        </w:rPr>
        <w:t>:</w:t>
      </w:r>
      <w:r w:rsidRPr="006F3F8E">
        <w:rPr>
          <w:rFonts w:ascii="Times New Roman" w:hAnsi="Times New Roman" w:cs="Times New Roman"/>
          <w:i/>
          <w:iCs/>
        </w:rPr>
        <w:t xml:space="preserve"> Cognitive Neuroscience and Neuroimaging</w:t>
      </w:r>
      <w:r w:rsidRPr="006F3F8E">
        <w:rPr>
          <w:rFonts w:ascii="Times New Roman" w:hAnsi="Times New Roman" w:cs="Times New Roman"/>
        </w:rPr>
        <w:t xml:space="preserve">, </w:t>
      </w:r>
      <w:r w:rsidRPr="006F3F8E">
        <w:rPr>
          <w:rFonts w:ascii="Times New Roman" w:hAnsi="Times New Roman" w:cs="Times New Roman"/>
          <w:i/>
          <w:iCs/>
        </w:rPr>
        <w:t>3</w:t>
      </w:r>
      <w:r w:rsidRPr="006F3F8E">
        <w:rPr>
          <w:rFonts w:ascii="Times New Roman" w:hAnsi="Times New Roman" w:cs="Times New Roman"/>
        </w:rPr>
        <w:t>(5), 485–494. https://doi.org/10.1016/j.bpsc.2017.11.001</w:t>
      </w:r>
    </w:p>
    <w:p w14:paraId="006948C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Moniz-Lewis, D. I. K., Stein, E. R., Bowen, S., &amp; Witkiewitz, K. (2022). Self-efficacy as a potential mechanism of behavior change in mindfulness-based relapse prevention. </w:t>
      </w:r>
      <w:r w:rsidRPr="006F3F8E">
        <w:rPr>
          <w:rFonts w:ascii="Times New Roman" w:hAnsi="Times New Roman" w:cs="Times New Roman"/>
          <w:i/>
          <w:iCs/>
        </w:rPr>
        <w:t>Mindfulness</w:t>
      </w:r>
      <w:r w:rsidRPr="006F3F8E">
        <w:rPr>
          <w:rFonts w:ascii="Times New Roman" w:hAnsi="Times New Roman" w:cs="Times New Roman"/>
        </w:rPr>
        <w:t>. https://doi.org/10.1007/s12671-022-01946-z</w:t>
      </w:r>
    </w:p>
    <w:p w14:paraId="621A67A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Moore, S. C., Allen, D., Amos, Y., Blake, J., Brennan, A., Buykx, P., Goodacre, S., Gray, L., Irving, A., O’Cathain, A., Sivarajasingam, V., &amp; Young, T. (2020). Patient and public involvement. In </w:t>
      </w:r>
      <w:r w:rsidRPr="006F3F8E">
        <w:rPr>
          <w:rFonts w:ascii="Times New Roman" w:hAnsi="Times New Roman" w:cs="Times New Roman"/>
          <w:i/>
          <w:iCs/>
        </w:rPr>
        <w:t>Evaluating alcohol intoxication management services: The EDARA mixed-methods study</w:t>
      </w:r>
      <w:r w:rsidRPr="006F3F8E">
        <w:rPr>
          <w:rFonts w:ascii="Times New Roman" w:hAnsi="Times New Roman" w:cs="Times New Roman"/>
        </w:rPr>
        <w:t>. NIHR Journals Library. https://www.ncbi.nlm.nih.gov/books/NBK558118/</w:t>
      </w:r>
    </w:p>
    <w:p w14:paraId="2A07CF6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Moos, R. H. (2007). Theory-based active ingredients of effective treatments for substance use disorders.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88</w:t>
      </w:r>
      <w:r w:rsidRPr="006F3F8E">
        <w:rPr>
          <w:rFonts w:ascii="Times New Roman" w:hAnsi="Times New Roman" w:cs="Times New Roman"/>
        </w:rPr>
        <w:t>(2–3), 109–121. https://doi.org/10.1016/j.drugalcdep.2006.10.010</w:t>
      </w:r>
    </w:p>
    <w:p w14:paraId="08ABB6A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Mormann, M., Malmaud, J., Huth, A., Koch, C., &amp; Rangel, A. (2010). The drift diffusion model can account for the accuracy and reaction time of value-based choices under high and low time pressure. </w:t>
      </w:r>
      <w:r w:rsidRPr="006F3F8E">
        <w:rPr>
          <w:rFonts w:ascii="Times New Roman" w:hAnsi="Times New Roman" w:cs="Times New Roman"/>
          <w:i/>
          <w:iCs/>
        </w:rPr>
        <w:t>Judgment and Decision Making</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(6), 437–449.</w:t>
      </w:r>
    </w:p>
    <w:p w14:paraId="3E8BB6A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Morris, J., Albery, I. P., Heather, N., &amp; Moss, A. C. (2020). Continuum beliefs are associated with higher problem recognition than binary beliefs among harmful drinkers without addiction experience.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105</w:t>
      </w:r>
      <w:r w:rsidRPr="006F3F8E">
        <w:rPr>
          <w:rFonts w:ascii="Times New Roman" w:hAnsi="Times New Roman" w:cs="Times New Roman"/>
        </w:rPr>
        <w:t>, 106292. https://doi.org/10.1016/j.addbeh.2020.106292</w:t>
      </w:r>
    </w:p>
    <w:p w14:paraId="10EC1505" w14:textId="49F6249B"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Morris, J., Moss, A. C., Albery, I., &amp; Heather, N. (202</w:t>
      </w:r>
      <w:r w:rsidR="00DF4465">
        <w:rPr>
          <w:rFonts w:ascii="Times New Roman" w:hAnsi="Times New Roman" w:cs="Times New Roman"/>
        </w:rPr>
        <w:t>2</w:t>
      </w:r>
      <w:r w:rsidRPr="006F3F8E">
        <w:rPr>
          <w:rFonts w:ascii="Times New Roman" w:hAnsi="Times New Roman" w:cs="Times New Roman"/>
        </w:rPr>
        <w:t xml:space="preserve">). The “alcoholic other”: Harmful drinkers resist problem recognition to manage identity threat.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124</w:t>
      </w:r>
      <w:r w:rsidRPr="006F3F8E">
        <w:rPr>
          <w:rFonts w:ascii="Times New Roman" w:hAnsi="Times New Roman" w:cs="Times New Roman"/>
        </w:rPr>
        <w:t>, 107093. https://doi.org/10.1016/j.addbeh.2021.107093</w:t>
      </w:r>
    </w:p>
    <w:p w14:paraId="4BEF123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Motschman, C. A., Amlung, M., &amp; McCarthy, D. M. (2022). Alcohol demand as a predictor of drinking behavior in the natural environment.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117</w:t>
      </w:r>
      <w:r w:rsidRPr="006F3F8E">
        <w:rPr>
          <w:rFonts w:ascii="Times New Roman" w:hAnsi="Times New Roman" w:cs="Times New Roman"/>
        </w:rPr>
        <w:t>(7), 1887–1896. https://doi.org/10.1111/add.15822</w:t>
      </w:r>
    </w:p>
    <w:p w14:paraId="2D99D68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Munafò, M. R., Nosek, B. A., Bishop, D. V. M., Button, K. S., Chambers, C. D., Percie du Sert, N., Simonsohn, U., Wagenmakers, E.-J., Ware, J. J., &amp; Ioannidis, J. P. A. (2017). A manifesto for reproducible science. </w:t>
      </w:r>
      <w:r w:rsidRPr="006F3F8E">
        <w:rPr>
          <w:rFonts w:ascii="Times New Roman" w:hAnsi="Times New Roman" w:cs="Times New Roman"/>
          <w:i/>
          <w:iCs/>
        </w:rPr>
        <w:t>Nature Human Behaviour</w:t>
      </w:r>
      <w:r w:rsidRPr="006F3F8E">
        <w:rPr>
          <w:rFonts w:ascii="Times New Roman" w:hAnsi="Times New Roman" w:cs="Times New Roman"/>
        </w:rPr>
        <w:t xml:space="preserve">, </w:t>
      </w:r>
      <w:r w:rsidRPr="006F3F8E">
        <w:rPr>
          <w:rFonts w:ascii="Times New Roman" w:hAnsi="Times New Roman" w:cs="Times New Roman"/>
          <w:i/>
          <w:iCs/>
        </w:rPr>
        <w:t>1</w:t>
      </w:r>
      <w:r w:rsidRPr="006F3F8E">
        <w:rPr>
          <w:rFonts w:ascii="Times New Roman" w:hAnsi="Times New Roman" w:cs="Times New Roman"/>
        </w:rPr>
        <w:t>(1), 1–9. https://doi.org/10.1038/s41562-016-0021</w:t>
      </w:r>
    </w:p>
    <w:p w14:paraId="01C845D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Campbell, K. W., Joyner, K. J., Dennhardt, A. A., Martens, M. P., &amp; Borsari, B. (2021). Trajectories of reward availability moderate the impact of brief alcohol interventions on alcohol severity in heavy-drinking young adults.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45</w:t>
      </w:r>
      <w:r w:rsidRPr="006F3F8E">
        <w:rPr>
          <w:rFonts w:ascii="Times New Roman" w:hAnsi="Times New Roman" w:cs="Times New Roman"/>
        </w:rPr>
        <w:t>(10), 2147–2159. https://doi.org/10.1111/acer.14681</w:t>
      </w:r>
    </w:p>
    <w:p w14:paraId="7B2B736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Correia, C. J., Colby, S. M., &amp; Vuchinich, R. E. (2005). Using behavioral theories of choice to predict drinking outcomes following a brief intervention. </w:t>
      </w:r>
      <w:r w:rsidRPr="006F3F8E">
        <w:rPr>
          <w:rFonts w:ascii="Times New Roman" w:hAnsi="Times New Roman" w:cs="Times New Roman"/>
          <w:i/>
          <w:iCs/>
        </w:rPr>
        <w:lastRenderedPageBreak/>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(2), 93–101. https://doi.org/10.1037/1064-1297.13.2.93</w:t>
      </w:r>
    </w:p>
    <w:p w14:paraId="4CF67E9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Dennhardt, A. A., Martens, M. P., Borsari, B., Witkiewitz, K., &amp; Meshesha, L. Z. (2019). A randomized clinical trial evaluating the efficacy of a brief alcohol intervention supplemented with a substance-free activity session or relaxation training.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87</w:t>
      </w:r>
      <w:r w:rsidRPr="006F3F8E">
        <w:rPr>
          <w:rFonts w:ascii="Times New Roman" w:hAnsi="Times New Roman" w:cs="Times New Roman"/>
        </w:rPr>
        <w:t>(7), 657–669. https://doi.org/10.1037/ccp0000412</w:t>
      </w:r>
    </w:p>
    <w:p w14:paraId="2763981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Dennhardt, A. A., Martens, M. P., Yurasek, A. M., Skidmore, J. R., MacKillop, J., &amp; McDevitt-Murphy, M. E. (2015). Behavioral economic predictors of brief alcohol intervention outcomes.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83</w:t>
      </w:r>
      <w:r w:rsidRPr="006F3F8E">
        <w:rPr>
          <w:rFonts w:ascii="Times New Roman" w:hAnsi="Times New Roman" w:cs="Times New Roman"/>
        </w:rPr>
        <w:t>(6), 1033–1043. https://doi.org/10.1037/ccp0000032</w:t>
      </w:r>
    </w:p>
    <w:p w14:paraId="32CD678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Dennhardt, A. A., Skidmore, J. R., Borsari, B., Barnett, N. P., Colby, S. M., &amp; Martens, M. P. (2012). A randomized controlled trial of a behavioral economic supplement to brief motivational interventions for college drinking.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80</w:t>
      </w:r>
      <w:r w:rsidRPr="006F3F8E">
        <w:rPr>
          <w:rFonts w:ascii="Times New Roman" w:hAnsi="Times New Roman" w:cs="Times New Roman"/>
        </w:rPr>
        <w:t>(5), 876–886. https://doi.org/10.1037/a0028763</w:t>
      </w:r>
    </w:p>
    <w:p w14:paraId="0D0A0F2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&amp; MacKillop, J. (2006). Relative reinforcing efficacy of alcohol among college student drinkers.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(2), 219–227. https://doi.org/10.1037/1064-1297.14.2.219</w:t>
      </w:r>
    </w:p>
    <w:p w14:paraId="55F3DB8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MacKillop, J., Tidey, J. W., Brazil, L. A., &amp; Colby, S. M. (2011). Validity of a demand curve measure of nicotine reinforcement with adolescent smokers.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(2–3), 207–214. https://doi.org/10.1016/j.drugalcdep.2010.08.004</w:t>
      </w:r>
    </w:p>
    <w:p w14:paraId="0738AE4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Murphy, J. G., MacKillop, J., Vuchinich, R. E., &amp; Tucker, J. A. (2012). The behavioral economics of substance abuse. In S. T. Walters &amp; F. Rotgers. (Eds.), </w:t>
      </w:r>
      <w:r w:rsidRPr="006F3F8E">
        <w:rPr>
          <w:rFonts w:ascii="Times New Roman" w:hAnsi="Times New Roman" w:cs="Times New Roman"/>
          <w:i/>
          <w:iCs/>
        </w:rPr>
        <w:t>Treating substance abuse: Theory and technique</w:t>
      </w:r>
      <w:r w:rsidRPr="006F3F8E">
        <w:rPr>
          <w:rFonts w:ascii="Times New Roman" w:hAnsi="Times New Roman" w:cs="Times New Roman"/>
        </w:rPr>
        <w:t xml:space="preserve"> (3rd ed., pp. 48–80). The Guilford Press.</w:t>
      </w:r>
    </w:p>
    <w:p w14:paraId="24824EB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Murphy, J. G., Skidmore, J. R., Dennhardt, A. A., Martens, M. P., Borsari, B., Barnett, N. P., &amp; Colby, S. M. (2012). A behavioral economic supplement to brief motivational interventions for college drinking. </w:t>
      </w:r>
      <w:r w:rsidRPr="006F3F8E">
        <w:rPr>
          <w:rFonts w:ascii="Times New Roman" w:hAnsi="Times New Roman" w:cs="Times New Roman"/>
          <w:i/>
          <w:iCs/>
        </w:rPr>
        <w:t>Addiction Research &amp; Theory</w:t>
      </w:r>
      <w:r w:rsidRPr="006F3F8E">
        <w:rPr>
          <w:rFonts w:ascii="Times New Roman" w:hAnsi="Times New Roman" w:cs="Times New Roman"/>
        </w:rPr>
        <w:t xml:space="preserve">, </w:t>
      </w:r>
      <w:r w:rsidRPr="006F3F8E">
        <w:rPr>
          <w:rFonts w:ascii="Times New Roman" w:hAnsi="Times New Roman" w:cs="Times New Roman"/>
          <w:i/>
          <w:iCs/>
        </w:rPr>
        <w:t>20</w:t>
      </w:r>
      <w:r w:rsidRPr="006F3F8E">
        <w:rPr>
          <w:rFonts w:ascii="Times New Roman" w:hAnsi="Times New Roman" w:cs="Times New Roman"/>
        </w:rPr>
        <w:t>(6), 456–465. https://doi.org/10.3109/16066359.2012.665965</w:t>
      </w:r>
    </w:p>
    <w:p w14:paraId="36122DB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Nation, M., Crusto, C., Wandersman, A., Kumpfer, K. L., Seybolt, D., Morrissey-Kane, E., &amp; Davino, K. (2003). What works in prevention. Principles of effective prevention programs. </w:t>
      </w:r>
      <w:r w:rsidRPr="006F3F8E">
        <w:rPr>
          <w:rFonts w:ascii="Times New Roman" w:hAnsi="Times New Roman" w:cs="Times New Roman"/>
          <w:i/>
          <w:iCs/>
        </w:rPr>
        <w:t>The American Psychologist</w:t>
      </w:r>
      <w:r w:rsidRPr="006F3F8E">
        <w:rPr>
          <w:rFonts w:ascii="Times New Roman" w:hAnsi="Times New Roman" w:cs="Times New Roman"/>
        </w:rPr>
        <w:t xml:space="preserve">, </w:t>
      </w:r>
      <w:r w:rsidRPr="006F3F8E">
        <w:rPr>
          <w:rFonts w:ascii="Times New Roman" w:hAnsi="Times New Roman" w:cs="Times New Roman"/>
          <w:i/>
          <w:iCs/>
        </w:rPr>
        <w:t>58</w:t>
      </w:r>
      <w:r w:rsidRPr="006F3F8E">
        <w:rPr>
          <w:rFonts w:ascii="Times New Roman" w:hAnsi="Times New Roman" w:cs="Times New Roman"/>
        </w:rPr>
        <w:t>(6–7), 449–456. https://doi.org/10.1037/0003-066x.58.6-7.449</w:t>
      </w:r>
    </w:p>
    <w:p w14:paraId="7271065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Negru-Subtirica, O., Pop, E. I., Luyckx, K., Dezutter, J., &amp; Steger, M. F. (2016). The meaningful identity: A longitudinal look at the interplay between identity and meaning in life in adolescence. </w:t>
      </w:r>
      <w:r w:rsidRPr="006F3F8E">
        <w:rPr>
          <w:rFonts w:ascii="Times New Roman" w:hAnsi="Times New Roman" w:cs="Times New Roman"/>
          <w:i/>
          <w:iCs/>
        </w:rPr>
        <w:t>Developmental Psychology</w:t>
      </w:r>
      <w:r w:rsidRPr="006F3F8E">
        <w:rPr>
          <w:rFonts w:ascii="Times New Roman" w:hAnsi="Times New Roman" w:cs="Times New Roman"/>
        </w:rPr>
        <w:t xml:space="preserve">, </w:t>
      </w:r>
      <w:r w:rsidRPr="006F3F8E">
        <w:rPr>
          <w:rFonts w:ascii="Times New Roman" w:hAnsi="Times New Roman" w:cs="Times New Roman"/>
          <w:i/>
          <w:iCs/>
        </w:rPr>
        <w:t>52</w:t>
      </w:r>
      <w:r w:rsidRPr="006F3F8E">
        <w:rPr>
          <w:rFonts w:ascii="Times New Roman" w:hAnsi="Times New Roman" w:cs="Times New Roman"/>
        </w:rPr>
        <w:t>(11), 1926–1936. https://doi.org/10.1037/dev0000176</w:t>
      </w:r>
    </w:p>
    <w:p w14:paraId="750D4CA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Ng Fat, L., Shelton, N., &amp; Cable, N. (2018). Investigating the growing trend of non-drinking among young people; analysis of repeated cross-sectional surveys in England 2005–2015. </w:t>
      </w:r>
      <w:r w:rsidRPr="006F3F8E">
        <w:rPr>
          <w:rFonts w:ascii="Times New Roman" w:hAnsi="Times New Roman" w:cs="Times New Roman"/>
          <w:i/>
          <w:iCs/>
        </w:rPr>
        <w:t>BMC Public Health</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(1), 1090. https://doi.org/10.1186/s12889-018-5995-3</w:t>
      </w:r>
    </w:p>
    <w:p w14:paraId="1A41EDF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Nguyen, M. H., Gruber, J., Fuchs, J., Marler, W., Hunsaker, A., &amp; Hargittai, E. (2020). Changes in digital communication during the COVID-19 global pandemic: Implications for digital inequality and future research. </w:t>
      </w:r>
      <w:r w:rsidRPr="006F3F8E">
        <w:rPr>
          <w:rFonts w:ascii="Times New Roman" w:hAnsi="Times New Roman" w:cs="Times New Roman"/>
          <w:i/>
          <w:iCs/>
        </w:rPr>
        <w:t>Social Media + Society</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(3), 2056305120948255. https://doi.org/10.1177/2056305120948255</w:t>
      </w:r>
    </w:p>
    <w:p w14:paraId="6E540EF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NHS Digital. (2020). </w:t>
      </w:r>
      <w:r w:rsidRPr="006F3F8E">
        <w:rPr>
          <w:rFonts w:ascii="Times New Roman" w:hAnsi="Times New Roman" w:cs="Times New Roman"/>
          <w:i/>
          <w:iCs/>
        </w:rPr>
        <w:t>Part 1: Smoking-related ill health and mortality</w:t>
      </w:r>
      <w:r w:rsidRPr="006F3F8E">
        <w:rPr>
          <w:rFonts w:ascii="Times New Roman" w:hAnsi="Times New Roman" w:cs="Times New Roman"/>
        </w:rPr>
        <w:t>. NHS Digital. https://digital.nhs.uk/data-and-information/publications/statistical/statistics-on-</w:t>
      </w:r>
      <w:r w:rsidRPr="006F3F8E">
        <w:rPr>
          <w:rFonts w:ascii="Times New Roman" w:hAnsi="Times New Roman" w:cs="Times New Roman"/>
        </w:rPr>
        <w:lastRenderedPageBreak/>
        <w:t>smoking/statistics-on-smoking-england-2020/part-1-smoking-related-ill-health-and-mortality</w:t>
      </w:r>
    </w:p>
    <w:p w14:paraId="29CE6CC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NHS Digital. (2022). </w:t>
      </w:r>
      <w:r w:rsidRPr="006F3F8E">
        <w:rPr>
          <w:rFonts w:ascii="Times New Roman" w:hAnsi="Times New Roman" w:cs="Times New Roman"/>
          <w:i/>
          <w:iCs/>
        </w:rPr>
        <w:t>Part 1: Alcohol-related hospital admissions</w:t>
      </w:r>
      <w:r w:rsidRPr="006F3F8E">
        <w:rPr>
          <w:rFonts w:ascii="Times New Roman" w:hAnsi="Times New Roman" w:cs="Times New Roman"/>
        </w:rPr>
        <w:t>. NHS Digital. https://digital.nhs.uk/data-and-information/publications/statistical/statistics-on-alcohol/2021/part-1</w:t>
      </w:r>
    </w:p>
    <w:p w14:paraId="6F2FC25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Notley, C., Gentry, S., Livingstone‐Banks, J., Bauld, L., Perera, R., &amp; Hartmann‐Boyce, J. (2019). Incentives for smoking cessation. </w:t>
      </w:r>
      <w:r w:rsidRPr="006F3F8E">
        <w:rPr>
          <w:rFonts w:ascii="Times New Roman" w:hAnsi="Times New Roman" w:cs="Times New Roman"/>
          <w:i/>
          <w:iCs/>
        </w:rPr>
        <w:t>Cochrane Database of Systematic Reviews</w:t>
      </w:r>
      <w:r w:rsidRPr="006F3F8E">
        <w:rPr>
          <w:rFonts w:ascii="Times New Roman" w:hAnsi="Times New Roman" w:cs="Times New Roman"/>
        </w:rPr>
        <w:t xml:space="preserve">, </w:t>
      </w:r>
      <w:r w:rsidRPr="006F3F8E">
        <w:rPr>
          <w:rFonts w:ascii="Times New Roman" w:hAnsi="Times New Roman" w:cs="Times New Roman"/>
          <w:i/>
          <w:iCs/>
        </w:rPr>
        <w:t>7</w:t>
      </w:r>
      <w:r w:rsidRPr="006F3F8E">
        <w:rPr>
          <w:rFonts w:ascii="Times New Roman" w:hAnsi="Times New Roman" w:cs="Times New Roman"/>
        </w:rPr>
        <w:t>. https://doi.org/10.1002/14651858.CD004307.pub6</w:t>
      </w:r>
    </w:p>
    <w:p w14:paraId="1640733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Office for Health Improvement &amp; Disparities. (2021a). </w:t>
      </w:r>
      <w:r w:rsidRPr="006F3F8E">
        <w:rPr>
          <w:rFonts w:ascii="Times New Roman" w:hAnsi="Times New Roman" w:cs="Times New Roman"/>
          <w:i/>
          <w:iCs/>
        </w:rPr>
        <w:t>Chapter 12: Alcohol</w:t>
      </w:r>
      <w:r w:rsidRPr="006F3F8E">
        <w:rPr>
          <w:rFonts w:ascii="Times New Roman" w:hAnsi="Times New Roman" w:cs="Times New Roman"/>
        </w:rPr>
        <w:t>. GOV.UK. https://www.gov.uk/government/publications/delivering-better-oral-health-an-evidence-based-toolkit-for-prevention/chapter-12-alcohol</w:t>
      </w:r>
    </w:p>
    <w:p w14:paraId="419070D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Office for Health Improvement &amp; Disparities. (2021b). </w:t>
      </w:r>
      <w:r w:rsidRPr="006F3F8E">
        <w:rPr>
          <w:rFonts w:ascii="Times New Roman" w:hAnsi="Times New Roman" w:cs="Times New Roman"/>
          <w:i/>
          <w:iCs/>
        </w:rPr>
        <w:t>Local Alcohol Profiles for England (LAPE): December 2021 update</w:t>
      </w:r>
      <w:r w:rsidRPr="006F3F8E">
        <w:rPr>
          <w:rFonts w:ascii="Times New Roman" w:hAnsi="Times New Roman" w:cs="Times New Roman"/>
        </w:rPr>
        <w:t>. GOV.UK. https://www.gov.uk/government/statistics/local-alcohol-profiles-for-england-lape-december-2021-update/local-alcohol-profiles-for-england-short-statistical-commentary-december-2021</w:t>
      </w:r>
    </w:p>
    <w:p w14:paraId="5D452DC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Office for Health Improvement &amp; Disparities. (2022). </w:t>
      </w:r>
      <w:r w:rsidRPr="006F3F8E">
        <w:rPr>
          <w:rFonts w:ascii="Times New Roman" w:hAnsi="Times New Roman" w:cs="Times New Roman"/>
          <w:i/>
          <w:iCs/>
        </w:rPr>
        <w:t>Alcohol: Applying All Our Health</w:t>
      </w:r>
      <w:r w:rsidRPr="006F3F8E">
        <w:rPr>
          <w:rFonts w:ascii="Times New Roman" w:hAnsi="Times New Roman" w:cs="Times New Roman"/>
        </w:rPr>
        <w:t>. GOV.UK. https://www.gov.uk/government/publications/alcohol-applying-all-our-health/alcohol-applying-all-our-health</w:t>
      </w:r>
    </w:p>
    <w:p w14:paraId="41FB524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Office for National Statistics. (2020). </w:t>
      </w:r>
      <w:r w:rsidRPr="006F3F8E">
        <w:rPr>
          <w:rFonts w:ascii="Times New Roman" w:hAnsi="Times New Roman" w:cs="Times New Roman"/>
          <w:i/>
          <w:iCs/>
        </w:rPr>
        <w:t>Adult smoking habits in the UK: 2019</w:t>
      </w:r>
      <w:r w:rsidRPr="006F3F8E">
        <w:rPr>
          <w:rFonts w:ascii="Times New Roman" w:hAnsi="Times New Roman" w:cs="Times New Roman"/>
        </w:rPr>
        <w:t>. https://www.ons.gov.uk/peoplepopulationandcommunity/healthandsocialcare/healthandlifeexpectancies/bulletins/adultsmokinghabitsingreatbritain/2019</w:t>
      </w:r>
    </w:p>
    <w:p w14:paraId="618FBC0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Oikonomou, M. T., Arvanitis, M., &amp; Sokolove, R. L. (2017). Mindfulness training for smoking cessation: A meta-analysis of randomized-controlled trials. </w:t>
      </w:r>
      <w:r w:rsidRPr="006F3F8E">
        <w:rPr>
          <w:rFonts w:ascii="Times New Roman" w:hAnsi="Times New Roman" w:cs="Times New Roman"/>
          <w:i/>
          <w:iCs/>
        </w:rPr>
        <w:t>Journal of Health Psychology</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(14), 1841–1850. https://doi.org/10.1177/1359105316637667</w:t>
      </w:r>
    </w:p>
    <w:p w14:paraId="622DB47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Oldham, M., Callinan, S., Whitaker, V., Fairbrother, H., Curtis, P., Meier, P., Livingston, M., &amp; Holmes, J. (2020). The decline in youth drinking in England—is everyone drinking less? A quantile regression 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115</w:t>
      </w:r>
      <w:r w:rsidRPr="006F3F8E">
        <w:rPr>
          <w:rFonts w:ascii="Times New Roman" w:hAnsi="Times New Roman" w:cs="Times New Roman"/>
        </w:rPr>
        <w:t>(2), 230–238. https://doi.org/10.1111/add.14824</w:t>
      </w:r>
    </w:p>
    <w:p w14:paraId="0E70CAC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Oldham, M., Holmes, J., Whitaker, V., Fairbrother, H., &amp; Curtis, P. (2018). </w:t>
      </w:r>
      <w:r w:rsidRPr="006F3F8E">
        <w:rPr>
          <w:rFonts w:ascii="Times New Roman" w:hAnsi="Times New Roman" w:cs="Times New Roman"/>
          <w:i/>
          <w:iCs/>
        </w:rPr>
        <w:t>Youth Drinking in Decline</w:t>
      </w:r>
      <w:r w:rsidRPr="006F3F8E">
        <w:rPr>
          <w:rFonts w:ascii="Times New Roman" w:hAnsi="Times New Roman" w:cs="Times New Roman"/>
        </w:rPr>
        <w:t xml:space="preserve"> [Monograph]. University of Sheffield. https://www.sheffield.ac.uk/polopoly_fs/1.806889!/file/Oldham_Holmes_Youth_drinking_in_decline_FINAL.pdf</w:t>
      </w:r>
    </w:p>
    <w:p w14:paraId="181F880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O’Malley, P. M. (2004). Maturing out of problematic alcohol use. </w:t>
      </w:r>
      <w:r w:rsidRPr="006F3F8E">
        <w:rPr>
          <w:rFonts w:ascii="Times New Roman" w:hAnsi="Times New Roman" w:cs="Times New Roman"/>
          <w:i/>
          <w:iCs/>
        </w:rPr>
        <w:t>Alcohol Research &amp; Health</w:t>
      </w:r>
      <w:r w:rsidRPr="006F3F8E">
        <w:rPr>
          <w:rFonts w:ascii="Times New Roman" w:hAnsi="Times New Roman" w:cs="Times New Roman"/>
        </w:rPr>
        <w:t xml:space="preserve">, </w:t>
      </w:r>
      <w:r w:rsidRPr="006F3F8E">
        <w:rPr>
          <w:rFonts w:ascii="Times New Roman" w:hAnsi="Times New Roman" w:cs="Times New Roman"/>
          <w:i/>
          <w:iCs/>
        </w:rPr>
        <w:t>28</w:t>
      </w:r>
      <w:r w:rsidRPr="006F3F8E">
        <w:rPr>
          <w:rFonts w:ascii="Times New Roman" w:hAnsi="Times New Roman" w:cs="Times New Roman"/>
        </w:rPr>
        <w:t>(4), 202–204.</w:t>
      </w:r>
    </w:p>
    <w:p w14:paraId="0CB1A78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Opazo Breton, M., Britton, J., &amp; Bogdanovica, I. (2020). Changes in roll-your-own tobacco and cigarette sales volume and prices before, during and after plain packaging legislation in the UK. </w:t>
      </w:r>
      <w:r w:rsidRPr="006F3F8E">
        <w:rPr>
          <w:rFonts w:ascii="Times New Roman" w:hAnsi="Times New Roman" w:cs="Times New Roman"/>
          <w:i/>
          <w:iCs/>
        </w:rPr>
        <w:t>Tobacco Control</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(3), 263–268. https://doi.org/10.1136/tobaccocontrol-2018-054734</w:t>
      </w:r>
    </w:p>
    <w:p w14:paraId="1674574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Opazo Breton, M., Gillespie, D., Pryce, R., Bogdanovica, I., Angus, C., Hernandez Alava, M., Brennan, A., &amp; Britton, J. (2022). Understanding long-term trends in smoking in England, 1972-2019: An age-period-cohort approach.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117</w:t>
      </w:r>
      <w:r w:rsidRPr="006F3F8E">
        <w:rPr>
          <w:rFonts w:ascii="Times New Roman" w:hAnsi="Times New Roman" w:cs="Times New Roman"/>
        </w:rPr>
        <w:t>(5), 1392–1403. https://doi.org/10.1111/add.15696</w:t>
      </w:r>
    </w:p>
    <w:p w14:paraId="0845475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Ostafin, B. D., &amp; Proulx, T. (2020). Meaning in life and resilience to stressors. </w:t>
      </w:r>
      <w:r w:rsidRPr="006F3F8E">
        <w:rPr>
          <w:rFonts w:ascii="Times New Roman" w:hAnsi="Times New Roman" w:cs="Times New Roman"/>
          <w:i/>
          <w:iCs/>
        </w:rPr>
        <w:t>Anxiety, Stress &amp; Coping</w:t>
      </w:r>
      <w:r w:rsidRPr="006F3F8E">
        <w:rPr>
          <w:rFonts w:ascii="Times New Roman" w:hAnsi="Times New Roman" w:cs="Times New Roman"/>
        </w:rPr>
        <w:t xml:space="preserve">, </w:t>
      </w:r>
      <w:r w:rsidRPr="006F3F8E">
        <w:rPr>
          <w:rFonts w:ascii="Times New Roman" w:hAnsi="Times New Roman" w:cs="Times New Roman"/>
          <w:i/>
          <w:iCs/>
        </w:rPr>
        <w:t>33</w:t>
      </w:r>
      <w:r w:rsidRPr="006F3F8E">
        <w:rPr>
          <w:rFonts w:ascii="Times New Roman" w:hAnsi="Times New Roman" w:cs="Times New Roman"/>
        </w:rPr>
        <w:t>(6), 603–622. https://doi.org/10.1080/10615806.2020.1800655</w:t>
      </w:r>
    </w:p>
    <w:p w14:paraId="64CD9F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Owens, M. M., Murphy, C. M., &amp; MacKillop, J. (2015). Initial development of a brief behavioral economic assessment of alcohol demand. </w:t>
      </w:r>
      <w:r w:rsidRPr="006F3F8E">
        <w:rPr>
          <w:rFonts w:ascii="Times New Roman" w:hAnsi="Times New Roman" w:cs="Times New Roman"/>
          <w:i/>
          <w:iCs/>
        </w:rPr>
        <w:t>Psychology of Consciousness: Theory, Research, and Practice</w:t>
      </w:r>
      <w:r w:rsidRPr="006F3F8E">
        <w:rPr>
          <w:rFonts w:ascii="Times New Roman" w:hAnsi="Times New Roman" w:cs="Times New Roman"/>
        </w:rPr>
        <w:t xml:space="preserve">, </w:t>
      </w:r>
      <w:r w:rsidRPr="006F3F8E">
        <w:rPr>
          <w:rFonts w:ascii="Times New Roman" w:hAnsi="Times New Roman" w:cs="Times New Roman"/>
          <w:i/>
          <w:iCs/>
        </w:rPr>
        <w:t>2</w:t>
      </w:r>
      <w:r w:rsidRPr="006F3F8E">
        <w:rPr>
          <w:rFonts w:ascii="Times New Roman" w:hAnsi="Times New Roman" w:cs="Times New Roman"/>
        </w:rPr>
        <w:t>(2), 144–152. https://doi.org/10.1037/cns0000056</w:t>
      </w:r>
    </w:p>
    <w:p w14:paraId="3F7E2F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Park, C. L., Malone, M., Suresh, D., Bliss, D., &amp; Rosen, R. (2008). Coping, meaning in life, and quality of life in congestive heart failure patients. </w:t>
      </w:r>
      <w:r w:rsidRPr="006F3F8E">
        <w:rPr>
          <w:rFonts w:ascii="Times New Roman" w:hAnsi="Times New Roman" w:cs="Times New Roman"/>
          <w:i/>
          <w:iCs/>
        </w:rPr>
        <w:t>Quality of Life Research</w:t>
      </w:r>
      <w:r w:rsidRPr="006F3F8E">
        <w:rPr>
          <w:rFonts w:ascii="Times New Roman" w:hAnsi="Times New Roman" w:cs="Times New Roman"/>
        </w:rPr>
        <w:t xml:space="preserve">, </w:t>
      </w:r>
      <w:r w:rsidRPr="006F3F8E">
        <w:rPr>
          <w:rFonts w:ascii="Times New Roman" w:hAnsi="Times New Roman" w:cs="Times New Roman"/>
          <w:i/>
          <w:iCs/>
        </w:rPr>
        <w:t>17</w:t>
      </w:r>
      <w:r w:rsidRPr="006F3F8E">
        <w:rPr>
          <w:rFonts w:ascii="Times New Roman" w:hAnsi="Times New Roman" w:cs="Times New Roman"/>
        </w:rPr>
        <w:t>, 21–26. https://doi.org/10.1007/s11136-007-9279-0</w:t>
      </w:r>
    </w:p>
    <w:p w14:paraId="6702751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Patel, H., &amp; Amlung, M. (2020). Acute and extended exposure to episodic future thinking in a treatment seeking addiction sample: A pilot study.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116</w:t>
      </w:r>
      <w:r w:rsidRPr="006F3F8E">
        <w:rPr>
          <w:rFonts w:ascii="Times New Roman" w:hAnsi="Times New Roman" w:cs="Times New Roman"/>
        </w:rPr>
        <w:t>, 108046. https://doi.org/10.1016/j.jsat.2020.108046</w:t>
      </w:r>
    </w:p>
    <w:p w14:paraId="6452B7D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Peacock, A., Leung, J., Larney, S., Colledge, S., Hickman, M., Rehm, J., Giovino, G. A., West, R., Hall, W., Griffiths, P., Ali, R., Gowing, L., Marsden, J., Ferrari, A. J., Grebely, J., Farrell, M., &amp; Degenhardt, L. (2018). Global statistics on alcohol, tobacco and illicit drug use: 2017 status report.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113</w:t>
      </w:r>
      <w:r w:rsidRPr="006F3F8E">
        <w:rPr>
          <w:rFonts w:ascii="Times New Roman" w:hAnsi="Times New Roman" w:cs="Times New Roman"/>
        </w:rPr>
        <w:t>(10), 1905–1926. https://doi.org/10.1111/add.14234</w:t>
      </w:r>
    </w:p>
    <w:p w14:paraId="54638DB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Pedrelli, P., Shapero, B., Archibald, A., &amp; Dale, C. (2016). Alcohol use and depression during adolescence and young adulthood: A summary and interpretation of mixed findings. </w:t>
      </w:r>
      <w:r w:rsidRPr="006F3F8E">
        <w:rPr>
          <w:rFonts w:ascii="Times New Roman" w:hAnsi="Times New Roman" w:cs="Times New Roman"/>
          <w:i/>
          <w:iCs/>
        </w:rPr>
        <w:t>Current Addiction Reports</w:t>
      </w:r>
      <w:r w:rsidRPr="006F3F8E">
        <w:rPr>
          <w:rFonts w:ascii="Times New Roman" w:hAnsi="Times New Roman" w:cs="Times New Roman"/>
        </w:rPr>
        <w:t xml:space="preserve">, </w:t>
      </w:r>
      <w:r w:rsidRPr="006F3F8E">
        <w:rPr>
          <w:rFonts w:ascii="Times New Roman" w:hAnsi="Times New Roman" w:cs="Times New Roman"/>
          <w:i/>
          <w:iCs/>
        </w:rPr>
        <w:t>3</w:t>
      </w:r>
      <w:r w:rsidRPr="006F3F8E">
        <w:rPr>
          <w:rFonts w:ascii="Times New Roman" w:hAnsi="Times New Roman" w:cs="Times New Roman"/>
        </w:rPr>
        <w:t>(1), 91–97. https://doi.org/10.1007/s40429-016-0084-0</w:t>
      </w:r>
    </w:p>
    <w:p w14:paraId="0A3FB04C" w14:textId="13AD0B0D"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Peer, E., Rothschild, D., Gordon, A., Evernden, Z., &amp; Damer, E. (2021). Data quality of platforms and panels for online behavioral research.</w:t>
      </w:r>
      <w:r w:rsidR="00995CE1">
        <w:rPr>
          <w:rFonts w:ascii="Times New Roman" w:hAnsi="Times New Roman" w:cs="Times New Roman"/>
        </w:rPr>
        <w:t xml:space="preserve"> </w:t>
      </w:r>
      <w:r w:rsidRPr="006F3F8E">
        <w:rPr>
          <w:rFonts w:ascii="Times New Roman" w:hAnsi="Times New Roman" w:cs="Times New Roman"/>
        </w:rPr>
        <w:t xml:space="preserve"> </w:t>
      </w:r>
      <w:r w:rsidRPr="006F3F8E">
        <w:rPr>
          <w:rFonts w:ascii="Times New Roman" w:hAnsi="Times New Roman" w:cs="Times New Roman"/>
          <w:i/>
          <w:iCs/>
        </w:rPr>
        <w:t>Behavior Research Methods</w:t>
      </w:r>
      <w:r w:rsidR="00995CE1">
        <w:rPr>
          <w:rFonts w:ascii="Times New Roman" w:hAnsi="Times New Roman" w:cs="Times New Roman"/>
        </w:rPr>
        <w:t xml:space="preserve">, </w:t>
      </w:r>
      <w:r w:rsidR="00995CE1" w:rsidRPr="00995CE1">
        <w:rPr>
          <w:rFonts w:ascii="Times New Roman" w:hAnsi="Times New Roman" w:cs="Times New Roman"/>
          <w:i/>
          <w:iCs/>
        </w:rPr>
        <w:t>53</w:t>
      </w:r>
      <w:r w:rsidR="00995CE1">
        <w:rPr>
          <w:rFonts w:ascii="Times New Roman" w:hAnsi="Times New Roman" w:cs="Times New Roman"/>
        </w:rPr>
        <w:t>, 1-20.</w:t>
      </w:r>
      <w:r w:rsidRPr="006F3F8E">
        <w:rPr>
          <w:rFonts w:ascii="Times New Roman" w:hAnsi="Times New Roman" w:cs="Times New Roman"/>
        </w:rPr>
        <w:t xml:space="preserve"> https://doi.org/10.3758/s13428-021-01694-3</w:t>
      </w:r>
    </w:p>
    <w:p w14:paraId="485B03CA" w14:textId="708DB455"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Peirce, J., Gray, J. R., Simpson, S., MacAskill, M., Höchenberger, R., Sogo, H., Kastman, E., &amp; Lindeløv, J. K. (2019). PsychoPy2: Experiments in behavior made easy.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51</w:t>
      </w:r>
      <w:r w:rsidRPr="006F3F8E">
        <w:rPr>
          <w:rFonts w:ascii="Times New Roman" w:hAnsi="Times New Roman" w:cs="Times New Roman"/>
        </w:rPr>
        <w:t>(1), 195–203. https://doi.org/10.3758/s13428-018-01193-y</w:t>
      </w:r>
    </w:p>
    <w:p w14:paraId="1CD827F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Pennington, C. R., Jones, A., Bartlett, J. E., Copeland, A., &amp; Shaw, D. J. (2021). Raising the bar: Improving methodological rigour in cognitive alcohol research.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116</w:t>
      </w:r>
      <w:r w:rsidRPr="006F3F8E">
        <w:rPr>
          <w:rFonts w:ascii="Times New Roman" w:hAnsi="Times New Roman" w:cs="Times New Roman"/>
        </w:rPr>
        <w:t>(11), 3243–3251. https://doi.org/10.1111/add.15563</w:t>
      </w:r>
    </w:p>
    <w:p w14:paraId="2B81C61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Petry, N. M., Alessi, S. M., &amp; Ledgerwood, D. M. (2012). A randomized trial of contingency management delivered by community therapists.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80</w:t>
      </w:r>
      <w:r w:rsidRPr="006F3F8E">
        <w:rPr>
          <w:rFonts w:ascii="Times New Roman" w:hAnsi="Times New Roman" w:cs="Times New Roman"/>
        </w:rPr>
        <w:t>(2), 286–298. https://doi.org/10.1037/a0026826</w:t>
      </w:r>
    </w:p>
    <w:p w14:paraId="2C99ED6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Petry, N. M., Alessi, S. M., Olmstead, T. A., Rash, C. J., &amp; Zajac, K. (2017). Contingency management treatment for substance use disorders: How far has it come, and where does it need to go?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31</w:t>
      </w:r>
      <w:r w:rsidRPr="006F3F8E">
        <w:rPr>
          <w:rFonts w:ascii="Times New Roman" w:hAnsi="Times New Roman" w:cs="Times New Roman"/>
        </w:rPr>
        <w:t>(8), 897–906. https://doi.org/10.1037/adb0000287</w:t>
      </w:r>
    </w:p>
    <w:p w14:paraId="28362C7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Petry, N. M., Weinstock, J., &amp; Alessi, S. M. (2011). A randomized trial of contingency management delivered in the context of group counseling.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79</w:t>
      </w:r>
      <w:r w:rsidRPr="006F3F8E">
        <w:rPr>
          <w:rFonts w:ascii="Times New Roman" w:hAnsi="Times New Roman" w:cs="Times New Roman"/>
        </w:rPr>
        <w:t>(5), 686–696. https://doi.org/10.1037/a0024813</w:t>
      </w:r>
    </w:p>
    <w:p w14:paraId="4155929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Pettinati, H. M., O’Brien, C. P., &amp; Dundon, W. D. (2013). Current status of co-occurring mood and substance use disorders: A new therapeutic target. </w:t>
      </w:r>
      <w:r w:rsidRPr="006F3F8E">
        <w:rPr>
          <w:rFonts w:ascii="Times New Roman" w:hAnsi="Times New Roman" w:cs="Times New Roman"/>
          <w:i/>
          <w:iCs/>
        </w:rPr>
        <w:t>The American Journal of Psychiatry</w:t>
      </w:r>
      <w:r w:rsidRPr="006F3F8E">
        <w:rPr>
          <w:rFonts w:ascii="Times New Roman" w:hAnsi="Times New Roman" w:cs="Times New Roman"/>
        </w:rPr>
        <w:t xml:space="preserve">, </w:t>
      </w:r>
      <w:r w:rsidRPr="006F3F8E">
        <w:rPr>
          <w:rFonts w:ascii="Times New Roman" w:hAnsi="Times New Roman" w:cs="Times New Roman"/>
          <w:i/>
          <w:iCs/>
        </w:rPr>
        <w:t>170</w:t>
      </w:r>
      <w:r w:rsidRPr="006F3F8E">
        <w:rPr>
          <w:rFonts w:ascii="Times New Roman" w:hAnsi="Times New Roman" w:cs="Times New Roman"/>
        </w:rPr>
        <w:t>(1), 23–30. https://doi.org/10.1176/appi.ajp.2012.12010112</w:t>
      </w:r>
    </w:p>
    <w:p w14:paraId="0AE5D39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Pickard, H. (2012). The purpose in chronic addiction. </w:t>
      </w:r>
      <w:r w:rsidRPr="006F3F8E">
        <w:rPr>
          <w:rFonts w:ascii="Times New Roman" w:hAnsi="Times New Roman" w:cs="Times New Roman"/>
          <w:i/>
          <w:iCs/>
        </w:rPr>
        <w:t>AJOB Neuroscience</w:t>
      </w:r>
      <w:r w:rsidRPr="006F3F8E">
        <w:rPr>
          <w:rFonts w:ascii="Times New Roman" w:hAnsi="Times New Roman" w:cs="Times New Roman"/>
        </w:rPr>
        <w:t xml:space="preserve">, </w:t>
      </w:r>
      <w:r w:rsidRPr="006F3F8E">
        <w:rPr>
          <w:rFonts w:ascii="Times New Roman" w:hAnsi="Times New Roman" w:cs="Times New Roman"/>
          <w:i/>
          <w:iCs/>
        </w:rPr>
        <w:t>3</w:t>
      </w:r>
      <w:r w:rsidRPr="006F3F8E">
        <w:rPr>
          <w:rFonts w:ascii="Times New Roman" w:hAnsi="Times New Roman" w:cs="Times New Roman"/>
        </w:rPr>
        <w:t>(2), 40–49. https://doi.org/10.1080/21507740.2012.663058</w:t>
      </w:r>
    </w:p>
    <w:p w14:paraId="2DF34A28" w14:textId="197D14F8"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Pickard, H. (2018). The </w:t>
      </w:r>
      <w:r w:rsidR="00DF4465">
        <w:rPr>
          <w:rFonts w:ascii="Times New Roman" w:hAnsi="Times New Roman" w:cs="Times New Roman"/>
        </w:rPr>
        <w:t>p</w:t>
      </w:r>
      <w:r w:rsidRPr="006F3F8E">
        <w:rPr>
          <w:rFonts w:ascii="Times New Roman" w:hAnsi="Times New Roman" w:cs="Times New Roman"/>
        </w:rPr>
        <w:t xml:space="preserve">uzzle of </w:t>
      </w:r>
      <w:r w:rsidR="00DF4465">
        <w:rPr>
          <w:rFonts w:ascii="Times New Roman" w:hAnsi="Times New Roman" w:cs="Times New Roman"/>
        </w:rPr>
        <w:t>a</w:t>
      </w:r>
      <w:r w:rsidRPr="006F3F8E">
        <w:rPr>
          <w:rFonts w:ascii="Times New Roman" w:hAnsi="Times New Roman" w:cs="Times New Roman"/>
        </w:rPr>
        <w:t xml:space="preserve">ddiction. In </w:t>
      </w:r>
      <w:r w:rsidRPr="006F3F8E">
        <w:rPr>
          <w:rFonts w:ascii="Times New Roman" w:hAnsi="Times New Roman" w:cs="Times New Roman"/>
          <w:i/>
          <w:iCs/>
        </w:rPr>
        <w:t xml:space="preserve">The Routledge </w:t>
      </w:r>
      <w:r w:rsidR="00995CE1">
        <w:rPr>
          <w:rFonts w:ascii="Times New Roman" w:hAnsi="Times New Roman" w:cs="Times New Roman"/>
          <w:i/>
          <w:iCs/>
        </w:rPr>
        <w:t>h</w:t>
      </w:r>
      <w:r w:rsidRPr="006F3F8E">
        <w:rPr>
          <w:rFonts w:ascii="Times New Roman" w:hAnsi="Times New Roman" w:cs="Times New Roman"/>
          <w:i/>
          <w:iCs/>
        </w:rPr>
        <w:t xml:space="preserve">andbook of </w:t>
      </w:r>
      <w:r w:rsidR="00995CE1">
        <w:rPr>
          <w:rFonts w:ascii="Times New Roman" w:hAnsi="Times New Roman" w:cs="Times New Roman"/>
          <w:i/>
          <w:iCs/>
        </w:rPr>
        <w:t>p</w:t>
      </w:r>
      <w:r w:rsidRPr="006F3F8E">
        <w:rPr>
          <w:rFonts w:ascii="Times New Roman" w:hAnsi="Times New Roman" w:cs="Times New Roman"/>
          <w:i/>
          <w:iCs/>
        </w:rPr>
        <w:t xml:space="preserve">hilosophy and </w:t>
      </w:r>
      <w:r w:rsidR="00995CE1">
        <w:rPr>
          <w:rFonts w:ascii="Times New Roman" w:hAnsi="Times New Roman" w:cs="Times New Roman"/>
          <w:i/>
          <w:iCs/>
        </w:rPr>
        <w:t>s</w:t>
      </w:r>
      <w:r w:rsidRPr="006F3F8E">
        <w:rPr>
          <w:rFonts w:ascii="Times New Roman" w:hAnsi="Times New Roman" w:cs="Times New Roman"/>
          <w:i/>
          <w:iCs/>
        </w:rPr>
        <w:t xml:space="preserve">cience of </w:t>
      </w:r>
      <w:r w:rsidR="00995CE1">
        <w:rPr>
          <w:rFonts w:ascii="Times New Roman" w:hAnsi="Times New Roman" w:cs="Times New Roman"/>
          <w:i/>
          <w:iCs/>
        </w:rPr>
        <w:t>a</w:t>
      </w:r>
      <w:r w:rsidRPr="006F3F8E">
        <w:rPr>
          <w:rFonts w:ascii="Times New Roman" w:hAnsi="Times New Roman" w:cs="Times New Roman"/>
          <w:i/>
          <w:iCs/>
        </w:rPr>
        <w:t>ddiction</w:t>
      </w:r>
      <w:r w:rsidRPr="006F3F8E">
        <w:rPr>
          <w:rFonts w:ascii="Times New Roman" w:hAnsi="Times New Roman" w:cs="Times New Roman"/>
        </w:rPr>
        <w:t>. Routledge.</w:t>
      </w:r>
    </w:p>
    <w:p w14:paraId="6970B57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Pickard, H. (2020a). Addiction and the self. </w:t>
      </w:r>
      <w:r w:rsidRPr="006F3F8E">
        <w:rPr>
          <w:rFonts w:ascii="Times New Roman" w:hAnsi="Times New Roman" w:cs="Times New Roman"/>
          <w:i/>
          <w:iCs/>
        </w:rPr>
        <w:t>Noûs</w:t>
      </w:r>
      <w:r w:rsidRPr="006F3F8E">
        <w:rPr>
          <w:rFonts w:ascii="Times New Roman" w:hAnsi="Times New Roman" w:cs="Times New Roman"/>
        </w:rPr>
        <w:t xml:space="preserve">, </w:t>
      </w:r>
      <w:r w:rsidRPr="006F3F8E">
        <w:rPr>
          <w:rFonts w:ascii="Times New Roman" w:hAnsi="Times New Roman" w:cs="Times New Roman"/>
          <w:i/>
          <w:iCs/>
        </w:rPr>
        <w:t>55</w:t>
      </w:r>
      <w:r w:rsidRPr="006F3F8E">
        <w:rPr>
          <w:rFonts w:ascii="Times New Roman" w:hAnsi="Times New Roman" w:cs="Times New Roman"/>
        </w:rPr>
        <w:t>(4), 737–761. https://doi.org/10.1111/nous.12328</w:t>
      </w:r>
    </w:p>
    <w:p w14:paraId="23EFC89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Pickard, H. (2020b). What we’re not talking about when we talk about addiction. </w:t>
      </w:r>
      <w:r w:rsidRPr="006F3F8E">
        <w:rPr>
          <w:rFonts w:ascii="Times New Roman" w:hAnsi="Times New Roman" w:cs="Times New Roman"/>
          <w:i/>
          <w:iCs/>
        </w:rPr>
        <w:t>Hastings Center Report</w:t>
      </w:r>
      <w:r w:rsidRPr="006F3F8E">
        <w:rPr>
          <w:rFonts w:ascii="Times New Roman" w:hAnsi="Times New Roman" w:cs="Times New Roman"/>
        </w:rPr>
        <w:t xml:space="preserve">, </w:t>
      </w:r>
      <w:r w:rsidRPr="006F3F8E">
        <w:rPr>
          <w:rFonts w:ascii="Times New Roman" w:hAnsi="Times New Roman" w:cs="Times New Roman"/>
          <w:i/>
          <w:iCs/>
        </w:rPr>
        <w:t>50</w:t>
      </w:r>
      <w:r w:rsidRPr="006F3F8E">
        <w:rPr>
          <w:rFonts w:ascii="Times New Roman" w:hAnsi="Times New Roman" w:cs="Times New Roman"/>
        </w:rPr>
        <w:t>(4), 37–46. https://doi.org/10.1002/hast.1172</w:t>
      </w:r>
    </w:p>
    <w:p w14:paraId="40EF219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Pirrone, A., Dickinson, A., Gomez, R., Stafford, T., &amp; Milne, E. (2017). Understanding perceptual judgment in autism spectrum disorder using the drift diffusion model. </w:t>
      </w:r>
      <w:r w:rsidRPr="006F3F8E">
        <w:rPr>
          <w:rFonts w:ascii="Times New Roman" w:hAnsi="Times New Roman" w:cs="Times New Roman"/>
          <w:i/>
          <w:iCs/>
        </w:rPr>
        <w:t>Neuropsychology</w:t>
      </w:r>
      <w:r w:rsidRPr="006F3F8E">
        <w:rPr>
          <w:rFonts w:ascii="Times New Roman" w:hAnsi="Times New Roman" w:cs="Times New Roman"/>
        </w:rPr>
        <w:t xml:space="preserve">, </w:t>
      </w:r>
      <w:r w:rsidRPr="006F3F8E">
        <w:rPr>
          <w:rFonts w:ascii="Times New Roman" w:hAnsi="Times New Roman" w:cs="Times New Roman"/>
          <w:i/>
          <w:iCs/>
        </w:rPr>
        <w:t>31</w:t>
      </w:r>
      <w:r w:rsidRPr="006F3F8E">
        <w:rPr>
          <w:rFonts w:ascii="Times New Roman" w:hAnsi="Times New Roman" w:cs="Times New Roman"/>
        </w:rPr>
        <w:t>(2), 173–180. https://doi.org/10.1037/neu0000320</w:t>
      </w:r>
    </w:p>
    <w:p w14:paraId="30E7BA4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Plant, R. R. (2016). A reminder on millisecond timing accuracy and potential replication failure in computer-based psychology experiments: An open letter.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48</w:t>
      </w:r>
      <w:r w:rsidRPr="006F3F8E">
        <w:rPr>
          <w:rFonts w:ascii="Times New Roman" w:hAnsi="Times New Roman" w:cs="Times New Roman"/>
        </w:rPr>
        <w:t>(1), 408–411. https://doi.org/10.3758/s13428-015-0577-0</w:t>
      </w:r>
    </w:p>
    <w:p w14:paraId="44E2004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Polanía, R., Krajbich, I., Grueschow, M., &amp; Ruff, C. C. (2014). Neural oscillations and synchronization differentially support evidence accumulation in perceptual and value-based decision making. </w:t>
      </w:r>
      <w:r w:rsidRPr="006F3F8E">
        <w:rPr>
          <w:rFonts w:ascii="Times New Roman" w:hAnsi="Times New Roman" w:cs="Times New Roman"/>
          <w:i/>
          <w:iCs/>
        </w:rPr>
        <w:t>Neuron</w:t>
      </w:r>
      <w:r w:rsidRPr="006F3F8E">
        <w:rPr>
          <w:rFonts w:ascii="Times New Roman" w:hAnsi="Times New Roman" w:cs="Times New Roman"/>
        </w:rPr>
        <w:t xml:space="preserve">, </w:t>
      </w:r>
      <w:r w:rsidRPr="006F3F8E">
        <w:rPr>
          <w:rFonts w:ascii="Times New Roman" w:hAnsi="Times New Roman" w:cs="Times New Roman"/>
          <w:i/>
          <w:iCs/>
        </w:rPr>
        <w:t>82</w:t>
      </w:r>
      <w:r w:rsidRPr="006F3F8E">
        <w:rPr>
          <w:rFonts w:ascii="Times New Roman" w:hAnsi="Times New Roman" w:cs="Times New Roman"/>
        </w:rPr>
        <w:t>(3), 709–720. https://doi.org/10.1016/j.neuron.2014.03.014</w:t>
      </w:r>
    </w:p>
    <w:p w14:paraId="2D31460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Prendergast, M., Podus, D., Finney, J., Greenwell, L., &amp; Roll, J. (2006). Contingency management for treatment of substance use disorders: A meta-analysis.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101</w:t>
      </w:r>
      <w:r w:rsidRPr="006F3F8E">
        <w:rPr>
          <w:rFonts w:ascii="Times New Roman" w:hAnsi="Times New Roman" w:cs="Times New Roman"/>
        </w:rPr>
        <w:t>(11), 1546–1560. https://doi.org/10.1111/j.1360-0443.2006.01581.x</w:t>
      </w:r>
    </w:p>
    <w:p w14:paraId="5658A17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Prinzing, M., De Freitas, J., &amp; Fredrickson, B. L. (2021). The ordinary concept of a meaningful life: The role of subjective and objective factors in third-person attributions of meaning. </w:t>
      </w:r>
      <w:r w:rsidRPr="006F3F8E">
        <w:rPr>
          <w:rFonts w:ascii="Times New Roman" w:hAnsi="Times New Roman" w:cs="Times New Roman"/>
          <w:i/>
          <w:iCs/>
        </w:rPr>
        <w:t>The Journal of Positive Psychology</w:t>
      </w:r>
      <w:r w:rsidRPr="006F3F8E">
        <w:rPr>
          <w:rFonts w:ascii="Times New Roman" w:hAnsi="Times New Roman" w:cs="Times New Roman"/>
        </w:rPr>
        <w:t>, 1–16. https://doi.org/10.1080/17439760.2021.1897866</w:t>
      </w:r>
    </w:p>
    <w:p w14:paraId="2137E03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Pronk, T., van Deursen, D. S., Beraha, E. M., Larsen, H., &amp; Wiers, R. W. (2015). Validation of the Amsterdam Beverage Picture Set: A controlled picture set for cognitive bias measurement and modification paradigms.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(10), 2047–2055. https://doi.org/10.1111/acer.12853</w:t>
      </w:r>
    </w:p>
    <w:p w14:paraId="77A0C94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Public Health England. (2016). </w:t>
      </w:r>
      <w:r w:rsidRPr="006F3F8E">
        <w:rPr>
          <w:rFonts w:ascii="Times New Roman" w:hAnsi="Times New Roman" w:cs="Times New Roman"/>
          <w:i/>
          <w:iCs/>
        </w:rPr>
        <w:t>Health matters: Harmful drinking and alcohol dependence</w:t>
      </w:r>
      <w:r w:rsidRPr="006F3F8E">
        <w:rPr>
          <w:rFonts w:ascii="Times New Roman" w:hAnsi="Times New Roman" w:cs="Times New Roman"/>
        </w:rPr>
        <w:t>. GOV.UK. https://www.gov.uk/government/publications/health-matters-harmful-drinking-and-alcohol-dependence/health-matters-harmful-drinking-and-alcohol-dependence</w:t>
      </w:r>
    </w:p>
    <w:p w14:paraId="6E57D22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Public Health England. (2017). </w:t>
      </w:r>
      <w:r w:rsidRPr="006F3F8E">
        <w:rPr>
          <w:rFonts w:ascii="Times New Roman" w:hAnsi="Times New Roman" w:cs="Times New Roman"/>
          <w:i/>
          <w:iCs/>
        </w:rPr>
        <w:t>Cost of smoking to the NHS in England: 2015</w:t>
      </w:r>
      <w:r w:rsidRPr="006F3F8E">
        <w:rPr>
          <w:rFonts w:ascii="Times New Roman" w:hAnsi="Times New Roman" w:cs="Times New Roman"/>
        </w:rPr>
        <w:t>. GOV.UK. https://www.gov.uk/government/publications/cost-of-smoking-to-the-nhs-in-england-2015/cost-of-smoking-to-the-nhs-in-england-2015</w:t>
      </w:r>
    </w:p>
    <w:p w14:paraId="3A264F7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Public Health England. (2018). </w:t>
      </w:r>
      <w:r w:rsidRPr="006F3F8E">
        <w:rPr>
          <w:rFonts w:ascii="Times New Roman" w:hAnsi="Times New Roman" w:cs="Times New Roman"/>
          <w:i/>
          <w:iCs/>
        </w:rPr>
        <w:t>Tobacco commissioning support: Principles and indicators</w:t>
      </w:r>
      <w:r w:rsidRPr="006F3F8E">
        <w:rPr>
          <w:rFonts w:ascii="Times New Roman" w:hAnsi="Times New Roman" w:cs="Times New Roman"/>
        </w:rPr>
        <w:t>. GOV.UK. https://www.gov.uk/government/publications/alcohol-drugs-and-tobacco-commissioning-support-pack/tobacco-commissioning-support-pack-2019-to-2020-principles-and-indicators</w:t>
      </w:r>
    </w:p>
    <w:p w14:paraId="6AC3DA6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Public Health England. (2020). </w:t>
      </w:r>
      <w:r w:rsidRPr="006F3F8E">
        <w:rPr>
          <w:rFonts w:ascii="Times New Roman" w:hAnsi="Times New Roman" w:cs="Times New Roman"/>
          <w:i/>
          <w:iCs/>
        </w:rPr>
        <w:t>Health matters: Smoking and mental health</w:t>
      </w:r>
      <w:r w:rsidRPr="006F3F8E">
        <w:rPr>
          <w:rFonts w:ascii="Times New Roman" w:hAnsi="Times New Roman" w:cs="Times New Roman"/>
        </w:rPr>
        <w:t>. GOV.UK. https://www.gov.uk/government/publications/health-matters-smoking-and-mental-health/health-matters-smoking-and-mental-health</w:t>
      </w:r>
    </w:p>
    <w:p w14:paraId="769E8E8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Public Health England. (2021a). </w:t>
      </w:r>
      <w:r w:rsidRPr="006F3F8E">
        <w:rPr>
          <w:rFonts w:ascii="Times New Roman" w:hAnsi="Times New Roman" w:cs="Times New Roman"/>
          <w:i/>
          <w:iCs/>
        </w:rPr>
        <w:t>Alcohol dependence prevalence in England</w:t>
      </w:r>
      <w:r w:rsidRPr="006F3F8E">
        <w:rPr>
          <w:rFonts w:ascii="Times New Roman" w:hAnsi="Times New Roman" w:cs="Times New Roman"/>
        </w:rPr>
        <w:t>. GOV.UK. https://www.gov.uk/government/publications/alcohol-dependence-prevalence-in-england</w:t>
      </w:r>
    </w:p>
    <w:p w14:paraId="3BCE236A" w14:textId="72F27E4E"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Public Health England. (2021b). </w:t>
      </w:r>
      <w:r w:rsidRPr="006F3F8E">
        <w:rPr>
          <w:rFonts w:ascii="Times New Roman" w:hAnsi="Times New Roman" w:cs="Times New Roman"/>
          <w:i/>
          <w:iCs/>
        </w:rPr>
        <w:t xml:space="preserve">Local </w:t>
      </w:r>
      <w:r w:rsidR="00DF4465">
        <w:rPr>
          <w:rFonts w:ascii="Times New Roman" w:hAnsi="Times New Roman" w:cs="Times New Roman"/>
          <w:i/>
          <w:iCs/>
        </w:rPr>
        <w:t>a</w:t>
      </w:r>
      <w:r w:rsidRPr="006F3F8E">
        <w:rPr>
          <w:rFonts w:ascii="Times New Roman" w:hAnsi="Times New Roman" w:cs="Times New Roman"/>
          <w:i/>
          <w:iCs/>
        </w:rPr>
        <w:t>lcohol</w:t>
      </w:r>
      <w:r w:rsidR="00DF4465">
        <w:rPr>
          <w:rFonts w:ascii="Times New Roman" w:hAnsi="Times New Roman" w:cs="Times New Roman"/>
          <w:i/>
          <w:iCs/>
        </w:rPr>
        <w:t xml:space="preserve"> p</w:t>
      </w:r>
      <w:r w:rsidRPr="006F3F8E">
        <w:rPr>
          <w:rFonts w:ascii="Times New Roman" w:hAnsi="Times New Roman" w:cs="Times New Roman"/>
          <w:i/>
          <w:iCs/>
        </w:rPr>
        <w:t>rofiles for England (LAPE): July 2021 update</w:t>
      </w:r>
      <w:r w:rsidRPr="006F3F8E">
        <w:rPr>
          <w:rFonts w:ascii="Times New Roman" w:hAnsi="Times New Roman" w:cs="Times New Roman"/>
        </w:rPr>
        <w:t>. GOV.UK. https://www.gov.uk/government/statistics/local-alcohol-profiles-for-england-lape-july-2021-update/local-alcohol-profiles-for-england-short-statistical-commentary-july-2021</w:t>
      </w:r>
    </w:p>
    <w:p w14:paraId="6E315BA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Puddephatt, J.-A., Irizar, P., Jones, A., Gage, S. H., &amp; Goodwin, L. (2021). Associations of common mental disorder with alcohol use in the adult general population: A systematic review and meta-analysis.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117</w:t>
      </w:r>
      <w:r w:rsidRPr="006F3F8E">
        <w:rPr>
          <w:rFonts w:ascii="Times New Roman" w:hAnsi="Times New Roman" w:cs="Times New Roman"/>
        </w:rPr>
        <w:t>(6), 1543–1572. https://doi.org/10.1111/add.15735</w:t>
      </w:r>
    </w:p>
    <w:p w14:paraId="769697D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Quinn, P. D., &amp; Fromme, K. (2010). Self-regulation as a protective factor against risky drinking and sexual behavior.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(3), 376–385. https://doi.org/10.1037/a0018547</w:t>
      </w:r>
    </w:p>
    <w:p w14:paraId="0A4D1D7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 Core Team. (2020). </w:t>
      </w:r>
      <w:r w:rsidRPr="006F3F8E">
        <w:rPr>
          <w:rFonts w:ascii="Times New Roman" w:hAnsi="Times New Roman" w:cs="Times New Roman"/>
          <w:i/>
          <w:iCs/>
        </w:rPr>
        <w:t>A language and environment for statistical computing</w:t>
      </w:r>
      <w:r w:rsidRPr="006F3F8E">
        <w:rPr>
          <w:rFonts w:ascii="Times New Roman" w:hAnsi="Times New Roman" w:cs="Times New Roman"/>
        </w:rPr>
        <w:t>. R Foundation for Statistical Computing. https://www.R-project.org/</w:t>
      </w:r>
    </w:p>
    <w:p w14:paraId="4B6FC41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Rachlin, H. (1992). Teleological behaviorism. </w:t>
      </w:r>
      <w:r w:rsidRPr="006F3F8E">
        <w:rPr>
          <w:rFonts w:ascii="Times New Roman" w:hAnsi="Times New Roman" w:cs="Times New Roman"/>
          <w:i/>
          <w:iCs/>
        </w:rPr>
        <w:t>The American Psychologist</w:t>
      </w:r>
      <w:r w:rsidRPr="006F3F8E">
        <w:rPr>
          <w:rFonts w:ascii="Times New Roman" w:hAnsi="Times New Roman" w:cs="Times New Roman"/>
        </w:rPr>
        <w:t xml:space="preserve">, </w:t>
      </w:r>
      <w:r w:rsidRPr="006F3F8E">
        <w:rPr>
          <w:rFonts w:ascii="Times New Roman" w:hAnsi="Times New Roman" w:cs="Times New Roman"/>
          <w:i/>
          <w:iCs/>
        </w:rPr>
        <w:t>47</w:t>
      </w:r>
      <w:r w:rsidRPr="006F3F8E">
        <w:rPr>
          <w:rFonts w:ascii="Times New Roman" w:hAnsi="Times New Roman" w:cs="Times New Roman"/>
        </w:rPr>
        <w:t>(11), 1371–1382. https://doi.org/10.1037//0003-066x.47.11.1371</w:t>
      </w:r>
    </w:p>
    <w:p w14:paraId="19C2246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Rachlin, H. (1997). Four teleological theories of addiction.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(4), 462–473. https://doi.org/10.3758/BF03214335</w:t>
      </w:r>
    </w:p>
    <w:p w14:paraId="47FB8E4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Rachlin, H. (2017). In defense of teleological behaviorism. </w:t>
      </w:r>
      <w:r w:rsidRPr="006F3F8E">
        <w:rPr>
          <w:rFonts w:ascii="Times New Roman" w:hAnsi="Times New Roman" w:cs="Times New Roman"/>
          <w:i/>
          <w:iCs/>
        </w:rPr>
        <w:t>Journal of Theoretical and Philosophical Psychology</w:t>
      </w:r>
      <w:r w:rsidRPr="006F3F8E">
        <w:rPr>
          <w:rFonts w:ascii="Times New Roman" w:hAnsi="Times New Roman" w:cs="Times New Roman"/>
        </w:rPr>
        <w:t xml:space="preserve">, </w:t>
      </w:r>
      <w:r w:rsidRPr="006F3F8E">
        <w:rPr>
          <w:rFonts w:ascii="Times New Roman" w:hAnsi="Times New Roman" w:cs="Times New Roman"/>
          <w:i/>
          <w:iCs/>
        </w:rPr>
        <w:t>37</w:t>
      </w:r>
      <w:r w:rsidRPr="006F3F8E">
        <w:rPr>
          <w:rFonts w:ascii="Times New Roman" w:hAnsi="Times New Roman" w:cs="Times New Roman"/>
        </w:rPr>
        <w:t>(2), 65–76. https://doi.org/10.1037/teo0000060</w:t>
      </w:r>
    </w:p>
    <w:p w14:paraId="188D6A12" w14:textId="61FA7B5A"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Rachlin, H., Green, L., Vanderveldt, A., &amp; Fisher, E. B. (2018). Behavioral </w:t>
      </w:r>
      <w:r w:rsidR="00EE62E1">
        <w:rPr>
          <w:rFonts w:ascii="Times New Roman" w:hAnsi="Times New Roman" w:cs="Times New Roman"/>
        </w:rPr>
        <w:t>m</w:t>
      </w:r>
      <w:r w:rsidRPr="006F3F8E">
        <w:rPr>
          <w:rFonts w:ascii="Times New Roman" w:hAnsi="Times New Roman" w:cs="Times New Roman"/>
        </w:rPr>
        <w:t xml:space="preserve">edicine’s </w:t>
      </w:r>
      <w:r w:rsidR="00EE62E1">
        <w:rPr>
          <w:rFonts w:ascii="Times New Roman" w:hAnsi="Times New Roman" w:cs="Times New Roman"/>
        </w:rPr>
        <w:t>r</w:t>
      </w:r>
      <w:r w:rsidRPr="006F3F8E">
        <w:rPr>
          <w:rFonts w:ascii="Times New Roman" w:hAnsi="Times New Roman" w:cs="Times New Roman"/>
        </w:rPr>
        <w:t xml:space="preserve">oots in </w:t>
      </w:r>
      <w:r w:rsidR="00EE62E1">
        <w:rPr>
          <w:rFonts w:ascii="Times New Roman" w:hAnsi="Times New Roman" w:cs="Times New Roman"/>
        </w:rPr>
        <w:t>b</w:t>
      </w:r>
      <w:r w:rsidRPr="006F3F8E">
        <w:rPr>
          <w:rFonts w:ascii="Times New Roman" w:hAnsi="Times New Roman" w:cs="Times New Roman"/>
        </w:rPr>
        <w:t xml:space="preserve">ehaviorism: Concepts and </w:t>
      </w:r>
      <w:r w:rsidR="00EE62E1">
        <w:rPr>
          <w:rFonts w:ascii="Times New Roman" w:hAnsi="Times New Roman" w:cs="Times New Roman"/>
        </w:rPr>
        <w:t>a</w:t>
      </w:r>
      <w:r w:rsidRPr="006F3F8E">
        <w:rPr>
          <w:rFonts w:ascii="Times New Roman" w:hAnsi="Times New Roman" w:cs="Times New Roman"/>
        </w:rPr>
        <w:t xml:space="preserve">pplications. In E. B. Fisher, L. Cameron, A. Christensen, U. Ehlert, Y. Guo, B. Oldenburg, &amp; F. J. Snoek (Eds.), </w:t>
      </w:r>
      <w:r w:rsidRPr="006F3F8E">
        <w:rPr>
          <w:rFonts w:ascii="Times New Roman" w:hAnsi="Times New Roman" w:cs="Times New Roman"/>
          <w:i/>
          <w:iCs/>
        </w:rPr>
        <w:t xml:space="preserve">Principles and </w:t>
      </w:r>
      <w:r w:rsidR="00EE62E1">
        <w:rPr>
          <w:rFonts w:ascii="Times New Roman" w:hAnsi="Times New Roman" w:cs="Times New Roman"/>
          <w:i/>
          <w:iCs/>
        </w:rPr>
        <w:t>c</w:t>
      </w:r>
      <w:r w:rsidRPr="006F3F8E">
        <w:rPr>
          <w:rFonts w:ascii="Times New Roman" w:hAnsi="Times New Roman" w:cs="Times New Roman"/>
          <w:i/>
          <w:iCs/>
        </w:rPr>
        <w:t xml:space="preserve">oncepts of </w:t>
      </w:r>
      <w:r w:rsidR="00EE62E1">
        <w:rPr>
          <w:rFonts w:ascii="Times New Roman" w:hAnsi="Times New Roman" w:cs="Times New Roman"/>
          <w:i/>
          <w:iCs/>
        </w:rPr>
        <w:t>b</w:t>
      </w:r>
      <w:r w:rsidRPr="006F3F8E">
        <w:rPr>
          <w:rFonts w:ascii="Times New Roman" w:hAnsi="Times New Roman" w:cs="Times New Roman"/>
          <w:i/>
          <w:iCs/>
        </w:rPr>
        <w:t xml:space="preserve">ehavioral </w:t>
      </w:r>
      <w:r w:rsidR="00EE62E1">
        <w:rPr>
          <w:rFonts w:ascii="Times New Roman" w:hAnsi="Times New Roman" w:cs="Times New Roman"/>
          <w:i/>
          <w:iCs/>
        </w:rPr>
        <w:t>m</w:t>
      </w:r>
      <w:r w:rsidRPr="006F3F8E">
        <w:rPr>
          <w:rFonts w:ascii="Times New Roman" w:hAnsi="Times New Roman" w:cs="Times New Roman"/>
          <w:i/>
          <w:iCs/>
        </w:rPr>
        <w:t>edicine</w:t>
      </w:r>
      <w:r w:rsidRPr="006F3F8E">
        <w:rPr>
          <w:rFonts w:ascii="Times New Roman" w:hAnsi="Times New Roman" w:cs="Times New Roman"/>
        </w:rPr>
        <w:t xml:space="preserve"> (pp. 241–275). Springer. https://doi.org/10.1007/978-0-387-93826-4_9</w:t>
      </w:r>
    </w:p>
    <w:p w14:paraId="042B043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Rangel, A., Camerer, C., &amp; Montague, P. R. (2008). A framework for studying the neurobiology of value-based decision making. </w:t>
      </w:r>
      <w:r w:rsidRPr="006F3F8E">
        <w:rPr>
          <w:rFonts w:ascii="Times New Roman" w:hAnsi="Times New Roman" w:cs="Times New Roman"/>
          <w:i/>
          <w:iCs/>
        </w:rPr>
        <w:t>Nature Reviews Neuroscience</w:t>
      </w:r>
      <w:r w:rsidRPr="006F3F8E">
        <w:rPr>
          <w:rFonts w:ascii="Times New Roman" w:hAnsi="Times New Roman" w:cs="Times New Roman"/>
        </w:rPr>
        <w:t xml:space="preserve">, </w:t>
      </w:r>
      <w:r w:rsidRPr="006F3F8E">
        <w:rPr>
          <w:rFonts w:ascii="Times New Roman" w:hAnsi="Times New Roman" w:cs="Times New Roman"/>
          <w:i/>
          <w:iCs/>
        </w:rPr>
        <w:t>9</w:t>
      </w:r>
      <w:r w:rsidRPr="006F3F8E">
        <w:rPr>
          <w:rFonts w:ascii="Times New Roman" w:hAnsi="Times New Roman" w:cs="Times New Roman"/>
        </w:rPr>
        <w:t>(7), 545–556. https://doi.org/10.1038/nrn2357</w:t>
      </w:r>
    </w:p>
    <w:p w14:paraId="014C828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Ratcliff, R., &amp; Frank, M. J. (2012). Reinforcement-based decision making in corticostriatal circuits: Mutual constraints by neurocomputational and diffusion models. </w:t>
      </w:r>
      <w:r w:rsidRPr="006F3F8E">
        <w:rPr>
          <w:rFonts w:ascii="Times New Roman" w:hAnsi="Times New Roman" w:cs="Times New Roman"/>
          <w:i/>
          <w:iCs/>
        </w:rPr>
        <w:t>Neural Computation</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(5), 1186–1229. https://doi.org/10.1162/NECO_a_00270</w:t>
      </w:r>
    </w:p>
    <w:p w14:paraId="6F3732E7" w14:textId="615B1006"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Ratcliff, R., &amp; McKoon, G. (2008). The diffusion decision model: Theory and data for two-choice decision tasks. </w:t>
      </w:r>
      <w:r w:rsidRPr="006F3F8E">
        <w:rPr>
          <w:rFonts w:ascii="Times New Roman" w:hAnsi="Times New Roman" w:cs="Times New Roman"/>
          <w:i/>
          <w:iCs/>
        </w:rPr>
        <w:t>Neural Computation</w:t>
      </w:r>
      <w:r w:rsidRPr="006F3F8E">
        <w:rPr>
          <w:rFonts w:ascii="Times New Roman" w:hAnsi="Times New Roman" w:cs="Times New Roman"/>
        </w:rPr>
        <w:t xml:space="preserve">, </w:t>
      </w:r>
      <w:r w:rsidRPr="006F3F8E">
        <w:rPr>
          <w:rFonts w:ascii="Times New Roman" w:hAnsi="Times New Roman" w:cs="Times New Roman"/>
          <w:i/>
          <w:iCs/>
        </w:rPr>
        <w:t>20</w:t>
      </w:r>
      <w:r w:rsidRPr="006F3F8E">
        <w:rPr>
          <w:rFonts w:ascii="Times New Roman" w:hAnsi="Times New Roman" w:cs="Times New Roman"/>
        </w:rPr>
        <w:t>(4), 873–922. https://doi.org/10.1162/neco.2008.12-06-420</w:t>
      </w:r>
    </w:p>
    <w:p w14:paraId="6971B43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Ratcliff, R., Smith, P. L., Brown, S. D., &amp; McKoon, G. (2016). Diffusion decision model: Current issues and history. </w:t>
      </w:r>
      <w:r w:rsidRPr="006F3F8E">
        <w:rPr>
          <w:rFonts w:ascii="Times New Roman" w:hAnsi="Times New Roman" w:cs="Times New Roman"/>
          <w:i/>
          <w:iCs/>
        </w:rPr>
        <w:t>Trends in Cognitive Sciences</w:t>
      </w:r>
      <w:r w:rsidRPr="006F3F8E">
        <w:rPr>
          <w:rFonts w:ascii="Times New Roman" w:hAnsi="Times New Roman" w:cs="Times New Roman"/>
        </w:rPr>
        <w:t xml:space="preserve">, </w:t>
      </w:r>
      <w:r w:rsidRPr="006F3F8E">
        <w:rPr>
          <w:rFonts w:ascii="Times New Roman" w:hAnsi="Times New Roman" w:cs="Times New Roman"/>
          <w:i/>
          <w:iCs/>
        </w:rPr>
        <w:t>20</w:t>
      </w:r>
      <w:r w:rsidRPr="006F3F8E">
        <w:rPr>
          <w:rFonts w:ascii="Times New Roman" w:hAnsi="Times New Roman" w:cs="Times New Roman"/>
        </w:rPr>
        <w:t>(4), 260–281. https://doi.org/10.1016/j.tics.2016.01.007</w:t>
      </w:r>
    </w:p>
    <w:p w14:paraId="4A1CA19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Ratcliff, R., Thapar, A., &amp; McKoon, G. (2001). The effects of aging on reaction time in a signal detection task. </w:t>
      </w:r>
      <w:r w:rsidRPr="006F3F8E">
        <w:rPr>
          <w:rFonts w:ascii="Times New Roman" w:hAnsi="Times New Roman" w:cs="Times New Roman"/>
          <w:i/>
          <w:iCs/>
        </w:rPr>
        <w:t>Psychology and Aging</w:t>
      </w:r>
      <w:r w:rsidRPr="006F3F8E">
        <w:rPr>
          <w:rFonts w:ascii="Times New Roman" w:hAnsi="Times New Roman" w:cs="Times New Roman"/>
        </w:rPr>
        <w:t xml:space="preserve">, </w:t>
      </w:r>
      <w:r w:rsidRPr="006F3F8E">
        <w:rPr>
          <w:rFonts w:ascii="Times New Roman" w:hAnsi="Times New Roman" w:cs="Times New Roman"/>
          <w:i/>
          <w:iCs/>
        </w:rPr>
        <w:t>16</w:t>
      </w:r>
      <w:r w:rsidRPr="006F3F8E">
        <w:rPr>
          <w:rFonts w:ascii="Times New Roman" w:hAnsi="Times New Roman" w:cs="Times New Roman"/>
        </w:rPr>
        <w:t>(2), 323–341.</w:t>
      </w:r>
    </w:p>
    <w:p w14:paraId="4770DDE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Ratcliff, R., Thapar, A., &amp; McKoon, G. (2006a). Aging and individual differences in rapid two-choice decisions.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(4), 626–635. https://doi.org/10.3758/BF03193973</w:t>
      </w:r>
    </w:p>
    <w:p w14:paraId="4FFCAC0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Ratcliff, R., Thapar, A., &amp; McKoon, G. (2006b). Aging, practice, and perceptual tasks: A diffusion model analysis. </w:t>
      </w:r>
      <w:r w:rsidRPr="006F3F8E">
        <w:rPr>
          <w:rFonts w:ascii="Times New Roman" w:hAnsi="Times New Roman" w:cs="Times New Roman"/>
          <w:i/>
          <w:iCs/>
        </w:rPr>
        <w:t>Psychology and Aging</w:t>
      </w:r>
      <w:r w:rsidRPr="006F3F8E">
        <w:rPr>
          <w:rFonts w:ascii="Times New Roman" w:hAnsi="Times New Roman" w:cs="Times New Roman"/>
        </w:rPr>
        <w:t xml:space="preserve">, </w:t>
      </w:r>
      <w:r w:rsidRPr="006F3F8E">
        <w:rPr>
          <w:rFonts w:ascii="Times New Roman" w:hAnsi="Times New Roman" w:cs="Times New Roman"/>
          <w:i/>
          <w:iCs/>
        </w:rPr>
        <w:t>21</w:t>
      </w:r>
      <w:r w:rsidRPr="006F3F8E">
        <w:rPr>
          <w:rFonts w:ascii="Times New Roman" w:hAnsi="Times New Roman" w:cs="Times New Roman"/>
        </w:rPr>
        <w:t>(2), 353–371. https://doi.org/10.1037/0882-7974.21.2.353</w:t>
      </w:r>
    </w:p>
    <w:p w14:paraId="2B6121C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Redish, A. D., Jensen, S., &amp; Johnson, A. (2008). A unified framework for addiction: Vulnerabilities in the decision process. </w:t>
      </w:r>
      <w:r w:rsidRPr="006F3F8E">
        <w:rPr>
          <w:rFonts w:ascii="Times New Roman" w:hAnsi="Times New Roman" w:cs="Times New Roman"/>
          <w:i/>
          <w:iCs/>
        </w:rPr>
        <w:t>The Behavioral and Brain Sciences</w:t>
      </w:r>
      <w:r w:rsidRPr="006F3F8E">
        <w:rPr>
          <w:rFonts w:ascii="Times New Roman" w:hAnsi="Times New Roman" w:cs="Times New Roman"/>
        </w:rPr>
        <w:t xml:space="preserve">, </w:t>
      </w:r>
      <w:r w:rsidRPr="006F3F8E">
        <w:rPr>
          <w:rFonts w:ascii="Times New Roman" w:hAnsi="Times New Roman" w:cs="Times New Roman"/>
          <w:i/>
          <w:iCs/>
        </w:rPr>
        <w:t>31</w:t>
      </w:r>
      <w:r w:rsidRPr="006F3F8E">
        <w:rPr>
          <w:rFonts w:ascii="Times New Roman" w:hAnsi="Times New Roman" w:cs="Times New Roman"/>
        </w:rPr>
        <w:t>(4), 415–487. https://doi.org/10.1017/S0140525X0800472X</w:t>
      </w:r>
    </w:p>
    <w:p w14:paraId="485890F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Rehm, J., Gmel, G. E., Gmel, G., Hasan, O. S. M., Imtiaz, S., Popova, S., Probst, C., Roerecke, M., Room, R., Samokhvalov, A. V., Shield, K. D., &amp; Shuper, P. A. (2017). The relationship between different dimensions of alcohol use and the burden of disease—An update.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(6), 968–1001. https://doi.org/10.1111/add.13757</w:t>
      </w:r>
    </w:p>
    <w:p w14:paraId="08BE929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Rehm, J., &amp; Imtiaz, S. (2016). A narrative review of alcohol consumption as a risk factor for global burden of disease. </w:t>
      </w:r>
      <w:r w:rsidRPr="006F3F8E">
        <w:rPr>
          <w:rFonts w:ascii="Times New Roman" w:hAnsi="Times New Roman" w:cs="Times New Roman"/>
          <w:i/>
          <w:iCs/>
        </w:rPr>
        <w:t>Substance Abuse Treatment, Prevention, and Policy</w:t>
      </w:r>
      <w:r w:rsidRPr="006F3F8E">
        <w:rPr>
          <w:rFonts w:ascii="Times New Roman" w:hAnsi="Times New Roman" w:cs="Times New Roman"/>
        </w:rPr>
        <w:t xml:space="preserve">, </w:t>
      </w:r>
      <w:r w:rsidRPr="006F3F8E">
        <w:rPr>
          <w:rFonts w:ascii="Times New Roman" w:hAnsi="Times New Roman" w:cs="Times New Roman"/>
          <w:i/>
          <w:iCs/>
        </w:rPr>
        <w:t>11</w:t>
      </w:r>
      <w:r w:rsidRPr="006F3F8E">
        <w:rPr>
          <w:rFonts w:ascii="Times New Roman" w:hAnsi="Times New Roman" w:cs="Times New Roman"/>
        </w:rPr>
        <w:t>(1), 37. https://doi.org/10.1186/s13011-016-0081-2</w:t>
      </w:r>
    </w:p>
    <w:p w14:paraId="1209DD6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Rehm, J., Taylor, B., Mohapatra, S., Irving, H., Baliunas, D., Patra, J., &amp; Roerecke, M. (2010). Alcohol as a risk factor for liver cirrhosis: A systematic review and meta-analysis. </w:t>
      </w:r>
      <w:r w:rsidRPr="006F3F8E">
        <w:rPr>
          <w:rFonts w:ascii="Times New Roman" w:hAnsi="Times New Roman" w:cs="Times New Roman"/>
          <w:i/>
          <w:iCs/>
        </w:rPr>
        <w:t>Drug and Alcohol Review</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(4), 437–445. https://doi.org/10.1111/j.1465-3362.2009.00153.x</w:t>
      </w:r>
    </w:p>
    <w:p w14:paraId="1F7EB31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Retzler, J., Retzler, C., Groom, M., Johnson, S., &amp; Cragg, L. (2020). Using drift diffusion modeling to understand inattentive behavior in preterm and term-born children. </w:t>
      </w:r>
      <w:r w:rsidRPr="006F3F8E">
        <w:rPr>
          <w:rFonts w:ascii="Times New Roman" w:hAnsi="Times New Roman" w:cs="Times New Roman"/>
          <w:i/>
          <w:iCs/>
        </w:rPr>
        <w:t>Neuropsychology</w:t>
      </w:r>
      <w:r w:rsidRPr="006F3F8E">
        <w:rPr>
          <w:rFonts w:ascii="Times New Roman" w:hAnsi="Times New Roman" w:cs="Times New Roman"/>
        </w:rPr>
        <w:t xml:space="preserve">, </w:t>
      </w:r>
      <w:r w:rsidRPr="006F3F8E">
        <w:rPr>
          <w:rFonts w:ascii="Times New Roman" w:hAnsi="Times New Roman" w:cs="Times New Roman"/>
          <w:i/>
          <w:iCs/>
        </w:rPr>
        <w:t>34</w:t>
      </w:r>
      <w:r w:rsidRPr="006F3F8E">
        <w:rPr>
          <w:rFonts w:ascii="Times New Roman" w:hAnsi="Times New Roman" w:cs="Times New Roman"/>
        </w:rPr>
        <w:t>(1), 77–87. https://doi.org/10.1037/neu0000590</w:t>
      </w:r>
    </w:p>
    <w:p w14:paraId="5AAA80C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Roberts, I. D., &amp; Hutcherson, C. A. (2019). Affect and decision making: Insights and predictions from computational models. </w:t>
      </w:r>
      <w:r w:rsidRPr="006F3F8E">
        <w:rPr>
          <w:rFonts w:ascii="Times New Roman" w:hAnsi="Times New Roman" w:cs="Times New Roman"/>
          <w:i/>
          <w:iCs/>
        </w:rPr>
        <w:t>Trends in Cognitive Sciences</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(7), 602–614. https://doi.org/10.1016/j.tics.2019.04.005</w:t>
      </w:r>
    </w:p>
    <w:p w14:paraId="5A1B4E4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Robinson, E. A. R., Cranford, J. A., Webb, J. R., &amp; Brower, K. J. (2007). Six-month changes in spirituality, religiousness, and heavy drinking in a treatment-seeking sample. </w:t>
      </w:r>
      <w:r w:rsidRPr="006F3F8E">
        <w:rPr>
          <w:rFonts w:ascii="Times New Roman" w:hAnsi="Times New Roman" w:cs="Times New Roman"/>
          <w:i/>
          <w:iCs/>
        </w:rPr>
        <w:t>Journal of Studies on Alcohol and Drugs</w:t>
      </w:r>
      <w:r w:rsidRPr="006F3F8E">
        <w:rPr>
          <w:rFonts w:ascii="Times New Roman" w:hAnsi="Times New Roman" w:cs="Times New Roman"/>
        </w:rPr>
        <w:t xml:space="preserve">, </w:t>
      </w:r>
      <w:r w:rsidRPr="006F3F8E">
        <w:rPr>
          <w:rFonts w:ascii="Times New Roman" w:hAnsi="Times New Roman" w:cs="Times New Roman"/>
          <w:i/>
          <w:iCs/>
        </w:rPr>
        <w:t>68</w:t>
      </w:r>
      <w:r w:rsidRPr="006F3F8E">
        <w:rPr>
          <w:rFonts w:ascii="Times New Roman" w:hAnsi="Times New Roman" w:cs="Times New Roman"/>
        </w:rPr>
        <w:t>(2), 282–290. https://doi.org/10.15288/jsad.2007.68.282</w:t>
      </w:r>
    </w:p>
    <w:p w14:paraId="6497AB0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Robinson, E. A. R., Krentzman, A. R., Webb, J. R., &amp; Brower, K. J. (2011). Six-month changes in spirituality and religiousness in alcoholics predict drinking outcomes at nine months. </w:t>
      </w:r>
      <w:r w:rsidRPr="006F3F8E">
        <w:rPr>
          <w:rFonts w:ascii="Times New Roman" w:hAnsi="Times New Roman" w:cs="Times New Roman"/>
          <w:i/>
          <w:iCs/>
        </w:rPr>
        <w:t>Journal of Studies on Alcohol and Drugs</w:t>
      </w:r>
      <w:r w:rsidRPr="006F3F8E">
        <w:rPr>
          <w:rFonts w:ascii="Times New Roman" w:hAnsi="Times New Roman" w:cs="Times New Roman"/>
        </w:rPr>
        <w:t xml:space="preserve">, </w:t>
      </w:r>
      <w:r w:rsidRPr="006F3F8E">
        <w:rPr>
          <w:rFonts w:ascii="Times New Roman" w:hAnsi="Times New Roman" w:cs="Times New Roman"/>
          <w:i/>
          <w:iCs/>
        </w:rPr>
        <w:t>72</w:t>
      </w:r>
      <w:r w:rsidRPr="006F3F8E">
        <w:rPr>
          <w:rFonts w:ascii="Times New Roman" w:hAnsi="Times New Roman" w:cs="Times New Roman"/>
        </w:rPr>
        <w:t>(4), 660–668.</w:t>
      </w:r>
    </w:p>
    <w:p w14:paraId="2989EBB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Robinson, T. E., &amp; Berridge, K. C. (1993). The neural basis of drug craving: An incentive-sensitization theory of addiction. </w:t>
      </w:r>
      <w:r w:rsidRPr="006F3F8E">
        <w:rPr>
          <w:rFonts w:ascii="Times New Roman" w:hAnsi="Times New Roman" w:cs="Times New Roman"/>
          <w:i/>
          <w:iCs/>
        </w:rPr>
        <w:t>Brain Research. Brain Research Reviews</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(3), 247–291. https://doi.org/10.1016/0165-0173(93)90013-p</w:t>
      </w:r>
    </w:p>
    <w:p w14:paraId="2B2484B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Roerecke, M., Vafaei, A., Hasan, O. S. M., Chrystoja, B. R., Cruz, M., Lee, R., Neuman, M. G., &amp; Rehm, J. (2019). Alcohol consumption and risk of liver cirrhosis: A systematic review and meta-analysis. </w:t>
      </w:r>
      <w:r w:rsidRPr="006F3F8E">
        <w:rPr>
          <w:rFonts w:ascii="Times New Roman" w:hAnsi="Times New Roman" w:cs="Times New Roman"/>
          <w:i/>
          <w:iCs/>
        </w:rPr>
        <w:t>The American Journal of Gastroenterology</w:t>
      </w:r>
      <w:r w:rsidRPr="006F3F8E">
        <w:rPr>
          <w:rFonts w:ascii="Times New Roman" w:hAnsi="Times New Roman" w:cs="Times New Roman"/>
        </w:rPr>
        <w:t xml:space="preserve">, </w:t>
      </w:r>
      <w:r w:rsidRPr="006F3F8E">
        <w:rPr>
          <w:rFonts w:ascii="Times New Roman" w:hAnsi="Times New Roman" w:cs="Times New Roman"/>
          <w:i/>
          <w:iCs/>
        </w:rPr>
        <w:t>114</w:t>
      </w:r>
      <w:r w:rsidRPr="006F3F8E">
        <w:rPr>
          <w:rFonts w:ascii="Times New Roman" w:hAnsi="Times New Roman" w:cs="Times New Roman"/>
        </w:rPr>
        <w:t>(10), 1574–1586. https://doi.org/10.14309/ajg.0000000000000340</w:t>
      </w:r>
    </w:p>
    <w:p w14:paraId="3304A4B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Rogers, A. H., Shepherd, J. M., Garey, L., &amp; Zvolensky, M. J. (2020). Psychological factors associated with substance use initiation during the COVID-19 pandemic. </w:t>
      </w:r>
      <w:r w:rsidRPr="006F3F8E">
        <w:rPr>
          <w:rFonts w:ascii="Times New Roman" w:hAnsi="Times New Roman" w:cs="Times New Roman"/>
          <w:i/>
          <w:iCs/>
        </w:rPr>
        <w:t>Psychiatry Research</w:t>
      </w:r>
      <w:r w:rsidRPr="006F3F8E">
        <w:rPr>
          <w:rFonts w:ascii="Times New Roman" w:hAnsi="Times New Roman" w:cs="Times New Roman"/>
        </w:rPr>
        <w:t xml:space="preserve">, </w:t>
      </w:r>
      <w:r w:rsidRPr="006F3F8E">
        <w:rPr>
          <w:rFonts w:ascii="Times New Roman" w:hAnsi="Times New Roman" w:cs="Times New Roman"/>
          <w:i/>
          <w:iCs/>
        </w:rPr>
        <w:t>293</w:t>
      </w:r>
      <w:r w:rsidRPr="006F3F8E">
        <w:rPr>
          <w:rFonts w:ascii="Times New Roman" w:hAnsi="Times New Roman" w:cs="Times New Roman"/>
        </w:rPr>
        <w:t>, 113407. https://doi.org/10.1016/j.psychres.2020.113407</w:t>
      </w:r>
    </w:p>
    <w:p w14:paraId="542FF5D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Roos, C. R., Kirouac, M., Pearson, M. R., Fink, B. C., &amp; Witkiewitz, K. (2015). Examining temptation to drink from an existential perspective: Associations among temptation, purpose in life, and drinking outcomes. </w:t>
      </w:r>
      <w:r w:rsidRPr="006F3F8E">
        <w:rPr>
          <w:rFonts w:ascii="Times New Roman" w:hAnsi="Times New Roman" w:cs="Times New Roman"/>
          <w:i/>
          <w:iCs/>
        </w:rPr>
        <w:t>Psychology of Addictive Behaviors</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(3), 716–724. https://doi.org/10.1037/adb0000063</w:t>
      </w:r>
    </w:p>
    <w:p w14:paraId="4EF63DF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Roos, C. R., Maisto, S. A., &amp; Witkiewitz, K. (2017). Coping mediates the effects of cognitive-behavioral therapy for alcohol use disorder among out-patient clients in Project MATCH when dependence severity is high.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112</w:t>
      </w:r>
      <w:r w:rsidRPr="006F3F8E">
        <w:rPr>
          <w:rFonts w:ascii="Times New Roman" w:hAnsi="Times New Roman" w:cs="Times New Roman"/>
        </w:rPr>
        <w:t>(9), 1547–1557. https://doi.org/10.1111/add.13841</w:t>
      </w:r>
    </w:p>
    <w:p w14:paraId="57B54F2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Rose, A. K., Brown, K., Field, M., &amp; Hogarth, L. (2013). The contributions of value-based decision-making and attentional bias to alcohol-seeking following devaluation.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108</w:t>
      </w:r>
      <w:r w:rsidRPr="006F3F8E">
        <w:rPr>
          <w:rFonts w:ascii="Times New Roman" w:hAnsi="Times New Roman" w:cs="Times New Roman"/>
        </w:rPr>
        <w:t>(7), 1241–1249. https://doi.org/10.1111/add.12152</w:t>
      </w:r>
    </w:p>
    <w:p w14:paraId="61A9899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Rose, A. K., Brown, K., MacKillop, J., Field, M., &amp; Hogarth, L. (2018). Alcohol devaluation has dissociable effects on distinct components of alcohol behaviour.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235</w:t>
      </w:r>
      <w:r w:rsidRPr="006F3F8E">
        <w:rPr>
          <w:rFonts w:ascii="Times New Roman" w:hAnsi="Times New Roman" w:cs="Times New Roman"/>
        </w:rPr>
        <w:t>(4), 1233–1244. https://doi.org/10.1007/s00213-018-4839-2</w:t>
      </w:r>
    </w:p>
    <w:p w14:paraId="40114A1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Rosseel, Y. (2012). lavaan: An R package for structural equation modeling. </w:t>
      </w:r>
      <w:r w:rsidRPr="006F3F8E">
        <w:rPr>
          <w:rFonts w:ascii="Times New Roman" w:hAnsi="Times New Roman" w:cs="Times New Roman"/>
          <w:i/>
          <w:iCs/>
        </w:rPr>
        <w:t>Journal of Statistical Software</w:t>
      </w:r>
      <w:r w:rsidRPr="006F3F8E">
        <w:rPr>
          <w:rFonts w:ascii="Times New Roman" w:hAnsi="Times New Roman" w:cs="Times New Roman"/>
        </w:rPr>
        <w:t xml:space="preserve">, </w:t>
      </w:r>
      <w:r w:rsidRPr="006F3F8E">
        <w:rPr>
          <w:rFonts w:ascii="Times New Roman" w:hAnsi="Times New Roman" w:cs="Times New Roman"/>
          <w:i/>
          <w:iCs/>
        </w:rPr>
        <w:t>48</w:t>
      </w:r>
      <w:r w:rsidRPr="006F3F8E">
        <w:rPr>
          <w:rFonts w:ascii="Times New Roman" w:hAnsi="Times New Roman" w:cs="Times New Roman"/>
        </w:rPr>
        <w:t>(2), 1–36. https://doi.org/10.18637/jss.v048.i02</w:t>
      </w:r>
    </w:p>
    <w:p w14:paraId="7253359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Rumgay, H., Shield, K., Charvat, H., Ferrari, P., Sornpaisarn, B., Obot, I., Islami, F., Lemmens, V. E. P. P., Rehm, J., &amp; Soerjomataram, I. (2021). Global burden of cancer in 2020 attributable to alcohol consumption: A population-based study. </w:t>
      </w:r>
      <w:r w:rsidRPr="006F3F8E">
        <w:rPr>
          <w:rFonts w:ascii="Times New Roman" w:hAnsi="Times New Roman" w:cs="Times New Roman"/>
          <w:i/>
          <w:iCs/>
        </w:rPr>
        <w:t>The Lancet Oncology</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(8), 1071–1080. https://doi.org/10.1016/S1470-2045(21)00279-5</w:t>
      </w:r>
    </w:p>
    <w:p w14:paraId="7D3B72F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Saha, T. D., Stinson, F. S., &amp; Grant, B. F. (2007). The role of alcohol consumption in future classifications of alcohol use disorders.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89</w:t>
      </w:r>
      <w:r w:rsidRPr="006F3F8E">
        <w:rPr>
          <w:rFonts w:ascii="Times New Roman" w:hAnsi="Times New Roman" w:cs="Times New Roman"/>
        </w:rPr>
        <w:t>(1), 82–92. https://doi.org/10.1016/j.drugalcdep.2006.12.003</w:t>
      </w:r>
    </w:p>
    <w:p w14:paraId="6CB54AE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Samson, A. C., Kreibig, S. D., Soderstrom, B., Wade, A. A., &amp; Gross, J. J. (2016). Eliciting positive, negative and mixed emotional states: A film library for affective scientists. </w:t>
      </w:r>
      <w:r w:rsidRPr="006F3F8E">
        <w:rPr>
          <w:rFonts w:ascii="Times New Roman" w:hAnsi="Times New Roman" w:cs="Times New Roman"/>
          <w:i/>
          <w:iCs/>
        </w:rPr>
        <w:t>Cognition and Emotion</w:t>
      </w:r>
      <w:r w:rsidRPr="006F3F8E">
        <w:rPr>
          <w:rFonts w:ascii="Times New Roman" w:hAnsi="Times New Roman" w:cs="Times New Roman"/>
        </w:rPr>
        <w:t xml:space="preserve">, </w:t>
      </w:r>
      <w:r w:rsidRPr="006F3F8E">
        <w:rPr>
          <w:rFonts w:ascii="Times New Roman" w:hAnsi="Times New Roman" w:cs="Times New Roman"/>
          <w:i/>
          <w:iCs/>
        </w:rPr>
        <w:t>30</w:t>
      </w:r>
      <w:r w:rsidRPr="006F3F8E">
        <w:rPr>
          <w:rFonts w:ascii="Times New Roman" w:hAnsi="Times New Roman" w:cs="Times New Roman"/>
        </w:rPr>
        <w:t>(5), 827–856. https://doi.org/10.1080/02699931.2015.1031089</w:t>
      </w:r>
    </w:p>
    <w:p w14:paraId="0207B1E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Santangelo, A. P., &amp; Solovey, G. (2021). Running online behavioral experiments using R: Implementation of a response-time decision making task as an R-Shiny app. </w:t>
      </w:r>
      <w:r w:rsidRPr="006F3F8E">
        <w:rPr>
          <w:rFonts w:ascii="Times New Roman" w:hAnsi="Times New Roman" w:cs="Times New Roman"/>
          <w:i/>
          <w:iCs/>
        </w:rPr>
        <w:t>Journal of Cognition</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(1), 9. https://doi.org/10.5334/joc.200</w:t>
      </w:r>
    </w:p>
    <w:p w14:paraId="7C3FA12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Saunders, J. B., Aasland, O. G., Babor, T. F., de la Fuente, J. R., &amp; Grant, M. (1993). Development of the Alcohol Use Disorders Identification Test (AUDIT): WHO collaborative project on early detection of persons with harmful alcohol consumption--II.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88</w:t>
      </w:r>
      <w:r w:rsidRPr="006F3F8E">
        <w:rPr>
          <w:rFonts w:ascii="Times New Roman" w:hAnsi="Times New Roman" w:cs="Times New Roman"/>
        </w:rPr>
        <w:t>(6), 791–804. https://doi.org/10.1111/j.1360-0443.1993.tb02093.x</w:t>
      </w:r>
    </w:p>
    <w:p w14:paraId="30158F7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Sauter, M., Draschkow, D., &amp; Mack, W. (2020). Building, hosting and recruiting: A brief introduction to running behavioral experiments online. </w:t>
      </w:r>
      <w:r w:rsidRPr="006F3F8E">
        <w:rPr>
          <w:rFonts w:ascii="Times New Roman" w:hAnsi="Times New Roman" w:cs="Times New Roman"/>
          <w:i/>
          <w:iCs/>
        </w:rPr>
        <w:t>Brain Sciences</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(4), 251. https://doi.org/10.3390/brainsci10040251</w:t>
      </w:r>
    </w:p>
    <w:p w14:paraId="462E7BD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Schnetzer, L., Schulenberg, S., &amp; Buchanan, E. (2013). Differential associations among alcohol use, depression and perceived life meaning in male and female college students. </w:t>
      </w:r>
      <w:r w:rsidRPr="006F3F8E">
        <w:rPr>
          <w:rFonts w:ascii="Times New Roman" w:hAnsi="Times New Roman" w:cs="Times New Roman"/>
          <w:i/>
          <w:iCs/>
        </w:rPr>
        <w:t>Journal of Substance Use</w:t>
      </w:r>
      <w:r w:rsidRPr="006F3F8E">
        <w:rPr>
          <w:rFonts w:ascii="Times New Roman" w:hAnsi="Times New Roman" w:cs="Times New Roman"/>
        </w:rPr>
        <w:t xml:space="preserve">, </w:t>
      </w:r>
      <w:r w:rsidRPr="006F3F8E">
        <w:rPr>
          <w:rFonts w:ascii="Times New Roman" w:hAnsi="Times New Roman" w:cs="Times New Roman"/>
          <w:i/>
          <w:iCs/>
        </w:rPr>
        <w:t>18</w:t>
      </w:r>
      <w:r w:rsidRPr="006F3F8E">
        <w:rPr>
          <w:rFonts w:ascii="Times New Roman" w:hAnsi="Times New Roman" w:cs="Times New Roman"/>
        </w:rPr>
        <w:t>(4), 311–319. https://doi.org/10.3109/14659891.2012.661026</w:t>
      </w:r>
    </w:p>
    <w:p w14:paraId="0050A665" w14:textId="0E057DB0"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Schnoll, R. A., Hitsman, B., Blazekovic, S., Veluz-Wilkins, A., Wileyto, E. P., Leone, F. T., &amp; Audrain-McGovern, J. E. (2016). Longitudinal </w:t>
      </w:r>
      <w:r w:rsidR="00EE62E1">
        <w:rPr>
          <w:rFonts w:ascii="Times New Roman" w:hAnsi="Times New Roman" w:cs="Times New Roman"/>
        </w:rPr>
        <w:t>c</w:t>
      </w:r>
      <w:r w:rsidRPr="006F3F8E">
        <w:rPr>
          <w:rFonts w:ascii="Times New Roman" w:hAnsi="Times New Roman" w:cs="Times New Roman"/>
        </w:rPr>
        <w:t xml:space="preserve">hanges in </w:t>
      </w:r>
      <w:r w:rsidR="00EE62E1">
        <w:rPr>
          <w:rFonts w:ascii="Times New Roman" w:hAnsi="Times New Roman" w:cs="Times New Roman"/>
        </w:rPr>
        <w:t>s</w:t>
      </w:r>
      <w:r w:rsidRPr="006F3F8E">
        <w:rPr>
          <w:rFonts w:ascii="Times New Roman" w:hAnsi="Times New Roman" w:cs="Times New Roman"/>
        </w:rPr>
        <w:t xml:space="preserve">moking </w:t>
      </w:r>
      <w:r w:rsidR="00EE62E1">
        <w:rPr>
          <w:rFonts w:ascii="Times New Roman" w:hAnsi="Times New Roman" w:cs="Times New Roman"/>
        </w:rPr>
        <w:t>a</w:t>
      </w:r>
      <w:r w:rsidRPr="006F3F8E">
        <w:rPr>
          <w:rFonts w:ascii="Times New Roman" w:hAnsi="Times New Roman" w:cs="Times New Roman"/>
        </w:rPr>
        <w:t xml:space="preserve">bstinence </w:t>
      </w:r>
      <w:r w:rsidR="00EE62E1">
        <w:rPr>
          <w:rFonts w:ascii="Times New Roman" w:hAnsi="Times New Roman" w:cs="Times New Roman"/>
        </w:rPr>
        <w:t>s</w:t>
      </w:r>
      <w:r w:rsidRPr="006F3F8E">
        <w:rPr>
          <w:rFonts w:ascii="Times New Roman" w:hAnsi="Times New Roman" w:cs="Times New Roman"/>
        </w:rPr>
        <w:t xml:space="preserve">ymptoms and </w:t>
      </w:r>
      <w:r w:rsidR="00EE62E1">
        <w:rPr>
          <w:rFonts w:ascii="Times New Roman" w:hAnsi="Times New Roman" w:cs="Times New Roman"/>
        </w:rPr>
        <w:t>a</w:t>
      </w:r>
      <w:r w:rsidRPr="006F3F8E">
        <w:rPr>
          <w:rFonts w:ascii="Times New Roman" w:hAnsi="Times New Roman" w:cs="Times New Roman"/>
        </w:rPr>
        <w:t xml:space="preserve">lternative </w:t>
      </w:r>
      <w:r w:rsidR="00EE62E1">
        <w:rPr>
          <w:rFonts w:ascii="Times New Roman" w:hAnsi="Times New Roman" w:cs="Times New Roman"/>
        </w:rPr>
        <w:t>r</w:t>
      </w:r>
      <w:r w:rsidRPr="006F3F8E">
        <w:rPr>
          <w:rFonts w:ascii="Times New Roman" w:hAnsi="Times New Roman" w:cs="Times New Roman"/>
        </w:rPr>
        <w:t xml:space="preserve">einforcers </w:t>
      </w:r>
      <w:r w:rsidR="00EE62E1">
        <w:rPr>
          <w:rFonts w:ascii="Times New Roman" w:hAnsi="Times New Roman" w:cs="Times New Roman"/>
        </w:rPr>
        <w:t>p</w:t>
      </w:r>
      <w:r w:rsidRPr="006F3F8E">
        <w:rPr>
          <w:rFonts w:ascii="Times New Roman" w:hAnsi="Times New Roman" w:cs="Times New Roman"/>
        </w:rPr>
        <w:t xml:space="preserve">redict </w:t>
      </w:r>
      <w:r w:rsidR="00EE62E1">
        <w:rPr>
          <w:rFonts w:ascii="Times New Roman" w:hAnsi="Times New Roman" w:cs="Times New Roman"/>
        </w:rPr>
        <w:t>l</w:t>
      </w:r>
      <w:r w:rsidRPr="006F3F8E">
        <w:rPr>
          <w:rFonts w:ascii="Times New Roman" w:hAnsi="Times New Roman" w:cs="Times New Roman"/>
        </w:rPr>
        <w:t xml:space="preserve">ong-term </w:t>
      </w:r>
      <w:r w:rsidR="00EE62E1">
        <w:rPr>
          <w:rFonts w:ascii="Times New Roman" w:hAnsi="Times New Roman" w:cs="Times New Roman"/>
        </w:rPr>
        <w:t>s</w:t>
      </w:r>
      <w:r w:rsidRPr="006F3F8E">
        <w:rPr>
          <w:rFonts w:ascii="Times New Roman" w:hAnsi="Times New Roman" w:cs="Times New Roman"/>
        </w:rPr>
        <w:t xml:space="preserve">moking </w:t>
      </w:r>
      <w:r w:rsidR="00EE62E1">
        <w:rPr>
          <w:rFonts w:ascii="Times New Roman" w:hAnsi="Times New Roman" w:cs="Times New Roman"/>
        </w:rPr>
        <w:t>c</w:t>
      </w:r>
      <w:r w:rsidRPr="006F3F8E">
        <w:rPr>
          <w:rFonts w:ascii="Times New Roman" w:hAnsi="Times New Roman" w:cs="Times New Roman"/>
        </w:rPr>
        <w:t xml:space="preserve">essation </w:t>
      </w:r>
      <w:r w:rsidR="00EE62E1">
        <w:rPr>
          <w:rFonts w:ascii="Times New Roman" w:hAnsi="Times New Roman" w:cs="Times New Roman"/>
        </w:rPr>
        <w:t>o</w:t>
      </w:r>
      <w:r w:rsidRPr="006F3F8E">
        <w:rPr>
          <w:rFonts w:ascii="Times New Roman" w:hAnsi="Times New Roman" w:cs="Times New Roman"/>
        </w:rPr>
        <w:t xml:space="preserve">utcomes.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165</w:t>
      </w:r>
      <w:r w:rsidRPr="006F3F8E">
        <w:rPr>
          <w:rFonts w:ascii="Times New Roman" w:hAnsi="Times New Roman" w:cs="Times New Roman"/>
        </w:rPr>
        <w:t>, 245–252. https://doi.org/10.1016/j.drugalcdep.2016.06.017</w:t>
      </w:r>
    </w:p>
    <w:p w14:paraId="310C1D4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Schumacker, R. E., &amp; Lomax, R. G. (2004). </w:t>
      </w:r>
      <w:r w:rsidRPr="006F3F8E">
        <w:rPr>
          <w:rFonts w:ascii="Times New Roman" w:hAnsi="Times New Roman" w:cs="Times New Roman"/>
          <w:i/>
          <w:iCs/>
        </w:rPr>
        <w:t>A beginner’s guide to structural equation modeling</w:t>
      </w:r>
      <w:r w:rsidRPr="006F3F8E">
        <w:rPr>
          <w:rFonts w:ascii="Times New Roman" w:hAnsi="Times New Roman" w:cs="Times New Roman"/>
        </w:rPr>
        <w:t xml:space="preserve"> (2nd ed.). Lawrence Erlbaum Associates Publishers.</w:t>
      </w:r>
    </w:p>
    <w:p w14:paraId="38CBE33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Sheron, N., &amp; Gilmore, I. (2016). Effect of policy, economics, and the changing alcohol marketplace on alcohol related deaths in England and Wales. </w:t>
      </w:r>
      <w:r w:rsidRPr="006F3F8E">
        <w:rPr>
          <w:rFonts w:ascii="Times New Roman" w:hAnsi="Times New Roman" w:cs="Times New Roman"/>
          <w:i/>
          <w:iCs/>
        </w:rPr>
        <w:t>BMJ</w:t>
      </w:r>
      <w:r w:rsidRPr="006F3F8E">
        <w:rPr>
          <w:rFonts w:ascii="Times New Roman" w:hAnsi="Times New Roman" w:cs="Times New Roman"/>
        </w:rPr>
        <w:t xml:space="preserve">, </w:t>
      </w:r>
      <w:r w:rsidRPr="006F3F8E">
        <w:rPr>
          <w:rFonts w:ascii="Times New Roman" w:hAnsi="Times New Roman" w:cs="Times New Roman"/>
          <w:i/>
          <w:iCs/>
        </w:rPr>
        <w:t>353</w:t>
      </w:r>
      <w:r w:rsidRPr="006F3F8E">
        <w:rPr>
          <w:rFonts w:ascii="Times New Roman" w:hAnsi="Times New Roman" w:cs="Times New Roman"/>
        </w:rPr>
        <w:t>, i1860. https://doi.org/10.1136/bmj.i1860</w:t>
      </w:r>
    </w:p>
    <w:p w14:paraId="00D7B21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Shiffman, S., Dunbar, M., Kirchner, T., Li, X., Tindle, H., Anderson, S., &amp; Scholl, S. (2013). Smoker reactivity to cues: Effects on craving and on smoking behavior.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122</w:t>
      </w:r>
      <w:r w:rsidRPr="006F3F8E">
        <w:rPr>
          <w:rFonts w:ascii="Times New Roman" w:hAnsi="Times New Roman" w:cs="Times New Roman"/>
        </w:rPr>
        <w:t>(1), 264–280. https://doi.org/10.1037/a0028339</w:t>
      </w:r>
    </w:p>
    <w:p w14:paraId="6DD79C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Shmulewitz, D., Keyes, K. M., Wall, M. M., Aharonovich, E., Aivadyan, C., Greenstein, E., Spivak, B., Weizman, A., Frisch, A., Grant, B. F., &amp; Hasin, D. (2011). Nicotine dependence, abuse, and craving: Dimensionality in an Israeli sample.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106</w:t>
      </w:r>
      <w:r w:rsidRPr="006F3F8E">
        <w:rPr>
          <w:rFonts w:ascii="Times New Roman" w:hAnsi="Times New Roman" w:cs="Times New Roman"/>
        </w:rPr>
        <w:t>(9), 1675–1686. https://doi.org/10.1111/j.1360-0443.2011.03484.x</w:t>
      </w:r>
    </w:p>
    <w:p w14:paraId="03AD27D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Simou, E., Leonardi-Bee, J., &amp; Britton, J. (2018). The effect of alcohol consumption on the risk of ARDS: A systematic review and meta-analysis. </w:t>
      </w:r>
      <w:r w:rsidRPr="006F3F8E">
        <w:rPr>
          <w:rFonts w:ascii="Times New Roman" w:hAnsi="Times New Roman" w:cs="Times New Roman"/>
          <w:i/>
          <w:iCs/>
        </w:rPr>
        <w:t>Chest</w:t>
      </w:r>
      <w:r w:rsidRPr="006F3F8E">
        <w:rPr>
          <w:rFonts w:ascii="Times New Roman" w:hAnsi="Times New Roman" w:cs="Times New Roman"/>
        </w:rPr>
        <w:t xml:space="preserve">, </w:t>
      </w:r>
      <w:r w:rsidRPr="006F3F8E">
        <w:rPr>
          <w:rFonts w:ascii="Times New Roman" w:hAnsi="Times New Roman" w:cs="Times New Roman"/>
          <w:i/>
          <w:iCs/>
        </w:rPr>
        <w:t>154</w:t>
      </w:r>
      <w:r w:rsidRPr="006F3F8E">
        <w:rPr>
          <w:rFonts w:ascii="Times New Roman" w:hAnsi="Times New Roman" w:cs="Times New Roman"/>
        </w:rPr>
        <w:t>(1), 58–68. https://doi.org/10.1016/j.chest.2017.11.041</w:t>
      </w:r>
    </w:p>
    <w:p w14:paraId="24DF2BF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Simpson, R. F., Hermon, C., Liu, B., Green, J., Reeves, G. K., Beral, V., &amp; Floud, S. (2019). Alcohol drinking patterns and liver cirrhosis risk: Analysis of the prospective UK Million Women Study. </w:t>
      </w:r>
      <w:r w:rsidRPr="006F3F8E">
        <w:rPr>
          <w:rFonts w:ascii="Times New Roman" w:hAnsi="Times New Roman" w:cs="Times New Roman"/>
          <w:i/>
          <w:iCs/>
        </w:rPr>
        <w:t>The Lancet Public Health</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(1), e41–e48. https://doi.org/10.1016/S2468-2667(18)30230-5</w:t>
      </w:r>
    </w:p>
    <w:p w14:paraId="20A6850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Sliedrecht, W., de Waart, R., Witkiewitz, K., &amp; Roozen, H. G. (2019). Alcohol use disorder relapse factors: A systematic review. </w:t>
      </w:r>
      <w:r w:rsidRPr="006F3F8E">
        <w:rPr>
          <w:rFonts w:ascii="Times New Roman" w:hAnsi="Times New Roman" w:cs="Times New Roman"/>
          <w:i/>
          <w:iCs/>
        </w:rPr>
        <w:t>Psychiatry Research</w:t>
      </w:r>
      <w:r w:rsidRPr="006F3F8E">
        <w:rPr>
          <w:rFonts w:ascii="Times New Roman" w:hAnsi="Times New Roman" w:cs="Times New Roman"/>
        </w:rPr>
        <w:t xml:space="preserve">, </w:t>
      </w:r>
      <w:r w:rsidRPr="006F3F8E">
        <w:rPr>
          <w:rFonts w:ascii="Times New Roman" w:hAnsi="Times New Roman" w:cs="Times New Roman"/>
          <w:i/>
          <w:iCs/>
        </w:rPr>
        <w:t>278</w:t>
      </w:r>
      <w:r w:rsidRPr="006F3F8E">
        <w:rPr>
          <w:rFonts w:ascii="Times New Roman" w:hAnsi="Times New Roman" w:cs="Times New Roman"/>
        </w:rPr>
        <w:t>, 97–115. https://doi.org/10.1016/j.psychres.2019.05.038</w:t>
      </w:r>
    </w:p>
    <w:p w14:paraId="2F4A901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Sliedrecht, W., Seesink, H. J., Vrijmoeth, C., de Waart, R., Wiers, R. W., Ostafin, B., Schaap-Jonker, H., Roozen, H., Witkiewitz, K., &amp; Dom, G. (2022). Alcohol use disorder relapse factors: An exploratory investigation of craving, alcohol dependence severity, and meaning in life. </w:t>
      </w:r>
      <w:r w:rsidRPr="006F3F8E">
        <w:rPr>
          <w:rFonts w:ascii="Times New Roman" w:hAnsi="Times New Roman" w:cs="Times New Roman"/>
          <w:i/>
          <w:iCs/>
        </w:rPr>
        <w:t>Addiction Research &amp; Theory</w:t>
      </w:r>
      <w:r w:rsidRPr="006F3F8E">
        <w:rPr>
          <w:rFonts w:ascii="Times New Roman" w:hAnsi="Times New Roman" w:cs="Times New Roman"/>
        </w:rPr>
        <w:t>, 1–9. https://doi.org/10.1080/16066359.2022.2040488</w:t>
      </w:r>
    </w:p>
    <w:p w14:paraId="5A86E32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Smit, E. S., Hoving, C., Schelleman-Offermans, K., West, R., &amp; de Vries, H. (2014). Predictors of successful and unsuccessful quit attempts among smokers motivated to </w:t>
      </w:r>
      <w:r w:rsidRPr="006F3F8E">
        <w:rPr>
          <w:rFonts w:ascii="Times New Roman" w:hAnsi="Times New Roman" w:cs="Times New Roman"/>
        </w:rPr>
        <w:lastRenderedPageBreak/>
        <w:t xml:space="preserve">quit.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39</w:t>
      </w:r>
      <w:r w:rsidRPr="006F3F8E">
        <w:rPr>
          <w:rFonts w:ascii="Times New Roman" w:hAnsi="Times New Roman" w:cs="Times New Roman"/>
        </w:rPr>
        <w:t>(9), 1318–1324. https://doi.org/10.1016/j.addbeh.2014.04.017</w:t>
      </w:r>
    </w:p>
    <w:p w14:paraId="03C5215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Smith, J. L., Mattick, R. P., Jamadar, S. D., &amp; Iredale, J. M. (2014). Deficits in behavioural inhibition in substance abuse and addiction: A meta-analysis. </w:t>
      </w:r>
      <w:r w:rsidRPr="006F3F8E">
        <w:rPr>
          <w:rFonts w:ascii="Times New Roman" w:hAnsi="Times New Roman" w:cs="Times New Roman"/>
          <w:i/>
          <w:iCs/>
        </w:rPr>
        <w:t>Drug and Alcohol Dependence</w:t>
      </w:r>
      <w:r w:rsidRPr="006F3F8E">
        <w:rPr>
          <w:rFonts w:ascii="Times New Roman" w:hAnsi="Times New Roman" w:cs="Times New Roman"/>
        </w:rPr>
        <w:t xml:space="preserve">, </w:t>
      </w:r>
      <w:r w:rsidRPr="006F3F8E">
        <w:rPr>
          <w:rFonts w:ascii="Times New Roman" w:hAnsi="Times New Roman" w:cs="Times New Roman"/>
          <w:i/>
          <w:iCs/>
        </w:rPr>
        <w:t>145</w:t>
      </w:r>
      <w:r w:rsidRPr="006F3F8E">
        <w:rPr>
          <w:rFonts w:ascii="Times New Roman" w:hAnsi="Times New Roman" w:cs="Times New Roman"/>
        </w:rPr>
        <w:t>, 1–33. https://doi.org/10.1016/j.drugalcdep.2014.08.009</w:t>
      </w:r>
    </w:p>
    <w:p w14:paraId="3C9DD09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Snaith, P. (1993). Anhedonia: A neglected symptom of psychopathology. </w:t>
      </w:r>
      <w:r w:rsidRPr="006F3F8E">
        <w:rPr>
          <w:rFonts w:ascii="Times New Roman" w:hAnsi="Times New Roman" w:cs="Times New Roman"/>
          <w:i/>
          <w:iCs/>
        </w:rPr>
        <w:t>Psychological Medicine</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(4), 957–966. https://doi.org/10.1017/s0033291700026428</w:t>
      </w:r>
    </w:p>
    <w:p w14:paraId="0D58089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Snider, S. E., LaConte, S. M., &amp; Bickel, W. K. (2016). Episodic future thinking: Expansion of the temporal window in individuals with alcohol dependence.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(7), 1558–1566. https://doi.org/10.1111/acer.13112</w:t>
      </w:r>
    </w:p>
    <w:p w14:paraId="054EA3F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Snoek, A., Levy, N., &amp; Kennett, J. (2016). Strong-willed but not successful: The importance of strategies in recovery from addiction. </w:t>
      </w:r>
      <w:r w:rsidRPr="006F3F8E">
        <w:rPr>
          <w:rFonts w:ascii="Times New Roman" w:hAnsi="Times New Roman" w:cs="Times New Roman"/>
          <w:i/>
          <w:iCs/>
        </w:rPr>
        <w:t>Addictive Behaviors Reports</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 102–107. https://doi.org/10.1016/j.abrep.2016.09.002</w:t>
      </w:r>
    </w:p>
    <w:p w14:paraId="34F4C7B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Sripada, C., &amp; Weigard, A. (2021). Impaired evidence accumulation as a transdiagnostic vulnerability factor in psychopathology. </w:t>
      </w:r>
      <w:r w:rsidRPr="006F3F8E">
        <w:rPr>
          <w:rFonts w:ascii="Times New Roman" w:hAnsi="Times New Roman" w:cs="Times New Roman"/>
          <w:i/>
          <w:iCs/>
        </w:rPr>
        <w:t>Frontiers in Psychiatry</w:t>
      </w:r>
      <w:r w:rsidRPr="006F3F8E">
        <w:rPr>
          <w:rFonts w:ascii="Times New Roman" w:hAnsi="Times New Roman" w:cs="Times New Roman"/>
        </w:rPr>
        <w:t xml:space="preserve">, </w:t>
      </w:r>
      <w:r w:rsidRPr="006F3F8E">
        <w:rPr>
          <w:rFonts w:ascii="Times New Roman" w:hAnsi="Times New Roman" w:cs="Times New Roman"/>
          <w:i/>
          <w:iCs/>
        </w:rPr>
        <w:t>12</w:t>
      </w:r>
      <w:r w:rsidRPr="006F3F8E">
        <w:rPr>
          <w:rFonts w:ascii="Times New Roman" w:hAnsi="Times New Roman" w:cs="Times New Roman"/>
        </w:rPr>
        <w:t>, 627179. https://doi.org/10.3389/fpsyt.2021.627179</w:t>
      </w:r>
    </w:p>
    <w:p w14:paraId="2D9DBB6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Stacy, A. W., &amp; Wiers, R. W. (2010). Implicit cognition and addiction: A tool for explaining paradoxical behavior. </w:t>
      </w:r>
      <w:r w:rsidRPr="006F3F8E">
        <w:rPr>
          <w:rFonts w:ascii="Times New Roman" w:hAnsi="Times New Roman" w:cs="Times New Roman"/>
          <w:i/>
          <w:iCs/>
        </w:rPr>
        <w:t>Annual Review of Clinical Psychology</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 551–575. https://doi.org/10.1146/annurev.clinpsy.121208.131444</w:t>
      </w:r>
    </w:p>
    <w:p w14:paraId="172B19B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Staff, J., Greene, K. M., Maggs, J. L., &amp; Schoon, I. (2014). Family transitions and changes in drinking from adolescence through mid-life.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109</w:t>
      </w:r>
      <w:r w:rsidRPr="006F3F8E">
        <w:rPr>
          <w:rFonts w:ascii="Times New Roman" w:hAnsi="Times New Roman" w:cs="Times New Roman"/>
        </w:rPr>
        <w:t>(2), 227–236. https://doi.org/10.1111/add.12394</w:t>
      </w:r>
    </w:p>
    <w:p w14:paraId="6B85426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Staff, J., Schulenberg, J. E., Maslowsky, J., Bachman, J. G., O’Malley, P. M., Maggs, J. L., &amp; Johnston, L. D. (2010). Substance use changes and social role transitions: Proximal developmental effects on ongoing trajectories from late adolescence through early </w:t>
      </w:r>
      <w:r w:rsidRPr="006F3F8E">
        <w:rPr>
          <w:rFonts w:ascii="Times New Roman" w:hAnsi="Times New Roman" w:cs="Times New Roman"/>
        </w:rPr>
        <w:lastRenderedPageBreak/>
        <w:t xml:space="preserve">adulthood. </w:t>
      </w:r>
      <w:r w:rsidRPr="006F3F8E">
        <w:rPr>
          <w:rFonts w:ascii="Times New Roman" w:hAnsi="Times New Roman" w:cs="Times New Roman"/>
          <w:i/>
          <w:iCs/>
        </w:rPr>
        <w:t>Development and Psychopathology</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(4), 917–932. https://doi.org/10.1017/S0954579410000544</w:t>
      </w:r>
    </w:p>
    <w:p w14:paraId="7251AF4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Stafford, T., Pirrone, A., Croucher, M., &amp; Krystalli, A. (2020). Quantifying the benefits of using decision models with response time and accuracy data. </w:t>
      </w:r>
      <w:r w:rsidRPr="006F3F8E">
        <w:rPr>
          <w:rFonts w:ascii="Times New Roman" w:hAnsi="Times New Roman" w:cs="Times New Roman"/>
          <w:i/>
          <w:iCs/>
        </w:rPr>
        <w:t>Behavior Research Methods</w:t>
      </w:r>
      <w:r w:rsidRPr="006F3F8E">
        <w:rPr>
          <w:rFonts w:ascii="Times New Roman" w:hAnsi="Times New Roman" w:cs="Times New Roman"/>
        </w:rPr>
        <w:t xml:space="preserve">, </w:t>
      </w:r>
      <w:r w:rsidRPr="006F3F8E">
        <w:rPr>
          <w:rFonts w:ascii="Times New Roman" w:hAnsi="Times New Roman" w:cs="Times New Roman"/>
          <w:i/>
          <w:iCs/>
        </w:rPr>
        <w:t>52</w:t>
      </w:r>
      <w:r w:rsidRPr="006F3F8E">
        <w:rPr>
          <w:rFonts w:ascii="Times New Roman" w:hAnsi="Times New Roman" w:cs="Times New Roman"/>
        </w:rPr>
        <w:t>(5), 2142–2155. https://doi.org/10.3758/s13428-020-01372-w</w:t>
      </w:r>
    </w:p>
    <w:p w14:paraId="42BF123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Stavrova, O., Pronk, T., &amp; Kokkoris, M. D. (2018). Finding meaning in self-control: The effect of self-control on the perception of meaning in life. </w:t>
      </w:r>
      <w:r w:rsidRPr="006F3F8E">
        <w:rPr>
          <w:rFonts w:ascii="Times New Roman" w:hAnsi="Times New Roman" w:cs="Times New Roman"/>
          <w:i/>
          <w:iCs/>
        </w:rPr>
        <w:t>Self and Identity</w:t>
      </w:r>
      <w:r w:rsidRPr="006F3F8E">
        <w:rPr>
          <w:rFonts w:ascii="Times New Roman" w:hAnsi="Times New Roman" w:cs="Times New Roman"/>
        </w:rPr>
        <w:t xml:space="preserve">, </w:t>
      </w:r>
      <w:r w:rsidRPr="006F3F8E">
        <w:rPr>
          <w:rFonts w:ascii="Times New Roman" w:hAnsi="Times New Roman" w:cs="Times New Roman"/>
          <w:i/>
          <w:iCs/>
        </w:rPr>
        <w:t>19</w:t>
      </w:r>
      <w:r w:rsidRPr="006F3F8E">
        <w:rPr>
          <w:rFonts w:ascii="Times New Roman" w:hAnsi="Times New Roman" w:cs="Times New Roman"/>
        </w:rPr>
        <w:t>(2), 201–218. https://doi.org/10.1080/15298868.2018.1558107</w:t>
      </w:r>
    </w:p>
    <w:p w14:paraId="372B6BF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Steger, M. F., Frazier, P., Oishi, S., &amp; Kaler, M. (2006). The meaning in life questionnaire: Assessing the presence of and search for meaning in life. </w:t>
      </w:r>
      <w:r w:rsidRPr="006F3F8E">
        <w:rPr>
          <w:rFonts w:ascii="Times New Roman" w:hAnsi="Times New Roman" w:cs="Times New Roman"/>
          <w:i/>
          <w:iCs/>
        </w:rPr>
        <w:t>Journal of Counseling Psychology</w:t>
      </w:r>
      <w:r w:rsidRPr="006F3F8E">
        <w:rPr>
          <w:rFonts w:ascii="Times New Roman" w:hAnsi="Times New Roman" w:cs="Times New Roman"/>
        </w:rPr>
        <w:t xml:space="preserve">, </w:t>
      </w:r>
      <w:r w:rsidRPr="006F3F8E">
        <w:rPr>
          <w:rFonts w:ascii="Times New Roman" w:hAnsi="Times New Roman" w:cs="Times New Roman"/>
          <w:i/>
          <w:iCs/>
        </w:rPr>
        <w:t>53</w:t>
      </w:r>
      <w:r w:rsidRPr="006F3F8E">
        <w:rPr>
          <w:rFonts w:ascii="Times New Roman" w:hAnsi="Times New Roman" w:cs="Times New Roman"/>
        </w:rPr>
        <w:t>(1), 80–93. https://doi.org/10.1037/0022-0167.53.1.80</w:t>
      </w:r>
    </w:p>
    <w:p w14:paraId="17DA2A0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Steger, M. F., Kashdan, T. B., Sullivan, B. A., &amp; Lorentz, D. (2008). Understanding the search for meaning in life: Personality, cognitive style, and the dynamic between seeking and experiencing meaning. </w:t>
      </w:r>
      <w:r w:rsidRPr="006F3F8E">
        <w:rPr>
          <w:rFonts w:ascii="Times New Roman" w:hAnsi="Times New Roman" w:cs="Times New Roman"/>
          <w:i/>
          <w:iCs/>
        </w:rPr>
        <w:t>Journal of Personality</w:t>
      </w:r>
      <w:r w:rsidRPr="006F3F8E">
        <w:rPr>
          <w:rFonts w:ascii="Times New Roman" w:hAnsi="Times New Roman" w:cs="Times New Roman"/>
        </w:rPr>
        <w:t xml:space="preserve">, </w:t>
      </w:r>
      <w:r w:rsidRPr="006F3F8E">
        <w:rPr>
          <w:rFonts w:ascii="Times New Roman" w:hAnsi="Times New Roman" w:cs="Times New Roman"/>
          <w:i/>
          <w:iCs/>
        </w:rPr>
        <w:t>76</w:t>
      </w:r>
      <w:r w:rsidRPr="006F3F8E">
        <w:rPr>
          <w:rFonts w:ascii="Times New Roman" w:hAnsi="Times New Roman" w:cs="Times New Roman"/>
        </w:rPr>
        <w:t>(2), 199–228. https://doi.org/10.1111/j.1467-6494.2007.00484.x</w:t>
      </w:r>
    </w:p>
    <w:p w14:paraId="278BA1C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Steger, M. F., Oishi, S., &amp; Kashdan, T. B. (2009). Meaning in life across the life span: Levels and correlates of meaning in life from emerging adulthood to older adulthood. </w:t>
      </w:r>
      <w:r w:rsidRPr="006F3F8E">
        <w:rPr>
          <w:rFonts w:ascii="Times New Roman" w:hAnsi="Times New Roman" w:cs="Times New Roman"/>
          <w:i/>
          <w:iCs/>
        </w:rPr>
        <w:t>The Journal of Positive Psychology</w:t>
      </w:r>
      <w:r w:rsidRPr="006F3F8E">
        <w:rPr>
          <w:rFonts w:ascii="Times New Roman" w:hAnsi="Times New Roman" w:cs="Times New Roman"/>
        </w:rPr>
        <w:t xml:space="preserve">, </w:t>
      </w:r>
      <w:r w:rsidRPr="006F3F8E">
        <w:rPr>
          <w:rFonts w:ascii="Times New Roman" w:hAnsi="Times New Roman" w:cs="Times New Roman"/>
          <w:i/>
          <w:iCs/>
        </w:rPr>
        <w:t>4</w:t>
      </w:r>
      <w:r w:rsidRPr="006F3F8E">
        <w:rPr>
          <w:rFonts w:ascii="Times New Roman" w:hAnsi="Times New Roman" w:cs="Times New Roman"/>
        </w:rPr>
        <w:t>(1), 43–52. https://doi.org/10.1080/17439760802303127</w:t>
      </w:r>
    </w:p>
    <w:p w14:paraId="32C9B7C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Steger, M. F., Shim, Y., Rush, B. R., Brueske, L. A., Shin, J. Y., &amp; Merriman, L. A. (2013). The mind’s eye: A photographic method for understanding meaning in people’s lives. </w:t>
      </w:r>
      <w:r w:rsidRPr="006F3F8E">
        <w:rPr>
          <w:rFonts w:ascii="Times New Roman" w:hAnsi="Times New Roman" w:cs="Times New Roman"/>
          <w:i/>
          <w:iCs/>
        </w:rPr>
        <w:t>The Journal of Positive Psychology</w:t>
      </w:r>
      <w:r w:rsidRPr="006F3F8E">
        <w:rPr>
          <w:rFonts w:ascii="Times New Roman" w:hAnsi="Times New Roman" w:cs="Times New Roman"/>
        </w:rPr>
        <w:t xml:space="preserve">, </w:t>
      </w:r>
      <w:r w:rsidRPr="006F3F8E">
        <w:rPr>
          <w:rFonts w:ascii="Times New Roman" w:hAnsi="Times New Roman" w:cs="Times New Roman"/>
          <w:i/>
          <w:iCs/>
        </w:rPr>
        <w:t>8</w:t>
      </w:r>
      <w:r w:rsidRPr="006F3F8E">
        <w:rPr>
          <w:rFonts w:ascii="Times New Roman" w:hAnsi="Times New Roman" w:cs="Times New Roman"/>
        </w:rPr>
        <w:t>(6), 530–542. https://doi.org/10.1080/17439760.2013.830760</w:t>
      </w:r>
    </w:p>
    <w:p w14:paraId="7F9BB2B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Stein, E., &amp; Witkiewitz, K. (2019). Trait self-control predicts drinking patterns during treatment for alcohol use disorder and recovery up to three years following treatment. </w:t>
      </w:r>
      <w:r w:rsidRPr="006F3F8E">
        <w:rPr>
          <w:rFonts w:ascii="Times New Roman" w:hAnsi="Times New Roman" w:cs="Times New Roman"/>
          <w:i/>
          <w:iCs/>
        </w:rPr>
        <w:t>Addictive Behaviors</w:t>
      </w:r>
      <w:r w:rsidRPr="006F3F8E">
        <w:rPr>
          <w:rFonts w:ascii="Times New Roman" w:hAnsi="Times New Roman" w:cs="Times New Roman"/>
        </w:rPr>
        <w:t xml:space="preserve">, </w:t>
      </w:r>
      <w:r w:rsidRPr="006F3F8E">
        <w:rPr>
          <w:rFonts w:ascii="Times New Roman" w:hAnsi="Times New Roman" w:cs="Times New Roman"/>
          <w:i/>
          <w:iCs/>
        </w:rPr>
        <w:t>99</w:t>
      </w:r>
      <w:r w:rsidRPr="006F3F8E">
        <w:rPr>
          <w:rFonts w:ascii="Times New Roman" w:hAnsi="Times New Roman" w:cs="Times New Roman"/>
        </w:rPr>
        <w:t>, 106083. https://doi.org/10.1016/j.addbeh.2019.106083</w:t>
      </w:r>
    </w:p>
    <w:p w14:paraId="13231E0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Stein, J. S., Koffarnus, M. N., Snider, S. E., Quisenberry, A. J., &amp; Bickel, W. K. (2015). Identification and management of nonsystematic purchase-task data: Towards best practice. </w:t>
      </w:r>
      <w:r w:rsidRPr="006F3F8E">
        <w:rPr>
          <w:rFonts w:ascii="Times New Roman" w:hAnsi="Times New Roman" w:cs="Times New Roman"/>
          <w:i/>
          <w:iCs/>
        </w:rPr>
        <w:t>Experimental and Clinical Psychopharmacology</w:t>
      </w:r>
      <w:r w:rsidRPr="006F3F8E">
        <w:rPr>
          <w:rFonts w:ascii="Times New Roman" w:hAnsi="Times New Roman" w:cs="Times New Roman"/>
        </w:rPr>
        <w:t xml:space="preserve">, </w:t>
      </w:r>
      <w:r w:rsidRPr="006F3F8E">
        <w:rPr>
          <w:rFonts w:ascii="Times New Roman" w:hAnsi="Times New Roman" w:cs="Times New Roman"/>
          <w:i/>
          <w:iCs/>
        </w:rPr>
        <w:t>23</w:t>
      </w:r>
      <w:r w:rsidRPr="006F3F8E">
        <w:rPr>
          <w:rFonts w:ascii="Times New Roman" w:hAnsi="Times New Roman" w:cs="Times New Roman"/>
        </w:rPr>
        <w:t>(5), 377–386. https://doi.org/10.1037/pha0000020</w:t>
      </w:r>
    </w:p>
    <w:p w14:paraId="4542967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Stillman, P. E., Medvedev, D., &amp; Ferguson, M. J. (2017). Resisting temptation: Tracking how self-control conflicts are successfully resolved in real time. </w:t>
      </w:r>
      <w:r w:rsidRPr="006F3F8E">
        <w:rPr>
          <w:rFonts w:ascii="Times New Roman" w:hAnsi="Times New Roman" w:cs="Times New Roman"/>
          <w:i/>
          <w:iCs/>
        </w:rPr>
        <w:t>Psychological Science</w:t>
      </w:r>
      <w:r w:rsidRPr="006F3F8E">
        <w:rPr>
          <w:rFonts w:ascii="Times New Roman" w:hAnsi="Times New Roman" w:cs="Times New Roman"/>
        </w:rPr>
        <w:t xml:space="preserve">, </w:t>
      </w:r>
      <w:r w:rsidRPr="006F3F8E">
        <w:rPr>
          <w:rFonts w:ascii="Times New Roman" w:hAnsi="Times New Roman" w:cs="Times New Roman"/>
          <w:i/>
          <w:iCs/>
        </w:rPr>
        <w:t>28</w:t>
      </w:r>
      <w:r w:rsidRPr="006F3F8E">
        <w:rPr>
          <w:rFonts w:ascii="Times New Roman" w:hAnsi="Times New Roman" w:cs="Times New Roman"/>
        </w:rPr>
        <w:t>(9), 1240–1258. https://doi.org/10.1177/0956797617705386</w:t>
      </w:r>
    </w:p>
    <w:p w14:paraId="2693B42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Stillman, P. E., Shen, X., &amp; Ferguson, M. J. (2018). How mouse-tracking can advance social cognitive theory. </w:t>
      </w:r>
      <w:r w:rsidRPr="006F3F8E">
        <w:rPr>
          <w:rFonts w:ascii="Times New Roman" w:hAnsi="Times New Roman" w:cs="Times New Roman"/>
          <w:i/>
          <w:iCs/>
        </w:rPr>
        <w:t>Trends in Cognitive Sciences</w:t>
      </w:r>
      <w:r w:rsidRPr="006F3F8E">
        <w:rPr>
          <w:rFonts w:ascii="Times New Roman" w:hAnsi="Times New Roman" w:cs="Times New Roman"/>
        </w:rPr>
        <w:t xml:space="preserve">, </w:t>
      </w:r>
      <w:r w:rsidRPr="006F3F8E">
        <w:rPr>
          <w:rFonts w:ascii="Times New Roman" w:hAnsi="Times New Roman" w:cs="Times New Roman"/>
          <w:i/>
          <w:iCs/>
        </w:rPr>
        <w:t>22</w:t>
      </w:r>
      <w:r w:rsidRPr="006F3F8E">
        <w:rPr>
          <w:rFonts w:ascii="Times New Roman" w:hAnsi="Times New Roman" w:cs="Times New Roman"/>
        </w:rPr>
        <w:t>(6), 531–543. https://doi.org/10.1016/j.tics.2018.03.012</w:t>
      </w:r>
    </w:p>
    <w:p w14:paraId="0B73940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Stitzer, M., &amp; Petry, N. (2006). Contingency management for treatment of substance abuse. </w:t>
      </w:r>
      <w:r w:rsidRPr="006F3F8E">
        <w:rPr>
          <w:rFonts w:ascii="Times New Roman" w:hAnsi="Times New Roman" w:cs="Times New Roman"/>
          <w:i/>
          <w:iCs/>
        </w:rPr>
        <w:t>Annual Review of Clinical Psychology</w:t>
      </w:r>
      <w:r w:rsidRPr="006F3F8E">
        <w:rPr>
          <w:rFonts w:ascii="Times New Roman" w:hAnsi="Times New Roman" w:cs="Times New Roman"/>
        </w:rPr>
        <w:t xml:space="preserve">, </w:t>
      </w:r>
      <w:r w:rsidRPr="006F3F8E">
        <w:rPr>
          <w:rFonts w:ascii="Times New Roman" w:hAnsi="Times New Roman" w:cs="Times New Roman"/>
          <w:i/>
          <w:iCs/>
        </w:rPr>
        <w:t>2</w:t>
      </w:r>
      <w:r w:rsidRPr="006F3F8E">
        <w:rPr>
          <w:rFonts w:ascii="Times New Roman" w:hAnsi="Times New Roman" w:cs="Times New Roman"/>
        </w:rPr>
        <w:t>, 411–434. https://doi.org/10.1146/annurev.clinpsy.2.022305.095219</w:t>
      </w:r>
    </w:p>
    <w:p w14:paraId="6C0302D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Stoops, W. W., Lile, J. A., Glaser, P. E. A., Hays, L. R., &amp; Rush, C. R. (2012). Influence of acute bupropion pre-treatment on the effects of intranasal cocaine.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107</w:t>
      </w:r>
      <w:r w:rsidRPr="006F3F8E">
        <w:rPr>
          <w:rFonts w:ascii="Times New Roman" w:hAnsi="Times New Roman" w:cs="Times New Roman"/>
        </w:rPr>
        <w:t>(6), 1140–1147. https://doi.org/10.1111/j.1360-0443.2011.03766.x</w:t>
      </w:r>
    </w:p>
    <w:p w14:paraId="4A920A8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Strack, F., &amp; Deutsch, R. (2004). Reflective and impulsive determinants of social behavior. </w:t>
      </w:r>
      <w:r w:rsidRPr="006F3F8E">
        <w:rPr>
          <w:rFonts w:ascii="Times New Roman" w:hAnsi="Times New Roman" w:cs="Times New Roman"/>
          <w:i/>
          <w:iCs/>
        </w:rPr>
        <w:t>Personality and Social Psychology Review</w:t>
      </w:r>
      <w:r w:rsidRPr="006F3F8E">
        <w:rPr>
          <w:rFonts w:ascii="Times New Roman" w:hAnsi="Times New Roman" w:cs="Times New Roman"/>
        </w:rPr>
        <w:t xml:space="preserve">, </w:t>
      </w:r>
      <w:r w:rsidRPr="006F3F8E">
        <w:rPr>
          <w:rFonts w:ascii="Times New Roman" w:hAnsi="Times New Roman" w:cs="Times New Roman"/>
          <w:i/>
          <w:iCs/>
        </w:rPr>
        <w:t>8</w:t>
      </w:r>
      <w:r w:rsidRPr="006F3F8E">
        <w:rPr>
          <w:rFonts w:ascii="Times New Roman" w:hAnsi="Times New Roman" w:cs="Times New Roman"/>
        </w:rPr>
        <w:t>(3), 220–247. https://doi.org/10.1207/s15327957pspr0803_1</w:t>
      </w:r>
    </w:p>
    <w:p w14:paraId="5FAB2EC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Strickland, J. C. (2022). Commentary on Motschman et al.: Moving behavioral economic demand into the real world means moving beyond single schedules of reinforcement.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117</w:t>
      </w:r>
      <w:r w:rsidRPr="006F3F8E">
        <w:rPr>
          <w:rFonts w:ascii="Times New Roman" w:hAnsi="Times New Roman" w:cs="Times New Roman"/>
        </w:rPr>
        <w:t>(7), 1897–1898. https://doi.org/10.1111/add.15888</w:t>
      </w:r>
    </w:p>
    <w:p w14:paraId="452DFED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Sudhir, P. M. (2018). Cognitive behavioural interventions in addictive disorders. </w:t>
      </w:r>
      <w:r w:rsidRPr="006F3F8E">
        <w:rPr>
          <w:rFonts w:ascii="Times New Roman" w:hAnsi="Times New Roman" w:cs="Times New Roman"/>
          <w:i/>
          <w:iCs/>
        </w:rPr>
        <w:t>Indian Journal of Psychiatry</w:t>
      </w:r>
      <w:r w:rsidRPr="006F3F8E">
        <w:rPr>
          <w:rFonts w:ascii="Times New Roman" w:hAnsi="Times New Roman" w:cs="Times New Roman"/>
        </w:rPr>
        <w:t xml:space="preserve">, </w:t>
      </w:r>
      <w:r w:rsidRPr="006F3F8E">
        <w:rPr>
          <w:rFonts w:ascii="Times New Roman" w:hAnsi="Times New Roman" w:cs="Times New Roman"/>
          <w:i/>
          <w:iCs/>
        </w:rPr>
        <w:t>60</w:t>
      </w:r>
      <w:r w:rsidRPr="006F3F8E">
        <w:rPr>
          <w:rFonts w:ascii="Times New Roman" w:hAnsi="Times New Roman" w:cs="Times New Roman"/>
        </w:rPr>
        <w:t>(Suppl 4), S479–S484. https://doi.org/10.4103/psychiatry.IndianJPsychiatry_15_18</w:t>
      </w:r>
    </w:p>
    <w:p w14:paraId="1096CF6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Sussman, S., &amp; Leventhal, A. (2014). Substance misuse prevention: Addressing anhedonia. </w:t>
      </w:r>
      <w:r w:rsidRPr="006F3F8E">
        <w:rPr>
          <w:rFonts w:ascii="Times New Roman" w:hAnsi="Times New Roman" w:cs="Times New Roman"/>
          <w:i/>
          <w:iCs/>
        </w:rPr>
        <w:t>New Directions for Youth Development</w:t>
      </w:r>
      <w:r w:rsidRPr="006F3F8E">
        <w:rPr>
          <w:rFonts w:ascii="Times New Roman" w:hAnsi="Times New Roman" w:cs="Times New Roman"/>
        </w:rPr>
        <w:t xml:space="preserve">, </w:t>
      </w:r>
      <w:r w:rsidRPr="006F3F8E">
        <w:rPr>
          <w:rFonts w:ascii="Times New Roman" w:hAnsi="Times New Roman" w:cs="Times New Roman"/>
          <w:i/>
          <w:iCs/>
        </w:rPr>
        <w:t>2014</w:t>
      </w:r>
      <w:r w:rsidRPr="006F3F8E">
        <w:rPr>
          <w:rFonts w:ascii="Times New Roman" w:hAnsi="Times New Roman" w:cs="Times New Roman"/>
        </w:rPr>
        <w:t>(141), 45–56, 10. https://doi.org/10.1002/yd.20085</w:t>
      </w:r>
    </w:p>
    <w:p w14:paraId="049EA272"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Tabachnick, B. G., &amp; Fidell, L. S. (2013). </w:t>
      </w:r>
      <w:r w:rsidRPr="006F3F8E">
        <w:rPr>
          <w:rFonts w:ascii="Times New Roman" w:hAnsi="Times New Roman" w:cs="Times New Roman"/>
          <w:i/>
          <w:iCs/>
        </w:rPr>
        <w:t>Using multivariate statistics</w:t>
      </w:r>
      <w:r w:rsidRPr="006F3F8E">
        <w:rPr>
          <w:rFonts w:ascii="Times New Roman" w:hAnsi="Times New Roman" w:cs="Times New Roman"/>
        </w:rPr>
        <w:t xml:space="preserve"> (6th ed.). Pearson.</w:t>
      </w:r>
    </w:p>
    <w:p w14:paraId="54CA999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Tangney, J. P., Baumeister, R. F., &amp; Boone, A. L. (2004). High self-control predicts good adjustment, less pathology, better grades, and interpersonal success. </w:t>
      </w:r>
      <w:r w:rsidRPr="006F3F8E">
        <w:rPr>
          <w:rFonts w:ascii="Times New Roman" w:hAnsi="Times New Roman" w:cs="Times New Roman"/>
          <w:i/>
          <w:iCs/>
        </w:rPr>
        <w:t>Journal of Personality</w:t>
      </w:r>
      <w:r w:rsidRPr="006F3F8E">
        <w:rPr>
          <w:rFonts w:ascii="Times New Roman" w:hAnsi="Times New Roman" w:cs="Times New Roman"/>
        </w:rPr>
        <w:t xml:space="preserve">, </w:t>
      </w:r>
      <w:r w:rsidRPr="006F3F8E">
        <w:rPr>
          <w:rFonts w:ascii="Times New Roman" w:hAnsi="Times New Roman" w:cs="Times New Roman"/>
          <w:i/>
          <w:iCs/>
        </w:rPr>
        <w:t>72</w:t>
      </w:r>
      <w:r w:rsidRPr="006F3F8E">
        <w:rPr>
          <w:rFonts w:ascii="Times New Roman" w:hAnsi="Times New Roman" w:cs="Times New Roman"/>
        </w:rPr>
        <w:t>(2), 271–324. https://doi.org/10.1111/j.0022-3506.2004.00263.x</w:t>
      </w:r>
    </w:p>
    <w:p w14:paraId="7B73668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Tattan-Birch, H., &amp; Jarvis, M. J. (2022). Children’s exposure to second-hand smoke 10 years on from smoke-free legislation in England: Cotinine data from the Health Survey for England 1998-2018. </w:t>
      </w:r>
      <w:r w:rsidRPr="006F3F8E">
        <w:rPr>
          <w:rFonts w:ascii="Times New Roman" w:hAnsi="Times New Roman" w:cs="Times New Roman"/>
          <w:i/>
          <w:iCs/>
        </w:rPr>
        <w:t>The Lancet Regional Health - Europe</w:t>
      </w:r>
      <w:r w:rsidRPr="006F3F8E">
        <w:rPr>
          <w:rFonts w:ascii="Times New Roman" w:hAnsi="Times New Roman" w:cs="Times New Roman"/>
        </w:rPr>
        <w:t xml:space="preserve">, </w:t>
      </w:r>
      <w:r w:rsidRPr="006F3F8E">
        <w:rPr>
          <w:rFonts w:ascii="Times New Roman" w:hAnsi="Times New Roman" w:cs="Times New Roman"/>
          <w:i/>
          <w:iCs/>
        </w:rPr>
        <w:t>15</w:t>
      </w:r>
      <w:r w:rsidRPr="006F3F8E">
        <w:rPr>
          <w:rFonts w:ascii="Times New Roman" w:hAnsi="Times New Roman" w:cs="Times New Roman"/>
        </w:rPr>
        <w:t>, 100315. https://doi.org/10.1016/j.lanepe.2022.100315</w:t>
      </w:r>
    </w:p>
    <w:p w14:paraId="15317B7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Taylor, G., Lindson, N., Farley, A., Leinberger-Jabari, A., Sawyer, K., Naudé, R. te W., Theodoulou, A., King, N., Burke, C., &amp; Aveyard, P. (2021). Smoking cessation for improving mental health. </w:t>
      </w:r>
      <w:r w:rsidRPr="006F3F8E">
        <w:rPr>
          <w:rFonts w:ascii="Times New Roman" w:hAnsi="Times New Roman" w:cs="Times New Roman"/>
          <w:i/>
          <w:iCs/>
        </w:rPr>
        <w:t>Cochrane Database of Systematic Reviews</w:t>
      </w:r>
      <w:r w:rsidRPr="006F3F8E">
        <w:rPr>
          <w:rFonts w:ascii="Times New Roman" w:hAnsi="Times New Roman" w:cs="Times New Roman"/>
        </w:rPr>
        <w:t xml:space="preserve">, </w:t>
      </w:r>
      <w:r w:rsidRPr="006F3F8E">
        <w:rPr>
          <w:rFonts w:ascii="Times New Roman" w:hAnsi="Times New Roman" w:cs="Times New Roman"/>
          <w:i/>
          <w:iCs/>
        </w:rPr>
        <w:t>3</w:t>
      </w:r>
      <w:r w:rsidRPr="006F3F8E">
        <w:rPr>
          <w:rFonts w:ascii="Times New Roman" w:hAnsi="Times New Roman" w:cs="Times New Roman"/>
        </w:rPr>
        <w:t>. https://doi.org/10.1002/14651858.CD013522.pub2</w:t>
      </w:r>
    </w:p>
    <w:p w14:paraId="2659B0F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Taylor, G. M. J., Taylor, A. E., Thomas, K. H., Jones, T., Martin, R. M., Munafò, M. R., Windmeijer, F., &amp; Davies, N. M. (2016). Effectiveness of varenicline versus nicotine replacement therapy on long-term smoking cessation in primary care: A prospective, cohort study of electronic medical records. </w:t>
      </w:r>
      <w:r w:rsidRPr="006F3F8E">
        <w:rPr>
          <w:rFonts w:ascii="Times New Roman" w:hAnsi="Times New Roman" w:cs="Times New Roman"/>
          <w:i/>
          <w:iCs/>
        </w:rPr>
        <w:t>The Lancet</w:t>
      </w:r>
      <w:r w:rsidRPr="006F3F8E">
        <w:rPr>
          <w:rFonts w:ascii="Times New Roman" w:hAnsi="Times New Roman" w:cs="Times New Roman"/>
        </w:rPr>
        <w:t xml:space="preserve">, </w:t>
      </w:r>
      <w:r w:rsidRPr="006F3F8E">
        <w:rPr>
          <w:rFonts w:ascii="Times New Roman" w:hAnsi="Times New Roman" w:cs="Times New Roman"/>
          <w:i/>
          <w:iCs/>
        </w:rPr>
        <w:t>388</w:t>
      </w:r>
      <w:r w:rsidRPr="006F3F8E">
        <w:rPr>
          <w:rFonts w:ascii="Times New Roman" w:hAnsi="Times New Roman" w:cs="Times New Roman"/>
        </w:rPr>
        <w:t>, S107. https://doi.org/10.1016/S0140-6736(16)32343-1</w:t>
      </w:r>
    </w:p>
    <w:p w14:paraId="59E794F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Taylor, G., McNeill, A., Girling, A., Farley, A., Lindson-Hawley, N., &amp; Aveyard, P. (2014). Change in mental health after smoking cessation: Systematic review and meta-analysis. </w:t>
      </w:r>
      <w:r w:rsidRPr="006F3F8E">
        <w:rPr>
          <w:rFonts w:ascii="Times New Roman" w:hAnsi="Times New Roman" w:cs="Times New Roman"/>
          <w:i/>
          <w:iCs/>
        </w:rPr>
        <w:t>BMJ</w:t>
      </w:r>
      <w:r w:rsidRPr="006F3F8E">
        <w:rPr>
          <w:rFonts w:ascii="Times New Roman" w:hAnsi="Times New Roman" w:cs="Times New Roman"/>
        </w:rPr>
        <w:t xml:space="preserve">, </w:t>
      </w:r>
      <w:r w:rsidRPr="006F3F8E">
        <w:rPr>
          <w:rFonts w:ascii="Times New Roman" w:hAnsi="Times New Roman" w:cs="Times New Roman"/>
          <w:i/>
          <w:iCs/>
        </w:rPr>
        <w:t>348</w:t>
      </w:r>
      <w:r w:rsidRPr="006F3F8E">
        <w:rPr>
          <w:rFonts w:ascii="Times New Roman" w:hAnsi="Times New Roman" w:cs="Times New Roman"/>
        </w:rPr>
        <w:t>, g1151. https://doi.org/10.1136/bmj.g1151</w:t>
      </w:r>
    </w:p>
    <w:p w14:paraId="244A339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Theisen, M., Lerche, V., von Krause, M., &amp; Voss, A. (2021). Age differences in diffusion model parameters: A meta-analysis. </w:t>
      </w:r>
      <w:r w:rsidRPr="006F3F8E">
        <w:rPr>
          <w:rFonts w:ascii="Times New Roman" w:hAnsi="Times New Roman" w:cs="Times New Roman"/>
          <w:i/>
          <w:iCs/>
        </w:rPr>
        <w:t>Psychological Research</w:t>
      </w:r>
      <w:r w:rsidRPr="006F3F8E">
        <w:rPr>
          <w:rFonts w:ascii="Times New Roman" w:hAnsi="Times New Roman" w:cs="Times New Roman"/>
        </w:rPr>
        <w:t xml:space="preserve">, </w:t>
      </w:r>
      <w:r w:rsidRPr="006F3F8E">
        <w:rPr>
          <w:rFonts w:ascii="Times New Roman" w:hAnsi="Times New Roman" w:cs="Times New Roman"/>
          <w:i/>
          <w:iCs/>
        </w:rPr>
        <w:t>85</w:t>
      </w:r>
      <w:r w:rsidRPr="006F3F8E">
        <w:rPr>
          <w:rFonts w:ascii="Times New Roman" w:hAnsi="Times New Roman" w:cs="Times New Roman"/>
        </w:rPr>
        <w:t>(5), 2012–2021. https://doi.org/10.1007/s00426-020-01371-8</w:t>
      </w:r>
    </w:p>
    <w:p w14:paraId="4DA96D9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Toet, A., Kaneko, D., de Kruijf, I., Ushiama, S., van Schaik, M. G., Brouwer, A.-M., Kallen, V., &amp; van Erp, J. B. F. (2019). CROCUFID: A cross-cultural food image database for research on food elicited affective responses.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10</w:t>
      </w:r>
      <w:r w:rsidRPr="006F3F8E">
        <w:rPr>
          <w:rFonts w:ascii="Times New Roman" w:hAnsi="Times New Roman" w:cs="Times New Roman"/>
        </w:rPr>
        <w:t>, 58. https://doi.org/10.3389/fpsyg.2019.00058</w:t>
      </w:r>
    </w:p>
    <w:p w14:paraId="77DCFB0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Tovmasyan, A., Monk, R. L., &amp; Heim, D. (2022). Towards an affect intensity regulation hypothesis: Systematic review and meta-analyses of the relationship between affective states and alcohol consumption. </w:t>
      </w:r>
      <w:r w:rsidRPr="006F3F8E">
        <w:rPr>
          <w:rFonts w:ascii="Times New Roman" w:hAnsi="Times New Roman" w:cs="Times New Roman"/>
          <w:i/>
          <w:iCs/>
        </w:rPr>
        <w:t>PLOS ONE</w:t>
      </w:r>
      <w:r w:rsidRPr="006F3F8E">
        <w:rPr>
          <w:rFonts w:ascii="Times New Roman" w:hAnsi="Times New Roman" w:cs="Times New Roman"/>
        </w:rPr>
        <w:t xml:space="preserve">, </w:t>
      </w:r>
      <w:r w:rsidRPr="006F3F8E">
        <w:rPr>
          <w:rFonts w:ascii="Times New Roman" w:hAnsi="Times New Roman" w:cs="Times New Roman"/>
          <w:i/>
          <w:iCs/>
        </w:rPr>
        <w:t>17</w:t>
      </w:r>
      <w:r w:rsidRPr="006F3F8E">
        <w:rPr>
          <w:rFonts w:ascii="Times New Roman" w:hAnsi="Times New Roman" w:cs="Times New Roman"/>
        </w:rPr>
        <w:t>(1), e0262670. https://doi.org/10.1371/journal.pone.0262670</w:t>
      </w:r>
    </w:p>
    <w:p w14:paraId="739689C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Tovmasyan, A., Monk, R. L., Sawicka, I., &amp; Heim, D. (2022). Positive but not negative affect is associated with increased daily drinking likelihood in non-clinical populations: Systematic review and meta-analyses. </w:t>
      </w:r>
      <w:r w:rsidRPr="006F3F8E">
        <w:rPr>
          <w:rFonts w:ascii="Times New Roman" w:hAnsi="Times New Roman" w:cs="Times New Roman"/>
          <w:i/>
          <w:iCs/>
        </w:rPr>
        <w:t>The American Journal of Drug and Alcohol Abuse</w:t>
      </w:r>
      <w:r w:rsidRPr="006F3F8E">
        <w:rPr>
          <w:rFonts w:ascii="Times New Roman" w:hAnsi="Times New Roman" w:cs="Times New Roman"/>
        </w:rPr>
        <w:t>, 1–15. https://doi.org/10.1080/00952990.2022.2082300</w:t>
      </w:r>
    </w:p>
    <w:p w14:paraId="7130F33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Buscemi, J., Murphy, J. G., Reed, D. D., &amp; Vuchinich, R. E. (2022). Addictive behavior as molar behavioral allocation: Distinguishing efficient and final causes in translational research and practice. </w:t>
      </w:r>
      <w:r w:rsidRPr="006F3F8E">
        <w:rPr>
          <w:rFonts w:ascii="Times New Roman" w:hAnsi="Times New Roman" w:cs="Times New Roman"/>
          <w:i/>
          <w:iCs/>
        </w:rPr>
        <w:t>Psychology of Addictive Behaviors</w:t>
      </w:r>
      <w:r w:rsidRPr="006F3F8E">
        <w:rPr>
          <w:rFonts w:ascii="Times New Roman" w:hAnsi="Times New Roman" w:cs="Times New Roman"/>
        </w:rPr>
        <w:t>. https://doi.org/10.1037/adb0000845</w:t>
      </w:r>
    </w:p>
    <w:p w14:paraId="7DEF169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Chandler, S. D., &amp; Witkiewitz, K. (2020). Epidemiology of recovery from alcohol use disorder. </w:t>
      </w:r>
      <w:r w:rsidRPr="006F3F8E">
        <w:rPr>
          <w:rFonts w:ascii="Times New Roman" w:hAnsi="Times New Roman" w:cs="Times New Roman"/>
          <w:i/>
          <w:iCs/>
        </w:rPr>
        <w:t>Alcohol Research: Current Reviews</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(3), 02. https://doi.org/10.35946/arcr.v40.3.02</w:t>
      </w:r>
    </w:p>
    <w:p w14:paraId="58426CB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Tucker, J. A., Cheong, J., &amp; Chandler, S. D. (2021). Shifts in behavioral allocation patterns as a natural recovery mechanism: Postresolution expenditure patterns.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45</w:t>
      </w:r>
      <w:r w:rsidRPr="006F3F8E">
        <w:rPr>
          <w:rFonts w:ascii="Times New Roman" w:hAnsi="Times New Roman" w:cs="Times New Roman"/>
        </w:rPr>
        <w:t>(6), 1304–1316. https://doi.org/10.1111/acer.14620</w:t>
      </w:r>
    </w:p>
    <w:p w14:paraId="07512B1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Cheong, J., Chandler, S. D., Lambert, B. H., Pietrzak, B., Kwok, H., &amp; Davies, S. L. (2016). Prospective analysis of behavioral economic predictors of stable moderation drinking among problem drinkers attempting natural recovery.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(12), 2676–2684. https://doi.org/10.1111/acer.13245</w:t>
      </w:r>
    </w:p>
    <w:p w14:paraId="4FEF6BF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Roth, D. L., Vignolo, M. J., &amp; Westfall, A. O. (2009). A behavioral economic reward index predicts drinking resolutions: Moderation re-visited and compared with other outcomes.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77</w:t>
      </w:r>
      <w:r w:rsidRPr="006F3F8E">
        <w:rPr>
          <w:rFonts w:ascii="Times New Roman" w:hAnsi="Times New Roman" w:cs="Times New Roman"/>
        </w:rPr>
        <w:t>(2), 219. https://doi.org/10.1037/a0014968</w:t>
      </w:r>
    </w:p>
    <w:p w14:paraId="2F0EF08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&amp; Vuchinich, R. E. (2015). Efficient and final causes of alcohol consumption.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110</w:t>
      </w:r>
      <w:r w:rsidRPr="006F3F8E">
        <w:rPr>
          <w:rFonts w:ascii="Times New Roman" w:hAnsi="Times New Roman" w:cs="Times New Roman"/>
        </w:rPr>
        <w:t>(9), 1429–1430. https://doi.org/10.1111/add.12983</w:t>
      </w:r>
    </w:p>
    <w:p w14:paraId="6B2E2B2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Tucker, J. A., Vuchinich, R. E., Black, B. C., &amp; Rippens, P. D. (2006). Significance of a behavioral economic index of reward value in predicting drinking problem resolution. </w:t>
      </w:r>
      <w:r w:rsidRPr="006F3F8E">
        <w:rPr>
          <w:rFonts w:ascii="Times New Roman" w:hAnsi="Times New Roman" w:cs="Times New Roman"/>
          <w:i/>
          <w:iCs/>
        </w:rPr>
        <w:t>Journal of Consulting and Clinical Psychology</w:t>
      </w:r>
      <w:r w:rsidRPr="006F3F8E">
        <w:rPr>
          <w:rFonts w:ascii="Times New Roman" w:hAnsi="Times New Roman" w:cs="Times New Roman"/>
        </w:rPr>
        <w:t xml:space="preserve">, </w:t>
      </w:r>
      <w:r w:rsidRPr="006F3F8E">
        <w:rPr>
          <w:rFonts w:ascii="Times New Roman" w:hAnsi="Times New Roman" w:cs="Times New Roman"/>
          <w:i/>
          <w:iCs/>
        </w:rPr>
        <w:t>74</w:t>
      </w:r>
      <w:r w:rsidRPr="006F3F8E">
        <w:rPr>
          <w:rFonts w:ascii="Times New Roman" w:hAnsi="Times New Roman" w:cs="Times New Roman"/>
        </w:rPr>
        <w:t>(2), 317–326. https://doi.org/10.1037/0022-006X.74.2.317</w:t>
      </w:r>
    </w:p>
    <w:p w14:paraId="653B702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Tusche, A., &amp; Hutcherson, C. A. (2018). Cognitive regulation alters social and dietary choice by changing attribute representations in domain-general and domain-specific brain circuits. </w:t>
      </w:r>
      <w:r w:rsidRPr="006F3F8E">
        <w:rPr>
          <w:rFonts w:ascii="Times New Roman" w:hAnsi="Times New Roman" w:cs="Times New Roman"/>
          <w:i/>
          <w:iCs/>
        </w:rPr>
        <w:t>ELife</w:t>
      </w:r>
      <w:r w:rsidRPr="006F3F8E">
        <w:rPr>
          <w:rFonts w:ascii="Times New Roman" w:hAnsi="Times New Roman" w:cs="Times New Roman"/>
        </w:rPr>
        <w:t xml:space="preserve">, </w:t>
      </w:r>
      <w:r w:rsidRPr="006F3F8E">
        <w:rPr>
          <w:rFonts w:ascii="Times New Roman" w:hAnsi="Times New Roman" w:cs="Times New Roman"/>
          <w:i/>
          <w:iCs/>
        </w:rPr>
        <w:t>7</w:t>
      </w:r>
      <w:r w:rsidRPr="006F3F8E">
        <w:rPr>
          <w:rFonts w:ascii="Times New Roman" w:hAnsi="Times New Roman" w:cs="Times New Roman"/>
        </w:rPr>
        <w:t>, e31185. https://doi.org/10.7554/eLife.31185</w:t>
      </w:r>
    </w:p>
    <w:p w14:paraId="34499BE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UK Drug Policy Commission. (2008). </w:t>
      </w:r>
      <w:r w:rsidRPr="006F3F8E">
        <w:rPr>
          <w:rFonts w:ascii="Times New Roman" w:hAnsi="Times New Roman" w:cs="Times New Roman"/>
          <w:i/>
          <w:iCs/>
        </w:rPr>
        <w:t>The UK drug policy commission recovery consensus group: A vision of recovery</w:t>
      </w:r>
      <w:r w:rsidRPr="006F3F8E">
        <w:rPr>
          <w:rFonts w:ascii="Times New Roman" w:hAnsi="Times New Roman" w:cs="Times New Roman"/>
        </w:rPr>
        <w:t>. https://www.ukdpc.org.uk/wp-content/uploads/Policy%20report%20-</w:t>
      </w:r>
      <w:r w:rsidRPr="006F3F8E">
        <w:rPr>
          <w:rFonts w:ascii="Times New Roman" w:hAnsi="Times New Roman" w:cs="Times New Roman"/>
        </w:rPr>
        <w:lastRenderedPageBreak/>
        <w:t>%20A%20vision%20of%20recovery_%20UKDPC%20recovery%20consensus%20group.pdf</w:t>
      </w:r>
    </w:p>
    <w:p w14:paraId="06EE8E5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Vafaie, N., &amp; Kober, H. (2022). Association of drug cues and craving with drug use and relapse: A systematic review and meta-analysis. </w:t>
      </w:r>
      <w:r w:rsidRPr="006F3F8E">
        <w:rPr>
          <w:rFonts w:ascii="Times New Roman" w:hAnsi="Times New Roman" w:cs="Times New Roman"/>
          <w:i/>
          <w:iCs/>
        </w:rPr>
        <w:t>JAMA Psychiatry</w:t>
      </w:r>
      <w:r w:rsidRPr="006F3F8E">
        <w:rPr>
          <w:rFonts w:ascii="Times New Roman" w:hAnsi="Times New Roman" w:cs="Times New Roman"/>
        </w:rPr>
        <w:t xml:space="preserve">, </w:t>
      </w:r>
      <w:r w:rsidRPr="006F3F8E">
        <w:rPr>
          <w:rFonts w:ascii="Times New Roman" w:hAnsi="Times New Roman" w:cs="Times New Roman"/>
          <w:i/>
          <w:iCs/>
        </w:rPr>
        <w:t>79</w:t>
      </w:r>
      <w:r w:rsidRPr="006F3F8E">
        <w:rPr>
          <w:rFonts w:ascii="Times New Roman" w:hAnsi="Times New Roman" w:cs="Times New Roman"/>
        </w:rPr>
        <w:t>(7), 641–650. https://doi.org/10.1001/jamapsychiatry.2022.1240</w:t>
      </w:r>
    </w:p>
    <w:p w14:paraId="08D7538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van Ravenzwaaij, D., Donkin, C., &amp; Vandekerckhove, J. (2017). The EZ diffusion model provides a powerful test of simple empirical effects.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24</w:t>
      </w:r>
      <w:r w:rsidRPr="006F3F8E">
        <w:rPr>
          <w:rFonts w:ascii="Times New Roman" w:hAnsi="Times New Roman" w:cs="Times New Roman"/>
        </w:rPr>
        <w:t>(2), 547–556. https://doi.org/10.3758/s13423-016-1081-y</w:t>
      </w:r>
    </w:p>
    <w:p w14:paraId="47AC5D8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van Ravenzwaaij, D., &amp; Oberauer, K. (2009). How to use the diffusion model: Parameter recovery of three methods: EZ, fast-dm, and DMAT. </w:t>
      </w:r>
      <w:r w:rsidRPr="006F3F8E">
        <w:rPr>
          <w:rFonts w:ascii="Times New Roman" w:hAnsi="Times New Roman" w:cs="Times New Roman"/>
          <w:i/>
          <w:iCs/>
        </w:rPr>
        <w:t>Journal of Mathematical Psychology</w:t>
      </w:r>
      <w:r w:rsidRPr="006F3F8E">
        <w:rPr>
          <w:rFonts w:ascii="Times New Roman" w:hAnsi="Times New Roman" w:cs="Times New Roman"/>
        </w:rPr>
        <w:t xml:space="preserve">, </w:t>
      </w:r>
      <w:r w:rsidRPr="006F3F8E">
        <w:rPr>
          <w:rFonts w:ascii="Times New Roman" w:hAnsi="Times New Roman" w:cs="Times New Roman"/>
          <w:i/>
          <w:iCs/>
        </w:rPr>
        <w:t>53</w:t>
      </w:r>
      <w:r w:rsidRPr="006F3F8E">
        <w:rPr>
          <w:rFonts w:ascii="Times New Roman" w:hAnsi="Times New Roman" w:cs="Times New Roman"/>
        </w:rPr>
        <w:t>(6), 463–473. https://doi.org/10.1016/j.jmp.2009.09.004</w:t>
      </w:r>
    </w:p>
    <w:p w14:paraId="3A8CC4B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Veling, H., Holland, R. W., &amp; van Knippenberg, A. (2008). When approach motivation and behavioral inhibition collide: Behavior regulation through stimulus devaluation. </w:t>
      </w:r>
      <w:r w:rsidRPr="006F3F8E">
        <w:rPr>
          <w:rFonts w:ascii="Times New Roman" w:hAnsi="Times New Roman" w:cs="Times New Roman"/>
          <w:i/>
          <w:iCs/>
        </w:rPr>
        <w:t>Journal of Experimental Social Psychology</w:t>
      </w:r>
      <w:r w:rsidRPr="006F3F8E">
        <w:rPr>
          <w:rFonts w:ascii="Times New Roman" w:hAnsi="Times New Roman" w:cs="Times New Roman"/>
        </w:rPr>
        <w:t xml:space="preserve">, </w:t>
      </w:r>
      <w:r w:rsidRPr="006F3F8E">
        <w:rPr>
          <w:rFonts w:ascii="Times New Roman" w:hAnsi="Times New Roman" w:cs="Times New Roman"/>
          <w:i/>
          <w:iCs/>
        </w:rPr>
        <w:t>44</w:t>
      </w:r>
      <w:r w:rsidRPr="006F3F8E">
        <w:rPr>
          <w:rFonts w:ascii="Times New Roman" w:hAnsi="Times New Roman" w:cs="Times New Roman"/>
        </w:rPr>
        <w:t>(4), 1013–1019. https://doi.org/10.1016/j.jesp.2008.03.004</w:t>
      </w:r>
    </w:p>
    <w:p w14:paraId="4563243A" w14:textId="264DF2F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Vergés, A., Haeny, A. M., Jackson, K. M., Bucholz, K. K., Grant, J. D., Trull, T. J., Wood, P. K., &amp; Sher, K. J. (2013). Refining the </w:t>
      </w:r>
      <w:r w:rsidR="00B4746E">
        <w:rPr>
          <w:rFonts w:ascii="Times New Roman" w:hAnsi="Times New Roman" w:cs="Times New Roman"/>
        </w:rPr>
        <w:t>n</w:t>
      </w:r>
      <w:r w:rsidRPr="006F3F8E">
        <w:rPr>
          <w:rFonts w:ascii="Times New Roman" w:hAnsi="Times New Roman" w:cs="Times New Roman"/>
        </w:rPr>
        <w:t xml:space="preserve">otion of </w:t>
      </w:r>
      <w:r w:rsidR="00B4746E">
        <w:rPr>
          <w:rFonts w:ascii="Times New Roman" w:hAnsi="Times New Roman" w:cs="Times New Roman"/>
        </w:rPr>
        <w:t>m</w:t>
      </w:r>
      <w:r w:rsidRPr="006F3F8E">
        <w:rPr>
          <w:rFonts w:ascii="Times New Roman" w:hAnsi="Times New Roman" w:cs="Times New Roman"/>
        </w:rPr>
        <w:t xml:space="preserve">aturing </w:t>
      </w:r>
      <w:r w:rsidR="00B4746E">
        <w:rPr>
          <w:rFonts w:ascii="Times New Roman" w:hAnsi="Times New Roman" w:cs="Times New Roman"/>
        </w:rPr>
        <w:t>o</w:t>
      </w:r>
      <w:r w:rsidRPr="006F3F8E">
        <w:rPr>
          <w:rFonts w:ascii="Times New Roman" w:hAnsi="Times New Roman" w:cs="Times New Roman"/>
        </w:rPr>
        <w:t xml:space="preserve">ut: Results </w:t>
      </w:r>
      <w:r w:rsidR="00B4746E">
        <w:rPr>
          <w:rFonts w:ascii="Times New Roman" w:hAnsi="Times New Roman" w:cs="Times New Roman"/>
        </w:rPr>
        <w:t>f</w:t>
      </w:r>
      <w:r w:rsidRPr="006F3F8E">
        <w:rPr>
          <w:rFonts w:ascii="Times New Roman" w:hAnsi="Times New Roman" w:cs="Times New Roman"/>
        </w:rPr>
        <w:t xml:space="preserve">rom the </w:t>
      </w:r>
      <w:r w:rsidR="00B4746E">
        <w:rPr>
          <w:rFonts w:ascii="Times New Roman" w:hAnsi="Times New Roman" w:cs="Times New Roman"/>
        </w:rPr>
        <w:t>n</w:t>
      </w:r>
      <w:r w:rsidRPr="006F3F8E">
        <w:rPr>
          <w:rFonts w:ascii="Times New Roman" w:hAnsi="Times New Roman" w:cs="Times New Roman"/>
        </w:rPr>
        <w:t xml:space="preserve">ational </w:t>
      </w:r>
      <w:r w:rsidR="00B4746E">
        <w:rPr>
          <w:rFonts w:ascii="Times New Roman" w:hAnsi="Times New Roman" w:cs="Times New Roman"/>
        </w:rPr>
        <w:t>e</w:t>
      </w:r>
      <w:r w:rsidRPr="006F3F8E">
        <w:rPr>
          <w:rFonts w:ascii="Times New Roman" w:hAnsi="Times New Roman" w:cs="Times New Roman"/>
        </w:rPr>
        <w:t xml:space="preserve">pidemiologic </w:t>
      </w:r>
      <w:r w:rsidR="00B4746E">
        <w:rPr>
          <w:rFonts w:ascii="Times New Roman" w:hAnsi="Times New Roman" w:cs="Times New Roman"/>
        </w:rPr>
        <w:t>s</w:t>
      </w:r>
      <w:r w:rsidRPr="006F3F8E">
        <w:rPr>
          <w:rFonts w:ascii="Times New Roman" w:hAnsi="Times New Roman" w:cs="Times New Roman"/>
        </w:rPr>
        <w:t xml:space="preserve">urvey on </w:t>
      </w:r>
      <w:r w:rsidR="00B4746E">
        <w:rPr>
          <w:rFonts w:ascii="Times New Roman" w:hAnsi="Times New Roman" w:cs="Times New Roman"/>
        </w:rPr>
        <w:t>a</w:t>
      </w:r>
      <w:r w:rsidRPr="006F3F8E">
        <w:rPr>
          <w:rFonts w:ascii="Times New Roman" w:hAnsi="Times New Roman" w:cs="Times New Roman"/>
        </w:rPr>
        <w:t xml:space="preserve">lcohol and </w:t>
      </w:r>
      <w:r w:rsidR="00B4746E">
        <w:rPr>
          <w:rFonts w:ascii="Times New Roman" w:hAnsi="Times New Roman" w:cs="Times New Roman"/>
        </w:rPr>
        <w:t>r</w:t>
      </w:r>
      <w:r w:rsidRPr="006F3F8E">
        <w:rPr>
          <w:rFonts w:ascii="Times New Roman" w:hAnsi="Times New Roman" w:cs="Times New Roman"/>
        </w:rPr>
        <w:t xml:space="preserve">elated </w:t>
      </w:r>
      <w:r w:rsidR="00B4746E">
        <w:rPr>
          <w:rFonts w:ascii="Times New Roman" w:hAnsi="Times New Roman" w:cs="Times New Roman"/>
        </w:rPr>
        <w:t>c</w:t>
      </w:r>
      <w:r w:rsidRPr="006F3F8E">
        <w:rPr>
          <w:rFonts w:ascii="Times New Roman" w:hAnsi="Times New Roman" w:cs="Times New Roman"/>
        </w:rPr>
        <w:t xml:space="preserve">onditions. </w:t>
      </w:r>
      <w:r w:rsidRPr="006F3F8E">
        <w:rPr>
          <w:rFonts w:ascii="Times New Roman" w:hAnsi="Times New Roman" w:cs="Times New Roman"/>
          <w:i/>
          <w:iCs/>
        </w:rPr>
        <w:t>American Journal of Public Health</w:t>
      </w:r>
      <w:r w:rsidRPr="006F3F8E">
        <w:rPr>
          <w:rFonts w:ascii="Times New Roman" w:hAnsi="Times New Roman" w:cs="Times New Roman"/>
        </w:rPr>
        <w:t xml:space="preserve">, </w:t>
      </w:r>
      <w:r w:rsidRPr="006F3F8E">
        <w:rPr>
          <w:rFonts w:ascii="Times New Roman" w:hAnsi="Times New Roman" w:cs="Times New Roman"/>
          <w:i/>
          <w:iCs/>
        </w:rPr>
        <w:t>103</w:t>
      </w:r>
      <w:r w:rsidRPr="006F3F8E">
        <w:rPr>
          <w:rFonts w:ascii="Times New Roman" w:hAnsi="Times New Roman" w:cs="Times New Roman"/>
        </w:rPr>
        <w:t>(12), e67–e73. https://doi.org/10.2105/AJPH.2013.301358</w:t>
      </w:r>
    </w:p>
    <w:p w14:paraId="0771A20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Volkow, N. D., Koob, G. F., &amp; McLellan, A. T. (2016). Neurobiologic advances from the brain disease model of addiction. </w:t>
      </w:r>
      <w:r w:rsidRPr="006F3F8E">
        <w:rPr>
          <w:rFonts w:ascii="Times New Roman" w:hAnsi="Times New Roman" w:cs="Times New Roman"/>
          <w:i/>
          <w:iCs/>
        </w:rPr>
        <w:t>The New England Journal of Medicine</w:t>
      </w:r>
      <w:r w:rsidRPr="006F3F8E">
        <w:rPr>
          <w:rFonts w:ascii="Times New Roman" w:hAnsi="Times New Roman" w:cs="Times New Roman"/>
        </w:rPr>
        <w:t xml:space="preserve">, </w:t>
      </w:r>
      <w:r w:rsidRPr="006F3F8E">
        <w:rPr>
          <w:rFonts w:ascii="Times New Roman" w:hAnsi="Times New Roman" w:cs="Times New Roman"/>
          <w:i/>
          <w:iCs/>
        </w:rPr>
        <w:t>374</w:t>
      </w:r>
      <w:r w:rsidRPr="006F3F8E">
        <w:rPr>
          <w:rFonts w:ascii="Times New Roman" w:hAnsi="Times New Roman" w:cs="Times New Roman"/>
        </w:rPr>
        <w:t>(4), 363–371. https://doi.org/10.1056/NEJMra1511480</w:t>
      </w:r>
    </w:p>
    <w:p w14:paraId="2D62DCE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Volkow, N. D., &amp; Li, T.-K. (2004). Drug addiction: The neurobiology of behaviour gone awry. </w:t>
      </w:r>
      <w:r w:rsidRPr="006F3F8E">
        <w:rPr>
          <w:rFonts w:ascii="Times New Roman" w:hAnsi="Times New Roman" w:cs="Times New Roman"/>
          <w:i/>
          <w:iCs/>
        </w:rPr>
        <w:t>Nature Reviews. Neuroscience</w:t>
      </w:r>
      <w:r w:rsidRPr="006F3F8E">
        <w:rPr>
          <w:rFonts w:ascii="Times New Roman" w:hAnsi="Times New Roman" w:cs="Times New Roman"/>
        </w:rPr>
        <w:t xml:space="preserve">, </w:t>
      </w:r>
      <w:r w:rsidRPr="006F3F8E">
        <w:rPr>
          <w:rFonts w:ascii="Times New Roman" w:hAnsi="Times New Roman" w:cs="Times New Roman"/>
          <w:i/>
          <w:iCs/>
        </w:rPr>
        <w:t>5</w:t>
      </w:r>
      <w:r w:rsidRPr="006F3F8E">
        <w:rPr>
          <w:rFonts w:ascii="Times New Roman" w:hAnsi="Times New Roman" w:cs="Times New Roman"/>
        </w:rPr>
        <w:t>(12), 963–970. https://doi.org/10.1038/nrn1539</w:t>
      </w:r>
    </w:p>
    <w:p w14:paraId="44C0B63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Voss, A., Voss, J., &amp; Lerche, V. (2015). Assessing cognitive processes with diffusion model analyses: A tutorial based on fast-dm-30.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6</w:t>
      </w:r>
      <w:r w:rsidRPr="006F3F8E">
        <w:rPr>
          <w:rFonts w:ascii="Times New Roman" w:hAnsi="Times New Roman" w:cs="Times New Roman"/>
        </w:rPr>
        <w:t>. https://www.frontiersin.org/articles/10.3389/fpsyg.2015.00336</w:t>
      </w:r>
    </w:p>
    <w:p w14:paraId="301B86A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Vuchinich, R. E., &amp; Heather, N. (Eds.). (2003). </w:t>
      </w:r>
      <w:r w:rsidRPr="006F3F8E">
        <w:rPr>
          <w:rFonts w:ascii="Times New Roman" w:hAnsi="Times New Roman" w:cs="Times New Roman"/>
          <w:i/>
          <w:iCs/>
        </w:rPr>
        <w:t>Choice, behavioural economics and addiction</w:t>
      </w:r>
      <w:r w:rsidRPr="006F3F8E">
        <w:rPr>
          <w:rFonts w:ascii="Times New Roman" w:hAnsi="Times New Roman" w:cs="Times New Roman"/>
        </w:rPr>
        <w:t>. Elsevier.</w:t>
      </w:r>
    </w:p>
    <w:p w14:paraId="2B0A1F6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Vuchinich, R. E., &amp; Tucker, J. A. (1983). Behavioral theories of choice as a framework for studying drinking behavior.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92</w:t>
      </w:r>
      <w:r w:rsidRPr="006F3F8E">
        <w:rPr>
          <w:rFonts w:ascii="Times New Roman" w:hAnsi="Times New Roman" w:cs="Times New Roman"/>
        </w:rPr>
        <w:t>(4), 408–416. https://doi.org/10.1037/0021-843X.92.4.408</w:t>
      </w:r>
    </w:p>
    <w:p w14:paraId="3E6428C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Vuchinich, R. E., &amp; Tucker, J. A. (1988). Contributions from behavioral theories of choice to an analysis of alcohol abuse. </w:t>
      </w:r>
      <w:r w:rsidRPr="006F3F8E">
        <w:rPr>
          <w:rFonts w:ascii="Times New Roman" w:hAnsi="Times New Roman" w:cs="Times New Roman"/>
          <w:i/>
          <w:iCs/>
        </w:rPr>
        <w:t>Journal of Abnormal Psychology</w:t>
      </w:r>
      <w:r w:rsidRPr="006F3F8E">
        <w:rPr>
          <w:rFonts w:ascii="Times New Roman" w:hAnsi="Times New Roman" w:cs="Times New Roman"/>
        </w:rPr>
        <w:t xml:space="preserve">, </w:t>
      </w:r>
      <w:r w:rsidRPr="006F3F8E">
        <w:rPr>
          <w:rFonts w:ascii="Times New Roman" w:hAnsi="Times New Roman" w:cs="Times New Roman"/>
          <w:i/>
          <w:iCs/>
        </w:rPr>
        <w:t>97</w:t>
      </w:r>
      <w:r w:rsidRPr="006F3F8E">
        <w:rPr>
          <w:rFonts w:ascii="Times New Roman" w:hAnsi="Times New Roman" w:cs="Times New Roman"/>
        </w:rPr>
        <w:t>(2), 181–195. https://doi.org/10.1037/0021-843X.97.2.181</w:t>
      </w:r>
    </w:p>
    <w:p w14:paraId="237D637D"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Wagenmakers, E.-J., Love, J., Marsman, M., Jamil, T., Ly, A., Verhagen, J., Selker, R., Gronau, Q. F., Dropmann, D., Boutin, B., Meerhoff, F., Knight, P., Raj, A., van Kesteren, E.-J., van Doorn, J., Šmíra, M., Epskamp, S., Etz, A., Matzke, D., … Morey, R. D. (2018). Bayesian inference for psychology. Part II: Example applications with JASP.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(1), 58–76. https://doi.org/10.3758/s13423-017-1323-7</w:t>
      </w:r>
    </w:p>
    <w:p w14:paraId="1C5E7C4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Wagenmakers, E.-J., Van Der Maas, H. L. J., &amp; Grasman, R. P. P. P. (2007). An EZ-diffusion model for response time and accuracy.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14</w:t>
      </w:r>
      <w:r w:rsidRPr="006F3F8E">
        <w:rPr>
          <w:rFonts w:ascii="Times New Roman" w:hAnsi="Times New Roman" w:cs="Times New Roman"/>
        </w:rPr>
        <w:t>(1), 3–22. https://doi.org/10.3758/BF03194023</w:t>
      </w:r>
    </w:p>
    <w:p w14:paraId="6FD30077"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Watson, D., &amp; Clark, L. (1999). The PANAS-X: Manual for the positive and negative affect schedule-expanded form. </w:t>
      </w:r>
      <w:r w:rsidRPr="006F3F8E">
        <w:rPr>
          <w:rFonts w:ascii="Times New Roman" w:hAnsi="Times New Roman" w:cs="Times New Roman"/>
          <w:i/>
          <w:iCs/>
        </w:rPr>
        <w:t>Psychology Publications</w:t>
      </w:r>
      <w:r w:rsidRPr="006F3F8E">
        <w:rPr>
          <w:rFonts w:ascii="Times New Roman" w:hAnsi="Times New Roman" w:cs="Times New Roman"/>
        </w:rPr>
        <w:t>.</w:t>
      </w:r>
    </w:p>
    <w:p w14:paraId="0CC5D06B"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Watson, R., Harvey, K., McCabe, C., &amp; Reynolds, S. (2020). Understanding anhedonia: A qualitative study exploring loss of interest and pleasure in adolescent depression. </w:t>
      </w:r>
      <w:r w:rsidRPr="006F3F8E">
        <w:rPr>
          <w:rFonts w:ascii="Times New Roman" w:hAnsi="Times New Roman" w:cs="Times New Roman"/>
          <w:i/>
          <w:iCs/>
        </w:rPr>
        <w:lastRenderedPageBreak/>
        <w:t>European Child &amp; Adolescent Psychiatry</w:t>
      </w:r>
      <w:r w:rsidRPr="006F3F8E">
        <w:rPr>
          <w:rFonts w:ascii="Times New Roman" w:hAnsi="Times New Roman" w:cs="Times New Roman"/>
        </w:rPr>
        <w:t xml:space="preserve">, </w:t>
      </w:r>
      <w:r w:rsidRPr="006F3F8E">
        <w:rPr>
          <w:rFonts w:ascii="Times New Roman" w:hAnsi="Times New Roman" w:cs="Times New Roman"/>
          <w:i/>
          <w:iCs/>
        </w:rPr>
        <w:t>29</w:t>
      </w:r>
      <w:r w:rsidRPr="006F3F8E">
        <w:rPr>
          <w:rFonts w:ascii="Times New Roman" w:hAnsi="Times New Roman" w:cs="Times New Roman"/>
        </w:rPr>
        <w:t>(4), 489–499. https://doi.org/10.1007/s00787-019-01364-y</w:t>
      </w:r>
    </w:p>
    <w:p w14:paraId="1BD93DAA"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West, R., &amp; Ussher, M. (2010). Is the ten-item Questionnaire of Smoking Urges (QSU-brief) more sensitive to abstinence than shorter craving measures? </w:t>
      </w:r>
      <w:r w:rsidRPr="006F3F8E">
        <w:rPr>
          <w:rFonts w:ascii="Times New Roman" w:hAnsi="Times New Roman" w:cs="Times New Roman"/>
          <w:i/>
          <w:iCs/>
        </w:rPr>
        <w:t>Psychopharmacology</w:t>
      </w:r>
      <w:r w:rsidRPr="006F3F8E">
        <w:rPr>
          <w:rFonts w:ascii="Times New Roman" w:hAnsi="Times New Roman" w:cs="Times New Roman"/>
        </w:rPr>
        <w:t xml:space="preserve">, </w:t>
      </w:r>
      <w:r w:rsidRPr="006F3F8E">
        <w:rPr>
          <w:rFonts w:ascii="Times New Roman" w:hAnsi="Times New Roman" w:cs="Times New Roman"/>
          <w:i/>
          <w:iCs/>
        </w:rPr>
        <w:t>208</w:t>
      </w:r>
      <w:r w:rsidRPr="006F3F8E">
        <w:rPr>
          <w:rFonts w:ascii="Times New Roman" w:hAnsi="Times New Roman" w:cs="Times New Roman"/>
        </w:rPr>
        <w:t>(3), 427–432. https://doi.org/10.1007/s00213-009-1742-x</w:t>
      </w:r>
    </w:p>
    <w:p w14:paraId="781F5D59"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White, C. N., Curl, R. A., &amp; Sloane, J. F. (2016). Using decision models to enhance investigations of individual differences in cognitive neuroscience. </w:t>
      </w:r>
      <w:r w:rsidRPr="006F3F8E">
        <w:rPr>
          <w:rFonts w:ascii="Times New Roman" w:hAnsi="Times New Roman" w:cs="Times New Roman"/>
          <w:i/>
          <w:iCs/>
        </w:rPr>
        <w:t>Frontiers in Psychology</w:t>
      </w:r>
      <w:r w:rsidRPr="006F3F8E">
        <w:rPr>
          <w:rFonts w:ascii="Times New Roman" w:hAnsi="Times New Roman" w:cs="Times New Roman"/>
        </w:rPr>
        <w:t xml:space="preserve">, </w:t>
      </w:r>
      <w:r w:rsidRPr="006F3F8E">
        <w:rPr>
          <w:rFonts w:ascii="Times New Roman" w:hAnsi="Times New Roman" w:cs="Times New Roman"/>
          <w:i/>
          <w:iCs/>
        </w:rPr>
        <w:t>7</w:t>
      </w:r>
      <w:r w:rsidRPr="006F3F8E">
        <w:rPr>
          <w:rFonts w:ascii="Times New Roman" w:hAnsi="Times New Roman" w:cs="Times New Roman"/>
        </w:rPr>
        <w:t>, 81.</w:t>
      </w:r>
    </w:p>
    <w:p w14:paraId="664D212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White, C. N., Ratcliff, R., Vasey, M. W., &amp; McKoon, G. (2010). Using diffusion models to understand clinical disorders. </w:t>
      </w:r>
      <w:r w:rsidRPr="006F3F8E">
        <w:rPr>
          <w:rFonts w:ascii="Times New Roman" w:hAnsi="Times New Roman" w:cs="Times New Roman"/>
          <w:i/>
          <w:iCs/>
        </w:rPr>
        <w:t>Journal of Mathematical Psychology</w:t>
      </w:r>
      <w:r w:rsidRPr="006F3F8E">
        <w:rPr>
          <w:rFonts w:ascii="Times New Roman" w:hAnsi="Times New Roman" w:cs="Times New Roman"/>
        </w:rPr>
        <w:t xml:space="preserve">, </w:t>
      </w:r>
      <w:r w:rsidRPr="006F3F8E">
        <w:rPr>
          <w:rFonts w:ascii="Times New Roman" w:hAnsi="Times New Roman" w:cs="Times New Roman"/>
          <w:i/>
          <w:iCs/>
        </w:rPr>
        <w:t>54</w:t>
      </w:r>
      <w:r w:rsidRPr="006F3F8E">
        <w:rPr>
          <w:rFonts w:ascii="Times New Roman" w:hAnsi="Times New Roman" w:cs="Times New Roman"/>
        </w:rPr>
        <w:t>(1), 39–52. https://doi.org/10.1016/j.jmp.2010.01.004</w:t>
      </w:r>
    </w:p>
    <w:p w14:paraId="37FED9A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White, C. N., Servant, M., &amp; Logan, G. D. (2018). Testing the validity of conflict drift-diffusion models for use in estimating cognitive processes: A parameter-recovery study. </w:t>
      </w:r>
      <w:r w:rsidRPr="006F3F8E">
        <w:rPr>
          <w:rFonts w:ascii="Times New Roman" w:hAnsi="Times New Roman" w:cs="Times New Roman"/>
          <w:i/>
          <w:iCs/>
        </w:rPr>
        <w:t>Psychonomic Bulletin &amp; Review</w:t>
      </w:r>
      <w:r w:rsidRPr="006F3F8E">
        <w:rPr>
          <w:rFonts w:ascii="Times New Roman" w:hAnsi="Times New Roman" w:cs="Times New Roman"/>
        </w:rPr>
        <w:t xml:space="preserve">, </w:t>
      </w:r>
      <w:r w:rsidRPr="006F3F8E">
        <w:rPr>
          <w:rFonts w:ascii="Times New Roman" w:hAnsi="Times New Roman" w:cs="Times New Roman"/>
          <w:i/>
          <w:iCs/>
        </w:rPr>
        <w:t>25</w:t>
      </w:r>
      <w:r w:rsidRPr="006F3F8E">
        <w:rPr>
          <w:rFonts w:ascii="Times New Roman" w:hAnsi="Times New Roman" w:cs="Times New Roman"/>
        </w:rPr>
        <w:t>(1), 286–301. https://doi.org/10.3758/s13423-017-1271-2</w:t>
      </w:r>
    </w:p>
    <w:p w14:paraId="46F16DE8"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White, W. L. (2007). Addiction recovery: Its definition and conceptual boundaries. </w:t>
      </w:r>
      <w:r w:rsidRPr="006F3F8E">
        <w:rPr>
          <w:rFonts w:ascii="Times New Roman" w:hAnsi="Times New Roman" w:cs="Times New Roman"/>
          <w:i/>
          <w:iCs/>
        </w:rPr>
        <w:t>Journal of Substance Abuse Treatment</w:t>
      </w:r>
      <w:r w:rsidRPr="006F3F8E">
        <w:rPr>
          <w:rFonts w:ascii="Times New Roman" w:hAnsi="Times New Roman" w:cs="Times New Roman"/>
        </w:rPr>
        <w:t xml:space="preserve">, </w:t>
      </w:r>
      <w:r w:rsidRPr="006F3F8E">
        <w:rPr>
          <w:rFonts w:ascii="Times New Roman" w:hAnsi="Times New Roman" w:cs="Times New Roman"/>
          <w:i/>
          <w:iCs/>
        </w:rPr>
        <w:t>33</w:t>
      </w:r>
      <w:r w:rsidRPr="006F3F8E">
        <w:rPr>
          <w:rFonts w:ascii="Times New Roman" w:hAnsi="Times New Roman" w:cs="Times New Roman"/>
        </w:rPr>
        <w:t>(3), 229–241. https://doi.org/10.1016/j.jsat.2007.04.015</w:t>
      </w:r>
    </w:p>
    <w:p w14:paraId="37122FA1"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WHO. (2022a). </w:t>
      </w:r>
      <w:r w:rsidRPr="006F3F8E">
        <w:rPr>
          <w:rFonts w:ascii="Times New Roman" w:hAnsi="Times New Roman" w:cs="Times New Roman"/>
          <w:i/>
          <w:iCs/>
        </w:rPr>
        <w:t>Alcohol</w:t>
      </w:r>
      <w:r w:rsidRPr="006F3F8E">
        <w:rPr>
          <w:rFonts w:ascii="Times New Roman" w:hAnsi="Times New Roman" w:cs="Times New Roman"/>
        </w:rPr>
        <w:t>. https://www.who.int/news-room/fact-sheets/detail/alcohol</w:t>
      </w:r>
    </w:p>
    <w:p w14:paraId="4FB9FED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WHO. (2022b). </w:t>
      </w:r>
      <w:r w:rsidRPr="006F3F8E">
        <w:rPr>
          <w:rFonts w:ascii="Times New Roman" w:hAnsi="Times New Roman" w:cs="Times New Roman"/>
          <w:i/>
          <w:iCs/>
        </w:rPr>
        <w:t>Tobacco</w:t>
      </w:r>
      <w:r w:rsidRPr="006F3F8E">
        <w:rPr>
          <w:rFonts w:ascii="Times New Roman" w:hAnsi="Times New Roman" w:cs="Times New Roman"/>
        </w:rPr>
        <w:t>. https://www.who.int/news-room/fact-sheets/detail/tobacco</w:t>
      </w:r>
    </w:p>
    <w:p w14:paraId="2D735A26"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Witkiewitz, K., Bowen, S., Harrop, E. N., Douglas, H., Enkema, M., &amp; Sedgwick, C. (2014). Mindfulness-based treatment to prevent addictive behavior relapse: Theoretical models and hypothesized mechanisms of change. </w:t>
      </w:r>
      <w:r w:rsidRPr="006F3F8E">
        <w:rPr>
          <w:rFonts w:ascii="Times New Roman" w:hAnsi="Times New Roman" w:cs="Times New Roman"/>
          <w:i/>
          <w:iCs/>
        </w:rPr>
        <w:t>Substance Use &amp; Misuse</w:t>
      </w:r>
      <w:r w:rsidRPr="006F3F8E">
        <w:rPr>
          <w:rFonts w:ascii="Times New Roman" w:hAnsi="Times New Roman" w:cs="Times New Roman"/>
        </w:rPr>
        <w:t xml:space="preserve">, </w:t>
      </w:r>
      <w:r w:rsidRPr="006F3F8E">
        <w:rPr>
          <w:rFonts w:ascii="Times New Roman" w:hAnsi="Times New Roman" w:cs="Times New Roman"/>
          <w:i/>
          <w:iCs/>
        </w:rPr>
        <w:t>49</w:t>
      </w:r>
      <w:r w:rsidRPr="006F3F8E">
        <w:rPr>
          <w:rFonts w:ascii="Times New Roman" w:hAnsi="Times New Roman" w:cs="Times New Roman"/>
        </w:rPr>
        <w:t>(5), 513–524. https://doi.org/10.3109/10826084.2014.891845</w:t>
      </w:r>
    </w:p>
    <w:p w14:paraId="3D5632EE"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Witkiewitz, K., Falk, D. E., Litten, R. Z., Hasin, D. S., Kranzler, H. R., Mann, K. F., O’Malley, S. S., &amp; Anton, R. F. (2019). Maintenance of World Health Organization risk drinking level reductions and posttreatment functioning following a large alcohol use disorder clinical trial.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43</w:t>
      </w:r>
      <w:r w:rsidRPr="006F3F8E">
        <w:rPr>
          <w:rFonts w:ascii="Times New Roman" w:hAnsi="Times New Roman" w:cs="Times New Roman"/>
        </w:rPr>
        <w:t>(5), 979–987. https://doi.org/10.1111/acer.14018</w:t>
      </w:r>
    </w:p>
    <w:p w14:paraId="2EECA71C"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Witkiewitz, K., Montes, K. S., Schwebel, F. J., &amp; Tucker, J. A. (2020). What is recovery? </w:t>
      </w:r>
      <w:r w:rsidRPr="006F3F8E">
        <w:rPr>
          <w:rFonts w:ascii="Times New Roman" w:hAnsi="Times New Roman" w:cs="Times New Roman"/>
          <w:i/>
          <w:iCs/>
        </w:rPr>
        <w:t>Alcohol Research: Current Reviews</w:t>
      </w:r>
      <w:r w:rsidRPr="006F3F8E">
        <w:rPr>
          <w:rFonts w:ascii="Times New Roman" w:hAnsi="Times New Roman" w:cs="Times New Roman"/>
        </w:rPr>
        <w:t xml:space="preserve">, </w:t>
      </w:r>
      <w:r w:rsidRPr="006F3F8E">
        <w:rPr>
          <w:rFonts w:ascii="Times New Roman" w:hAnsi="Times New Roman" w:cs="Times New Roman"/>
          <w:i/>
          <w:iCs/>
        </w:rPr>
        <w:t>40</w:t>
      </w:r>
      <w:r w:rsidRPr="006F3F8E">
        <w:rPr>
          <w:rFonts w:ascii="Times New Roman" w:hAnsi="Times New Roman" w:cs="Times New Roman"/>
        </w:rPr>
        <w:t>(3), 01. https://doi.org/10.35946/arcr.v40.3.01</w:t>
      </w:r>
    </w:p>
    <w:p w14:paraId="47D39E0F"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Witkiewitz, K., &amp; Tucker, J. A. (2020). Abstinence not required: Expanding the definition of recovery from alcohol use disorder. </w:t>
      </w:r>
      <w:r w:rsidRPr="006F3F8E">
        <w:rPr>
          <w:rFonts w:ascii="Times New Roman" w:hAnsi="Times New Roman" w:cs="Times New Roman"/>
          <w:i/>
          <w:iCs/>
        </w:rPr>
        <w:t>Alcoholism, Clinical and Experimental Research</w:t>
      </w:r>
      <w:r w:rsidRPr="006F3F8E">
        <w:rPr>
          <w:rFonts w:ascii="Times New Roman" w:hAnsi="Times New Roman" w:cs="Times New Roman"/>
        </w:rPr>
        <w:t xml:space="preserve">, </w:t>
      </w:r>
      <w:r w:rsidRPr="006F3F8E">
        <w:rPr>
          <w:rFonts w:ascii="Times New Roman" w:hAnsi="Times New Roman" w:cs="Times New Roman"/>
          <w:i/>
          <w:iCs/>
        </w:rPr>
        <w:t>44</w:t>
      </w:r>
      <w:r w:rsidRPr="006F3F8E">
        <w:rPr>
          <w:rFonts w:ascii="Times New Roman" w:hAnsi="Times New Roman" w:cs="Times New Roman"/>
        </w:rPr>
        <w:t>(1), 36–40. https://doi.org/10.1111/acer.14235</w:t>
      </w:r>
    </w:p>
    <w:p w14:paraId="1C638AD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Witkiewitz, K., Wilson, A. D., Pearson, M. R., Montes, K. S., Kirouac, M., Roos, C. R., Hallgren, K. A., &amp; Maisto, S. A. (2019). Profiles of recovery from alcohol use disorder at three years following treatment: Can the definition of recovery be extended to include high functioning heavy drinkers? </w:t>
      </w:r>
      <w:r w:rsidRPr="006F3F8E">
        <w:rPr>
          <w:rFonts w:ascii="Times New Roman" w:hAnsi="Times New Roman" w:cs="Times New Roman"/>
          <w:i/>
          <w:iCs/>
        </w:rPr>
        <w:t>Addiction</w:t>
      </w:r>
      <w:r w:rsidRPr="006F3F8E">
        <w:rPr>
          <w:rFonts w:ascii="Times New Roman" w:hAnsi="Times New Roman" w:cs="Times New Roman"/>
        </w:rPr>
        <w:t xml:space="preserve">, </w:t>
      </w:r>
      <w:r w:rsidRPr="006F3F8E">
        <w:rPr>
          <w:rFonts w:ascii="Times New Roman" w:hAnsi="Times New Roman" w:cs="Times New Roman"/>
          <w:i/>
          <w:iCs/>
        </w:rPr>
        <w:t>114</w:t>
      </w:r>
      <w:r w:rsidRPr="006F3F8E">
        <w:rPr>
          <w:rFonts w:ascii="Times New Roman" w:hAnsi="Times New Roman" w:cs="Times New Roman"/>
        </w:rPr>
        <w:t>(1), 69–80. https://doi.org/10.1111/add.14403</w:t>
      </w:r>
    </w:p>
    <w:p w14:paraId="31D1B7A4"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Witkiewitz, K., Wilson, A. D., Roos, C. R., Swan, J. E., Votaw, V. R., Stein, E. R., Pearson, M. R., Edwards, K. A., Tonigan, J. S., Hallgren, K. A., Montes, K. S., Maisto, S. A., &amp; Tucker, J. A. (2021). Can individuals with alcohol use disorder sustain non-abstinent recovery? Non-abstinent outcomes 10 years after alcohol use disorder treatment. </w:t>
      </w:r>
      <w:r w:rsidRPr="006F3F8E">
        <w:rPr>
          <w:rFonts w:ascii="Times New Roman" w:hAnsi="Times New Roman" w:cs="Times New Roman"/>
          <w:i/>
          <w:iCs/>
        </w:rPr>
        <w:t>Journal of Addiction Medicine</w:t>
      </w:r>
      <w:r w:rsidRPr="006F3F8E">
        <w:rPr>
          <w:rFonts w:ascii="Times New Roman" w:hAnsi="Times New Roman" w:cs="Times New Roman"/>
        </w:rPr>
        <w:t xml:space="preserve">, </w:t>
      </w:r>
      <w:r w:rsidRPr="006F3F8E">
        <w:rPr>
          <w:rFonts w:ascii="Times New Roman" w:hAnsi="Times New Roman" w:cs="Times New Roman"/>
          <w:i/>
          <w:iCs/>
        </w:rPr>
        <w:t>15</w:t>
      </w:r>
      <w:r w:rsidRPr="006F3F8E">
        <w:rPr>
          <w:rFonts w:ascii="Times New Roman" w:hAnsi="Times New Roman" w:cs="Times New Roman"/>
        </w:rPr>
        <w:t>(4), 303–310. https://doi.org/10.1097/ADM.0000000000000760</w:t>
      </w:r>
    </w:p>
    <w:p w14:paraId="557ED323"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Yamaguchi, K., &amp; Kandel, D. B. (1985). On the resolution of role incompatibility: A life event history analysis of family roles and marijuana use. </w:t>
      </w:r>
      <w:r w:rsidRPr="006F3F8E">
        <w:rPr>
          <w:rFonts w:ascii="Times New Roman" w:hAnsi="Times New Roman" w:cs="Times New Roman"/>
          <w:i/>
          <w:iCs/>
        </w:rPr>
        <w:t>American Journal of Sociology</w:t>
      </w:r>
      <w:r w:rsidRPr="006F3F8E">
        <w:rPr>
          <w:rFonts w:ascii="Times New Roman" w:hAnsi="Times New Roman" w:cs="Times New Roman"/>
        </w:rPr>
        <w:t xml:space="preserve">, </w:t>
      </w:r>
      <w:r w:rsidRPr="006F3F8E">
        <w:rPr>
          <w:rFonts w:ascii="Times New Roman" w:hAnsi="Times New Roman" w:cs="Times New Roman"/>
          <w:i/>
          <w:iCs/>
        </w:rPr>
        <w:t>90</w:t>
      </w:r>
      <w:r w:rsidRPr="006F3F8E">
        <w:rPr>
          <w:rFonts w:ascii="Times New Roman" w:hAnsi="Times New Roman" w:cs="Times New Roman"/>
        </w:rPr>
        <w:t>(6), 1284–1325. https://doi.org/10.1086/228211</w:t>
      </w:r>
    </w:p>
    <w:p w14:paraId="7D76C745"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lastRenderedPageBreak/>
        <w:t xml:space="preserve">Young, R. M., Oei, T. P. S., &amp; Crook, G. M. (1991). Development of a drinking self-efficacy questionnaire. </w:t>
      </w:r>
      <w:r w:rsidRPr="006F3F8E">
        <w:rPr>
          <w:rFonts w:ascii="Times New Roman" w:hAnsi="Times New Roman" w:cs="Times New Roman"/>
          <w:i/>
          <w:iCs/>
        </w:rPr>
        <w:t>Journal of Psychopathology and Behavioral Assessment</w:t>
      </w:r>
      <w:r w:rsidRPr="006F3F8E">
        <w:rPr>
          <w:rFonts w:ascii="Times New Roman" w:hAnsi="Times New Roman" w:cs="Times New Roman"/>
        </w:rPr>
        <w:t xml:space="preserve">, </w:t>
      </w:r>
      <w:r w:rsidRPr="006F3F8E">
        <w:rPr>
          <w:rFonts w:ascii="Times New Roman" w:hAnsi="Times New Roman" w:cs="Times New Roman"/>
          <w:i/>
          <w:iCs/>
        </w:rPr>
        <w:t>13</w:t>
      </w:r>
      <w:r w:rsidRPr="006F3F8E">
        <w:rPr>
          <w:rFonts w:ascii="Times New Roman" w:hAnsi="Times New Roman" w:cs="Times New Roman"/>
        </w:rPr>
        <w:t>(1), 1–15. https://doi.org/10.1007/BF00960735</w:t>
      </w:r>
    </w:p>
    <w:p w14:paraId="50C78EF0" w14:textId="77777777"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Zoethout, R. W. M., Delgado, W. L., Ippel, A. E., Dahan, A., &amp; van Gerven, J. M. A. (2011). Functional biomarkers for the acute effects of alcohol on the central nervous system in healthy volunteers. </w:t>
      </w:r>
      <w:r w:rsidRPr="006F3F8E">
        <w:rPr>
          <w:rFonts w:ascii="Times New Roman" w:hAnsi="Times New Roman" w:cs="Times New Roman"/>
          <w:i/>
          <w:iCs/>
        </w:rPr>
        <w:t>British Journal of Clinical Pharmacology</w:t>
      </w:r>
      <w:r w:rsidRPr="006F3F8E">
        <w:rPr>
          <w:rFonts w:ascii="Times New Roman" w:hAnsi="Times New Roman" w:cs="Times New Roman"/>
        </w:rPr>
        <w:t xml:space="preserve">, </w:t>
      </w:r>
      <w:r w:rsidRPr="006F3F8E">
        <w:rPr>
          <w:rFonts w:ascii="Times New Roman" w:hAnsi="Times New Roman" w:cs="Times New Roman"/>
          <w:i/>
          <w:iCs/>
        </w:rPr>
        <w:t>71</w:t>
      </w:r>
      <w:r w:rsidRPr="006F3F8E">
        <w:rPr>
          <w:rFonts w:ascii="Times New Roman" w:hAnsi="Times New Roman" w:cs="Times New Roman"/>
        </w:rPr>
        <w:t>(3), 331–350. https://doi.org/10.1111/j.1365-2125.2010.03846.x</w:t>
      </w:r>
    </w:p>
    <w:p w14:paraId="12C3642F" w14:textId="176EC806" w:rsidR="00985D26" w:rsidRPr="006F3F8E" w:rsidRDefault="00985D26" w:rsidP="00985D26">
      <w:pPr>
        <w:pStyle w:val="Bibliography"/>
        <w:rPr>
          <w:rFonts w:ascii="Times New Roman" w:hAnsi="Times New Roman" w:cs="Times New Roman"/>
        </w:rPr>
      </w:pPr>
      <w:r w:rsidRPr="006F3F8E">
        <w:rPr>
          <w:rFonts w:ascii="Times New Roman" w:hAnsi="Times New Roman" w:cs="Times New Roman"/>
        </w:rPr>
        <w:t xml:space="preserve">Zvorsky, I., Nighbor, T. D., Kurti, A. N., DeSarno, M., Naudé, G., Reed, D. D., &amp; Higgins, S. T. (2019). Sensitivity of hypothetical purchase task indices when studying substance use: A systematic literature review. </w:t>
      </w:r>
      <w:r w:rsidRPr="006F3F8E">
        <w:rPr>
          <w:rFonts w:ascii="Times New Roman" w:hAnsi="Times New Roman" w:cs="Times New Roman"/>
          <w:i/>
          <w:iCs/>
        </w:rPr>
        <w:t>Preventive Medicine</w:t>
      </w:r>
      <w:r w:rsidRPr="006F3F8E">
        <w:rPr>
          <w:rFonts w:ascii="Times New Roman" w:hAnsi="Times New Roman" w:cs="Times New Roman"/>
        </w:rPr>
        <w:t xml:space="preserve">, </w:t>
      </w:r>
      <w:r w:rsidRPr="006F3F8E">
        <w:rPr>
          <w:rFonts w:ascii="Times New Roman" w:hAnsi="Times New Roman" w:cs="Times New Roman"/>
          <w:i/>
          <w:iCs/>
        </w:rPr>
        <w:t>128</w:t>
      </w:r>
      <w:r w:rsidRPr="006F3F8E">
        <w:rPr>
          <w:rFonts w:ascii="Times New Roman" w:hAnsi="Times New Roman" w:cs="Times New Roman"/>
        </w:rPr>
        <w:t>, 105789. https://doi.org/10.1016/j.ypmed.2019.105789</w:t>
      </w:r>
    </w:p>
    <w:p w14:paraId="5C8CF411" w14:textId="1DECCF1C" w:rsidR="00093B56" w:rsidRPr="006F3F8E" w:rsidRDefault="008E0E7C" w:rsidP="00093B56">
      <w:pPr>
        <w:pStyle w:val="NoSpacing"/>
        <w:rPr>
          <w:rFonts w:ascii="Times New Roman" w:hAnsi="Times New Roman" w:cs="Times New Roman"/>
        </w:rPr>
      </w:pPr>
      <w:r w:rsidRPr="006F3F8E">
        <w:rPr>
          <w:rFonts w:ascii="Times New Roman" w:hAnsi="Times New Roman" w:cs="Times New Roman"/>
        </w:rPr>
        <w:fldChar w:fldCharType="end"/>
      </w:r>
    </w:p>
    <w:p w14:paraId="7F59CFF7" w14:textId="338C446C" w:rsidR="00093B56" w:rsidRDefault="00093B56" w:rsidP="00093B56">
      <w:pPr>
        <w:pStyle w:val="NoSpacing"/>
      </w:pPr>
    </w:p>
    <w:p w14:paraId="2729A94B" w14:textId="045075B8" w:rsidR="00093B56" w:rsidRDefault="00093B56" w:rsidP="00093B56">
      <w:pPr>
        <w:pStyle w:val="NoSpacing"/>
      </w:pPr>
    </w:p>
    <w:p w14:paraId="1DC0D4A9" w14:textId="09AB0F72" w:rsidR="00093B56" w:rsidRDefault="00093B56" w:rsidP="00093B56">
      <w:pPr>
        <w:pStyle w:val="NoSpacing"/>
      </w:pPr>
    </w:p>
    <w:p w14:paraId="027C36CC" w14:textId="724EF44B" w:rsidR="00093B56" w:rsidRDefault="00093B56" w:rsidP="00093B56">
      <w:pPr>
        <w:pStyle w:val="NoSpacing"/>
      </w:pPr>
    </w:p>
    <w:p w14:paraId="59FEC653" w14:textId="1E0B5045" w:rsidR="00093B56" w:rsidRDefault="00093B56" w:rsidP="00093B56">
      <w:pPr>
        <w:pStyle w:val="NoSpacing"/>
      </w:pPr>
    </w:p>
    <w:p w14:paraId="3313330B" w14:textId="029A0DE2" w:rsidR="00093B56" w:rsidRDefault="00093B56" w:rsidP="00093B56">
      <w:pPr>
        <w:pStyle w:val="NoSpacing"/>
      </w:pPr>
    </w:p>
    <w:p w14:paraId="6B134541" w14:textId="5D54CA9F" w:rsidR="00093B56" w:rsidRDefault="00093B56" w:rsidP="00093B56">
      <w:pPr>
        <w:pStyle w:val="NoSpacing"/>
      </w:pPr>
    </w:p>
    <w:p w14:paraId="18EE17D8" w14:textId="593DACD7" w:rsidR="00093B56" w:rsidRDefault="00093B56" w:rsidP="00093B56">
      <w:pPr>
        <w:pStyle w:val="NoSpacing"/>
      </w:pPr>
    </w:p>
    <w:p w14:paraId="2E1CA4A6" w14:textId="1BE54767" w:rsidR="00583560" w:rsidRDefault="00583560" w:rsidP="00093B56">
      <w:pPr>
        <w:pStyle w:val="NoSpacing"/>
      </w:pPr>
    </w:p>
    <w:p w14:paraId="45F0FEC1" w14:textId="4969FEC4" w:rsidR="00583560" w:rsidRDefault="00583560" w:rsidP="00093B56">
      <w:pPr>
        <w:pStyle w:val="NoSpacing"/>
      </w:pPr>
    </w:p>
    <w:p w14:paraId="025F7814" w14:textId="238E46B3" w:rsidR="00583560" w:rsidRDefault="00583560" w:rsidP="00093B56">
      <w:pPr>
        <w:pStyle w:val="NoSpacing"/>
      </w:pPr>
    </w:p>
    <w:p w14:paraId="243AF3AF" w14:textId="04A342F7" w:rsidR="00583560" w:rsidRDefault="00583560" w:rsidP="00093B56">
      <w:pPr>
        <w:pStyle w:val="NoSpacing"/>
      </w:pPr>
    </w:p>
    <w:p w14:paraId="064CAEAA" w14:textId="46D55453" w:rsidR="00583560" w:rsidRDefault="00583560" w:rsidP="00093B56">
      <w:pPr>
        <w:pStyle w:val="NoSpacing"/>
      </w:pPr>
    </w:p>
    <w:p w14:paraId="0110C035" w14:textId="7AAA72BD" w:rsidR="00583560" w:rsidRDefault="00583560" w:rsidP="00093B56">
      <w:pPr>
        <w:pStyle w:val="NoSpacing"/>
      </w:pPr>
    </w:p>
    <w:p w14:paraId="7800B36B" w14:textId="4DF017DE" w:rsidR="00583560" w:rsidRDefault="00583560" w:rsidP="00093B56">
      <w:pPr>
        <w:pStyle w:val="NoSpacing"/>
      </w:pPr>
    </w:p>
    <w:p w14:paraId="0ED06D34" w14:textId="6CFA174A" w:rsidR="00583560" w:rsidRDefault="00583560" w:rsidP="00093B56">
      <w:pPr>
        <w:pStyle w:val="NoSpacing"/>
      </w:pPr>
    </w:p>
    <w:p w14:paraId="515C62F3" w14:textId="604CE1DC" w:rsidR="00583560" w:rsidRDefault="00583560" w:rsidP="00093B56">
      <w:pPr>
        <w:pStyle w:val="NoSpacing"/>
      </w:pPr>
    </w:p>
    <w:p w14:paraId="0081B01C" w14:textId="0A4DC6F7" w:rsidR="00583560" w:rsidRDefault="00583560" w:rsidP="00093B56">
      <w:pPr>
        <w:pStyle w:val="NoSpacing"/>
      </w:pPr>
    </w:p>
    <w:p w14:paraId="64D6AC53" w14:textId="1A9DD325" w:rsidR="00583560" w:rsidRDefault="00583560" w:rsidP="00093B56">
      <w:pPr>
        <w:pStyle w:val="NoSpacing"/>
      </w:pPr>
    </w:p>
    <w:p w14:paraId="33B9EC4A" w14:textId="77777777" w:rsidR="00583560" w:rsidRDefault="00583560" w:rsidP="00093B56">
      <w:pPr>
        <w:pStyle w:val="NoSpacing"/>
      </w:pPr>
    </w:p>
    <w:p w14:paraId="326AFEC3" w14:textId="4DBC4FEA" w:rsidR="00093B56" w:rsidRDefault="00093B56" w:rsidP="00093B56">
      <w:pPr>
        <w:pStyle w:val="NoSpacing"/>
      </w:pPr>
    </w:p>
    <w:p w14:paraId="4C529784" w14:textId="178B7A79" w:rsidR="00093B56" w:rsidRDefault="00093B56" w:rsidP="00093B56">
      <w:pPr>
        <w:pStyle w:val="NoSpacing"/>
      </w:pPr>
    </w:p>
    <w:p w14:paraId="2401F25E" w14:textId="77777777" w:rsidR="008E0E7C" w:rsidRDefault="008E0E7C" w:rsidP="00093B56">
      <w:pPr>
        <w:pStyle w:val="NoSpacing"/>
      </w:pPr>
    </w:p>
    <w:p w14:paraId="6BA438E2" w14:textId="77777777" w:rsidR="00A078ED" w:rsidRDefault="00A078ED" w:rsidP="00093B56">
      <w:pPr>
        <w:pStyle w:val="NoSpacing"/>
      </w:pPr>
    </w:p>
    <w:p w14:paraId="2BA9A325" w14:textId="77777777" w:rsidR="00093B56" w:rsidRDefault="00093B56" w:rsidP="00093B56">
      <w:pPr>
        <w:pStyle w:val="NoSpacing"/>
      </w:pPr>
    </w:p>
    <w:p w14:paraId="17275566" w14:textId="25E493D1" w:rsidR="00093B56" w:rsidRDefault="00093B56" w:rsidP="00107EBB">
      <w:pPr>
        <w:pStyle w:val="Heading1"/>
      </w:pPr>
      <w:bookmarkStart w:id="368" w:name="_Toc109911338"/>
      <w:bookmarkStart w:id="369" w:name="_Toc110612753"/>
      <w:bookmarkStart w:id="370" w:name="_Toc110629093"/>
      <w:bookmarkStart w:id="371" w:name="_Toc110871001"/>
      <w:r>
        <w:lastRenderedPageBreak/>
        <w:t>Appendix A</w:t>
      </w:r>
      <w:bookmarkEnd w:id="368"/>
      <w:bookmarkEnd w:id="369"/>
      <w:bookmarkEnd w:id="370"/>
      <w:bookmarkEnd w:id="371"/>
    </w:p>
    <w:p w14:paraId="77E3DA15" w14:textId="01FAF2EB" w:rsidR="00583560" w:rsidRPr="00E755C4" w:rsidRDefault="00583560" w:rsidP="00E755C4">
      <w:pPr>
        <w:pStyle w:val="NoSpacing"/>
        <w:spacing w:line="480" w:lineRule="auto"/>
        <w:jc w:val="center"/>
        <w:rPr>
          <w:rFonts w:asciiTheme="majorBidi" w:hAnsiTheme="majorBidi" w:cstheme="majorBidi"/>
          <w:b/>
        </w:rPr>
      </w:pPr>
      <w:r w:rsidRPr="00583560">
        <w:rPr>
          <w:rFonts w:asciiTheme="majorBidi" w:hAnsiTheme="majorBidi" w:cstheme="majorBidi"/>
          <w:b/>
        </w:rPr>
        <w:t>Supplementary files Chapter 2: “Meaning in life: Investigating protective and risk factors for harmful alcohol consumption”</w:t>
      </w:r>
    </w:p>
    <w:p w14:paraId="2A6B9420" w14:textId="072D8213" w:rsidR="00583560" w:rsidRPr="00583560" w:rsidRDefault="00583560" w:rsidP="00583560">
      <w:pPr>
        <w:pStyle w:val="NoSpacing"/>
        <w:spacing w:line="480" w:lineRule="auto"/>
        <w:rPr>
          <w:rFonts w:asciiTheme="majorBidi" w:hAnsiTheme="majorBidi" w:cstheme="majorBidi"/>
          <w:b/>
          <w:bCs/>
        </w:rPr>
      </w:pPr>
      <w:r w:rsidRPr="00583560">
        <w:rPr>
          <w:rFonts w:asciiTheme="majorBidi" w:hAnsiTheme="majorBidi" w:cstheme="majorBidi"/>
          <w:b/>
          <w:bCs/>
        </w:rPr>
        <w:t>Contents:</w:t>
      </w:r>
    </w:p>
    <w:p w14:paraId="3284F126" w14:textId="49B9938E"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Methods: Participant demographics (Table S2.1)</w:t>
      </w:r>
    </w:p>
    <w:p w14:paraId="312415F3"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 xml:space="preserve">Methods: Additional detail on data preparation </w:t>
      </w:r>
      <w:bookmarkStart w:id="372" w:name="_Hlk83474551"/>
    </w:p>
    <w:p w14:paraId="506AC845"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Methods: Activity Level Questionnaire – Revised Items</w:t>
      </w:r>
    </w:p>
    <w:p w14:paraId="2B91D35D" w14:textId="77777777" w:rsidR="00583560" w:rsidRPr="00583560" w:rsidRDefault="00583560" w:rsidP="00583560">
      <w:pPr>
        <w:pStyle w:val="NoSpacing"/>
        <w:numPr>
          <w:ilvl w:val="0"/>
          <w:numId w:val="11"/>
        </w:numPr>
        <w:spacing w:line="480" w:lineRule="auto"/>
        <w:rPr>
          <w:rFonts w:asciiTheme="majorBidi" w:hAnsiTheme="majorBidi" w:cstheme="majorBidi"/>
        </w:rPr>
      </w:pPr>
      <w:bookmarkStart w:id="373" w:name="_Hlk83474614"/>
      <w:bookmarkEnd w:id="372"/>
      <w:r w:rsidRPr="00583560">
        <w:rPr>
          <w:rFonts w:asciiTheme="majorBidi" w:hAnsiTheme="majorBidi" w:cstheme="majorBidi"/>
        </w:rPr>
        <w:t>Methods: BAAD instructions and price increments</w:t>
      </w:r>
    </w:p>
    <w:bookmarkEnd w:id="373"/>
    <w:p w14:paraId="14665787"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Analysis: Minor deviation from pre-registration and exploratory analyses</w:t>
      </w:r>
    </w:p>
    <w:p w14:paraId="3538871F"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 xml:space="preserve">Analysis: Hierarchical regression repeated with the </w:t>
      </w:r>
      <w:r w:rsidRPr="00583560">
        <w:rPr>
          <w:rFonts w:asciiTheme="majorBidi" w:hAnsiTheme="majorBidi" w:cstheme="majorBidi"/>
          <w:i/>
          <w:iCs/>
        </w:rPr>
        <w:t>enjoyment</w:t>
      </w:r>
      <w:r w:rsidRPr="00583560">
        <w:rPr>
          <w:rFonts w:asciiTheme="majorBidi" w:hAnsiTheme="majorBidi" w:cstheme="majorBidi"/>
        </w:rPr>
        <w:t xml:space="preserve"> and </w:t>
      </w:r>
      <w:r w:rsidRPr="00583560">
        <w:rPr>
          <w:rFonts w:asciiTheme="majorBidi" w:hAnsiTheme="majorBidi" w:cstheme="majorBidi"/>
          <w:i/>
          <w:iCs/>
        </w:rPr>
        <w:t>frequency</w:t>
      </w:r>
      <w:r w:rsidRPr="00583560">
        <w:rPr>
          <w:rFonts w:asciiTheme="majorBidi" w:hAnsiTheme="majorBidi" w:cstheme="majorBidi"/>
        </w:rPr>
        <w:t xml:space="preserve"> alcohol-free reinforcement subscales (Table S2.2)</w:t>
      </w:r>
    </w:p>
    <w:p w14:paraId="54A48920"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Analysis: SEM analyses with age as a covariate (Figure S2.1)</w:t>
      </w:r>
    </w:p>
    <w:p w14:paraId="472D7ACC" w14:textId="77777777" w:rsidR="00583560" w:rsidRP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 xml:space="preserve">Analysis: SEM analyses repeated with </w:t>
      </w:r>
      <w:proofErr w:type="spellStart"/>
      <w:r w:rsidRPr="00583560">
        <w:rPr>
          <w:rFonts w:asciiTheme="majorBidi" w:hAnsiTheme="majorBidi" w:cstheme="majorBidi"/>
        </w:rPr>
        <w:t>O</w:t>
      </w:r>
      <w:r w:rsidRPr="00583560">
        <w:rPr>
          <w:rFonts w:asciiTheme="majorBidi" w:hAnsiTheme="majorBidi" w:cstheme="majorBidi"/>
          <w:vertAlign w:val="subscript"/>
        </w:rPr>
        <w:t>max</w:t>
      </w:r>
      <w:proofErr w:type="spellEnd"/>
      <w:r w:rsidRPr="00583560">
        <w:rPr>
          <w:rFonts w:asciiTheme="majorBidi" w:hAnsiTheme="majorBidi" w:cstheme="majorBidi"/>
        </w:rPr>
        <w:t xml:space="preserve"> and breakpoint (Figure S2.2 and S2.3)</w:t>
      </w:r>
    </w:p>
    <w:p w14:paraId="36CCCCB6" w14:textId="17BF138C" w:rsidR="00583560" w:rsidRDefault="00583560" w:rsidP="00583560">
      <w:pPr>
        <w:pStyle w:val="NoSpacing"/>
        <w:numPr>
          <w:ilvl w:val="0"/>
          <w:numId w:val="11"/>
        </w:numPr>
        <w:spacing w:line="480" w:lineRule="auto"/>
        <w:rPr>
          <w:rFonts w:asciiTheme="majorBidi" w:hAnsiTheme="majorBidi" w:cstheme="majorBidi"/>
        </w:rPr>
      </w:pPr>
      <w:r w:rsidRPr="00583560">
        <w:rPr>
          <w:rFonts w:asciiTheme="majorBidi" w:hAnsiTheme="majorBidi" w:cstheme="majorBidi"/>
        </w:rPr>
        <w:t>Analysis: Exploratory correlations (Table S2.3)</w:t>
      </w:r>
    </w:p>
    <w:p w14:paraId="185D9BA2" w14:textId="5A284B0D" w:rsidR="00E755C4" w:rsidRDefault="00E755C4" w:rsidP="00E755C4">
      <w:pPr>
        <w:pStyle w:val="NoSpacing"/>
        <w:spacing w:line="480" w:lineRule="auto"/>
        <w:rPr>
          <w:rFonts w:asciiTheme="majorBidi" w:hAnsiTheme="majorBidi" w:cstheme="majorBidi"/>
        </w:rPr>
      </w:pPr>
    </w:p>
    <w:p w14:paraId="56D40A36" w14:textId="1F98A751" w:rsidR="00E755C4" w:rsidRDefault="00E755C4" w:rsidP="00E755C4">
      <w:pPr>
        <w:pStyle w:val="NoSpacing"/>
        <w:spacing w:line="480" w:lineRule="auto"/>
        <w:rPr>
          <w:rFonts w:asciiTheme="majorBidi" w:hAnsiTheme="majorBidi" w:cstheme="majorBidi"/>
        </w:rPr>
      </w:pPr>
    </w:p>
    <w:p w14:paraId="3E577EE8" w14:textId="3DAC51C3" w:rsidR="00E755C4" w:rsidRDefault="00E755C4" w:rsidP="00E755C4">
      <w:pPr>
        <w:pStyle w:val="NoSpacing"/>
        <w:spacing w:line="480" w:lineRule="auto"/>
        <w:rPr>
          <w:rFonts w:asciiTheme="majorBidi" w:hAnsiTheme="majorBidi" w:cstheme="majorBidi"/>
        </w:rPr>
      </w:pPr>
    </w:p>
    <w:p w14:paraId="16C98A9F" w14:textId="4CD7B500" w:rsidR="00E755C4" w:rsidRDefault="00E755C4" w:rsidP="00E755C4">
      <w:pPr>
        <w:pStyle w:val="NoSpacing"/>
        <w:spacing w:line="480" w:lineRule="auto"/>
        <w:rPr>
          <w:rFonts w:asciiTheme="majorBidi" w:hAnsiTheme="majorBidi" w:cstheme="majorBidi"/>
        </w:rPr>
      </w:pPr>
    </w:p>
    <w:p w14:paraId="0A47A688" w14:textId="79CC6799" w:rsidR="00E755C4" w:rsidRDefault="00E755C4" w:rsidP="00E755C4">
      <w:pPr>
        <w:pStyle w:val="NoSpacing"/>
        <w:spacing w:line="480" w:lineRule="auto"/>
        <w:rPr>
          <w:rFonts w:asciiTheme="majorBidi" w:hAnsiTheme="majorBidi" w:cstheme="majorBidi"/>
        </w:rPr>
      </w:pPr>
    </w:p>
    <w:p w14:paraId="31AF61A1" w14:textId="291A84BF" w:rsidR="00E755C4" w:rsidRDefault="00E755C4" w:rsidP="00E755C4">
      <w:pPr>
        <w:pStyle w:val="NoSpacing"/>
        <w:spacing w:line="480" w:lineRule="auto"/>
        <w:rPr>
          <w:rFonts w:asciiTheme="majorBidi" w:hAnsiTheme="majorBidi" w:cstheme="majorBidi"/>
        </w:rPr>
      </w:pPr>
    </w:p>
    <w:p w14:paraId="79634D01" w14:textId="718E1359" w:rsidR="00996CF6" w:rsidRDefault="00996CF6" w:rsidP="00E755C4">
      <w:pPr>
        <w:pStyle w:val="NoSpacing"/>
        <w:spacing w:line="480" w:lineRule="auto"/>
        <w:rPr>
          <w:rFonts w:asciiTheme="majorBidi" w:hAnsiTheme="majorBidi" w:cstheme="majorBidi"/>
        </w:rPr>
      </w:pPr>
    </w:p>
    <w:p w14:paraId="24443F8B" w14:textId="6946716A" w:rsidR="00E755C4" w:rsidRDefault="00E755C4" w:rsidP="00E755C4">
      <w:pPr>
        <w:pStyle w:val="NoSpacing"/>
        <w:spacing w:line="480" w:lineRule="auto"/>
        <w:rPr>
          <w:rFonts w:asciiTheme="majorBidi" w:hAnsiTheme="majorBidi" w:cstheme="majorBidi"/>
        </w:rPr>
      </w:pPr>
    </w:p>
    <w:p w14:paraId="4E79D902" w14:textId="3386F1FA" w:rsidR="00E755C4" w:rsidRDefault="00E755C4" w:rsidP="00E755C4">
      <w:pPr>
        <w:pStyle w:val="NoSpacing"/>
        <w:spacing w:line="480" w:lineRule="auto"/>
        <w:rPr>
          <w:rFonts w:asciiTheme="majorBidi" w:hAnsiTheme="majorBidi" w:cstheme="majorBidi"/>
        </w:rPr>
      </w:pPr>
    </w:p>
    <w:p w14:paraId="5AFDCBE6" w14:textId="55842CB7" w:rsidR="00E755C4" w:rsidRDefault="00E755C4" w:rsidP="00E755C4">
      <w:pPr>
        <w:pStyle w:val="NoSpacing"/>
        <w:spacing w:line="480" w:lineRule="auto"/>
        <w:rPr>
          <w:rFonts w:asciiTheme="majorBidi" w:hAnsiTheme="majorBidi" w:cstheme="majorBidi"/>
        </w:rPr>
      </w:pPr>
    </w:p>
    <w:p w14:paraId="354E3026" w14:textId="08AAF3F8" w:rsidR="00E755C4" w:rsidRDefault="00E755C4" w:rsidP="00E755C4">
      <w:pPr>
        <w:pStyle w:val="NoSpacing"/>
        <w:spacing w:line="480" w:lineRule="auto"/>
        <w:rPr>
          <w:rFonts w:asciiTheme="majorBidi" w:hAnsiTheme="majorBidi" w:cstheme="majorBidi"/>
        </w:rPr>
      </w:pPr>
    </w:p>
    <w:p w14:paraId="3396930B" w14:textId="77777777" w:rsidR="00E755C4" w:rsidRPr="00E755C4" w:rsidRDefault="00E755C4" w:rsidP="00E755C4">
      <w:pPr>
        <w:pStyle w:val="NoSpacing"/>
        <w:spacing w:line="480" w:lineRule="auto"/>
        <w:rPr>
          <w:rFonts w:asciiTheme="majorBidi" w:hAnsiTheme="majorBidi" w:cstheme="majorBidi"/>
          <w:b/>
          <w:bCs/>
        </w:rPr>
      </w:pPr>
      <w:r w:rsidRPr="00E755C4">
        <w:rPr>
          <w:rFonts w:asciiTheme="majorBidi" w:hAnsiTheme="majorBidi" w:cstheme="majorBidi"/>
          <w:b/>
          <w:bCs/>
        </w:rPr>
        <w:lastRenderedPageBreak/>
        <w:t>1. Participant demographics</w:t>
      </w:r>
    </w:p>
    <w:p w14:paraId="5101020E" w14:textId="77777777" w:rsidR="00E755C4" w:rsidRPr="00E755C4" w:rsidRDefault="00E755C4" w:rsidP="00E755C4">
      <w:pPr>
        <w:pStyle w:val="NoSpacing"/>
        <w:spacing w:line="480" w:lineRule="auto"/>
        <w:rPr>
          <w:rFonts w:asciiTheme="majorBidi" w:hAnsiTheme="majorBidi" w:cstheme="majorBidi"/>
          <w:b/>
          <w:bCs/>
        </w:rPr>
      </w:pPr>
      <w:r w:rsidRPr="00E755C4">
        <w:rPr>
          <w:rFonts w:asciiTheme="majorBidi" w:hAnsiTheme="majorBidi" w:cstheme="majorBidi"/>
          <w:b/>
          <w:bCs/>
        </w:rPr>
        <w:t>Table S2.1</w:t>
      </w:r>
    </w:p>
    <w:p w14:paraId="215E2DCA" w14:textId="2EB8A31C" w:rsidR="00E755C4" w:rsidRPr="00E755C4" w:rsidRDefault="00E755C4" w:rsidP="00E755C4">
      <w:pPr>
        <w:pStyle w:val="NoSpacing"/>
        <w:spacing w:line="480" w:lineRule="auto"/>
        <w:rPr>
          <w:rFonts w:asciiTheme="majorBidi" w:hAnsiTheme="majorBidi" w:cstheme="majorBidi"/>
          <w:i/>
          <w:iCs/>
        </w:rPr>
      </w:pPr>
      <w:r w:rsidRPr="00E755C4">
        <w:rPr>
          <w:rFonts w:asciiTheme="majorBidi" w:hAnsiTheme="majorBidi" w:cstheme="majorBidi"/>
          <w:i/>
          <w:iCs/>
        </w:rPr>
        <w:t>Demographic breakdown of sample</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0"/>
        <w:gridCol w:w="3207"/>
      </w:tblGrid>
      <w:tr w:rsidR="00E755C4" w:rsidRPr="00E755C4" w14:paraId="7CCEF0E8" w14:textId="77777777" w:rsidTr="002A1E63">
        <w:trPr>
          <w:trHeight w:val="490"/>
        </w:trPr>
        <w:tc>
          <w:tcPr>
            <w:tcW w:w="5640" w:type="dxa"/>
            <w:tcBorders>
              <w:top w:val="single" w:sz="18" w:space="0" w:color="000000"/>
              <w:left w:val="nil"/>
              <w:right w:val="nil"/>
            </w:tcBorders>
          </w:tcPr>
          <w:p w14:paraId="48DF8F35" w14:textId="77777777" w:rsidR="00E755C4" w:rsidRPr="00E755C4" w:rsidRDefault="00E755C4" w:rsidP="00E755C4">
            <w:pPr>
              <w:pStyle w:val="NoSpacing"/>
              <w:rPr>
                <w:rFonts w:asciiTheme="majorBidi" w:hAnsiTheme="majorBidi" w:cstheme="majorBidi"/>
                <w:b/>
              </w:rPr>
            </w:pPr>
          </w:p>
        </w:tc>
        <w:tc>
          <w:tcPr>
            <w:tcW w:w="3207" w:type="dxa"/>
            <w:tcBorders>
              <w:top w:val="single" w:sz="18" w:space="0" w:color="000000"/>
              <w:left w:val="nil"/>
              <w:right w:val="nil"/>
            </w:tcBorders>
          </w:tcPr>
          <w:p w14:paraId="4385BDCB" w14:textId="77777777" w:rsidR="00E755C4" w:rsidRPr="00E755C4" w:rsidRDefault="00E755C4" w:rsidP="00E755C4">
            <w:pPr>
              <w:pStyle w:val="NoSpacing"/>
              <w:rPr>
                <w:rFonts w:asciiTheme="majorBidi" w:hAnsiTheme="majorBidi" w:cstheme="majorBidi"/>
                <w:b/>
              </w:rPr>
            </w:pPr>
            <w:r w:rsidRPr="00E755C4">
              <w:rPr>
                <w:rFonts w:asciiTheme="majorBidi" w:hAnsiTheme="majorBidi" w:cstheme="majorBidi"/>
              </w:rPr>
              <w:t>Total (</w:t>
            </w:r>
            <w:r w:rsidRPr="00E755C4">
              <w:rPr>
                <w:rFonts w:asciiTheme="majorBidi" w:hAnsiTheme="majorBidi" w:cstheme="majorBidi"/>
                <w:i/>
              </w:rPr>
              <w:t>n</w:t>
            </w:r>
            <w:r w:rsidRPr="00E755C4">
              <w:rPr>
                <w:rFonts w:asciiTheme="majorBidi" w:hAnsiTheme="majorBidi" w:cstheme="majorBidi"/>
              </w:rPr>
              <w:t xml:space="preserve"> = 546)</w:t>
            </w:r>
          </w:p>
        </w:tc>
      </w:tr>
      <w:tr w:rsidR="00E755C4" w:rsidRPr="00E755C4" w14:paraId="047FAAB1" w14:textId="77777777" w:rsidTr="002A1E63">
        <w:trPr>
          <w:trHeight w:val="461"/>
        </w:trPr>
        <w:tc>
          <w:tcPr>
            <w:tcW w:w="5640" w:type="dxa"/>
            <w:tcBorders>
              <w:left w:val="nil"/>
              <w:bottom w:val="nil"/>
              <w:right w:val="nil"/>
            </w:tcBorders>
          </w:tcPr>
          <w:p w14:paraId="29FCDE28" w14:textId="77777777" w:rsidR="00E755C4" w:rsidRPr="00E755C4" w:rsidRDefault="00E755C4" w:rsidP="00E755C4">
            <w:pPr>
              <w:pStyle w:val="NoSpacing"/>
              <w:rPr>
                <w:rFonts w:asciiTheme="majorBidi" w:hAnsiTheme="majorBidi" w:cstheme="majorBidi"/>
                <w:b/>
              </w:rPr>
            </w:pPr>
            <w:r w:rsidRPr="00E755C4">
              <w:rPr>
                <w:rFonts w:asciiTheme="majorBidi" w:hAnsiTheme="majorBidi" w:cstheme="majorBidi"/>
                <w:b/>
              </w:rPr>
              <w:t>Gender</w:t>
            </w:r>
          </w:p>
        </w:tc>
        <w:tc>
          <w:tcPr>
            <w:tcW w:w="3207" w:type="dxa"/>
            <w:tcBorders>
              <w:left w:val="nil"/>
              <w:bottom w:val="nil"/>
              <w:right w:val="nil"/>
            </w:tcBorders>
          </w:tcPr>
          <w:p w14:paraId="64E37155" w14:textId="77777777" w:rsidR="00E755C4" w:rsidRPr="00E755C4" w:rsidRDefault="00E755C4" w:rsidP="00E755C4">
            <w:pPr>
              <w:pStyle w:val="NoSpacing"/>
              <w:rPr>
                <w:rFonts w:asciiTheme="majorBidi" w:hAnsiTheme="majorBidi" w:cstheme="majorBidi"/>
              </w:rPr>
            </w:pPr>
          </w:p>
        </w:tc>
      </w:tr>
      <w:tr w:rsidR="00E755C4" w:rsidRPr="00E755C4" w14:paraId="67F4510D" w14:textId="77777777" w:rsidTr="002A1E63">
        <w:trPr>
          <w:trHeight w:val="490"/>
        </w:trPr>
        <w:tc>
          <w:tcPr>
            <w:tcW w:w="5640" w:type="dxa"/>
            <w:tcBorders>
              <w:top w:val="nil"/>
              <w:left w:val="nil"/>
              <w:bottom w:val="nil"/>
              <w:right w:val="nil"/>
            </w:tcBorders>
          </w:tcPr>
          <w:p w14:paraId="30C3EF7D"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Male;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67C7682C"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190 (34.8%)</w:t>
            </w:r>
          </w:p>
        </w:tc>
      </w:tr>
      <w:tr w:rsidR="00E755C4" w:rsidRPr="00E755C4" w14:paraId="36715394" w14:textId="77777777" w:rsidTr="002A1E63">
        <w:trPr>
          <w:trHeight w:val="461"/>
        </w:trPr>
        <w:tc>
          <w:tcPr>
            <w:tcW w:w="5640" w:type="dxa"/>
            <w:tcBorders>
              <w:top w:val="nil"/>
              <w:left w:val="nil"/>
              <w:bottom w:val="nil"/>
              <w:right w:val="nil"/>
            </w:tcBorders>
          </w:tcPr>
          <w:p w14:paraId="22D63D3C"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Female;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0FF7F4A7"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351 (64.3%)</w:t>
            </w:r>
          </w:p>
        </w:tc>
      </w:tr>
      <w:tr w:rsidR="00E755C4" w:rsidRPr="00E755C4" w14:paraId="7B67CDBB" w14:textId="77777777" w:rsidTr="002A1E63">
        <w:trPr>
          <w:trHeight w:val="490"/>
        </w:trPr>
        <w:tc>
          <w:tcPr>
            <w:tcW w:w="5640" w:type="dxa"/>
            <w:tcBorders>
              <w:top w:val="nil"/>
              <w:left w:val="nil"/>
              <w:bottom w:val="nil"/>
              <w:right w:val="nil"/>
            </w:tcBorders>
          </w:tcPr>
          <w:p w14:paraId="34A03559"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Non-binary;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012B7658"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3 (0.5%)</w:t>
            </w:r>
          </w:p>
        </w:tc>
      </w:tr>
      <w:tr w:rsidR="00E755C4" w:rsidRPr="00E755C4" w14:paraId="35E9202A" w14:textId="77777777" w:rsidTr="002A1E63">
        <w:trPr>
          <w:trHeight w:val="461"/>
        </w:trPr>
        <w:tc>
          <w:tcPr>
            <w:tcW w:w="5640" w:type="dxa"/>
            <w:tcBorders>
              <w:top w:val="nil"/>
              <w:left w:val="nil"/>
              <w:bottom w:val="nil"/>
              <w:right w:val="nil"/>
            </w:tcBorders>
          </w:tcPr>
          <w:p w14:paraId="584C6EE0"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Prefer not to say;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07467AFE"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2 (0.4%)</w:t>
            </w:r>
          </w:p>
        </w:tc>
      </w:tr>
      <w:tr w:rsidR="00E755C4" w:rsidRPr="00E755C4" w14:paraId="34683489" w14:textId="77777777" w:rsidTr="002A1E63">
        <w:trPr>
          <w:trHeight w:val="461"/>
        </w:trPr>
        <w:tc>
          <w:tcPr>
            <w:tcW w:w="5640" w:type="dxa"/>
            <w:tcBorders>
              <w:top w:val="nil"/>
              <w:left w:val="nil"/>
              <w:bottom w:val="nil"/>
              <w:right w:val="nil"/>
            </w:tcBorders>
          </w:tcPr>
          <w:p w14:paraId="4B83C672" w14:textId="77777777" w:rsidR="00E755C4" w:rsidRPr="00E755C4" w:rsidRDefault="00E755C4" w:rsidP="00E755C4">
            <w:pPr>
              <w:pStyle w:val="NoSpacing"/>
              <w:rPr>
                <w:rFonts w:asciiTheme="majorBidi" w:hAnsiTheme="majorBidi" w:cstheme="majorBidi"/>
                <w:b/>
              </w:rPr>
            </w:pPr>
            <w:r w:rsidRPr="00E755C4">
              <w:rPr>
                <w:rFonts w:asciiTheme="majorBidi" w:hAnsiTheme="majorBidi" w:cstheme="majorBidi"/>
                <w:b/>
              </w:rPr>
              <w:t>Ethnic group</w:t>
            </w:r>
          </w:p>
        </w:tc>
        <w:tc>
          <w:tcPr>
            <w:tcW w:w="3207" w:type="dxa"/>
            <w:tcBorders>
              <w:top w:val="nil"/>
              <w:left w:val="nil"/>
              <w:bottom w:val="nil"/>
              <w:right w:val="nil"/>
            </w:tcBorders>
          </w:tcPr>
          <w:p w14:paraId="1960DF6E" w14:textId="77777777" w:rsidR="00E755C4" w:rsidRPr="00E755C4" w:rsidRDefault="00E755C4" w:rsidP="00E755C4">
            <w:pPr>
              <w:pStyle w:val="NoSpacing"/>
              <w:rPr>
                <w:rFonts w:asciiTheme="majorBidi" w:hAnsiTheme="majorBidi" w:cstheme="majorBidi"/>
                <w:b/>
              </w:rPr>
            </w:pPr>
          </w:p>
        </w:tc>
      </w:tr>
      <w:tr w:rsidR="00E755C4" w:rsidRPr="00E755C4" w14:paraId="72467D76" w14:textId="77777777" w:rsidTr="002A1E63">
        <w:trPr>
          <w:trHeight w:val="461"/>
        </w:trPr>
        <w:tc>
          <w:tcPr>
            <w:tcW w:w="5640" w:type="dxa"/>
            <w:tcBorders>
              <w:top w:val="nil"/>
              <w:left w:val="nil"/>
              <w:bottom w:val="nil"/>
              <w:right w:val="nil"/>
            </w:tcBorders>
          </w:tcPr>
          <w:p w14:paraId="1CB440BE"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White;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4A246BC0"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516 (94.5%)</w:t>
            </w:r>
          </w:p>
        </w:tc>
      </w:tr>
      <w:tr w:rsidR="00E755C4" w:rsidRPr="00E755C4" w14:paraId="5D72D961" w14:textId="77777777" w:rsidTr="002A1E63">
        <w:trPr>
          <w:trHeight w:val="461"/>
        </w:trPr>
        <w:tc>
          <w:tcPr>
            <w:tcW w:w="5640" w:type="dxa"/>
            <w:tcBorders>
              <w:top w:val="nil"/>
              <w:left w:val="nil"/>
              <w:bottom w:val="nil"/>
              <w:right w:val="nil"/>
            </w:tcBorders>
          </w:tcPr>
          <w:p w14:paraId="15481A78"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Mixed / multiple ethnic groups;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0A2C3827"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12 (2.2%)</w:t>
            </w:r>
          </w:p>
        </w:tc>
      </w:tr>
      <w:tr w:rsidR="00E755C4" w:rsidRPr="00E755C4" w14:paraId="046CAA0C" w14:textId="77777777" w:rsidTr="002A1E63">
        <w:trPr>
          <w:trHeight w:val="461"/>
        </w:trPr>
        <w:tc>
          <w:tcPr>
            <w:tcW w:w="5640" w:type="dxa"/>
            <w:tcBorders>
              <w:top w:val="nil"/>
              <w:left w:val="nil"/>
              <w:bottom w:val="nil"/>
              <w:right w:val="nil"/>
            </w:tcBorders>
          </w:tcPr>
          <w:p w14:paraId="1A0A3455"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Asian / Asian British; </w:t>
            </w:r>
            <w:r w:rsidRPr="00E755C4">
              <w:rPr>
                <w:rFonts w:asciiTheme="majorBidi" w:hAnsiTheme="majorBidi" w:cstheme="majorBidi"/>
                <w:i/>
                <w:iCs/>
              </w:rPr>
              <w:t>n</w:t>
            </w:r>
            <w:r w:rsidRPr="00E755C4">
              <w:rPr>
                <w:rFonts w:asciiTheme="majorBidi" w:hAnsiTheme="majorBidi" w:cstheme="majorBidi"/>
              </w:rPr>
              <w:t xml:space="preserve"> (%) </w:t>
            </w:r>
          </w:p>
        </w:tc>
        <w:tc>
          <w:tcPr>
            <w:tcW w:w="3207" w:type="dxa"/>
            <w:tcBorders>
              <w:top w:val="nil"/>
              <w:left w:val="nil"/>
              <w:bottom w:val="nil"/>
              <w:right w:val="nil"/>
            </w:tcBorders>
          </w:tcPr>
          <w:p w14:paraId="14866F68"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6 (1.1%)</w:t>
            </w:r>
          </w:p>
        </w:tc>
      </w:tr>
      <w:tr w:rsidR="00E755C4" w:rsidRPr="00E755C4" w14:paraId="079F7E34" w14:textId="77777777" w:rsidTr="002A1E63">
        <w:trPr>
          <w:trHeight w:val="461"/>
        </w:trPr>
        <w:tc>
          <w:tcPr>
            <w:tcW w:w="5640" w:type="dxa"/>
            <w:tcBorders>
              <w:top w:val="nil"/>
              <w:left w:val="nil"/>
              <w:bottom w:val="nil"/>
              <w:right w:val="nil"/>
            </w:tcBorders>
          </w:tcPr>
          <w:p w14:paraId="57C449DA"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Black / African / Caribbean / Black British;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20521294"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3 (0.5%)</w:t>
            </w:r>
          </w:p>
        </w:tc>
      </w:tr>
      <w:tr w:rsidR="00E755C4" w:rsidRPr="00E755C4" w14:paraId="1698071D" w14:textId="77777777" w:rsidTr="002A1E63">
        <w:trPr>
          <w:trHeight w:val="461"/>
        </w:trPr>
        <w:tc>
          <w:tcPr>
            <w:tcW w:w="5640" w:type="dxa"/>
            <w:tcBorders>
              <w:top w:val="nil"/>
              <w:left w:val="nil"/>
              <w:bottom w:val="nil"/>
              <w:right w:val="nil"/>
            </w:tcBorders>
          </w:tcPr>
          <w:p w14:paraId="0CB93A7B"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Other ethnic group;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39052CE4"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9 (1.6%)</w:t>
            </w:r>
          </w:p>
        </w:tc>
      </w:tr>
      <w:tr w:rsidR="00E755C4" w:rsidRPr="00E755C4" w14:paraId="343EC861" w14:textId="77777777" w:rsidTr="002A1E63">
        <w:trPr>
          <w:trHeight w:val="461"/>
        </w:trPr>
        <w:tc>
          <w:tcPr>
            <w:tcW w:w="5640" w:type="dxa"/>
            <w:tcBorders>
              <w:top w:val="nil"/>
              <w:left w:val="nil"/>
              <w:bottom w:val="nil"/>
              <w:right w:val="nil"/>
            </w:tcBorders>
          </w:tcPr>
          <w:p w14:paraId="6155A6AB" w14:textId="77777777" w:rsidR="00E755C4" w:rsidRPr="00E755C4" w:rsidRDefault="00E755C4" w:rsidP="00E755C4">
            <w:pPr>
              <w:pStyle w:val="NoSpacing"/>
              <w:rPr>
                <w:rFonts w:asciiTheme="majorBidi" w:hAnsiTheme="majorBidi" w:cstheme="majorBidi"/>
                <w:b/>
              </w:rPr>
            </w:pPr>
            <w:r w:rsidRPr="00E755C4">
              <w:rPr>
                <w:rFonts w:asciiTheme="majorBidi" w:hAnsiTheme="majorBidi" w:cstheme="majorBidi"/>
                <w:b/>
              </w:rPr>
              <w:t>Highest educational attainment</w:t>
            </w:r>
          </w:p>
        </w:tc>
        <w:tc>
          <w:tcPr>
            <w:tcW w:w="3207" w:type="dxa"/>
            <w:tcBorders>
              <w:top w:val="nil"/>
              <w:left w:val="nil"/>
              <w:bottom w:val="nil"/>
              <w:right w:val="nil"/>
            </w:tcBorders>
          </w:tcPr>
          <w:p w14:paraId="2DE7E4BC" w14:textId="77777777" w:rsidR="00E755C4" w:rsidRPr="00E755C4" w:rsidRDefault="00E755C4" w:rsidP="00E755C4">
            <w:pPr>
              <w:pStyle w:val="NoSpacing"/>
              <w:rPr>
                <w:rFonts w:asciiTheme="majorBidi" w:hAnsiTheme="majorBidi" w:cstheme="majorBidi"/>
              </w:rPr>
            </w:pPr>
          </w:p>
        </w:tc>
      </w:tr>
      <w:tr w:rsidR="00E755C4" w:rsidRPr="00E755C4" w14:paraId="5705963A" w14:textId="77777777" w:rsidTr="002A1E63">
        <w:trPr>
          <w:trHeight w:val="461"/>
        </w:trPr>
        <w:tc>
          <w:tcPr>
            <w:tcW w:w="5640" w:type="dxa"/>
            <w:tcBorders>
              <w:top w:val="nil"/>
              <w:left w:val="nil"/>
              <w:bottom w:val="nil"/>
              <w:right w:val="nil"/>
            </w:tcBorders>
          </w:tcPr>
          <w:p w14:paraId="679A0109"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Postgraduate;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1A26A145"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187 (34.2%)</w:t>
            </w:r>
          </w:p>
        </w:tc>
      </w:tr>
      <w:tr w:rsidR="00E755C4" w:rsidRPr="00E755C4" w14:paraId="1D2BE10F" w14:textId="77777777" w:rsidTr="002A1E63">
        <w:trPr>
          <w:trHeight w:val="461"/>
        </w:trPr>
        <w:tc>
          <w:tcPr>
            <w:tcW w:w="5640" w:type="dxa"/>
            <w:tcBorders>
              <w:top w:val="nil"/>
              <w:left w:val="nil"/>
              <w:bottom w:val="nil"/>
              <w:right w:val="nil"/>
            </w:tcBorders>
          </w:tcPr>
          <w:p w14:paraId="0C6117D3"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Undergraduate;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03DBAA96"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156 (28.6%)</w:t>
            </w:r>
          </w:p>
        </w:tc>
      </w:tr>
      <w:tr w:rsidR="00E755C4" w:rsidRPr="00E755C4" w14:paraId="14985319" w14:textId="77777777" w:rsidTr="002A1E63">
        <w:trPr>
          <w:trHeight w:val="461"/>
        </w:trPr>
        <w:tc>
          <w:tcPr>
            <w:tcW w:w="5640" w:type="dxa"/>
            <w:tcBorders>
              <w:top w:val="nil"/>
              <w:left w:val="nil"/>
              <w:bottom w:val="nil"/>
              <w:right w:val="nil"/>
            </w:tcBorders>
          </w:tcPr>
          <w:p w14:paraId="3765C881"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A levels, vocational level 3 and equivalents;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56C9BE59"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175 (32.1%)</w:t>
            </w:r>
          </w:p>
        </w:tc>
      </w:tr>
      <w:tr w:rsidR="00E755C4" w:rsidRPr="00E755C4" w14:paraId="56CD98BA" w14:textId="77777777" w:rsidTr="002A1E63">
        <w:trPr>
          <w:trHeight w:val="461"/>
        </w:trPr>
        <w:tc>
          <w:tcPr>
            <w:tcW w:w="5640" w:type="dxa"/>
            <w:tcBorders>
              <w:top w:val="nil"/>
              <w:left w:val="nil"/>
              <w:bottom w:val="nil"/>
              <w:right w:val="nil"/>
            </w:tcBorders>
          </w:tcPr>
          <w:p w14:paraId="32B895BD"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GCSE/ O Level A* to C, vocational level 2 and equivalents;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6E553B37"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20 (3.7%)</w:t>
            </w:r>
          </w:p>
        </w:tc>
      </w:tr>
      <w:tr w:rsidR="00E755C4" w:rsidRPr="00E755C4" w14:paraId="0166A1F3" w14:textId="77777777" w:rsidTr="002A1E63">
        <w:trPr>
          <w:trHeight w:val="461"/>
        </w:trPr>
        <w:tc>
          <w:tcPr>
            <w:tcW w:w="5640" w:type="dxa"/>
            <w:tcBorders>
              <w:top w:val="nil"/>
              <w:left w:val="nil"/>
              <w:bottom w:val="nil"/>
              <w:right w:val="nil"/>
            </w:tcBorders>
          </w:tcPr>
          <w:p w14:paraId="2868F934"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Qualifications at level 1 and below;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nil"/>
              <w:right w:val="nil"/>
            </w:tcBorders>
          </w:tcPr>
          <w:p w14:paraId="5E2D0D5D"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2 (0.4%)</w:t>
            </w:r>
          </w:p>
        </w:tc>
      </w:tr>
      <w:tr w:rsidR="00E755C4" w:rsidRPr="00E755C4" w14:paraId="7FB5C8F1" w14:textId="77777777" w:rsidTr="002A1E63">
        <w:trPr>
          <w:trHeight w:val="461"/>
        </w:trPr>
        <w:tc>
          <w:tcPr>
            <w:tcW w:w="5640" w:type="dxa"/>
            <w:tcBorders>
              <w:top w:val="nil"/>
              <w:left w:val="nil"/>
              <w:bottom w:val="single" w:sz="18" w:space="0" w:color="000000"/>
              <w:right w:val="nil"/>
            </w:tcBorders>
          </w:tcPr>
          <w:p w14:paraId="595F8FBD"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 xml:space="preserve">Other qualifications; </w:t>
            </w:r>
            <w:r w:rsidRPr="00E755C4">
              <w:rPr>
                <w:rFonts w:asciiTheme="majorBidi" w:hAnsiTheme="majorBidi" w:cstheme="majorBidi"/>
                <w:i/>
                <w:iCs/>
              </w:rPr>
              <w:t>n</w:t>
            </w:r>
            <w:r w:rsidRPr="00E755C4">
              <w:rPr>
                <w:rFonts w:asciiTheme="majorBidi" w:hAnsiTheme="majorBidi" w:cstheme="majorBidi"/>
              </w:rPr>
              <w:t xml:space="preserve"> (%)</w:t>
            </w:r>
          </w:p>
        </w:tc>
        <w:tc>
          <w:tcPr>
            <w:tcW w:w="3207" w:type="dxa"/>
            <w:tcBorders>
              <w:top w:val="nil"/>
              <w:left w:val="nil"/>
              <w:bottom w:val="single" w:sz="18" w:space="0" w:color="000000"/>
              <w:right w:val="nil"/>
            </w:tcBorders>
          </w:tcPr>
          <w:p w14:paraId="421A22CC" w14:textId="77777777" w:rsidR="00E755C4" w:rsidRPr="00E755C4" w:rsidRDefault="00E755C4" w:rsidP="00E755C4">
            <w:pPr>
              <w:pStyle w:val="NoSpacing"/>
              <w:rPr>
                <w:rFonts w:asciiTheme="majorBidi" w:hAnsiTheme="majorBidi" w:cstheme="majorBidi"/>
              </w:rPr>
            </w:pPr>
            <w:r w:rsidRPr="00E755C4">
              <w:rPr>
                <w:rFonts w:asciiTheme="majorBidi" w:hAnsiTheme="majorBidi" w:cstheme="majorBidi"/>
              </w:rPr>
              <w:t>6 (1.1%)</w:t>
            </w:r>
          </w:p>
        </w:tc>
      </w:tr>
    </w:tbl>
    <w:p w14:paraId="7BEAC7C6" w14:textId="77777777" w:rsidR="00E755C4" w:rsidRPr="00E755C4" w:rsidRDefault="00E755C4" w:rsidP="00E755C4">
      <w:pPr>
        <w:pStyle w:val="NoSpacing"/>
        <w:rPr>
          <w:rFonts w:asciiTheme="majorBidi" w:hAnsiTheme="majorBidi" w:cstheme="majorBidi"/>
        </w:rPr>
      </w:pPr>
    </w:p>
    <w:p w14:paraId="11EB0210" w14:textId="77777777" w:rsidR="00E755C4" w:rsidRPr="00583560" w:rsidRDefault="00E755C4" w:rsidP="00E755C4">
      <w:pPr>
        <w:pStyle w:val="NoSpacing"/>
        <w:spacing w:line="480" w:lineRule="auto"/>
        <w:rPr>
          <w:rFonts w:asciiTheme="majorBidi" w:hAnsiTheme="majorBidi" w:cstheme="majorBidi"/>
        </w:rPr>
      </w:pPr>
    </w:p>
    <w:p w14:paraId="4D077671" w14:textId="3257ABC3" w:rsidR="00093B56" w:rsidRPr="00583560" w:rsidRDefault="00093B56" w:rsidP="00583560">
      <w:pPr>
        <w:pStyle w:val="NoSpacing"/>
        <w:spacing w:line="480" w:lineRule="auto"/>
        <w:rPr>
          <w:rFonts w:asciiTheme="majorBidi" w:hAnsiTheme="majorBidi" w:cstheme="majorBidi"/>
        </w:rPr>
      </w:pPr>
    </w:p>
    <w:p w14:paraId="68652217" w14:textId="0AD9CCC9" w:rsidR="00093B56" w:rsidRDefault="00093B56" w:rsidP="00583560">
      <w:pPr>
        <w:pStyle w:val="NoSpacing"/>
        <w:spacing w:line="480" w:lineRule="auto"/>
      </w:pPr>
    </w:p>
    <w:p w14:paraId="6091FB3B" w14:textId="5B5FF9D2" w:rsidR="00093B56" w:rsidRDefault="00093B56" w:rsidP="00583560">
      <w:pPr>
        <w:pStyle w:val="NoSpacing"/>
        <w:spacing w:line="480" w:lineRule="auto"/>
      </w:pPr>
    </w:p>
    <w:p w14:paraId="0BFFE301" w14:textId="72B45E8C" w:rsidR="00093B56" w:rsidRDefault="00093B56" w:rsidP="00093B56">
      <w:pPr>
        <w:pStyle w:val="NoSpacing"/>
      </w:pPr>
    </w:p>
    <w:p w14:paraId="0C9C221D" w14:textId="5CD572BF" w:rsidR="00093B56" w:rsidRDefault="00093B56" w:rsidP="00093B56">
      <w:pPr>
        <w:pStyle w:val="NoSpacing"/>
      </w:pPr>
    </w:p>
    <w:p w14:paraId="5A537DED" w14:textId="77777777" w:rsidR="00E755C4" w:rsidRPr="00E755C4" w:rsidRDefault="00E755C4" w:rsidP="00E755C4">
      <w:pPr>
        <w:pStyle w:val="NoSpacing"/>
        <w:rPr>
          <w:rFonts w:ascii="Times New Roman" w:hAnsi="Times New Roman" w:cs="Times New Roman"/>
          <w:b/>
          <w:bCs/>
        </w:rPr>
      </w:pPr>
      <w:r w:rsidRPr="00E755C4">
        <w:rPr>
          <w:rFonts w:ascii="Times New Roman" w:hAnsi="Times New Roman" w:cs="Times New Roman"/>
          <w:b/>
          <w:bCs/>
        </w:rPr>
        <w:lastRenderedPageBreak/>
        <w:t>2. Additional detail on data preparation</w:t>
      </w:r>
    </w:p>
    <w:p w14:paraId="039FFCC8" w14:textId="2BB12DA5" w:rsidR="00093B56" w:rsidRPr="00E755C4" w:rsidRDefault="00093B56" w:rsidP="00093B56">
      <w:pPr>
        <w:pStyle w:val="NoSpacing"/>
        <w:rPr>
          <w:rFonts w:ascii="Times New Roman" w:hAnsi="Times New Roman" w:cs="Times New Roman"/>
        </w:rPr>
      </w:pPr>
    </w:p>
    <w:p w14:paraId="0C65111E" w14:textId="77777777" w:rsidR="00E755C4" w:rsidRPr="00E755C4" w:rsidRDefault="00E755C4" w:rsidP="00E755C4">
      <w:pPr>
        <w:pStyle w:val="NoSpacing"/>
        <w:spacing w:line="480" w:lineRule="auto"/>
        <w:rPr>
          <w:rFonts w:ascii="Times New Roman" w:hAnsi="Times New Roman" w:cs="Times New Roman"/>
          <w:u w:val="single"/>
        </w:rPr>
      </w:pPr>
      <w:r w:rsidRPr="00E755C4">
        <w:rPr>
          <w:rFonts w:ascii="Times New Roman" w:hAnsi="Times New Roman" w:cs="Times New Roman"/>
          <w:u w:val="single"/>
        </w:rPr>
        <w:t>Misunderstanding of questionnaire instructions</w:t>
      </w:r>
    </w:p>
    <w:p w14:paraId="1C4E5B8E" w14:textId="77777777" w:rsidR="00E755C4" w:rsidRPr="00E755C4" w:rsidRDefault="00E755C4" w:rsidP="00E755C4">
      <w:pPr>
        <w:pStyle w:val="NoSpacing"/>
        <w:spacing w:line="480" w:lineRule="auto"/>
        <w:rPr>
          <w:rFonts w:ascii="Times New Roman" w:hAnsi="Times New Roman" w:cs="Times New Roman"/>
        </w:rPr>
      </w:pPr>
      <w:r w:rsidRPr="00E755C4">
        <w:rPr>
          <w:rFonts w:ascii="Times New Roman" w:hAnsi="Times New Roman" w:cs="Times New Roman"/>
        </w:rPr>
        <w:t>Data from participants who misunderstood questionnaire instructions were removed. To clarify, this is referring to responses on the Activity Level Questionnaire. Participants were instructed to “not make an enjoyment rating if you have not engaged in the activity in the past 30 days”. However, some participants (</w:t>
      </w:r>
      <w:r w:rsidRPr="00E755C4">
        <w:rPr>
          <w:rFonts w:ascii="Times New Roman" w:hAnsi="Times New Roman" w:cs="Times New Roman"/>
          <w:i/>
          <w:iCs/>
        </w:rPr>
        <w:t>n</w:t>
      </w:r>
      <w:r w:rsidRPr="00E755C4">
        <w:rPr>
          <w:rFonts w:ascii="Times New Roman" w:hAnsi="Times New Roman" w:cs="Times New Roman"/>
        </w:rPr>
        <w:t xml:space="preserve"> = 50) either selected “0 times” (frequency) for an activity but then did not select “I didn’t do this at least once” (enjoyment), or the reverse, they did not select “0 times” but then selected “I didn’t do this at least once” (enjoyment). Our survey was not optimised to avoid this, and our interpretation is that these participants misunderstood the questionnaire instructions. Therefore, their data were removed on this basis. </w:t>
      </w:r>
    </w:p>
    <w:p w14:paraId="051B1E25" w14:textId="77777777" w:rsidR="00E755C4" w:rsidRPr="00E755C4" w:rsidRDefault="00E755C4" w:rsidP="00E755C4">
      <w:pPr>
        <w:pStyle w:val="NoSpacing"/>
        <w:spacing w:line="480" w:lineRule="auto"/>
        <w:rPr>
          <w:rFonts w:ascii="Times New Roman" w:hAnsi="Times New Roman" w:cs="Times New Roman"/>
        </w:rPr>
      </w:pPr>
    </w:p>
    <w:p w14:paraId="7C6036D2" w14:textId="77777777" w:rsidR="00E755C4" w:rsidRPr="00E755C4" w:rsidRDefault="00E755C4" w:rsidP="00E755C4">
      <w:pPr>
        <w:pStyle w:val="NoSpacing"/>
        <w:spacing w:line="480" w:lineRule="auto"/>
        <w:rPr>
          <w:rFonts w:ascii="Times New Roman" w:hAnsi="Times New Roman" w:cs="Times New Roman"/>
          <w:u w:val="single"/>
        </w:rPr>
      </w:pPr>
      <w:r w:rsidRPr="00E755C4">
        <w:rPr>
          <w:rFonts w:ascii="Times New Roman" w:hAnsi="Times New Roman" w:cs="Times New Roman"/>
          <w:u w:val="single"/>
        </w:rPr>
        <w:t>Proxy of alcohol value</w:t>
      </w:r>
    </w:p>
    <w:p w14:paraId="12241E23" w14:textId="77777777" w:rsidR="00E755C4" w:rsidRPr="00E755C4" w:rsidRDefault="00E755C4" w:rsidP="00E755C4">
      <w:pPr>
        <w:pStyle w:val="NoSpacing"/>
        <w:spacing w:line="480" w:lineRule="auto"/>
        <w:rPr>
          <w:rFonts w:ascii="Times New Roman" w:hAnsi="Times New Roman" w:cs="Times New Roman"/>
        </w:rPr>
      </w:pPr>
      <w:r w:rsidRPr="00E755C4">
        <w:rPr>
          <w:rFonts w:ascii="Times New Roman" w:hAnsi="Times New Roman" w:cs="Times New Roman"/>
        </w:rPr>
        <w:t xml:space="preserve">As stated in Chapter 2, we used intensity as a representation of alcohol value in this study because the indices of demand (i.e., intensity, </w:t>
      </w:r>
      <w:proofErr w:type="spellStart"/>
      <w:r w:rsidRPr="00E755C4">
        <w:rPr>
          <w:rFonts w:ascii="Times New Roman" w:hAnsi="Times New Roman" w:cs="Times New Roman"/>
        </w:rPr>
        <w:t>O</w:t>
      </w:r>
      <w:r w:rsidRPr="00E755C4">
        <w:rPr>
          <w:rFonts w:ascii="Times New Roman" w:hAnsi="Times New Roman" w:cs="Times New Roman"/>
          <w:vertAlign w:val="subscript"/>
        </w:rPr>
        <w:t>max</w:t>
      </w:r>
      <w:proofErr w:type="spellEnd"/>
      <w:r w:rsidRPr="00E755C4">
        <w:rPr>
          <w:rFonts w:ascii="Times New Roman" w:hAnsi="Times New Roman" w:cs="Times New Roman"/>
        </w:rPr>
        <w:t xml:space="preserve">, and breakpoint) were not all significantly intercorrelated. This is in line with recent work (Hardy et al., 2021) which has conceptualised intensity as value. Given other research demonstrates that intensity is a critical index from alcohol purchase tasks (Martínez-Loredo et al., 2021; Merrill &amp; Aston, 2020; </w:t>
      </w:r>
      <w:proofErr w:type="spellStart"/>
      <w:r w:rsidRPr="00E755C4">
        <w:rPr>
          <w:rFonts w:ascii="Times New Roman" w:hAnsi="Times New Roman" w:cs="Times New Roman"/>
        </w:rPr>
        <w:t>Zvorsky</w:t>
      </w:r>
      <w:proofErr w:type="spellEnd"/>
      <w:r w:rsidRPr="00E755C4">
        <w:rPr>
          <w:rFonts w:ascii="Times New Roman" w:hAnsi="Times New Roman" w:cs="Times New Roman"/>
        </w:rPr>
        <w:t xml:space="preserve"> et al., 2019), and have used intensity as a representation of alcohol value (Rose et al., 2018), this is why we made the decision to focus on intensity in this study as a proxy for value. See section 8 for analyses repeated with </w:t>
      </w:r>
      <w:proofErr w:type="spellStart"/>
      <w:r w:rsidRPr="00E755C4">
        <w:rPr>
          <w:rFonts w:ascii="Times New Roman" w:hAnsi="Times New Roman" w:cs="Times New Roman"/>
        </w:rPr>
        <w:t>O</w:t>
      </w:r>
      <w:r w:rsidRPr="00E755C4">
        <w:rPr>
          <w:rFonts w:ascii="Times New Roman" w:hAnsi="Times New Roman" w:cs="Times New Roman"/>
          <w:vertAlign w:val="subscript"/>
        </w:rPr>
        <w:t>max</w:t>
      </w:r>
      <w:proofErr w:type="spellEnd"/>
      <w:r w:rsidRPr="00E755C4">
        <w:rPr>
          <w:rFonts w:ascii="Times New Roman" w:hAnsi="Times New Roman" w:cs="Times New Roman"/>
        </w:rPr>
        <w:t xml:space="preserve"> and breakpoint. </w:t>
      </w:r>
    </w:p>
    <w:p w14:paraId="0EA4E455" w14:textId="77777777" w:rsidR="00E755C4" w:rsidRPr="00E755C4" w:rsidRDefault="00E755C4" w:rsidP="00E755C4">
      <w:pPr>
        <w:pStyle w:val="NoSpacing"/>
        <w:spacing w:line="480" w:lineRule="auto"/>
        <w:rPr>
          <w:rFonts w:ascii="Times New Roman" w:hAnsi="Times New Roman" w:cs="Times New Roman"/>
        </w:rPr>
      </w:pPr>
    </w:p>
    <w:p w14:paraId="66D84C85" w14:textId="77777777" w:rsidR="00E755C4" w:rsidRPr="00E755C4" w:rsidRDefault="00E755C4" w:rsidP="00E755C4">
      <w:pPr>
        <w:pStyle w:val="NoSpacing"/>
        <w:spacing w:line="480" w:lineRule="auto"/>
        <w:rPr>
          <w:rFonts w:ascii="Times New Roman" w:hAnsi="Times New Roman" w:cs="Times New Roman"/>
          <w:u w:val="single"/>
        </w:rPr>
      </w:pPr>
      <w:r w:rsidRPr="00E755C4">
        <w:rPr>
          <w:rFonts w:ascii="Times New Roman" w:hAnsi="Times New Roman" w:cs="Times New Roman"/>
          <w:u w:val="single"/>
        </w:rPr>
        <w:t xml:space="preserve">Convergent and discriminant validity of meaning in life subscales </w:t>
      </w:r>
    </w:p>
    <w:p w14:paraId="12FC7AA3" w14:textId="77777777" w:rsidR="00E755C4" w:rsidRPr="00E755C4" w:rsidRDefault="00E755C4" w:rsidP="00E755C4">
      <w:pPr>
        <w:pStyle w:val="NoSpacing"/>
        <w:spacing w:line="480" w:lineRule="auto"/>
        <w:rPr>
          <w:rFonts w:ascii="Times New Roman" w:hAnsi="Times New Roman" w:cs="Times New Roman"/>
        </w:rPr>
      </w:pPr>
      <w:r w:rsidRPr="00E755C4">
        <w:rPr>
          <w:rFonts w:ascii="Times New Roman" w:hAnsi="Times New Roman" w:cs="Times New Roman"/>
        </w:rPr>
        <w:t xml:space="preserve">The meaning in life subscales demonstrate convergent and discriminant validity (Steger et al., 2006), and therefore they were included separately in the analyses within the manuscript. </w:t>
      </w:r>
      <w:r w:rsidRPr="00E755C4">
        <w:rPr>
          <w:rFonts w:ascii="Times New Roman" w:hAnsi="Times New Roman" w:cs="Times New Roman"/>
        </w:rPr>
        <w:lastRenderedPageBreak/>
        <w:t xml:space="preserve">This approach is in line with previous research (Copeland et al., 2020; </w:t>
      </w:r>
      <w:proofErr w:type="spellStart"/>
      <w:r w:rsidRPr="00E755C4">
        <w:rPr>
          <w:rFonts w:ascii="Times New Roman" w:hAnsi="Times New Roman" w:cs="Times New Roman"/>
        </w:rPr>
        <w:t>Csabonyi</w:t>
      </w:r>
      <w:proofErr w:type="spellEnd"/>
      <w:r w:rsidRPr="00E755C4">
        <w:rPr>
          <w:rFonts w:ascii="Times New Roman" w:hAnsi="Times New Roman" w:cs="Times New Roman"/>
        </w:rPr>
        <w:t xml:space="preserve"> &amp; Phillips, 2017; Li et al., 2019) which found dissociable effects for presence of meaning in life and search for meaning in life.</w:t>
      </w:r>
    </w:p>
    <w:p w14:paraId="7AF97D67" w14:textId="77777777" w:rsidR="00E755C4" w:rsidRPr="00E755C4" w:rsidRDefault="00E755C4" w:rsidP="00E755C4">
      <w:pPr>
        <w:pStyle w:val="NoSpacing"/>
        <w:spacing w:line="480" w:lineRule="auto"/>
      </w:pPr>
    </w:p>
    <w:p w14:paraId="504CCF7A" w14:textId="77777777" w:rsidR="00E755C4" w:rsidRPr="00E755C4" w:rsidRDefault="00E755C4" w:rsidP="00E755C4">
      <w:pPr>
        <w:pStyle w:val="NoSpacing"/>
        <w:spacing w:line="480" w:lineRule="auto"/>
      </w:pPr>
    </w:p>
    <w:p w14:paraId="2DC06D4A" w14:textId="77777777" w:rsidR="00E755C4" w:rsidRPr="00E755C4" w:rsidRDefault="00E755C4" w:rsidP="00E755C4">
      <w:pPr>
        <w:pStyle w:val="NoSpacing"/>
        <w:spacing w:line="480" w:lineRule="auto"/>
      </w:pPr>
    </w:p>
    <w:p w14:paraId="4A2D6DEC" w14:textId="77777777" w:rsidR="00E755C4" w:rsidRPr="00E755C4" w:rsidRDefault="00E755C4" w:rsidP="00E755C4">
      <w:pPr>
        <w:pStyle w:val="NoSpacing"/>
        <w:spacing w:line="480" w:lineRule="auto"/>
      </w:pPr>
    </w:p>
    <w:p w14:paraId="4730D421" w14:textId="3746D0E1" w:rsidR="00093B56" w:rsidRDefault="00093B56" w:rsidP="00093B56">
      <w:pPr>
        <w:pStyle w:val="NoSpacing"/>
      </w:pPr>
    </w:p>
    <w:p w14:paraId="32C807E1" w14:textId="3EE308CC" w:rsidR="00093B56" w:rsidRDefault="00093B56" w:rsidP="00093B56">
      <w:pPr>
        <w:pStyle w:val="NoSpacing"/>
      </w:pPr>
    </w:p>
    <w:p w14:paraId="26D54D95" w14:textId="600E0DF1" w:rsidR="00093B56" w:rsidRDefault="00093B56" w:rsidP="00093B56">
      <w:pPr>
        <w:pStyle w:val="NoSpacing"/>
      </w:pPr>
    </w:p>
    <w:p w14:paraId="1639B4F7" w14:textId="3EE0161D" w:rsidR="00093B56" w:rsidRDefault="00093B56" w:rsidP="00093B56">
      <w:pPr>
        <w:pStyle w:val="NoSpacing"/>
      </w:pPr>
    </w:p>
    <w:p w14:paraId="35BD1AB9" w14:textId="32B6E9EC" w:rsidR="00093B56" w:rsidRDefault="00093B56" w:rsidP="00093B56">
      <w:pPr>
        <w:pStyle w:val="NoSpacing"/>
      </w:pPr>
    </w:p>
    <w:p w14:paraId="2E38DDD9" w14:textId="56A3A2E0" w:rsidR="00093B56" w:rsidRDefault="00093B56" w:rsidP="00093B56">
      <w:pPr>
        <w:pStyle w:val="NoSpacing"/>
      </w:pPr>
    </w:p>
    <w:p w14:paraId="5EAC4B6E" w14:textId="12D6B5EC" w:rsidR="00093B56" w:rsidRDefault="00093B56" w:rsidP="00093B56">
      <w:pPr>
        <w:pStyle w:val="NoSpacing"/>
      </w:pPr>
    </w:p>
    <w:p w14:paraId="520DD4FB" w14:textId="77B08E80" w:rsidR="00093B56" w:rsidRDefault="00093B56" w:rsidP="00093B56">
      <w:pPr>
        <w:pStyle w:val="NoSpacing"/>
      </w:pPr>
    </w:p>
    <w:p w14:paraId="4B57C53A" w14:textId="01361E50" w:rsidR="00093B56" w:rsidRDefault="00093B56" w:rsidP="00093B56">
      <w:pPr>
        <w:pStyle w:val="NoSpacing"/>
      </w:pPr>
    </w:p>
    <w:p w14:paraId="1435872E" w14:textId="648FB851" w:rsidR="00093B56" w:rsidRDefault="00093B56" w:rsidP="00093B56">
      <w:pPr>
        <w:pStyle w:val="NoSpacing"/>
      </w:pPr>
    </w:p>
    <w:p w14:paraId="789EE123" w14:textId="022FFED8" w:rsidR="00093B56" w:rsidRDefault="00093B56" w:rsidP="00093B56">
      <w:pPr>
        <w:pStyle w:val="NoSpacing"/>
      </w:pPr>
    </w:p>
    <w:p w14:paraId="06505327" w14:textId="5292B8DD" w:rsidR="00093B56" w:rsidRDefault="00093B56" w:rsidP="00093B56">
      <w:pPr>
        <w:pStyle w:val="NoSpacing"/>
      </w:pPr>
    </w:p>
    <w:p w14:paraId="61CAE1DF" w14:textId="3F4812A3" w:rsidR="00093B56" w:rsidRDefault="00093B56" w:rsidP="00093B56">
      <w:pPr>
        <w:pStyle w:val="NoSpacing"/>
      </w:pPr>
    </w:p>
    <w:p w14:paraId="4AFFBCE6" w14:textId="4FFE9A8C" w:rsidR="00093B56" w:rsidRDefault="00093B56" w:rsidP="00093B56">
      <w:pPr>
        <w:pStyle w:val="NoSpacing"/>
      </w:pPr>
    </w:p>
    <w:p w14:paraId="757BC246" w14:textId="27D8FA55" w:rsidR="00093B56" w:rsidRDefault="00093B56" w:rsidP="00093B56">
      <w:pPr>
        <w:pStyle w:val="NoSpacing"/>
      </w:pPr>
    </w:p>
    <w:p w14:paraId="4A084EF1" w14:textId="3BC95901" w:rsidR="00093B56" w:rsidRDefault="00093B56" w:rsidP="00093B56">
      <w:pPr>
        <w:pStyle w:val="NoSpacing"/>
      </w:pPr>
    </w:p>
    <w:p w14:paraId="366852F5" w14:textId="5B434171" w:rsidR="00093B56" w:rsidRDefault="00093B56" w:rsidP="00093B56">
      <w:pPr>
        <w:pStyle w:val="NoSpacing"/>
      </w:pPr>
    </w:p>
    <w:p w14:paraId="3E326DFC" w14:textId="2FB21F89" w:rsidR="00093B56" w:rsidRDefault="00093B56" w:rsidP="00093B56">
      <w:pPr>
        <w:pStyle w:val="NoSpacing"/>
      </w:pPr>
    </w:p>
    <w:p w14:paraId="5F708D14" w14:textId="7BE12EF3" w:rsidR="00093B56" w:rsidRDefault="00093B56" w:rsidP="00093B56">
      <w:pPr>
        <w:pStyle w:val="NoSpacing"/>
      </w:pPr>
    </w:p>
    <w:p w14:paraId="08D315B2" w14:textId="24F3F30E" w:rsidR="00093B56" w:rsidRDefault="00093B56" w:rsidP="00093B56">
      <w:pPr>
        <w:pStyle w:val="NoSpacing"/>
      </w:pPr>
    </w:p>
    <w:p w14:paraId="3DC02C10" w14:textId="106742B3" w:rsidR="00093B56" w:rsidRDefault="00093B56" w:rsidP="00093B56">
      <w:pPr>
        <w:pStyle w:val="NoSpacing"/>
      </w:pPr>
    </w:p>
    <w:p w14:paraId="64767B2E" w14:textId="30608FB8" w:rsidR="00093B56" w:rsidRDefault="00093B56" w:rsidP="00093B56">
      <w:pPr>
        <w:pStyle w:val="NoSpacing"/>
      </w:pPr>
    </w:p>
    <w:p w14:paraId="037650ED" w14:textId="6D0B47B9" w:rsidR="00093B56" w:rsidRDefault="00093B56" w:rsidP="00093B56">
      <w:pPr>
        <w:pStyle w:val="NoSpacing"/>
      </w:pPr>
    </w:p>
    <w:p w14:paraId="64CB63D0" w14:textId="69C11A12" w:rsidR="00093B56" w:rsidRDefault="00093B56" w:rsidP="00093B56">
      <w:pPr>
        <w:pStyle w:val="NoSpacing"/>
      </w:pPr>
    </w:p>
    <w:p w14:paraId="301219E1" w14:textId="41779173" w:rsidR="00093B56" w:rsidRDefault="00093B56" w:rsidP="00093B56">
      <w:pPr>
        <w:pStyle w:val="NoSpacing"/>
      </w:pPr>
    </w:p>
    <w:p w14:paraId="2313B1E9" w14:textId="459CF5E9" w:rsidR="00093B56" w:rsidRDefault="00093B56" w:rsidP="00093B56">
      <w:pPr>
        <w:pStyle w:val="NoSpacing"/>
      </w:pPr>
    </w:p>
    <w:p w14:paraId="3192C350" w14:textId="665B9B78" w:rsidR="00093B56" w:rsidRDefault="00093B56" w:rsidP="00093B56">
      <w:pPr>
        <w:pStyle w:val="NoSpacing"/>
      </w:pPr>
    </w:p>
    <w:p w14:paraId="63682867" w14:textId="2DE2E125" w:rsidR="00093B56" w:rsidRDefault="00093B56" w:rsidP="00093B56">
      <w:pPr>
        <w:pStyle w:val="NoSpacing"/>
      </w:pPr>
    </w:p>
    <w:p w14:paraId="73E4073A" w14:textId="0DF64485" w:rsidR="00093B56" w:rsidRDefault="00093B56" w:rsidP="00093B56">
      <w:pPr>
        <w:pStyle w:val="NoSpacing"/>
      </w:pPr>
    </w:p>
    <w:p w14:paraId="3BAF4CF4" w14:textId="19E8FECC" w:rsidR="00093B56" w:rsidRDefault="00093B56" w:rsidP="00093B56">
      <w:pPr>
        <w:pStyle w:val="NoSpacing"/>
      </w:pPr>
    </w:p>
    <w:p w14:paraId="1A83A177" w14:textId="77777777" w:rsidR="00E755C4" w:rsidRDefault="00E755C4" w:rsidP="00093B56">
      <w:pPr>
        <w:pStyle w:val="NoSpacing"/>
      </w:pPr>
    </w:p>
    <w:p w14:paraId="49D5F929" w14:textId="30C488A4" w:rsidR="00093B56" w:rsidRDefault="00093B56" w:rsidP="00093B56">
      <w:pPr>
        <w:pStyle w:val="NoSpacing"/>
      </w:pPr>
    </w:p>
    <w:p w14:paraId="108DC6D9" w14:textId="71FAE46A" w:rsidR="00093B56" w:rsidRDefault="00093B56" w:rsidP="00093B56">
      <w:pPr>
        <w:pStyle w:val="NoSpacing"/>
      </w:pPr>
    </w:p>
    <w:p w14:paraId="1D929FCA" w14:textId="77777777" w:rsidR="000E4244" w:rsidRDefault="000E4244" w:rsidP="00E755C4">
      <w:pPr>
        <w:pStyle w:val="NoSpacing"/>
      </w:pPr>
    </w:p>
    <w:p w14:paraId="38F31D1B" w14:textId="11E51CE8" w:rsidR="00E755C4" w:rsidRPr="00E755C4" w:rsidRDefault="00E755C4" w:rsidP="00E755C4">
      <w:pPr>
        <w:pStyle w:val="NoSpacing"/>
        <w:rPr>
          <w:rFonts w:ascii="Times New Roman" w:hAnsi="Times New Roman" w:cs="Times New Roman"/>
          <w:b/>
          <w:bCs/>
        </w:rPr>
      </w:pPr>
      <w:r w:rsidRPr="00E755C4">
        <w:rPr>
          <w:rFonts w:ascii="Times New Roman" w:hAnsi="Times New Roman" w:cs="Times New Roman"/>
          <w:b/>
          <w:bCs/>
        </w:rPr>
        <w:t>3. Activity Level Questionnaire – Revised Items</w:t>
      </w:r>
    </w:p>
    <w:p w14:paraId="157414F4" w14:textId="49772705" w:rsidR="00093B56" w:rsidRDefault="00093B56" w:rsidP="00093B56">
      <w:pPr>
        <w:pStyle w:val="NoSpacing"/>
      </w:pPr>
    </w:p>
    <w:p w14:paraId="2065ABB9" w14:textId="77777777" w:rsidR="00E755C4" w:rsidRPr="00E755C4" w:rsidRDefault="00E755C4" w:rsidP="00E755C4">
      <w:pPr>
        <w:pStyle w:val="NoSpacing"/>
        <w:spacing w:line="480" w:lineRule="auto"/>
        <w:rPr>
          <w:rFonts w:ascii="Times New Roman" w:hAnsi="Times New Roman" w:cs="Times New Roman"/>
          <w:b/>
        </w:rPr>
      </w:pPr>
      <w:r w:rsidRPr="00E755C4">
        <w:rPr>
          <w:rFonts w:ascii="Times New Roman" w:hAnsi="Times New Roman" w:cs="Times New Roman"/>
        </w:rPr>
        <w:t xml:space="preserve">“The following is a list of activities, events, and experiences. For the time frame of </w:t>
      </w:r>
      <w:r w:rsidRPr="00E755C4">
        <w:rPr>
          <w:rFonts w:ascii="Times New Roman" w:hAnsi="Times New Roman" w:cs="Times New Roman"/>
          <w:b/>
          <w:u w:val="single"/>
        </w:rPr>
        <w:t>the last 30 days</w:t>
      </w:r>
      <w:r w:rsidRPr="00E755C4">
        <w:rPr>
          <w:rFonts w:ascii="Times New Roman" w:hAnsi="Times New Roman" w:cs="Times New Roman"/>
        </w:rPr>
        <w:t xml:space="preserve">, please rate </w:t>
      </w:r>
      <w:r w:rsidRPr="00E755C4">
        <w:rPr>
          <w:rFonts w:ascii="Times New Roman" w:hAnsi="Times New Roman" w:cs="Times New Roman"/>
          <w:b/>
          <w:u w:val="single"/>
        </w:rPr>
        <w:t>how often you have engaged</w:t>
      </w:r>
      <w:r w:rsidRPr="00E755C4">
        <w:rPr>
          <w:rFonts w:ascii="Times New Roman" w:hAnsi="Times New Roman" w:cs="Times New Roman"/>
        </w:rPr>
        <w:t xml:space="preserve"> in each activity, and </w:t>
      </w:r>
      <w:r w:rsidRPr="00E755C4">
        <w:rPr>
          <w:rFonts w:ascii="Times New Roman" w:hAnsi="Times New Roman" w:cs="Times New Roman"/>
          <w:b/>
          <w:u w:val="single"/>
        </w:rPr>
        <w:t xml:space="preserve">how much you enjoyed </w:t>
      </w:r>
      <w:r w:rsidRPr="00E755C4">
        <w:rPr>
          <w:rFonts w:ascii="Times New Roman" w:hAnsi="Times New Roman" w:cs="Times New Roman"/>
        </w:rPr>
        <w:t xml:space="preserve">each activity when you were </w:t>
      </w:r>
      <w:r w:rsidRPr="00E755C4">
        <w:rPr>
          <w:rFonts w:ascii="Times New Roman" w:hAnsi="Times New Roman" w:cs="Times New Roman"/>
          <w:b/>
          <w:u w:val="single"/>
        </w:rPr>
        <w:t>not</w:t>
      </w:r>
      <w:r w:rsidRPr="00E755C4">
        <w:rPr>
          <w:rFonts w:ascii="Times New Roman" w:hAnsi="Times New Roman" w:cs="Times New Roman"/>
        </w:rPr>
        <w:t xml:space="preserve"> drinking alcohol. </w:t>
      </w:r>
      <w:r w:rsidRPr="00E755C4">
        <w:rPr>
          <w:rFonts w:ascii="Times New Roman" w:hAnsi="Times New Roman" w:cs="Times New Roman"/>
          <w:b/>
        </w:rPr>
        <w:t xml:space="preserve">Therefore, please do not count an activity if you were drinking alcohol or under the influence of alcohol when you did the activity. </w:t>
      </w:r>
      <w:r w:rsidRPr="00E755C4">
        <w:rPr>
          <w:rFonts w:ascii="Times New Roman" w:hAnsi="Times New Roman" w:cs="Times New Roman"/>
        </w:rPr>
        <w:t xml:space="preserve">If you have experienced an activity more than once in the past month, try to rate how enjoyable it was on the average. </w:t>
      </w:r>
      <w:r w:rsidRPr="00E755C4">
        <w:rPr>
          <w:rFonts w:ascii="Times New Roman" w:hAnsi="Times New Roman" w:cs="Times New Roman"/>
          <w:b/>
          <w:u w:val="single"/>
        </w:rPr>
        <w:t>Do not</w:t>
      </w:r>
      <w:r w:rsidRPr="00E755C4">
        <w:rPr>
          <w:rFonts w:ascii="Times New Roman" w:hAnsi="Times New Roman" w:cs="Times New Roman"/>
          <w:b/>
        </w:rPr>
        <w:t xml:space="preserve"> make an enjoyment rating if you </w:t>
      </w:r>
      <w:r w:rsidRPr="00E755C4">
        <w:rPr>
          <w:rFonts w:ascii="Times New Roman" w:hAnsi="Times New Roman" w:cs="Times New Roman"/>
          <w:b/>
          <w:u w:val="single"/>
        </w:rPr>
        <w:t>have not</w:t>
      </w:r>
      <w:r w:rsidRPr="00E755C4">
        <w:rPr>
          <w:rFonts w:ascii="Times New Roman" w:hAnsi="Times New Roman" w:cs="Times New Roman"/>
          <w:b/>
        </w:rPr>
        <w:t xml:space="preserve"> engaged in the activity in the past 30 days.”</w:t>
      </w:r>
    </w:p>
    <w:p w14:paraId="022C9CB2" w14:textId="77777777" w:rsidR="00E755C4" w:rsidRPr="00E755C4" w:rsidRDefault="00E755C4" w:rsidP="00E755C4">
      <w:pPr>
        <w:pStyle w:val="NoSpacing"/>
        <w:rPr>
          <w:rFonts w:ascii="Times New Roman" w:hAnsi="Times New Roman" w:cs="Times New Roman"/>
          <w:b/>
        </w:rPr>
      </w:pPr>
    </w:p>
    <w:tbl>
      <w:tblPr>
        <w:tblW w:w="9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2"/>
        <w:gridCol w:w="3032"/>
        <w:gridCol w:w="3033"/>
      </w:tblGrid>
      <w:tr w:rsidR="00E755C4" w:rsidRPr="00E755C4" w14:paraId="0438789C" w14:textId="77777777" w:rsidTr="000E4244">
        <w:trPr>
          <w:trHeight w:val="269"/>
        </w:trPr>
        <w:tc>
          <w:tcPr>
            <w:tcW w:w="3032" w:type="dxa"/>
          </w:tcPr>
          <w:p w14:paraId="048401CE" w14:textId="77777777" w:rsidR="00E755C4" w:rsidRPr="00E755C4" w:rsidRDefault="00E755C4" w:rsidP="00E755C4">
            <w:pPr>
              <w:pStyle w:val="NoSpacing"/>
              <w:rPr>
                <w:rFonts w:ascii="Times New Roman" w:hAnsi="Times New Roman" w:cs="Times New Roman"/>
                <w:b/>
              </w:rPr>
            </w:pPr>
          </w:p>
        </w:tc>
        <w:tc>
          <w:tcPr>
            <w:tcW w:w="3032" w:type="dxa"/>
          </w:tcPr>
          <w:p w14:paraId="5745E499" w14:textId="77777777" w:rsidR="00E755C4" w:rsidRPr="00E755C4" w:rsidRDefault="00E755C4" w:rsidP="00E755C4">
            <w:pPr>
              <w:pStyle w:val="NoSpacing"/>
              <w:jc w:val="center"/>
              <w:rPr>
                <w:rFonts w:ascii="Times New Roman" w:hAnsi="Times New Roman" w:cs="Times New Roman"/>
                <w:b/>
              </w:rPr>
            </w:pPr>
            <w:r w:rsidRPr="00E755C4">
              <w:rPr>
                <w:rFonts w:ascii="Times New Roman" w:hAnsi="Times New Roman" w:cs="Times New Roman"/>
                <w:b/>
              </w:rPr>
              <w:t>Frequency</w:t>
            </w:r>
          </w:p>
        </w:tc>
        <w:tc>
          <w:tcPr>
            <w:tcW w:w="3033" w:type="dxa"/>
          </w:tcPr>
          <w:p w14:paraId="2F5FAB39" w14:textId="77777777" w:rsidR="00E755C4" w:rsidRPr="00E755C4" w:rsidRDefault="00E755C4" w:rsidP="00E755C4">
            <w:pPr>
              <w:pStyle w:val="NoSpacing"/>
              <w:jc w:val="center"/>
              <w:rPr>
                <w:rFonts w:ascii="Times New Roman" w:hAnsi="Times New Roman" w:cs="Times New Roman"/>
                <w:b/>
              </w:rPr>
            </w:pPr>
            <w:r w:rsidRPr="00E755C4">
              <w:rPr>
                <w:rFonts w:ascii="Times New Roman" w:hAnsi="Times New Roman" w:cs="Times New Roman"/>
                <w:b/>
              </w:rPr>
              <w:t>Enjoyment</w:t>
            </w:r>
          </w:p>
        </w:tc>
      </w:tr>
      <w:tr w:rsidR="00E755C4" w:rsidRPr="00E755C4" w14:paraId="36200A5E" w14:textId="77777777" w:rsidTr="000E4244">
        <w:trPr>
          <w:trHeight w:val="2914"/>
        </w:trPr>
        <w:tc>
          <w:tcPr>
            <w:tcW w:w="3032" w:type="dxa"/>
          </w:tcPr>
          <w:p w14:paraId="0577B66B" w14:textId="77777777" w:rsidR="00E755C4" w:rsidRPr="00E755C4" w:rsidRDefault="00E755C4" w:rsidP="00E755C4">
            <w:pPr>
              <w:pStyle w:val="NoSpacing"/>
              <w:rPr>
                <w:rFonts w:ascii="Times New Roman" w:hAnsi="Times New Roman" w:cs="Times New Roman"/>
                <w:b/>
              </w:rPr>
            </w:pPr>
          </w:p>
        </w:tc>
        <w:tc>
          <w:tcPr>
            <w:tcW w:w="3032" w:type="dxa"/>
          </w:tcPr>
          <w:p w14:paraId="5C9DCDC2" w14:textId="78E9A854" w:rsidR="00E755C4" w:rsidRPr="00E755C4" w:rsidRDefault="00E755C4" w:rsidP="00E755C4">
            <w:pPr>
              <w:pStyle w:val="NoSpacing"/>
              <w:jc w:val="center"/>
              <w:rPr>
                <w:rFonts w:ascii="Times New Roman" w:hAnsi="Times New Roman" w:cs="Times New Roman"/>
              </w:rPr>
            </w:pPr>
            <w:r w:rsidRPr="00E755C4">
              <w:rPr>
                <w:rFonts w:ascii="Times New Roman" w:hAnsi="Times New Roman" w:cs="Times New Roman"/>
              </w:rPr>
              <w:t>How often did you do this without drinking alcohol, over the past 30 days</w:t>
            </w:r>
            <w:r w:rsidR="000E4244">
              <w:rPr>
                <w:rFonts w:ascii="Times New Roman" w:hAnsi="Times New Roman" w:cs="Times New Roman"/>
              </w:rPr>
              <w:t>?</w:t>
            </w:r>
          </w:p>
          <w:p w14:paraId="2CEB6FBB" w14:textId="77777777" w:rsidR="00E755C4" w:rsidRPr="00E755C4" w:rsidRDefault="00E755C4" w:rsidP="00E755C4">
            <w:pPr>
              <w:pStyle w:val="NoSpacing"/>
              <w:jc w:val="center"/>
              <w:rPr>
                <w:rFonts w:ascii="Times New Roman" w:hAnsi="Times New Roman" w:cs="Times New Roman"/>
              </w:rPr>
            </w:pPr>
          </w:p>
          <w:p w14:paraId="5F2A341F" w14:textId="77777777" w:rsidR="00E755C4" w:rsidRPr="00E755C4" w:rsidRDefault="00E755C4" w:rsidP="00E755C4">
            <w:pPr>
              <w:pStyle w:val="NoSpacing"/>
              <w:jc w:val="center"/>
              <w:rPr>
                <w:rFonts w:ascii="Times New Roman" w:hAnsi="Times New Roman" w:cs="Times New Roman"/>
              </w:rPr>
            </w:pPr>
            <w:r w:rsidRPr="00E755C4">
              <w:rPr>
                <w:rFonts w:ascii="Times New Roman" w:hAnsi="Times New Roman" w:cs="Times New Roman"/>
              </w:rPr>
              <w:t>Remember, you should only include things in the count if you were not drinking alcohol, or were not under the influence of alcohol, when you did them</w:t>
            </w:r>
          </w:p>
        </w:tc>
        <w:tc>
          <w:tcPr>
            <w:tcW w:w="3033" w:type="dxa"/>
          </w:tcPr>
          <w:p w14:paraId="711E6545" w14:textId="36EB97E6" w:rsidR="00E755C4" w:rsidRPr="00E755C4" w:rsidRDefault="00E755C4" w:rsidP="00E755C4">
            <w:pPr>
              <w:pStyle w:val="NoSpacing"/>
              <w:jc w:val="center"/>
              <w:rPr>
                <w:rFonts w:ascii="Times New Roman" w:hAnsi="Times New Roman" w:cs="Times New Roman"/>
              </w:rPr>
            </w:pPr>
            <w:r w:rsidRPr="00E755C4">
              <w:rPr>
                <w:rFonts w:ascii="Times New Roman" w:hAnsi="Times New Roman" w:cs="Times New Roman"/>
              </w:rPr>
              <w:t>If you did this at least once, how enjoyable did you find it</w:t>
            </w:r>
            <w:r w:rsidR="000E4244">
              <w:rPr>
                <w:rFonts w:ascii="Times New Roman" w:hAnsi="Times New Roman" w:cs="Times New Roman"/>
              </w:rPr>
              <w:t>?</w:t>
            </w:r>
          </w:p>
        </w:tc>
      </w:tr>
      <w:tr w:rsidR="00E755C4" w:rsidRPr="00E755C4" w14:paraId="14CC71A3" w14:textId="77777777" w:rsidTr="000E4244">
        <w:trPr>
          <w:trHeight w:val="1395"/>
        </w:trPr>
        <w:tc>
          <w:tcPr>
            <w:tcW w:w="3032" w:type="dxa"/>
          </w:tcPr>
          <w:p w14:paraId="063A8D32"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 Meeting individuals and small groups (up to 6 people)</w:t>
            </w:r>
          </w:p>
          <w:p w14:paraId="0F4770DD"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Meeting friends, going for a meal, going for coffee</w:t>
            </w:r>
          </w:p>
        </w:tc>
        <w:tc>
          <w:tcPr>
            <w:tcW w:w="3032" w:type="dxa"/>
          </w:tcPr>
          <w:p w14:paraId="42C17C84" w14:textId="77777777" w:rsidR="00E755C4" w:rsidRPr="00E755C4" w:rsidRDefault="00E755C4" w:rsidP="00E755C4">
            <w:pPr>
              <w:pStyle w:val="NoSpacing"/>
              <w:rPr>
                <w:rFonts w:ascii="Times New Roman" w:hAnsi="Times New Roman" w:cs="Times New Roman"/>
                <w:b/>
              </w:rPr>
            </w:pPr>
          </w:p>
        </w:tc>
        <w:tc>
          <w:tcPr>
            <w:tcW w:w="3033" w:type="dxa"/>
          </w:tcPr>
          <w:p w14:paraId="13D2B091" w14:textId="77777777" w:rsidR="00E755C4" w:rsidRPr="00E755C4" w:rsidRDefault="00E755C4" w:rsidP="00E755C4">
            <w:pPr>
              <w:pStyle w:val="NoSpacing"/>
              <w:rPr>
                <w:rFonts w:ascii="Times New Roman" w:hAnsi="Times New Roman" w:cs="Times New Roman"/>
                <w:b/>
              </w:rPr>
            </w:pPr>
          </w:p>
        </w:tc>
      </w:tr>
      <w:tr w:rsidR="00E755C4" w:rsidRPr="00E755C4" w14:paraId="24842F15" w14:textId="77777777" w:rsidTr="000E4244">
        <w:trPr>
          <w:trHeight w:val="1378"/>
        </w:trPr>
        <w:tc>
          <w:tcPr>
            <w:tcW w:w="3032" w:type="dxa"/>
          </w:tcPr>
          <w:p w14:paraId="02302E38"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2. Larger group meetups (over 6 people)</w:t>
            </w:r>
          </w:p>
          <w:p w14:paraId="0D69D012"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Large gatherings and parties, society meetups, sports club socials</w:t>
            </w:r>
          </w:p>
        </w:tc>
        <w:tc>
          <w:tcPr>
            <w:tcW w:w="3032" w:type="dxa"/>
          </w:tcPr>
          <w:p w14:paraId="2F5FFF16" w14:textId="77777777" w:rsidR="00E755C4" w:rsidRPr="00E755C4" w:rsidRDefault="00E755C4" w:rsidP="00E755C4">
            <w:pPr>
              <w:pStyle w:val="NoSpacing"/>
              <w:rPr>
                <w:rFonts w:ascii="Times New Roman" w:hAnsi="Times New Roman" w:cs="Times New Roman"/>
                <w:b/>
              </w:rPr>
            </w:pPr>
          </w:p>
        </w:tc>
        <w:tc>
          <w:tcPr>
            <w:tcW w:w="3033" w:type="dxa"/>
          </w:tcPr>
          <w:p w14:paraId="10C9B07C" w14:textId="77777777" w:rsidR="00E755C4" w:rsidRPr="00E755C4" w:rsidRDefault="00E755C4" w:rsidP="00E755C4">
            <w:pPr>
              <w:pStyle w:val="NoSpacing"/>
              <w:rPr>
                <w:rFonts w:ascii="Times New Roman" w:hAnsi="Times New Roman" w:cs="Times New Roman"/>
                <w:b/>
              </w:rPr>
            </w:pPr>
          </w:p>
        </w:tc>
      </w:tr>
      <w:tr w:rsidR="00E755C4" w:rsidRPr="00E755C4" w14:paraId="024C2CBE" w14:textId="77777777" w:rsidTr="000E4244">
        <w:trPr>
          <w:trHeight w:val="823"/>
        </w:trPr>
        <w:tc>
          <w:tcPr>
            <w:tcW w:w="3032" w:type="dxa"/>
          </w:tcPr>
          <w:p w14:paraId="7E0F0EA5"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3. Virtual socialising</w:t>
            </w:r>
          </w:p>
          <w:p w14:paraId="22B1BDDD"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Texting, social media, phone calls, FaceTime</w:t>
            </w:r>
          </w:p>
        </w:tc>
        <w:tc>
          <w:tcPr>
            <w:tcW w:w="3032" w:type="dxa"/>
          </w:tcPr>
          <w:p w14:paraId="17CD8CBF" w14:textId="77777777" w:rsidR="00E755C4" w:rsidRPr="00E755C4" w:rsidRDefault="00E755C4" w:rsidP="00E755C4">
            <w:pPr>
              <w:pStyle w:val="NoSpacing"/>
              <w:rPr>
                <w:rFonts w:ascii="Times New Roman" w:hAnsi="Times New Roman" w:cs="Times New Roman"/>
                <w:b/>
              </w:rPr>
            </w:pPr>
          </w:p>
        </w:tc>
        <w:tc>
          <w:tcPr>
            <w:tcW w:w="3033" w:type="dxa"/>
          </w:tcPr>
          <w:p w14:paraId="439D3D79" w14:textId="77777777" w:rsidR="00E755C4" w:rsidRPr="00E755C4" w:rsidRDefault="00E755C4" w:rsidP="00E755C4">
            <w:pPr>
              <w:pStyle w:val="NoSpacing"/>
              <w:rPr>
                <w:rFonts w:ascii="Times New Roman" w:hAnsi="Times New Roman" w:cs="Times New Roman"/>
                <w:b/>
              </w:rPr>
            </w:pPr>
          </w:p>
        </w:tc>
      </w:tr>
      <w:tr w:rsidR="00E755C4" w:rsidRPr="00E755C4" w14:paraId="70536640" w14:textId="77777777" w:rsidTr="000E4244">
        <w:trPr>
          <w:trHeight w:val="823"/>
        </w:trPr>
        <w:tc>
          <w:tcPr>
            <w:tcW w:w="3032" w:type="dxa"/>
          </w:tcPr>
          <w:p w14:paraId="3F5D2A13"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4. Sport and exercise</w:t>
            </w:r>
          </w:p>
          <w:p w14:paraId="7423E575"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Playing sport, going to the gym</w:t>
            </w:r>
          </w:p>
        </w:tc>
        <w:tc>
          <w:tcPr>
            <w:tcW w:w="3032" w:type="dxa"/>
          </w:tcPr>
          <w:p w14:paraId="2026A015" w14:textId="77777777" w:rsidR="00E755C4" w:rsidRPr="00E755C4" w:rsidRDefault="00E755C4" w:rsidP="00E755C4">
            <w:pPr>
              <w:pStyle w:val="NoSpacing"/>
              <w:rPr>
                <w:rFonts w:ascii="Times New Roman" w:hAnsi="Times New Roman" w:cs="Times New Roman"/>
                <w:b/>
              </w:rPr>
            </w:pPr>
          </w:p>
        </w:tc>
        <w:tc>
          <w:tcPr>
            <w:tcW w:w="3033" w:type="dxa"/>
          </w:tcPr>
          <w:p w14:paraId="04D812BC" w14:textId="77777777" w:rsidR="00E755C4" w:rsidRPr="00E755C4" w:rsidRDefault="00E755C4" w:rsidP="00E755C4">
            <w:pPr>
              <w:pStyle w:val="NoSpacing"/>
              <w:rPr>
                <w:rFonts w:ascii="Times New Roman" w:hAnsi="Times New Roman" w:cs="Times New Roman"/>
                <w:b/>
              </w:rPr>
            </w:pPr>
          </w:p>
        </w:tc>
      </w:tr>
      <w:tr w:rsidR="00E755C4" w:rsidRPr="00E755C4" w14:paraId="7F5C50E8" w14:textId="77777777" w:rsidTr="000E4244">
        <w:trPr>
          <w:trHeight w:val="1361"/>
        </w:trPr>
        <w:tc>
          <w:tcPr>
            <w:tcW w:w="3032" w:type="dxa"/>
          </w:tcPr>
          <w:p w14:paraId="4A8688AE"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lastRenderedPageBreak/>
              <w:t>5. Entertainment at home</w:t>
            </w:r>
          </w:p>
          <w:p w14:paraId="2636568D"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Video games, reading a book, watching a movie, streaming show, listening to a podcast or audiobook</w:t>
            </w:r>
          </w:p>
        </w:tc>
        <w:tc>
          <w:tcPr>
            <w:tcW w:w="3032" w:type="dxa"/>
          </w:tcPr>
          <w:p w14:paraId="0DA322D0" w14:textId="77777777" w:rsidR="00E755C4" w:rsidRPr="00E755C4" w:rsidRDefault="00E755C4" w:rsidP="00E755C4">
            <w:pPr>
              <w:pStyle w:val="NoSpacing"/>
              <w:rPr>
                <w:rFonts w:ascii="Times New Roman" w:hAnsi="Times New Roman" w:cs="Times New Roman"/>
                <w:b/>
              </w:rPr>
            </w:pPr>
          </w:p>
        </w:tc>
        <w:tc>
          <w:tcPr>
            <w:tcW w:w="3033" w:type="dxa"/>
          </w:tcPr>
          <w:p w14:paraId="467B32E5" w14:textId="77777777" w:rsidR="00E755C4" w:rsidRPr="00E755C4" w:rsidRDefault="00E755C4" w:rsidP="00E755C4">
            <w:pPr>
              <w:pStyle w:val="NoSpacing"/>
              <w:rPr>
                <w:rFonts w:ascii="Times New Roman" w:hAnsi="Times New Roman" w:cs="Times New Roman"/>
                <w:b/>
              </w:rPr>
            </w:pPr>
          </w:p>
        </w:tc>
      </w:tr>
      <w:tr w:rsidR="00E755C4" w:rsidRPr="00E755C4" w14:paraId="5D0C7DC2" w14:textId="77777777" w:rsidTr="000E4244">
        <w:trPr>
          <w:trHeight w:val="1378"/>
        </w:trPr>
        <w:tc>
          <w:tcPr>
            <w:tcW w:w="3032" w:type="dxa"/>
          </w:tcPr>
          <w:p w14:paraId="1398CCB2"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6. Entertainment outside the home</w:t>
            </w:r>
          </w:p>
          <w:p w14:paraId="67F1783E"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Going to the cinema, going to the theatre, visiting museums or art galleries</w:t>
            </w:r>
          </w:p>
        </w:tc>
        <w:tc>
          <w:tcPr>
            <w:tcW w:w="3032" w:type="dxa"/>
          </w:tcPr>
          <w:p w14:paraId="359EC97A" w14:textId="77777777" w:rsidR="00E755C4" w:rsidRPr="00E755C4" w:rsidRDefault="00E755C4" w:rsidP="00E755C4">
            <w:pPr>
              <w:pStyle w:val="NoSpacing"/>
              <w:rPr>
                <w:rFonts w:ascii="Times New Roman" w:hAnsi="Times New Roman" w:cs="Times New Roman"/>
                <w:b/>
              </w:rPr>
            </w:pPr>
          </w:p>
        </w:tc>
        <w:tc>
          <w:tcPr>
            <w:tcW w:w="3033" w:type="dxa"/>
          </w:tcPr>
          <w:p w14:paraId="27A416D4" w14:textId="77777777" w:rsidR="00E755C4" w:rsidRPr="00E755C4" w:rsidRDefault="00E755C4" w:rsidP="00E755C4">
            <w:pPr>
              <w:pStyle w:val="NoSpacing"/>
              <w:rPr>
                <w:rFonts w:ascii="Times New Roman" w:hAnsi="Times New Roman" w:cs="Times New Roman"/>
                <w:b/>
              </w:rPr>
            </w:pPr>
          </w:p>
        </w:tc>
      </w:tr>
      <w:tr w:rsidR="00E755C4" w:rsidRPr="00E755C4" w14:paraId="1F4D8995" w14:textId="77777777" w:rsidTr="000E4244">
        <w:trPr>
          <w:trHeight w:val="1109"/>
        </w:trPr>
        <w:tc>
          <w:tcPr>
            <w:tcW w:w="3032" w:type="dxa"/>
          </w:tcPr>
          <w:p w14:paraId="434164E7"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7. Hobbies</w:t>
            </w:r>
          </w:p>
          <w:p w14:paraId="3EC8BB33"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Photography, gardening, painting, playing an instrument</w:t>
            </w:r>
          </w:p>
        </w:tc>
        <w:tc>
          <w:tcPr>
            <w:tcW w:w="3032" w:type="dxa"/>
          </w:tcPr>
          <w:p w14:paraId="35C25FBB" w14:textId="77777777" w:rsidR="00E755C4" w:rsidRPr="00E755C4" w:rsidRDefault="00E755C4" w:rsidP="00E755C4">
            <w:pPr>
              <w:pStyle w:val="NoSpacing"/>
              <w:rPr>
                <w:rFonts w:ascii="Times New Roman" w:hAnsi="Times New Roman" w:cs="Times New Roman"/>
                <w:b/>
              </w:rPr>
            </w:pPr>
          </w:p>
        </w:tc>
        <w:tc>
          <w:tcPr>
            <w:tcW w:w="3033" w:type="dxa"/>
          </w:tcPr>
          <w:p w14:paraId="7CDF585B" w14:textId="77777777" w:rsidR="00E755C4" w:rsidRPr="00E755C4" w:rsidRDefault="00E755C4" w:rsidP="00E755C4">
            <w:pPr>
              <w:pStyle w:val="NoSpacing"/>
              <w:rPr>
                <w:rFonts w:ascii="Times New Roman" w:hAnsi="Times New Roman" w:cs="Times New Roman"/>
                <w:b/>
              </w:rPr>
            </w:pPr>
          </w:p>
        </w:tc>
      </w:tr>
      <w:tr w:rsidR="00E755C4" w:rsidRPr="00E755C4" w14:paraId="05ABE344" w14:textId="77777777" w:rsidTr="000E4244">
        <w:trPr>
          <w:trHeight w:val="538"/>
        </w:trPr>
        <w:tc>
          <w:tcPr>
            <w:tcW w:w="3032" w:type="dxa"/>
          </w:tcPr>
          <w:p w14:paraId="7CA3C99B"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8. Work</w:t>
            </w:r>
          </w:p>
          <w:p w14:paraId="327A2D28"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Doing paid work</w:t>
            </w:r>
          </w:p>
        </w:tc>
        <w:tc>
          <w:tcPr>
            <w:tcW w:w="3032" w:type="dxa"/>
          </w:tcPr>
          <w:p w14:paraId="14231619" w14:textId="77777777" w:rsidR="00E755C4" w:rsidRPr="00E755C4" w:rsidRDefault="00E755C4" w:rsidP="00E755C4">
            <w:pPr>
              <w:pStyle w:val="NoSpacing"/>
              <w:rPr>
                <w:rFonts w:ascii="Times New Roman" w:hAnsi="Times New Roman" w:cs="Times New Roman"/>
                <w:b/>
              </w:rPr>
            </w:pPr>
          </w:p>
        </w:tc>
        <w:tc>
          <w:tcPr>
            <w:tcW w:w="3033" w:type="dxa"/>
          </w:tcPr>
          <w:p w14:paraId="21138A43" w14:textId="77777777" w:rsidR="00E755C4" w:rsidRPr="00E755C4" w:rsidRDefault="00E755C4" w:rsidP="00E755C4">
            <w:pPr>
              <w:pStyle w:val="NoSpacing"/>
              <w:rPr>
                <w:rFonts w:ascii="Times New Roman" w:hAnsi="Times New Roman" w:cs="Times New Roman"/>
                <w:b/>
              </w:rPr>
            </w:pPr>
          </w:p>
        </w:tc>
      </w:tr>
      <w:tr w:rsidR="00E755C4" w:rsidRPr="00E755C4" w14:paraId="0945AB31" w14:textId="77777777" w:rsidTr="000E4244">
        <w:trPr>
          <w:trHeight w:val="823"/>
        </w:trPr>
        <w:tc>
          <w:tcPr>
            <w:tcW w:w="3032" w:type="dxa"/>
          </w:tcPr>
          <w:p w14:paraId="2E3A60A6"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 xml:space="preserve">9. University </w:t>
            </w:r>
          </w:p>
          <w:p w14:paraId="109A9BF2"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Being a student, time spent studying</w:t>
            </w:r>
          </w:p>
        </w:tc>
        <w:tc>
          <w:tcPr>
            <w:tcW w:w="3032" w:type="dxa"/>
          </w:tcPr>
          <w:p w14:paraId="165D4C03" w14:textId="77777777" w:rsidR="00E755C4" w:rsidRPr="00E755C4" w:rsidRDefault="00E755C4" w:rsidP="00E755C4">
            <w:pPr>
              <w:pStyle w:val="NoSpacing"/>
              <w:rPr>
                <w:rFonts w:ascii="Times New Roman" w:hAnsi="Times New Roman" w:cs="Times New Roman"/>
                <w:b/>
              </w:rPr>
            </w:pPr>
          </w:p>
        </w:tc>
        <w:tc>
          <w:tcPr>
            <w:tcW w:w="3033" w:type="dxa"/>
          </w:tcPr>
          <w:p w14:paraId="1439D24E" w14:textId="77777777" w:rsidR="00E755C4" w:rsidRPr="00E755C4" w:rsidRDefault="00E755C4" w:rsidP="00E755C4">
            <w:pPr>
              <w:pStyle w:val="NoSpacing"/>
              <w:rPr>
                <w:rFonts w:ascii="Times New Roman" w:hAnsi="Times New Roman" w:cs="Times New Roman"/>
                <w:b/>
              </w:rPr>
            </w:pPr>
          </w:p>
        </w:tc>
      </w:tr>
      <w:tr w:rsidR="00E755C4" w:rsidRPr="00E755C4" w14:paraId="2BE778D8" w14:textId="77777777" w:rsidTr="000E4244">
        <w:trPr>
          <w:trHeight w:val="823"/>
        </w:trPr>
        <w:tc>
          <w:tcPr>
            <w:tcW w:w="3032" w:type="dxa"/>
          </w:tcPr>
          <w:p w14:paraId="50C53AC3"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10. Volunteering</w:t>
            </w:r>
          </w:p>
          <w:p w14:paraId="396C1B04"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 xml:space="preserve">E.g., Helping out locally or for a charity </w:t>
            </w:r>
          </w:p>
        </w:tc>
        <w:tc>
          <w:tcPr>
            <w:tcW w:w="3032" w:type="dxa"/>
          </w:tcPr>
          <w:p w14:paraId="03552992" w14:textId="77777777" w:rsidR="00E755C4" w:rsidRPr="00E755C4" w:rsidRDefault="00E755C4" w:rsidP="00E755C4">
            <w:pPr>
              <w:pStyle w:val="NoSpacing"/>
              <w:rPr>
                <w:rFonts w:ascii="Times New Roman" w:hAnsi="Times New Roman" w:cs="Times New Roman"/>
                <w:b/>
              </w:rPr>
            </w:pPr>
          </w:p>
        </w:tc>
        <w:tc>
          <w:tcPr>
            <w:tcW w:w="3033" w:type="dxa"/>
          </w:tcPr>
          <w:p w14:paraId="75287398" w14:textId="77777777" w:rsidR="00E755C4" w:rsidRPr="00E755C4" w:rsidRDefault="00E755C4" w:rsidP="00E755C4">
            <w:pPr>
              <w:pStyle w:val="NoSpacing"/>
              <w:rPr>
                <w:rFonts w:ascii="Times New Roman" w:hAnsi="Times New Roman" w:cs="Times New Roman"/>
                <w:b/>
              </w:rPr>
            </w:pPr>
          </w:p>
        </w:tc>
      </w:tr>
      <w:tr w:rsidR="00E755C4" w:rsidRPr="00E755C4" w14:paraId="48912037" w14:textId="77777777" w:rsidTr="000E4244">
        <w:trPr>
          <w:trHeight w:val="823"/>
        </w:trPr>
        <w:tc>
          <w:tcPr>
            <w:tcW w:w="3032" w:type="dxa"/>
          </w:tcPr>
          <w:p w14:paraId="6A13D327"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11. Relaxing</w:t>
            </w:r>
          </w:p>
          <w:p w14:paraId="15987376"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Napping, meditation, taking a bath</w:t>
            </w:r>
          </w:p>
        </w:tc>
        <w:tc>
          <w:tcPr>
            <w:tcW w:w="3032" w:type="dxa"/>
          </w:tcPr>
          <w:p w14:paraId="149225C0" w14:textId="77777777" w:rsidR="00E755C4" w:rsidRPr="00E755C4" w:rsidRDefault="00E755C4" w:rsidP="00E755C4">
            <w:pPr>
              <w:pStyle w:val="NoSpacing"/>
              <w:rPr>
                <w:rFonts w:ascii="Times New Roman" w:hAnsi="Times New Roman" w:cs="Times New Roman"/>
                <w:b/>
              </w:rPr>
            </w:pPr>
          </w:p>
        </w:tc>
        <w:tc>
          <w:tcPr>
            <w:tcW w:w="3033" w:type="dxa"/>
          </w:tcPr>
          <w:p w14:paraId="45BEECD9" w14:textId="77777777" w:rsidR="00E755C4" w:rsidRPr="00E755C4" w:rsidRDefault="00E755C4" w:rsidP="00E755C4">
            <w:pPr>
              <w:pStyle w:val="NoSpacing"/>
              <w:rPr>
                <w:rFonts w:ascii="Times New Roman" w:hAnsi="Times New Roman" w:cs="Times New Roman"/>
                <w:b/>
              </w:rPr>
            </w:pPr>
          </w:p>
        </w:tc>
      </w:tr>
      <w:tr w:rsidR="00E755C4" w:rsidRPr="00E755C4" w14:paraId="5931C59D" w14:textId="77777777" w:rsidTr="000E4244">
        <w:trPr>
          <w:trHeight w:val="1109"/>
        </w:trPr>
        <w:tc>
          <w:tcPr>
            <w:tcW w:w="3032" w:type="dxa"/>
          </w:tcPr>
          <w:p w14:paraId="028DC097"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12. Being alone</w:t>
            </w:r>
          </w:p>
          <w:p w14:paraId="132215D5"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Spending time by yourself and not focused on an activity</w:t>
            </w:r>
          </w:p>
        </w:tc>
        <w:tc>
          <w:tcPr>
            <w:tcW w:w="3032" w:type="dxa"/>
          </w:tcPr>
          <w:p w14:paraId="1DAC4FF8" w14:textId="77777777" w:rsidR="00E755C4" w:rsidRPr="00E755C4" w:rsidRDefault="00E755C4" w:rsidP="00E755C4">
            <w:pPr>
              <w:pStyle w:val="NoSpacing"/>
              <w:rPr>
                <w:rFonts w:ascii="Times New Roman" w:hAnsi="Times New Roman" w:cs="Times New Roman"/>
                <w:b/>
              </w:rPr>
            </w:pPr>
          </w:p>
        </w:tc>
        <w:tc>
          <w:tcPr>
            <w:tcW w:w="3033" w:type="dxa"/>
          </w:tcPr>
          <w:p w14:paraId="7684A16D" w14:textId="77777777" w:rsidR="00E755C4" w:rsidRPr="00E755C4" w:rsidRDefault="00E755C4" w:rsidP="00E755C4">
            <w:pPr>
              <w:pStyle w:val="NoSpacing"/>
              <w:rPr>
                <w:rFonts w:ascii="Times New Roman" w:hAnsi="Times New Roman" w:cs="Times New Roman"/>
                <w:b/>
              </w:rPr>
            </w:pPr>
          </w:p>
        </w:tc>
      </w:tr>
      <w:tr w:rsidR="00E755C4" w:rsidRPr="00E755C4" w14:paraId="1BF380A1" w14:textId="77777777" w:rsidTr="000E4244">
        <w:trPr>
          <w:trHeight w:val="823"/>
        </w:trPr>
        <w:tc>
          <w:tcPr>
            <w:tcW w:w="3032" w:type="dxa"/>
          </w:tcPr>
          <w:p w14:paraId="6576EAFB"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13. Religion and politics</w:t>
            </w:r>
          </w:p>
          <w:p w14:paraId="1E217BF2"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Going to church, going to protest</w:t>
            </w:r>
          </w:p>
        </w:tc>
        <w:tc>
          <w:tcPr>
            <w:tcW w:w="3032" w:type="dxa"/>
          </w:tcPr>
          <w:p w14:paraId="059CC7D0" w14:textId="77777777" w:rsidR="00E755C4" w:rsidRPr="00E755C4" w:rsidRDefault="00E755C4" w:rsidP="00E755C4">
            <w:pPr>
              <w:pStyle w:val="NoSpacing"/>
              <w:rPr>
                <w:rFonts w:ascii="Times New Roman" w:hAnsi="Times New Roman" w:cs="Times New Roman"/>
                <w:b/>
              </w:rPr>
            </w:pPr>
          </w:p>
        </w:tc>
        <w:tc>
          <w:tcPr>
            <w:tcW w:w="3033" w:type="dxa"/>
          </w:tcPr>
          <w:p w14:paraId="6AAA2251" w14:textId="77777777" w:rsidR="00E755C4" w:rsidRPr="00E755C4" w:rsidRDefault="00E755C4" w:rsidP="00E755C4">
            <w:pPr>
              <w:pStyle w:val="NoSpacing"/>
              <w:rPr>
                <w:rFonts w:ascii="Times New Roman" w:hAnsi="Times New Roman" w:cs="Times New Roman"/>
                <w:b/>
              </w:rPr>
            </w:pPr>
          </w:p>
        </w:tc>
      </w:tr>
      <w:tr w:rsidR="00E755C4" w:rsidRPr="00E755C4" w14:paraId="2271F351" w14:textId="77777777" w:rsidTr="000E4244">
        <w:trPr>
          <w:trHeight w:val="538"/>
        </w:trPr>
        <w:tc>
          <w:tcPr>
            <w:tcW w:w="3032" w:type="dxa"/>
          </w:tcPr>
          <w:p w14:paraId="679A55FC"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14. Sexual activity</w:t>
            </w:r>
          </w:p>
          <w:p w14:paraId="26E198EA"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Use your imagination</w:t>
            </w:r>
          </w:p>
        </w:tc>
        <w:tc>
          <w:tcPr>
            <w:tcW w:w="3032" w:type="dxa"/>
          </w:tcPr>
          <w:p w14:paraId="37B3FFDB" w14:textId="77777777" w:rsidR="00E755C4" w:rsidRPr="00E755C4" w:rsidRDefault="00E755C4" w:rsidP="00E755C4">
            <w:pPr>
              <w:pStyle w:val="NoSpacing"/>
              <w:rPr>
                <w:rFonts w:ascii="Times New Roman" w:hAnsi="Times New Roman" w:cs="Times New Roman"/>
                <w:b/>
              </w:rPr>
            </w:pPr>
          </w:p>
        </w:tc>
        <w:tc>
          <w:tcPr>
            <w:tcW w:w="3033" w:type="dxa"/>
          </w:tcPr>
          <w:p w14:paraId="0F6B4CE7" w14:textId="77777777" w:rsidR="00E755C4" w:rsidRPr="00E755C4" w:rsidRDefault="00E755C4" w:rsidP="00E755C4">
            <w:pPr>
              <w:pStyle w:val="NoSpacing"/>
              <w:rPr>
                <w:rFonts w:ascii="Times New Roman" w:hAnsi="Times New Roman" w:cs="Times New Roman"/>
                <w:b/>
              </w:rPr>
            </w:pPr>
          </w:p>
        </w:tc>
      </w:tr>
      <w:tr w:rsidR="00E755C4" w:rsidRPr="00E755C4" w14:paraId="425F8D44" w14:textId="77777777" w:rsidTr="000E4244">
        <w:trPr>
          <w:trHeight w:val="1109"/>
        </w:trPr>
        <w:tc>
          <w:tcPr>
            <w:tcW w:w="3032" w:type="dxa"/>
          </w:tcPr>
          <w:p w14:paraId="08902326"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15. Caring for others</w:t>
            </w:r>
          </w:p>
          <w:p w14:paraId="1CA12F8A"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Baby, children, elderly, pets, bathing a child, playing with a child</w:t>
            </w:r>
          </w:p>
        </w:tc>
        <w:tc>
          <w:tcPr>
            <w:tcW w:w="3032" w:type="dxa"/>
          </w:tcPr>
          <w:p w14:paraId="6EA98697" w14:textId="77777777" w:rsidR="00E755C4" w:rsidRPr="00E755C4" w:rsidRDefault="00E755C4" w:rsidP="00E755C4">
            <w:pPr>
              <w:pStyle w:val="NoSpacing"/>
              <w:rPr>
                <w:rFonts w:ascii="Times New Roman" w:hAnsi="Times New Roman" w:cs="Times New Roman"/>
                <w:b/>
              </w:rPr>
            </w:pPr>
          </w:p>
        </w:tc>
        <w:tc>
          <w:tcPr>
            <w:tcW w:w="3033" w:type="dxa"/>
          </w:tcPr>
          <w:p w14:paraId="789D374D" w14:textId="77777777" w:rsidR="00E755C4" w:rsidRPr="00E755C4" w:rsidRDefault="00E755C4" w:rsidP="00E755C4">
            <w:pPr>
              <w:pStyle w:val="NoSpacing"/>
              <w:rPr>
                <w:rFonts w:ascii="Times New Roman" w:hAnsi="Times New Roman" w:cs="Times New Roman"/>
                <w:b/>
              </w:rPr>
            </w:pPr>
          </w:p>
        </w:tc>
      </w:tr>
      <w:tr w:rsidR="00E755C4" w:rsidRPr="00E755C4" w14:paraId="78F25CED" w14:textId="77777777" w:rsidTr="000E4244">
        <w:trPr>
          <w:trHeight w:val="823"/>
        </w:trPr>
        <w:tc>
          <w:tcPr>
            <w:tcW w:w="3032" w:type="dxa"/>
          </w:tcPr>
          <w:p w14:paraId="66BB5320"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16. Domestic activity</w:t>
            </w:r>
          </w:p>
          <w:p w14:paraId="3B70E245"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Housework, grocery shopping, cooking, cleaning</w:t>
            </w:r>
          </w:p>
        </w:tc>
        <w:tc>
          <w:tcPr>
            <w:tcW w:w="3032" w:type="dxa"/>
          </w:tcPr>
          <w:p w14:paraId="74A53D44" w14:textId="77777777" w:rsidR="00E755C4" w:rsidRPr="00E755C4" w:rsidRDefault="00E755C4" w:rsidP="00E755C4">
            <w:pPr>
              <w:pStyle w:val="NoSpacing"/>
              <w:rPr>
                <w:rFonts w:ascii="Times New Roman" w:hAnsi="Times New Roman" w:cs="Times New Roman"/>
                <w:b/>
              </w:rPr>
            </w:pPr>
          </w:p>
        </w:tc>
        <w:tc>
          <w:tcPr>
            <w:tcW w:w="3033" w:type="dxa"/>
          </w:tcPr>
          <w:p w14:paraId="022C4F7F" w14:textId="77777777" w:rsidR="00E755C4" w:rsidRPr="00E755C4" w:rsidRDefault="00E755C4" w:rsidP="00E755C4">
            <w:pPr>
              <w:pStyle w:val="NoSpacing"/>
              <w:rPr>
                <w:rFonts w:ascii="Times New Roman" w:hAnsi="Times New Roman" w:cs="Times New Roman"/>
                <w:b/>
              </w:rPr>
            </w:pPr>
          </w:p>
        </w:tc>
      </w:tr>
      <w:tr w:rsidR="00E755C4" w:rsidRPr="00E755C4" w14:paraId="244878E3" w14:textId="77777777" w:rsidTr="000E4244">
        <w:trPr>
          <w:trHeight w:val="1092"/>
        </w:trPr>
        <w:tc>
          <w:tcPr>
            <w:tcW w:w="3032" w:type="dxa"/>
          </w:tcPr>
          <w:p w14:paraId="04E3ED3C"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b/>
              </w:rPr>
              <w:t xml:space="preserve">17. Time in nature </w:t>
            </w:r>
          </w:p>
          <w:p w14:paraId="3710C807" w14:textId="77777777" w:rsidR="00E755C4" w:rsidRPr="00E755C4" w:rsidRDefault="00E755C4" w:rsidP="00E755C4">
            <w:pPr>
              <w:pStyle w:val="NoSpacing"/>
              <w:rPr>
                <w:rFonts w:ascii="Times New Roman" w:hAnsi="Times New Roman" w:cs="Times New Roman"/>
                <w:b/>
              </w:rPr>
            </w:pPr>
            <w:r w:rsidRPr="00E755C4">
              <w:rPr>
                <w:rFonts w:ascii="Times New Roman" w:hAnsi="Times New Roman" w:cs="Times New Roman"/>
                <w:i/>
              </w:rPr>
              <w:t>E.g., Going for walks, sitting in a park, visiting green-spaces</w:t>
            </w:r>
          </w:p>
        </w:tc>
        <w:tc>
          <w:tcPr>
            <w:tcW w:w="3032" w:type="dxa"/>
          </w:tcPr>
          <w:p w14:paraId="19D674FC" w14:textId="77777777" w:rsidR="00E755C4" w:rsidRPr="00E755C4" w:rsidRDefault="00E755C4" w:rsidP="00E755C4">
            <w:pPr>
              <w:pStyle w:val="NoSpacing"/>
              <w:rPr>
                <w:rFonts w:ascii="Times New Roman" w:hAnsi="Times New Roman" w:cs="Times New Roman"/>
                <w:b/>
              </w:rPr>
            </w:pPr>
          </w:p>
        </w:tc>
        <w:tc>
          <w:tcPr>
            <w:tcW w:w="3033" w:type="dxa"/>
          </w:tcPr>
          <w:p w14:paraId="5352A31D" w14:textId="77777777" w:rsidR="00E755C4" w:rsidRPr="00E755C4" w:rsidRDefault="00E755C4" w:rsidP="00E755C4">
            <w:pPr>
              <w:pStyle w:val="NoSpacing"/>
              <w:rPr>
                <w:rFonts w:ascii="Times New Roman" w:hAnsi="Times New Roman" w:cs="Times New Roman"/>
                <w:b/>
              </w:rPr>
            </w:pPr>
          </w:p>
        </w:tc>
      </w:tr>
    </w:tbl>
    <w:p w14:paraId="0B525EC8" w14:textId="264DA361" w:rsidR="00E755C4" w:rsidRPr="00E755C4" w:rsidRDefault="00E755C4" w:rsidP="000E4244">
      <w:pPr>
        <w:pStyle w:val="NoSpacing"/>
        <w:pBdr>
          <w:bottom w:val="single" w:sz="12" w:space="14" w:color="auto"/>
        </w:pBdr>
        <w:spacing w:line="480" w:lineRule="auto"/>
        <w:rPr>
          <w:rFonts w:ascii="Times New Roman" w:hAnsi="Times New Roman" w:cs="Times New Roman"/>
        </w:rPr>
      </w:pPr>
      <w:r w:rsidRPr="00E755C4">
        <w:rPr>
          <w:rFonts w:ascii="Times New Roman" w:hAnsi="Times New Roman" w:cs="Times New Roman"/>
        </w:rPr>
        <w:t>Were there any alcohol-free activities that you either do often or enjoy doing that did not fit into any of the categories or questions above? If so, please write this down below:</w:t>
      </w:r>
    </w:p>
    <w:p w14:paraId="12552C2A" w14:textId="688C0273" w:rsidR="000E4244" w:rsidRDefault="000E4244" w:rsidP="00093B56">
      <w:pPr>
        <w:pStyle w:val="NoSpacing"/>
      </w:pPr>
    </w:p>
    <w:p w14:paraId="5E46E2A6" w14:textId="77777777" w:rsidR="000E4244" w:rsidRDefault="000E4244" w:rsidP="00093B56">
      <w:pPr>
        <w:pStyle w:val="NoSpacing"/>
      </w:pPr>
    </w:p>
    <w:tbl>
      <w:tblPr>
        <w:tblW w:w="7204" w:type="dxa"/>
        <w:tblBorders>
          <w:top w:val="nil"/>
          <w:left w:val="nil"/>
          <w:bottom w:val="nil"/>
          <w:right w:val="nil"/>
          <w:insideH w:val="nil"/>
          <w:insideV w:val="nil"/>
        </w:tblBorders>
        <w:tblLayout w:type="fixed"/>
        <w:tblLook w:val="0400" w:firstRow="0" w:lastRow="0" w:firstColumn="0" w:lastColumn="0" w:noHBand="0" w:noVBand="1"/>
      </w:tblPr>
      <w:tblGrid>
        <w:gridCol w:w="3602"/>
        <w:gridCol w:w="3602"/>
      </w:tblGrid>
      <w:tr w:rsidR="000E4244" w:rsidRPr="000E4244" w14:paraId="5BF6735F" w14:textId="77777777" w:rsidTr="000E4244">
        <w:trPr>
          <w:trHeight w:val="649"/>
        </w:trPr>
        <w:tc>
          <w:tcPr>
            <w:tcW w:w="3602" w:type="dxa"/>
          </w:tcPr>
          <w:p w14:paraId="4584449E" w14:textId="77777777" w:rsidR="000E4244" w:rsidRPr="000E4244" w:rsidRDefault="000E4244" w:rsidP="000E4244">
            <w:pPr>
              <w:pStyle w:val="NoSpacing"/>
              <w:rPr>
                <w:rFonts w:ascii="Times New Roman" w:hAnsi="Times New Roman" w:cs="Times New Roman"/>
              </w:rPr>
            </w:pPr>
            <w:r w:rsidRPr="000E4244">
              <w:rPr>
                <w:rFonts w:ascii="Times New Roman" w:hAnsi="Times New Roman" w:cs="Times New Roman"/>
              </w:rPr>
              <w:t>Frequency</w:t>
            </w:r>
          </w:p>
        </w:tc>
        <w:tc>
          <w:tcPr>
            <w:tcW w:w="3602" w:type="dxa"/>
          </w:tcPr>
          <w:p w14:paraId="7E494559" w14:textId="77777777" w:rsidR="000E4244" w:rsidRPr="000E4244" w:rsidRDefault="000E4244" w:rsidP="000E4244">
            <w:pPr>
              <w:pStyle w:val="NoSpacing"/>
              <w:rPr>
                <w:rFonts w:ascii="Times New Roman" w:hAnsi="Times New Roman" w:cs="Times New Roman"/>
              </w:rPr>
            </w:pPr>
            <w:r w:rsidRPr="000E4244">
              <w:rPr>
                <w:rFonts w:ascii="Times New Roman" w:hAnsi="Times New Roman" w:cs="Times New Roman"/>
              </w:rPr>
              <w:t>Enjoyment</w:t>
            </w:r>
          </w:p>
        </w:tc>
      </w:tr>
      <w:tr w:rsidR="000E4244" w:rsidRPr="000E4244" w14:paraId="5C2B3334" w14:textId="77777777" w:rsidTr="000E4244">
        <w:trPr>
          <w:trHeight w:val="398"/>
        </w:trPr>
        <w:tc>
          <w:tcPr>
            <w:tcW w:w="3602" w:type="dxa"/>
          </w:tcPr>
          <w:p w14:paraId="18B4F016"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0 = 0 times</w:t>
            </w:r>
          </w:p>
        </w:tc>
        <w:tc>
          <w:tcPr>
            <w:tcW w:w="3602" w:type="dxa"/>
          </w:tcPr>
          <w:p w14:paraId="706B3708"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0 = unpleasant or neutral </w:t>
            </w:r>
          </w:p>
        </w:tc>
      </w:tr>
      <w:tr w:rsidR="000E4244" w:rsidRPr="000E4244" w14:paraId="7EAAB9D3" w14:textId="77777777" w:rsidTr="000E4244">
        <w:trPr>
          <w:trHeight w:val="398"/>
        </w:trPr>
        <w:tc>
          <w:tcPr>
            <w:tcW w:w="3602" w:type="dxa"/>
          </w:tcPr>
          <w:p w14:paraId="00583121"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1 = once </w:t>
            </w:r>
          </w:p>
        </w:tc>
        <w:tc>
          <w:tcPr>
            <w:tcW w:w="3602" w:type="dxa"/>
          </w:tcPr>
          <w:p w14:paraId="52616D4B"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1 = mildly pleasant </w:t>
            </w:r>
          </w:p>
        </w:tc>
      </w:tr>
      <w:tr w:rsidR="000E4244" w:rsidRPr="000E4244" w14:paraId="34C60179" w14:textId="77777777" w:rsidTr="000E4244">
        <w:trPr>
          <w:trHeight w:val="375"/>
        </w:trPr>
        <w:tc>
          <w:tcPr>
            <w:tcW w:w="3602" w:type="dxa"/>
          </w:tcPr>
          <w:p w14:paraId="76A7CB3C"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2 = a few times</w:t>
            </w:r>
          </w:p>
        </w:tc>
        <w:tc>
          <w:tcPr>
            <w:tcW w:w="3602" w:type="dxa"/>
          </w:tcPr>
          <w:p w14:paraId="1E2CB91B"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2 = moderately pleasant </w:t>
            </w:r>
          </w:p>
        </w:tc>
      </w:tr>
      <w:tr w:rsidR="000E4244" w:rsidRPr="000E4244" w14:paraId="0D862CB7" w14:textId="77777777" w:rsidTr="000E4244">
        <w:trPr>
          <w:trHeight w:val="398"/>
        </w:trPr>
        <w:tc>
          <w:tcPr>
            <w:tcW w:w="3602" w:type="dxa"/>
          </w:tcPr>
          <w:p w14:paraId="2B334F6E"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3 = about once per week</w:t>
            </w:r>
          </w:p>
        </w:tc>
        <w:tc>
          <w:tcPr>
            <w:tcW w:w="3602" w:type="dxa"/>
          </w:tcPr>
          <w:p w14:paraId="6A7B0BF2"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3 = very pleasant </w:t>
            </w:r>
          </w:p>
        </w:tc>
      </w:tr>
      <w:tr w:rsidR="000E4244" w:rsidRPr="000E4244" w14:paraId="5DD44EB5" w14:textId="77777777" w:rsidTr="000E4244">
        <w:trPr>
          <w:trHeight w:val="375"/>
        </w:trPr>
        <w:tc>
          <w:tcPr>
            <w:tcW w:w="3602" w:type="dxa"/>
          </w:tcPr>
          <w:p w14:paraId="6F6E2E3C"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4 = several times per week</w:t>
            </w:r>
          </w:p>
        </w:tc>
        <w:tc>
          <w:tcPr>
            <w:tcW w:w="3602" w:type="dxa"/>
          </w:tcPr>
          <w:p w14:paraId="70F0B81E"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 xml:space="preserve">4 = extremely pleasant </w:t>
            </w:r>
          </w:p>
        </w:tc>
      </w:tr>
      <w:tr w:rsidR="000E4244" w:rsidRPr="000E4244" w14:paraId="0EB0924B" w14:textId="77777777" w:rsidTr="000E4244">
        <w:trPr>
          <w:trHeight w:val="375"/>
        </w:trPr>
        <w:tc>
          <w:tcPr>
            <w:tcW w:w="3602" w:type="dxa"/>
          </w:tcPr>
          <w:p w14:paraId="34DC60AD"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5 = daily or almost daily</w:t>
            </w:r>
          </w:p>
        </w:tc>
        <w:tc>
          <w:tcPr>
            <w:tcW w:w="3602" w:type="dxa"/>
          </w:tcPr>
          <w:p w14:paraId="0575AE68" w14:textId="77777777" w:rsidR="000E4244" w:rsidRPr="000E4244" w:rsidRDefault="000E4244" w:rsidP="000E4244">
            <w:pPr>
              <w:pStyle w:val="NoSpacing"/>
              <w:rPr>
                <w:rFonts w:ascii="Times New Roman" w:hAnsi="Times New Roman" w:cs="Times New Roman"/>
                <w:i/>
              </w:rPr>
            </w:pPr>
          </w:p>
        </w:tc>
      </w:tr>
      <w:tr w:rsidR="000E4244" w:rsidRPr="000E4244" w14:paraId="2A889F58" w14:textId="77777777" w:rsidTr="000E4244">
        <w:trPr>
          <w:trHeight w:val="375"/>
        </w:trPr>
        <w:tc>
          <w:tcPr>
            <w:tcW w:w="3602" w:type="dxa"/>
          </w:tcPr>
          <w:p w14:paraId="26E8F7CD" w14:textId="77777777" w:rsidR="000E4244" w:rsidRPr="000E4244" w:rsidRDefault="000E4244" w:rsidP="000E4244">
            <w:pPr>
              <w:pStyle w:val="NoSpacing"/>
              <w:rPr>
                <w:rFonts w:ascii="Times New Roman" w:hAnsi="Times New Roman" w:cs="Times New Roman"/>
                <w:i/>
              </w:rPr>
            </w:pPr>
            <w:r w:rsidRPr="000E4244">
              <w:rPr>
                <w:rFonts w:ascii="Times New Roman" w:hAnsi="Times New Roman" w:cs="Times New Roman"/>
                <w:i/>
              </w:rPr>
              <w:t>6 = several times per day</w:t>
            </w:r>
          </w:p>
          <w:p w14:paraId="527741EC" w14:textId="77777777" w:rsidR="000E4244" w:rsidRPr="000E4244" w:rsidRDefault="000E4244" w:rsidP="000E4244">
            <w:pPr>
              <w:pStyle w:val="NoSpacing"/>
              <w:rPr>
                <w:rFonts w:ascii="Times New Roman" w:hAnsi="Times New Roman" w:cs="Times New Roman"/>
                <w:i/>
              </w:rPr>
            </w:pPr>
          </w:p>
        </w:tc>
        <w:tc>
          <w:tcPr>
            <w:tcW w:w="3602" w:type="dxa"/>
          </w:tcPr>
          <w:p w14:paraId="4428DB64" w14:textId="77777777" w:rsidR="000E4244" w:rsidRPr="000E4244" w:rsidRDefault="000E4244" w:rsidP="000E4244">
            <w:pPr>
              <w:pStyle w:val="NoSpacing"/>
              <w:rPr>
                <w:rFonts w:ascii="Times New Roman" w:hAnsi="Times New Roman" w:cs="Times New Roman"/>
                <w:i/>
              </w:rPr>
            </w:pPr>
          </w:p>
          <w:p w14:paraId="6E75714E" w14:textId="77777777" w:rsidR="000E4244" w:rsidRPr="000E4244" w:rsidRDefault="000E4244" w:rsidP="000E4244">
            <w:pPr>
              <w:pStyle w:val="NoSpacing"/>
              <w:rPr>
                <w:rFonts w:ascii="Times New Roman" w:hAnsi="Times New Roman" w:cs="Times New Roman"/>
                <w:i/>
              </w:rPr>
            </w:pPr>
          </w:p>
        </w:tc>
      </w:tr>
    </w:tbl>
    <w:p w14:paraId="04B77B6A" w14:textId="0E063374" w:rsidR="00E755C4" w:rsidRDefault="00E755C4" w:rsidP="00093B56">
      <w:pPr>
        <w:pStyle w:val="NoSpacing"/>
      </w:pPr>
    </w:p>
    <w:p w14:paraId="341D6A94" w14:textId="77777777" w:rsidR="000E4244" w:rsidRPr="000E4244" w:rsidRDefault="000E4244" w:rsidP="000E4244">
      <w:pPr>
        <w:pStyle w:val="NoSpacing"/>
        <w:spacing w:line="480" w:lineRule="auto"/>
        <w:rPr>
          <w:rFonts w:ascii="Times New Roman" w:hAnsi="Times New Roman" w:cs="Times New Roman"/>
          <w:bCs/>
        </w:rPr>
      </w:pPr>
      <w:r w:rsidRPr="000E4244">
        <w:rPr>
          <w:rFonts w:ascii="Times New Roman" w:hAnsi="Times New Roman" w:cs="Times New Roman"/>
          <w:bCs/>
          <w:i/>
          <w:iCs/>
        </w:rPr>
        <w:t>Note.</w:t>
      </w:r>
      <w:r w:rsidRPr="000E4244">
        <w:rPr>
          <w:rFonts w:ascii="Times New Roman" w:hAnsi="Times New Roman" w:cs="Times New Roman"/>
          <w:bCs/>
        </w:rPr>
        <w:t xml:space="preserve"> If participants did not take part in the activity in the past month (i.e., they selected “0 times” under frequency), then 0 was scored in the enjoyment column.</w:t>
      </w:r>
    </w:p>
    <w:p w14:paraId="1EF0A77C" w14:textId="1155F852" w:rsidR="00E755C4" w:rsidRPr="000E4244" w:rsidRDefault="00E755C4" w:rsidP="000E4244">
      <w:pPr>
        <w:pStyle w:val="NoSpacing"/>
        <w:spacing w:line="480" w:lineRule="auto"/>
        <w:rPr>
          <w:rFonts w:ascii="Times New Roman" w:hAnsi="Times New Roman" w:cs="Times New Roman"/>
        </w:rPr>
      </w:pPr>
    </w:p>
    <w:p w14:paraId="2A242514" w14:textId="47AF2816" w:rsidR="00E755C4" w:rsidRPr="000E4244" w:rsidRDefault="00E755C4" w:rsidP="000E4244">
      <w:pPr>
        <w:pStyle w:val="NoSpacing"/>
        <w:spacing w:line="480" w:lineRule="auto"/>
        <w:rPr>
          <w:rFonts w:ascii="Times New Roman" w:hAnsi="Times New Roman" w:cs="Times New Roman"/>
        </w:rPr>
      </w:pPr>
    </w:p>
    <w:p w14:paraId="25A1BA32" w14:textId="4870E0B6" w:rsidR="00E755C4" w:rsidRDefault="00E755C4" w:rsidP="00093B56">
      <w:pPr>
        <w:pStyle w:val="NoSpacing"/>
      </w:pPr>
    </w:p>
    <w:p w14:paraId="2D698A13" w14:textId="44E2BA37" w:rsidR="00E755C4" w:rsidRDefault="00E755C4" w:rsidP="00093B56">
      <w:pPr>
        <w:pStyle w:val="NoSpacing"/>
      </w:pPr>
    </w:p>
    <w:p w14:paraId="490EBC7A" w14:textId="55616EC2" w:rsidR="00E755C4" w:rsidRDefault="00E755C4" w:rsidP="00093B56">
      <w:pPr>
        <w:pStyle w:val="NoSpacing"/>
      </w:pPr>
    </w:p>
    <w:p w14:paraId="15E2EB89" w14:textId="3D729F31" w:rsidR="00E755C4" w:rsidRDefault="00E755C4" w:rsidP="00093B56">
      <w:pPr>
        <w:pStyle w:val="NoSpacing"/>
      </w:pPr>
    </w:p>
    <w:p w14:paraId="7151EC05" w14:textId="6ED8781F" w:rsidR="00E755C4" w:rsidRDefault="00E755C4" w:rsidP="00093B56">
      <w:pPr>
        <w:pStyle w:val="NoSpacing"/>
      </w:pPr>
    </w:p>
    <w:p w14:paraId="0185244B" w14:textId="6BCDFB6E" w:rsidR="00E755C4" w:rsidRDefault="00E755C4" w:rsidP="00093B56">
      <w:pPr>
        <w:pStyle w:val="NoSpacing"/>
      </w:pPr>
    </w:p>
    <w:p w14:paraId="58338EEA" w14:textId="4CFE9839" w:rsidR="00E755C4" w:rsidRDefault="00E755C4" w:rsidP="00093B56">
      <w:pPr>
        <w:pStyle w:val="NoSpacing"/>
      </w:pPr>
    </w:p>
    <w:p w14:paraId="5E22AE27" w14:textId="737FFA23" w:rsidR="00E755C4" w:rsidRDefault="00E755C4" w:rsidP="00093B56">
      <w:pPr>
        <w:pStyle w:val="NoSpacing"/>
      </w:pPr>
    </w:p>
    <w:p w14:paraId="0FAC071B" w14:textId="559949FC" w:rsidR="00E755C4" w:rsidRDefault="00E755C4" w:rsidP="00093B56">
      <w:pPr>
        <w:pStyle w:val="NoSpacing"/>
      </w:pPr>
    </w:p>
    <w:p w14:paraId="74B824B5" w14:textId="57651DA0" w:rsidR="00E755C4" w:rsidRDefault="00E755C4" w:rsidP="00093B56">
      <w:pPr>
        <w:pStyle w:val="NoSpacing"/>
      </w:pPr>
    </w:p>
    <w:p w14:paraId="5D2E764A" w14:textId="5A7CD5B0" w:rsidR="00E755C4" w:rsidRDefault="00E755C4" w:rsidP="00093B56">
      <w:pPr>
        <w:pStyle w:val="NoSpacing"/>
      </w:pPr>
    </w:p>
    <w:p w14:paraId="021EB4DB" w14:textId="6F0CE8F5" w:rsidR="00E755C4" w:rsidRDefault="00E755C4" w:rsidP="00093B56">
      <w:pPr>
        <w:pStyle w:val="NoSpacing"/>
      </w:pPr>
    </w:p>
    <w:p w14:paraId="5D51F012" w14:textId="2B73D70E" w:rsidR="00E755C4" w:rsidRDefault="00E755C4" w:rsidP="00093B56">
      <w:pPr>
        <w:pStyle w:val="NoSpacing"/>
      </w:pPr>
    </w:p>
    <w:p w14:paraId="160DF8DF" w14:textId="3111531C" w:rsidR="00E755C4" w:rsidRDefault="00E755C4" w:rsidP="00093B56">
      <w:pPr>
        <w:pStyle w:val="NoSpacing"/>
      </w:pPr>
    </w:p>
    <w:p w14:paraId="00AE39AF" w14:textId="36E7A041" w:rsidR="00E755C4" w:rsidRDefault="00E755C4" w:rsidP="00093B56">
      <w:pPr>
        <w:pStyle w:val="NoSpacing"/>
      </w:pPr>
    </w:p>
    <w:p w14:paraId="6EFBA17F" w14:textId="466F802B" w:rsidR="00E755C4" w:rsidRDefault="00E755C4" w:rsidP="00093B56">
      <w:pPr>
        <w:pStyle w:val="NoSpacing"/>
      </w:pPr>
    </w:p>
    <w:p w14:paraId="3E94D55A" w14:textId="6EC9AE77" w:rsidR="00E755C4" w:rsidRDefault="00E755C4" w:rsidP="00093B56">
      <w:pPr>
        <w:pStyle w:val="NoSpacing"/>
      </w:pPr>
    </w:p>
    <w:p w14:paraId="4A370417" w14:textId="3BA4BFBF" w:rsidR="00E755C4" w:rsidRDefault="00E755C4" w:rsidP="00093B56">
      <w:pPr>
        <w:pStyle w:val="NoSpacing"/>
      </w:pPr>
    </w:p>
    <w:p w14:paraId="3A5CD09D" w14:textId="15BBE2CA" w:rsidR="00E755C4" w:rsidRDefault="00E755C4" w:rsidP="00093B56">
      <w:pPr>
        <w:pStyle w:val="NoSpacing"/>
      </w:pPr>
    </w:p>
    <w:p w14:paraId="63F82B5C" w14:textId="42A4494E" w:rsidR="00E755C4" w:rsidRDefault="00E755C4" w:rsidP="00093B56">
      <w:pPr>
        <w:pStyle w:val="NoSpacing"/>
      </w:pPr>
    </w:p>
    <w:p w14:paraId="339D09DB" w14:textId="2A8FEC34" w:rsidR="00E755C4" w:rsidRDefault="00E755C4" w:rsidP="00093B56">
      <w:pPr>
        <w:pStyle w:val="NoSpacing"/>
      </w:pPr>
    </w:p>
    <w:p w14:paraId="6E6551F7" w14:textId="40067115" w:rsidR="00E755C4" w:rsidRDefault="00E755C4" w:rsidP="00093B56">
      <w:pPr>
        <w:pStyle w:val="NoSpacing"/>
      </w:pPr>
    </w:p>
    <w:p w14:paraId="522D1250" w14:textId="26245F2E" w:rsidR="00E755C4" w:rsidRDefault="00E755C4" w:rsidP="00093B56">
      <w:pPr>
        <w:pStyle w:val="NoSpacing"/>
      </w:pPr>
    </w:p>
    <w:p w14:paraId="5C643290" w14:textId="0AF4A9C3" w:rsidR="00E755C4" w:rsidRDefault="00E755C4" w:rsidP="00093B56">
      <w:pPr>
        <w:pStyle w:val="NoSpacing"/>
      </w:pPr>
    </w:p>
    <w:p w14:paraId="67216372" w14:textId="06F102CE" w:rsidR="00E755C4" w:rsidRDefault="00E755C4" w:rsidP="00093B56">
      <w:pPr>
        <w:pStyle w:val="NoSpacing"/>
      </w:pPr>
    </w:p>
    <w:p w14:paraId="67054C03" w14:textId="5141EB40" w:rsidR="00E755C4" w:rsidRDefault="00E755C4" w:rsidP="00093B56">
      <w:pPr>
        <w:pStyle w:val="NoSpacing"/>
      </w:pPr>
    </w:p>
    <w:p w14:paraId="25DD1BC7" w14:textId="77777777" w:rsidR="000E4244" w:rsidRPr="000E4244" w:rsidRDefault="000E4244" w:rsidP="000E4244">
      <w:pPr>
        <w:pStyle w:val="NoSpacing"/>
        <w:rPr>
          <w:rFonts w:ascii="Times New Roman" w:hAnsi="Times New Roman" w:cs="Times New Roman"/>
          <w:b/>
        </w:rPr>
      </w:pPr>
      <w:r w:rsidRPr="000E4244">
        <w:rPr>
          <w:rFonts w:ascii="Times New Roman" w:hAnsi="Times New Roman" w:cs="Times New Roman"/>
          <w:b/>
        </w:rPr>
        <w:t>4.  BAAD instructions and price increments</w:t>
      </w:r>
    </w:p>
    <w:p w14:paraId="74D86E88" w14:textId="2E154F71" w:rsidR="00E755C4" w:rsidRPr="000E4244" w:rsidRDefault="00E755C4" w:rsidP="000E4244">
      <w:pPr>
        <w:pStyle w:val="NoSpacing"/>
        <w:spacing w:line="480" w:lineRule="auto"/>
        <w:rPr>
          <w:rFonts w:ascii="Times New Roman" w:hAnsi="Times New Roman" w:cs="Times New Roman"/>
        </w:rPr>
      </w:pPr>
    </w:p>
    <w:p w14:paraId="7BCBF67D" w14:textId="77777777" w:rsidR="000E4244" w:rsidRPr="000E4244" w:rsidRDefault="000E4244" w:rsidP="000E4244">
      <w:pPr>
        <w:pStyle w:val="NoSpacing"/>
        <w:spacing w:line="480" w:lineRule="auto"/>
        <w:rPr>
          <w:rFonts w:ascii="Times New Roman" w:hAnsi="Times New Roman" w:cs="Times New Roman"/>
          <w:bCs/>
        </w:rPr>
      </w:pPr>
      <w:r w:rsidRPr="000E4244">
        <w:rPr>
          <w:rFonts w:ascii="Times New Roman" w:hAnsi="Times New Roman" w:cs="Times New Roman"/>
          <w:bCs/>
          <w:u w:val="single"/>
        </w:rPr>
        <w:t>Hypothetical scenario</w:t>
      </w:r>
      <w:r w:rsidRPr="000E4244">
        <w:rPr>
          <w:rFonts w:ascii="Times New Roman" w:hAnsi="Times New Roman" w:cs="Times New Roman"/>
          <w:bCs/>
        </w:rPr>
        <w:t>: “Think about a scenario that is typical of your usual drinking behaviour, such as at a bar on a night out with friends or drinking at home. The following questions ask how many drinks you would purchase at various prices.  The available drinks are a pint of beer or lager, wine (medium glass), and shots of spirits (25ml) or mixed drinks with one shot of spirits”.</w:t>
      </w:r>
      <w:r w:rsidRPr="000E4244">
        <w:rPr>
          <w:rFonts w:ascii="Times New Roman" w:hAnsi="Times New Roman" w:cs="Times New Roman"/>
        </w:rPr>
        <w:t xml:space="preserve"> </w:t>
      </w:r>
      <w:r w:rsidRPr="000E4244">
        <w:rPr>
          <w:rFonts w:ascii="Times New Roman" w:hAnsi="Times New Roman" w:cs="Times New Roman"/>
          <w:bCs/>
        </w:rPr>
        <w:t>We included a currency converter so that respondents outside of the UK could provide an accurate answer.</w:t>
      </w:r>
    </w:p>
    <w:p w14:paraId="5ABC0B4D" w14:textId="77777777" w:rsidR="000E4244" w:rsidRPr="000E4244" w:rsidRDefault="000E4244" w:rsidP="000E4244">
      <w:pPr>
        <w:pStyle w:val="NoSpacing"/>
        <w:spacing w:line="480" w:lineRule="auto"/>
        <w:rPr>
          <w:rFonts w:ascii="Times New Roman" w:hAnsi="Times New Roman" w:cs="Times New Roman"/>
          <w:b/>
        </w:rPr>
      </w:pPr>
    </w:p>
    <w:p w14:paraId="7B0A6668"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Question:</w:t>
      </w:r>
      <w:r w:rsidRPr="000E4244">
        <w:rPr>
          <w:rFonts w:ascii="Times New Roman" w:hAnsi="Times New Roman" w:cs="Times New Roman"/>
        </w:rPr>
        <w:t xml:space="preserve"> “If drinks were free, how many would you have?” (intensity)</w:t>
      </w:r>
    </w:p>
    <w:p w14:paraId="59079107"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Response options:</w:t>
      </w:r>
      <w:r w:rsidRPr="000E4244">
        <w:rPr>
          <w:rFonts w:ascii="Times New Roman" w:hAnsi="Times New Roman" w:cs="Times New Roman"/>
        </w:rPr>
        <w:t xml:space="preserve"> 0, 1, 2, 3, 4, 5, 6, 7, 8, 9, 10</w:t>
      </w:r>
    </w:p>
    <w:p w14:paraId="12538D17" w14:textId="77777777" w:rsidR="000E4244" w:rsidRPr="000E4244" w:rsidRDefault="000E4244" w:rsidP="000E4244">
      <w:pPr>
        <w:pStyle w:val="NoSpacing"/>
        <w:spacing w:line="480" w:lineRule="auto"/>
        <w:rPr>
          <w:rFonts w:ascii="Times New Roman" w:hAnsi="Times New Roman" w:cs="Times New Roman"/>
        </w:rPr>
      </w:pPr>
    </w:p>
    <w:p w14:paraId="2A58732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Question:</w:t>
      </w:r>
      <w:r w:rsidRPr="000E4244">
        <w:rPr>
          <w:rFonts w:ascii="Times New Roman" w:hAnsi="Times New Roman" w:cs="Times New Roman"/>
        </w:rPr>
        <w:t xml:space="preserve"> “What is the maximum total amount that you would spend on drinking during that drinking occasion?” (</w:t>
      </w:r>
      <w:proofErr w:type="spellStart"/>
      <w:r w:rsidRPr="000E4244">
        <w:rPr>
          <w:rFonts w:ascii="Times New Roman" w:hAnsi="Times New Roman" w:cs="Times New Roman"/>
          <w:i/>
          <w:iCs/>
        </w:rPr>
        <w:t>O</w:t>
      </w:r>
      <w:r w:rsidRPr="000E4244">
        <w:rPr>
          <w:rFonts w:ascii="Times New Roman" w:hAnsi="Times New Roman" w:cs="Times New Roman"/>
          <w:vertAlign w:val="subscript"/>
        </w:rPr>
        <w:t>max</w:t>
      </w:r>
      <w:proofErr w:type="spellEnd"/>
      <w:r w:rsidRPr="000E4244">
        <w:rPr>
          <w:rFonts w:ascii="Times New Roman" w:hAnsi="Times New Roman" w:cs="Times New Roman"/>
        </w:rPr>
        <w:t>)</w:t>
      </w:r>
    </w:p>
    <w:p w14:paraId="1E45E001"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Response options:</w:t>
      </w:r>
      <w:r w:rsidRPr="000E4244">
        <w:rPr>
          <w:rFonts w:ascii="Times New Roman" w:hAnsi="Times New Roman" w:cs="Times New Roman"/>
        </w:rPr>
        <w:t xml:space="preserve"> £0, £3, £6, £9, £12, £15, £18, £21, £24, £27, £30 or more</w:t>
      </w:r>
    </w:p>
    <w:p w14:paraId="79AF5B7B" w14:textId="77777777" w:rsidR="000E4244" w:rsidRPr="000E4244" w:rsidRDefault="000E4244" w:rsidP="000E4244">
      <w:pPr>
        <w:pStyle w:val="NoSpacing"/>
        <w:spacing w:line="480" w:lineRule="auto"/>
        <w:rPr>
          <w:rFonts w:ascii="Times New Roman" w:hAnsi="Times New Roman" w:cs="Times New Roman"/>
        </w:rPr>
      </w:pPr>
    </w:p>
    <w:p w14:paraId="575564B5"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Question:</w:t>
      </w:r>
      <w:r w:rsidRPr="000E4244">
        <w:rPr>
          <w:rFonts w:ascii="Times New Roman" w:hAnsi="Times New Roman" w:cs="Times New Roman"/>
        </w:rPr>
        <w:t xml:space="preserve"> “What is the maximum you would pay for a single drink?” (breakpoint)</w:t>
      </w:r>
    </w:p>
    <w:p w14:paraId="02056AAB"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Response options:</w:t>
      </w:r>
      <w:r w:rsidRPr="000E4244">
        <w:rPr>
          <w:rFonts w:ascii="Times New Roman" w:hAnsi="Times New Roman" w:cs="Times New Roman"/>
        </w:rPr>
        <w:t xml:space="preserve"> £0, £1.50, £3, £4.50, £6, £7.50, £9, £10.50, £12, £13.50, £15 or more</w:t>
      </w:r>
    </w:p>
    <w:p w14:paraId="24D9DFB7" w14:textId="77777777" w:rsidR="000E4244" w:rsidRPr="000E4244" w:rsidRDefault="000E4244" w:rsidP="000E4244">
      <w:pPr>
        <w:pStyle w:val="NoSpacing"/>
        <w:spacing w:line="480" w:lineRule="auto"/>
        <w:rPr>
          <w:rFonts w:ascii="Times New Roman" w:hAnsi="Times New Roman" w:cs="Times New Roman"/>
        </w:rPr>
      </w:pPr>
    </w:p>
    <w:p w14:paraId="55682ECC" w14:textId="77777777" w:rsidR="000E4244" w:rsidRPr="000E4244" w:rsidRDefault="000E4244" w:rsidP="000E4244">
      <w:pPr>
        <w:pStyle w:val="NoSpacing"/>
        <w:spacing w:line="480" w:lineRule="auto"/>
        <w:rPr>
          <w:rFonts w:ascii="Times New Roman" w:hAnsi="Times New Roman" w:cs="Times New Roman"/>
        </w:rPr>
      </w:pPr>
    </w:p>
    <w:p w14:paraId="02957B98" w14:textId="3BB32C05" w:rsidR="00E755C4" w:rsidRPr="000E4244" w:rsidRDefault="00E755C4" w:rsidP="000E4244">
      <w:pPr>
        <w:pStyle w:val="NoSpacing"/>
        <w:spacing w:line="480" w:lineRule="auto"/>
        <w:rPr>
          <w:rFonts w:ascii="Times New Roman" w:hAnsi="Times New Roman" w:cs="Times New Roman"/>
        </w:rPr>
      </w:pPr>
    </w:p>
    <w:p w14:paraId="63AC7F54" w14:textId="6B9D9D3E" w:rsidR="00E755C4" w:rsidRPr="000E4244" w:rsidRDefault="00E755C4" w:rsidP="000E4244">
      <w:pPr>
        <w:pStyle w:val="NoSpacing"/>
        <w:spacing w:line="480" w:lineRule="auto"/>
        <w:rPr>
          <w:rFonts w:ascii="Times New Roman" w:hAnsi="Times New Roman" w:cs="Times New Roman"/>
        </w:rPr>
      </w:pPr>
    </w:p>
    <w:p w14:paraId="18A64AAA" w14:textId="3E8B080A" w:rsidR="00E755C4" w:rsidRDefault="00E755C4" w:rsidP="00093B56">
      <w:pPr>
        <w:pStyle w:val="NoSpacing"/>
      </w:pPr>
    </w:p>
    <w:p w14:paraId="76C04EE2" w14:textId="4A9F197B" w:rsidR="00E755C4" w:rsidRDefault="00E755C4" w:rsidP="00093B56">
      <w:pPr>
        <w:pStyle w:val="NoSpacing"/>
      </w:pPr>
    </w:p>
    <w:p w14:paraId="54A15461" w14:textId="4C2EFF21" w:rsidR="00E755C4" w:rsidRDefault="00E755C4" w:rsidP="00093B56">
      <w:pPr>
        <w:pStyle w:val="NoSpacing"/>
      </w:pPr>
    </w:p>
    <w:p w14:paraId="41FE726D" w14:textId="5978867B" w:rsidR="00E755C4" w:rsidRDefault="00E755C4" w:rsidP="00093B56">
      <w:pPr>
        <w:pStyle w:val="NoSpacing"/>
      </w:pPr>
    </w:p>
    <w:p w14:paraId="7FCBF013" w14:textId="4DC60F79" w:rsidR="00E755C4" w:rsidRDefault="00E755C4" w:rsidP="00093B56">
      <w:pPr>
        <w:pStyle w:val="NoSpacing"/>
      </w:pPr>
    </w:p>
    <w:p w14:paraId="424C777D" w14:textId="0A90CAC8" w:rsidR="00E755C4" w:rsidRDefault="00E755C4" w:rsidP="00093B56">
      <w:pPr>
        <w:pStyle w:val="NoSpacing"/>
      </w:pPr>
    </w:p>
    <w:p w14:paraId="2AF20E61" w14:textId="77777777" w:rsidR="000E4244" w:rsidRPr="000E4244" w:rsidRDefault="000E4244" w:rsidP="000E4244">
      <w:pPr>
        <w:pStyle w:val="NoSpacing"/>
        <w:rPr>
          <w:rFonts w:ascii="Times New Roman" w:hAnsi="Times New Roman" w:cs="Times New Roman"/>
          <w:b/>
          <w:bCs/>
        </w:rPr>
      </w:pPr>
      <w:r w:rsidRPr="000E4244">
        <w:rPr>
          <w:rFonts w:ascii="Times New Roman" w:hAnsi="Times New Roman" w:cs="Times New Roman"/>
          <w:b/>
          <w:bCs/>
        </w:rPr>
        <w:lastRenderedPageBreak/>
        <w:t>5. Minor deviation from pre-registration and exploratory analyses</w:t>
      </w:r>
    </w:p>
    <w:p w14:paraId="6FC0225C" w14:textId="77777777" w:rsidR="00E755C4" w:rsidRDefault="00E755C4" w:rsidP="00093B56">
      <w:pPr>
        <w:pStyle w:val="NoSpacing"/>
      </w:pPr>
    </w:p>
    <w:p w14:paraId="6245E78E"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 xml:space="preserve">We initially pre-registered that we would enter the frequency and enjoyment subscales of alcohol-free reinforcement separately into the model. However, we deviated from our pre-registration by entering overall alcohol-free reinforcement (derived by calculating and averaging cross-product scores). This is to ensure consistency in the manuscript because the subsequent SEM is conducted with overall alcohol-free reinforcement. Further to this, the pattern of results and interpretation do not change (see section 6 below). </w:t>
      </w:r>
    </w:p>
    <w:p w14:paraId="41DA2560" w14:textId="35216233" w:rsidR="00093B56" w:rsidRPr="000E4244" w:rsidRDefault="00093B56" w:rsidP="000E4244">
      <w:pPr>
        <w:pStyle w:val="NoSpacing"/>
        <w:spacing w:line="480" w:lineRule="auto"/>
        <w:rPr>
          <w:rFonts w:ascii="Times New Roman" w:hAnsi="Times New Roman" w:cs="Times New Roman"/>
        </w:rPr>
      </w:pPr>
    </w:p>
    <w:p w14:paraId="5CC10495" w14:textId="1ED95180" w:rsidR="000E4244" w:rsidRDefault="000E4244" w:rsidP="00093B56">
      <w:pPr>
        <w:pStyle w:val="NoSpacing"/>
      </w:pPr>
    </w:p>
    <w:p w14:paraId="12186B9A" w14:textId="4DE4AD17" w:rsidR="000E4244" w:rsidRDefault="000E4244" w:rsidP="00093B56">
      <w:pPr>
        <w:pStyle w:val="NoSpacing"/>
      </w:pPr>
    </w:p>
    <w:p w14:paraId="58D12365" w14:textId="6A47C3F0" w:rsidR="000E4244" w:rsidRDefault="000E4244" w:rsidP="00093B56">
      <w:pPr>
        <w:pStyle w:val="NoSpacing"/>
      </w:pPr>
    </w:p>
    <w:p w14:paraId="5E34BDC1" w14:textId="286080B6" w:rsidR="000E4244" w:rsidRDefault="000E4244" w:rsidP="00093B56">
      <w:pPr>
        <w:pStyle w:val="NoSpacing"/>
      </w:pPr>
    </w:p>
    <w:p w14:paraId="193699AA" w14:textId="5EB1D68A" w:rsidR="000E4244" w:rsidRDefault="000E4244" w:rsidP="00093B56">
      <w:pPr>
        <w:pStyle w:val="NoSpacing"/>
      </w:pPr>
    </w:p>
    <w:p w14:paraId="6780466B" w14:textId="3F1A725A" w:rsidR="000E4244" w:rsidRDefault="000E4244" w:rsidP="00093B56">
      <w:pPr>
        <w:pStyle w:val="NoSpacing"/>
      </w:pPr>
    </w:p>
    <w:p w14:paraId="74A1CDB8" w14:textId="7E5E02AD" w:rsidR="000E4244" w:rsidRDefault="000E4244" w:rsidP="00093B56">
      <w:pPr>
        <w:pStyle w:val="NoSpacing"/>
      </w:pPr>
    </w:p>
    <w:p w14:paraId="7799AA58" w14:textId="5D28E9C7" w:rsidR="000E4244" w:rsidRDefault="000E4244" w:rsidP="00093B56">
      <w:pPr>
        <w:pStyle w:val="NoSpacing"/>
      </w:pPr>
    </w:p>
    <w:p w14:paraId="059D6238" w14:textId="01CDB98B" w:rsidR="000E4244" w:rsidRDefault="000E4244" w:rsidP="00093B56">
      <w:pPr>
        <w:pStyle w:val="NoSpacing"/>
      </w:pPr>
    </w:p>
    <w:p w14:paraId="4C53A9A4" w14:textId="409FCF7F" w:rsidR="000E4244" w:rsidRDefault="000E4244" w:rsidP="00093B56">
      <w:pPr>
        <w:pStyle w:val="NoSpacing"/>
      </w:pPr>
    </w:p>
    <w:p w14:paraId="4DE82097" w14:textId="5D371872" w:rsidR="000E4244" w:rsidRDefault="000E4244" w:rsidP="00093B56">
      <w:pPr>
        <w:pStyle w:val="NoSpacing"/>
      </w:pPr>
    </w:p>
    <w:p w14:paraId="25B1B438" w14:textId="2D5B83EA" w:rsidR="000E4244" w:rsidRDefault="000E4244" w:rsidP="00093B56">
      <w:pPr>
        <w:pStyle w:val="NoSpacing"/>
      </w:pPr>
    </w:p>
    <w:p w14:paraId="2AE06AFF" w14:textId="7E757AF2" w:rsidR="000E4244" w:rsidRDefault="000E4244" w:rsidP="00093B56">
      <w:pPr>
        <w:pStyle w:val="NoSpacing"/>
      </w:pPr>
    </w:p>
    <w:p w14:paraId="7BFA8C99" w14:textId="55F0BEFE" w:rsidR="000E4244" w:rsidRDefault="000E4244" w:rsidP="00093B56">
      <w:pPr>
        <w:pStyle w:val="NoSpacing"/>
      </w:pPr>
    </w:p>
    <w:p w14:paraId="0FDC0864" w14:textId="073AB04F" w:rsidR="000E4244" w:rsidRDefault="000E4244" w:rsidP="00093B56">
      <w:pPr>
        <w:pStyle w:val="NoSpacing"/>
      </w:pPr>
    </w:p>
    <w:p w14:paraId="718A8137" w14:textId="698C15DC" w:rsidR="000E4244" w:rsidRDefault="000E4244" w:rsidP="00093B56">
      <w:pPr>
        <w:pStyle w:val="NoSpacing"/>
      </w:pPr>
    </w:p>
    <w:p w14:paraId="3E2F94EE" w14:textId="4271398A" w:rsidR="000E4244" w:rsidRDefault="000E4244" w:rsidP="00093B56">
      <w:pPr>
        <w:pStyle w:val="NoSpacing"/>
      </w:pPr>
    </w:p>
    <w:p w14:paraId="0CB93D20" w14:textId="396AADDF" w:rsidR="000E4244" w:rsidRDefault="000E4244" w:rsidP="00093B56">
      <w:pPr>
        <w:pStyle w:val="NoSpacing"/>
      </w:pPr>
    </w:p>
    <w:p w14:paraId="4C9D1529" w14:textId="414194DF" w:rsidR="000E4244" w:rsidRDefault="000E4244" w:rsidP="00093B56">
      <w:pPr>
        <w:pStyle w:val="NoSpacing"/>
      </w:pPr>
    </w:p>
    <w:p w14:paraId="0BF8F3B9" w14:textId="68AAC956" w:rsidR="000E4244" w:rsidRDefault="000E4244" w:rsidP="00093B56">
      <w:pPr>
        <w:pStyle w:val="NoSpacing"/>
      </w:pPr>
    </w:p>
    <w:p w14:paraId="7AFACCDE" w14:textId="02925EAF" w:rsidR="000E4244" w:rsidRDefault="000E4244" w:rsidP="00093B56">
      <w:pPr>
        <w:pStyle w:val="NoSpacing"/>
      </w:pPr>
    </w:p>
    <w:p w14:paraId="444700C4" w14:textId="72F54AF3" w:rsidR="000E4244" w:rsidRDefault="000E4244" w:rsidP="00093B56">
      <w:pPr>
        <w:pStyle w:val="NoSpacing"/>
      </w:pPr>
    </w:p>
    <w:p w14:paraId="474944C3" w14:textId="60DFC9AD" w:rsidR="000E4244" w:rsidRDefault="000E4244" w:rsidP="00093B56">
      <w:pPr>
        <w:pStyle w:val="NoSpacing"/>
      </w:pPr>
    </w:p>
    <w:p w14:paraId="0448CDB7" w14:textId="78088D1D" w:rsidR="000E4244" w:rsidRDefault="000E4244" w:rsidP="00093B56">
      <w:pPr>
        <w:pStyle w:val="NoSpacing"/>
      </w:pPr>
    </w:p>
    <w:p w14:paraId="7B1A951B" w14:textId="45D72B83" w:rsidR="000E4244" w:rsidRDefault="000E4244" w:rsidP="00093B56">
      <w:pPr>
        <w:pStyle w:val="NoSpacing"/>
      </w:pPr>
    </w:p>
    <w:p w14:paraId="6AAD206C" w14:textId="0EC1B54A" w:rsidR="000E4244" w:rsidRDefault="000E4244" w:rsidP="00093B56">
      <w:pPr>
        <w:pStyle w:val="NoSpacing"/>
      </w:pPr>
    </w:p>
    <w:p w14:paraId="38549A7F" w14:textId="20B7BFF9" w:rsidR="000E4244" w:rsidRDefault="000E4244" w:rsidP="00093B56">
      <w:pPr>
        <w:pStyle w:val="NoSpacing"/>
      </w:pPr>
    </w:p>
    <w:p w14:paraId="444C7206" w14:textId="43BF1D5B" w:rsidR="000E4244" w:rsidRDefault="000E4244" w:rsidP="00093B56">
      <w:pPr>
        <w:pStyle w:val="NoSpacing"/>
      </w:pPr>
    </w:p>
    <w:p w14:paraId="15D60959" w14:textId="4F315447" w:rsidR="000E4244" w:rsidRDefault="000E4244" w:rsidP="00093B56">
      <w:pPr>
        <w:pStyle w:val="NoSpacing"/>
      </w:pPr>
    </w:p>
    <w:p w14:paraId="327B036E" w14:textId="343F726C" w:rsidR="000E4244" w:rsidRDefault="000E4244" w:rsidP="00093B56">
      <w:pPr>
        <w:pStyle w:val="NoSpacing"/>
      </w:pPr>
    </w:p>
    <w:p w14:paraId="01155C73" w14:textId="2B8858A2" w:rsidR="000E4244" w:rsidRDefault="000E4244" w:rsidP="00093B56">
      <w:pPr>
        <w:pStyle w:val="NoSpacing"/>
      </w:pPr>
    </w:p>
    <w:p w14:paraId="28BD02D0" w14:textId="7621C13C" w:rsidR="000E4244" w:rsidRDefault="000E4244" w:rsidP="00093B56">
      <w:pPr>
        <w:pStyle w:val="NoSpacing"/>
      </w:pPr>
    </w:p>
    <w:p w14:paraId="5F39022D" w14:textId="77777777" w:rsidR="000E4244" w:rsidRPr="000E4244" w:rsidRDefault="000E4244" w:rsidP="000E4244">
      <w:pPr>
        <w:pStyle w:val="NoSpacing"/>
        <w:spacing w:line="480" w:lineRule="auto"/>
        <w:rPr>
          <w:rFonts w:ascii="Times New Roman" w:hAnsi="Times New Roman" w:cs="Times New Roman"/>
          <w:b/>
        </w:rPr>
      </w:pPr>
      <w:r w:rsidRPr="000E4244">
        <w:rPr>
          <w:rFonts w:ascii="Times New Roman" w:hAnsi="Times New Roman" w:cs="Times New Roman"/>
          <w:b/>
        </w:rPr>
        <w:lastRenderedPageBreak/>
        <w:t>6. Hierarchical regression repeated with the enjoyment and frequency alcohol-free reinforcement subscales</w:t>
      </w:r>
    </w:p>
    <w:p w14:paraId="29156D6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 xml:space="preserve">Below we conduct exploratory analyses on frequency and enjoyment separately, as clarified in our pre-registration. The rationale from these analyses stems from correlational research by Magidson et al. (2017) which demonstrated that only enjoyment was a significant predictor of alcohol consumption. This is interesting because it suggests that it might be less important how often a person engages in an activity, and that instead the importance is how much the activity is enjoyed. </w:t>
      </w:r>
    </w:p>
    <w:p w14:paraId="36123E2A" w14:textId="77777777" w:rsidR="000E4244" w:rsidRPr="000E4244" w:rsidRDefault="000E4244" w:rsidP="000E4244">
      <w:pPr>
        <w:pStyle w:val="NoSpacing"/>
        <w:spacing w:line="480" w:lineRule="auto"/>
        <w:rPr>
          <w:rFonts w:ascii="Times New Roman" w:hAnsi="Times New Roman" w:cs="Times New Roman"/>
        </w:rPr>
      </w:pPr>
    </w:p>
    <w:p w14:paraId="74E7AADF"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The first step of the regression comprised age and gender, presence of meaning and search for meaning in life scores were added on the second step, and alcohol-free reinforcement subscales (frequency and enjoyment) were added on the third step. The overall regression model significantly predicted approximately 12% of variance in alcohol consumption (</w:t>
      </w:r>
      <w:r w:rsidRPr="000E4244">
        <w:rPr>
          <w:rFonts w:ascii="Times New Roman" w:hAnsi="Times New Roman" w:cs="Times New Roman"/>
          <w:i/>
          <w:iCs/>
        </w:rPr>
        <w:t>R</w:t>
      </w:r>
      <w:r w:rsidRPr="000E4244">
        <w:rPr>
          <w:rFonts w:ascii="Times New Roman" w:hAnsi="Times New Roman" w:cs="Times New Roman"/>
        </w:rPr>
        <w:t xml:space="preserve">² = .12, </w:t>
      </w:r>
      <w:proofErr w:type="gramStart"/>
      <w:r w:rsidRPr="000E4244">
        <w:rPr>
          <w:rFonts w:ascii="Times New Roman" w:hAnsi="Times New Roman" w:cs="Times New Roman"/>
          <w:i/>
          <w:iCs/>
        </w:rPr>
        <w:t>F</w:t>
      </w:r>
      <w:r w:rsidRPr="000E4244">
        <w:rPr>
          <w:rFonts w:ascii="Times New Roman" w:hAnsi="Times New Roman" w:cs="Times New Roman"/>
        </w:rPr>
        <w:t>(</w:t>
      </w:r>
      <w:proofErr w:type="gramEnd"/>
      <w:r w:rsidRPr="000E4244">
        <w:rPr>
          <w:rFonts w:ascii="Times New Roman" w:hAnsi="Times New Roman" w:cs="Times New Roman"/>
        </w:rPr>
        <w:t xml:space="preserve">6, 534) = 11.87, </w:t>
      </w:r>
      <w:r w:rsidRPr="000E4244">
        <w:rPr>
          <w:rFonts w:ascii="Times New Roman" w:hAnsi="Times New Roman" w:cs="Times New Roman"/>
          <w:i/>
        </w:rPr>
        <w:t>p</w:t>
      </w:r>
      <w:r w:rsidRPr="000E4244">
        <w:rPr>
          <w:rFonts w:ascii="Times New Roman" w:hAnsi="Times New Roman" w:cs="Times New Roman"/>
        </w:rPr>
        <w:t xml:space="preserve"> &lt; .001). Age and gender significantly predicted approximately 6% of variance, and after adjusting for age and gender, presence of meaning and search for meaning in life significantly predicted a further 6% of variance in alcohol consumption. The addition of subscales (frequency, enjoyment) of alcohol-free reinforcement did not account for any additional variance in AUDIT scores (see Table S2.2).</w:t>
      </w:r>
    </w:p>
    <w:p w14:paraId="76931024" w14:textId="77777777" w:rsidR="000E4244" w:rsidRPr="000E4244" w:rsidRDefault="000E4244" w:rsidP="000E4244">
      <w:pPr>
        <w:pStyle w:val="NoSpacing"/>
        <w:spacing w:line="480" w:lineRule="auto"/>
        <w:rPr>
          <w:rFonts w:ascii="Times New Roman" w:hAnsi="Times New Roman" w:cs="Times New Roman"/>
        </w:rPr>
      </w:pPr>
    </w:p>
    <w:p w14:paraId="00499686" w14:textId="77777777" w:rsidR="000E4244" w:rsidRDefault="000E4244" w:rsidP="000E4244">
      <w:pPr>
        <w:pStyle w:val="NoSpacing"/>
        <w:spacing w:line="480" w:lineRule="auto"/>
        <w:rPr>
          <w:rFonts w:ascii="Times New Roman" w:hAnsi="Times New Roman" w:cs="Times New Roman"/>
          <w:b/>
          <w:bCs/>
          <w:iCs/>
        </w:rPr>
      </w:pPr>
      <w:r w:rsidRPr="000E4244">
        <w:rPr>
          <w:rFonts w:ascii="Times New Roman" w:hAnsi="Times New Roman" w:cs="Times New Roman"/>
          <w:b/>
          <w:bCs/>
          <w:iCs/>
        </w:rPr>
        <w:t>Table S2.2</w:t>
      </w:r>
    </w:p>
    <w:p w14:paraId="02DF1AE9" w14:textId="22203A8B" w:rsidR="000E4244" w:rsidRPr="000E4244" w:rsidRDefault="000E4244" w:rsidP="000E4244">
      <w:pPr>
        <w:pStyle w:val="NoSpacing"/>
        <w:spacing w:line="480" w:lineRule="auto"/>
        <w:rPr>
          <w:rFonts w:ascii="Times New Roman" w:hAnsi="Times New Roman" w:cs="Times New Roman"/>
          <w:i/>
          <w:iCs/>
        </w:rPr>
      </w:pPr>
      <w:r w:rsidRPr="000E4244">
        <w:rPr>
          <w:rFonts w:ascii="Times New Roman" w:hAnsi="Times New Roman" w:cs="Times New Roman"/>
          <w:i/>
          <w:iCs/>
        </w:rPr>
        <w:t>Hierarchical regression predicting AUDIT scores, predictor variables are presence of meaning, search for meaning, and alcohol-free reinforcement after controlling for age and gender</w:t>
      </w:r>
    </w:p>
    <w:tbl>
      <w:tblPr>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3"/>
        <w:gridCol w:w="1356"/>
        <w:gridCol w:w="2407"/>
        <w:gridCol w:w="138"/>
        <w:gridCol w:w="582"/>
        <w:gridCol w:w="900"/>
        <w:gridCol w:w="827"/>
        <w:gridCol w:w="1066"/>
      </w:tblGrid>
      <w:tr w:rsidR="000E4244" w:rsidRPr="000E4244" w14:paraId="3D956D18" w14:textId="77777777" w:rsidTr="000E4244">
        <w:trPr>
          <w:trHeight w:val="479"/>
        </w:trPr>
        <w:tc>
          <w:tcPr>
            <w:tcW w:w="1743" w:type="dxa"/>
            <w:tcBorders>
              <w:top w:val="single" w:sz="18" w:space="0" w:color="auto"/>
              <w:left w:val="nil"/>
              <w:bottom w:val="nil"/>
              <w:right w:val="nil"/>
            </w:tcBorders>
          </w:tcPr>
          <w:p w14:paraId="44180A6D"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Variable</w:t>
            </w:r>
          </w:p>
        </w:tc>
        <w:tc>
          <w:tcPr>
            <w:tcW w:w="3901" w:type="dxa"/>
            <w:gridSpan w:val="3"/>
            <w:tcBorders>
              <w:top w:val="single" w:sz="18" w:space="0" w:color="auto"/>
              <w:left w:val="nil"/>
              <w:bottom w:val="single" w:sz="4" w:space="0" w:color="000000"/>
              <w:right w:val="nil"/>
            </w:tcBorders>
          </w:tcPr>
          <w:p w14:paraId="6954D0C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Cumulative</w:t>
            </w:r>
          </w:p>
        </w:tc>
        <w:tc>
          <w:tcPr>
            <w:tcW w:w="3375" w:type="dxa"/>
            <w:gridSpan w:val="4"/>
            <w:tcBorders>
              <w:top w:val="single" w:sz="18" w:space="0" w:color="auto"/>
              <w:left w:val="nil"/>
              <w:bottom w:val="single" w:sz="4" w:space="0" w:color="000000"/>
              <w:right w:val="nil"/>
            </w:tcBorders>
          </w:tcPr>
          <w:p w14:paraId="75D9BF86"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Simultaneous</w:t>
            </w:r>
          </w:p>
        </w:tc>
      </w:tr>
      <w:tr w:rsidR="000E4244" w:rsidRPr="000E4244" w14:paraId="56D8AD7C" w14:textId="77777777" w:rsidTr="000E4244">
        <w:trPr>
          <w:trHeight w:val="479"/>
        </w:trPr>
        <w:tc>
          <w:tcPr>
            <w:tcW w:w="1743" w:type="dxa"/>
            <w:tcBorders>
              <w:top w:val="nil"/>
              <w:left w:val="nil"/>
              <w:right w:val="nil"/>
            </w:tcBorders>
          </w:tcPr>
          <w:p w14:paraId="2886FD79" w14:textId="77777777" w:rsidR="000E4244" w:rsidRPr="000E4244" w:rsidRDefault="000E4244" w:rsidP="000E4244">
            <w:pPr>
              <w:pStyle w:val="NoSpacing"/>
              <w:spacing w:line="480" w:lineRule="auto"/>
              <w:rPr>
                <w:rFonts w:ascii="Times New Roman" w:hAnsi="Times New Roman" w:cs="Times New Roman"/>
              </w:rPr>
            </w:pPr>
          </w:p>
        </w:tc>
        <w:tc>
          <w:tcPr>
            <w:tcW w:w="1356" w:type="dxa"/>
            <w:tcBorders>
              <w:top w:val="single" w:sz="4" w:space="0" w:color="000000"/>
              <w:left w:val="nil"/>
              <w:right w:val="nil"/>
            </w:tcBorders>
          </w:tcPr>
          <w:p w14:paraId="5DB6D6EF"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iCs/>
              </w:rPr>
              <w:t>R</w:t>
            </w:r>
            <w:r w:rsidRPr="000E4244">
              <w:rPr>
                <w:rFonts w:ascii="Times New Roman" w:hAnsi="Times New Roman" w:cs="Times New Roman"/>
                <w:vertAlign w:val="superscript"/>
              </w:rPr>
              <w:t>2</w:t>
            </w:r>
            <w:r w:rsidRPr="000E4244">
              <w:rPr>
                <w:rFonts w:ascii="Times New Roman" w:hAnsi="Times New Roman" w:cs="Times New Roman"/>
              </w:rPr>
              <w:t>-change</w:t>
            </w:r>
          </w:p>
        </w:tc>
        <w:tc>
          <w:tcPr>
            <w:tcW w:w="2407" w:type="dxa"/>
            <w:tcBorders>
              <w:top w:val="single" w:sz="4" w:space="0" w:color="000000"/>
              <w:left w:val="nil"/>
              <w:right w:val="nil"/>
            </w:tcBorders>
          </w:tcPr>
          <w:p w14:paraId="4A606FB5"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iCs/>
              </w:rPr>
              <w:t>F</w:t>
            </w:r>
            <w:r w:rsidRPr="000E4244">
              <w:rPr>
                <w:rFonts w:ascii="Times New Roman" w:hAnsi="Times New Roman" w:cs="Times New Roman"/>
              </w:rPr>
              <w:t>-change</w:t>
            </w:r>
          </w:p>
        </w:tc>
        <w:tc>
          <w:tcPr>
            <w:tcW w:w="720" w:type="dxa"/>
            <w:gridSpan w:val="2"/>
            <w:tcBorders>
              <w:top w:val="nil"/>
              <w:left w:val="nil"/>
              <w:right w:val="nil"/>
            </w:tcBorders>
          </w:tcPr>
          <w:p w14:paraId="70AA4745"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t>B</w:t>
            </w:r>
          </w:p>
        </w:tc>
        <w:tc>
          <w:tcPr>
            <w:tcW w:w="900" w:type="dxa"/>
            <w:tcBorders>
              <w:top w:val="nil"/>
              <w:left w:val="nil"/>
              <w:right w:val="nil"/>
            </w:tcBorders>
          </w:tcPr>
          <w:p w14:paraId="4F7D1E12"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B</w:t>
            </w:r>
            <w:r w:rsidRPr="000E4244">
              <w:rPr>
                <w:rFonts w:ascii="Times New Roman" w:hAnsi="Times New Roman" w:cs="Times New Roman"/>
              </w:rPr>
              <w:t>(SE)</w:t>
            </w:r>
          </w:p>
        </w:tc>
        <w:tc>
          <w:tcPr>
            <w:tcW w:w="827" w:type="dxa"/>
            <w:tcBorders>
              <w:top w:val="nil"/>
              <w:left w:val="nil"/>
              <w:right w:val="nil"/>
            </w:tcBorders>
          </w:tcPr>
          <w:p w14:paraId="0DF78A0F"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β</w:t>
            </w:r>
          </w:p>
        </w:tc>
        <w:tc>
          <w:tcPr>
            <w:tcW w:w="1062" w:type="dxa"/>
            <w:tcBorders>
              <w:top w:val="nil"/>
              <w:left w:val="nil"/>
              <w:right w:val="nil"/>
            </w:tcBorders>
          </w:tcPr>
          <w:p w14:paraId="6C781C0A"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t>p</w:t>
            </w:r>
          </w:p>
        </w:tc>
      </w:tr>
      <w:tr w:rsidR="000E4244" w:rsidRPr="000E4244" w14:paraId="67BCD27C" w14:textId="77777777" w:rsidTr="000E4244">
        <w:trPr>
          <w:trHeight w:val="326"/>
        </w:trPr>
        <w:tc>
          <w:tcPr>
            <w:tcW w:w="1743" w:type="dxa"/>
            <w:tcBorders>
              <w:left w:val="nil"/>
              <w:bottom w:val="nil"/>
              <w:right w:val="nil"/>
            </w:tcBorders>
          </w:tcPr>
          <w:p w14:paraId="51843FA5"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lastRenderedPageBreak/>
              <w:t>Step 1</w:t>
            </w:r>
          </w:p>
        </w:tc>
        <w:tc>
          <w:tcPr>
            <w:tcW w:w="1356" w:type="dxa"/>
            <w:tcBorders>
              <w:left w:val="nil"/>
              <w:bottom w:val="nil"/>
              <w:right w:val="nil"/>
            </w:tcBorders>
          </w:tcPr>
          <w:p w14:paraId="598A6F5C"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left w:val="nil"/>
              <w:bottom w:val="nil"/>
              <w:right w:val="nil"/>
            </w:tcBorders>
          </w:tcPr>
          <w:p w14:paraId="2EDF1522"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left w:val="nil"/>
              <w:bottom w:val="nil"/>
              <w:right w:val="nil"/>
            </w:tcBorders>
          </w:tcPr>
          <w:p w14:paraId="3F3A84BB" w14:textId="77777777" w:rsidR="000E4244" w:rsidRPr="000E4244" w:rsidRDefault="000E4244" w:rsidP="000E4244">
            <w:pPr>
              <w:pStyle w:val="NoSpacing"/>
              <w:spacing w:line="480" w:lineRule="auto"/>
              <w:rPr>
                <w:rFonts w:ascii="Times New Roman" w:hAnsi="Times New Roman" w:cs="Times New Roman"/>
              </w:rPr>
            </w:pPr>
          </w:p>
        </w:tc>
        <w:tc>
          <w:tcPr>
            <w:tcW w:w="900" w:type="dxa"/>
            <w:tcBorders>
              <w:left w:val="nil"/>
              <w:bottom w:val="nil"/>
              <w:right w:val="nil"/>
            </w:tcBorders>
          </w:tcPr>
          <w:p w14:paraId="4302C96F" w14:textId="77777777" w:rsidR="000E4244" w:rsidRPr="000E4244" w:rsidRDefault="000E4244" w:rsidP="000E4244">
            <w:pPr>
              <w:pStyle w:val="NoSpacing"/>
              <w:spacing w:line="480" w:lineRule="auto"/>
              <w:rPr>
                <w:rFonts w:ascii="Times New Roman" w:hAnsi="Times New Roman" w:cs="Times New Roman"/>
              </w:rPr>
            </w:pPr>
          </w:p>
        </w:tc>
        <w:tc>
          <w:tcPr>
            <w:tcW w:w="827" w:type="dxa"/>
            <w:tcBorders>
              <w:left w:val="nil"/>
              <w:bottom w:val="nil"/>
              <w:right w:val="nil"/>
            </w:tcBorders>
          </w:tcPr>
          <w:p w14:paraId="5CF67672" w14:textId="77777777" w:rsidR="000E4244" w:rsidRPr="000E4244" w:rsidRDefault="000E4244" w:rsidP="000E4244">
            <w:pPr>
              <w:pStyle w:val="NoSpacing"/>
              <w:spacing w:line="480" w:lineRule="auto"/>
              <w:rPr>
                <w:rFonts w:ascii="Times New Roman" w:hAnsi="Times New Roman" w:cs="Times New Roman"/>
              </w:rPr>
            </w:pPr>
          </w:p>
        </w:tc>
        <w:tc>
          <w:tcPr>
            <w:tcW w:w="1062" w:type="dxa"/>
            <w:tcBorders>
              <w:left w:val="nil"/>
              <w:bottom w:val="nil"/>
              <w:right w:val="nil"/>
            </w:tcBorders>
          </w:tcPr>
          <w:p w14:paraId="762AEC6C" w14:textId="77777777" w:rsidR="000E4244" w:rsidRPr="000E4244" w:rsidRDefault="000E4244" w:rsidP="000E4244">
            <w:pPr>
              <w:pStyle w:val="NoSpacing"/>
              <w:spacing w:line="480" w:lineRule="auto"/>
              <w:rPr>
                <w:rFonts w:ascii="Times New Roman" w:hAnsi="Times New Roman" w:cs="Times New Roman"/>
              </w:rPr>
            </w:pPr>
          </w:p>
        </w:tc>
      </w:tr>
      <w:tr w:rsidR="000E4244" w:rsidRPr="000E4244" w14:paraId="61BF84C5" w14:textId="77777777" w:rsidTr="000E4244">
        <w:trPr>
          <w:trHeight w:val="433"/>
        </w:trPr>
        <w:tc>
          <w:tcPr>
            <w:tcW w:w="1743" w:type="dxa"/>
            <w:tcBorders>
              <w:top w:val="nil"/>
              <w:left w:val="nil"/>
              <w:bottom w:val="nil"/>
              <w:right w:val="nil"/>
            </w:tcBorders>
          </w:tcPr>
          <w:p w14:paraId="51E3C49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Age</w:t>
            </w:r>
          </w:p>
        </w:tc>
        <w:tc>
          <w:tcPr>
            <w:tcW w:w="1356" w:type="dxa"/>
            <w:tcBorders>
              <w:top w:val="nil"/>
              <w:left w:val="nil"/>
              <w:bottom w:val="nil"/>
              <w:right w:val="nil"/>
            </w:tcBorders>
          </w:tcPr>
          <w:p w14:paraId="29F919F7"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.06</w:t>
            </w:r>
          </w:p>
        </w:tc>
        <w:tc>
          <w:tcPr>
            <w:tcW w:w="2407" w:type="dxa"/>
            <w:tcBorders>
              <w:top w:val="nil"/>
              <w:left w:val="nil"/>
              <w:bottom w:val="nil"/>
              <w:right w:val="nil"/>
            </w:tcBorders>
          </w:tcPr>
          <w:p w14:paraId="5465D50C" w14:textId="77777777" w:rsidR="000E4244" w:rsidRPr="000E4244" w:rsidRDefault="000E4244" w:rsidP="000E4244">
            <w:pPr>
              <w:pStyle w:val="NoSpacing"/>
              <w:spacing w:line="480" w:lineRule="auto"/>
              <w:rPr>
                <w:rFonts w:ascii="Times New Roman" w:hAnsi="Times New Roman" w:cs="Times New Roman"/>
              </w:rPr>
            </w:pPr>
            <w:proofErr w:type="gramStart"/>
            <w:r w:rsidRPr="000E4244">
              <w:rPr>
                <w:rFonts w:ascii="Times New Roman" w:hAnsi="Times New Roman" w:cs="Times New Roman"/>
              </w:rPr>
              <w:t>F(</w:t>
            </w:r>
            <w:proofErr w:type="gramEnd"/>
            <w:r w:rsidRPr="000E4244">
              <w:rPr>
                <w:rFonts w:ascii="Times New Roman" w:hAnsi="Times New Roman" w:cs="Times New Roman"/>
              </w:rPr>
              <w:t>2, 538) = 15.56***</w:t>
            </w:r>
          </w:p>
        </w:tc>
        <w:tc>
          <w:tcPr>
            <w:tcW w:w="720" w:type="dxa"/>
            <w:gridSpan w:val="2"/>
            <w:tcBorders>
              <w:top w:val="nil"/>
              <w:left w:val="nil"/>
              <w:bottom w:val="nil"/>
              <w:right w:val="nil"/>
            </w:tcBorders>
          </w:tcPr>
          <w:p w14:paraId="61AB0FAA"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-.07</w:t>
            </w:r>
          </w:p>
        </w:tc>
        <w:tc>
          <w:tcPr>
            <w:tcW w:w="900" w:type="dxa"/>
            <w:tcBorders>
              <w:top w:val="nil"/>
              <w:left w:val="nil"/>
              <w:bottom w:val="nil"/>
              <w:right w:val="nil"/>
            </w:tcBorders>
          </w:tcPr>
          <w:p w14:paraId="7A84D295"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.02</w:t>
            </w:r>
          </w:p>
        </w:tc>
        <w:tc>
          <w:tcPr>
            <w:tcW w:w="827" w:type="dxa"/>
            <w:tcBorders>
              <w:top w:val="nil"/>
              <w:left w:val="nil"/>
              <w:bottom w:val="nil"/>
              <w:right w:val="nil"/>
            </w:tcBorders>
          </w:tcPr>
          <w:p w14:paraId="548F989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-.18</w:t>
            </w:r>
          </w:p>
        </w:tc>
        <w:tc>
          <w:tcPr>
            <w:tcW w:w="1062" w:type="dxa"/>
            <w:tcBorders>
              <w:top w:val="nil"/>
              <w:left w:val="nil"/>
              <w:bottom w:val="nil"/>
              <w:right w:val="nil"/>
            </w:tcBorders>
          </w:tcPr>
          <w:p w14:paraId="23DC9EA9"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 xml:space="preserve">p </w:t>
            </w:r>
            <w:r w:rsidRPr="000E4244">
              <w:rPr>
                <w:rFonts w:ascii="Times New Roman" w:hAnsi="Times New Roman" w:cs="Times New Roman"/>
              </w:rPr>
              <w:t>&lt; .001</w:t>
            </w:r>
          </w:p>
        </w:tc>
      </w:tr>
      <w:tr w:rsidR="000E4244" w:rsidRPr="000E4244" w14:paraId="2193BE2E" w14:textId="77777777" w:rsidTr="000E4244">
        <w:trPr>
          <w:trHeight w:val="451"/>
        </w:trPr>
        <w:tc>
          <w:tcPr>
            <w:tcW w:w="1743" w:type="dxa"/>
            <w:tcBorders>
              <w:top w:val="nil"/>
              <w:left w:val="nil"/>
              <w:bottom w:val="nil"/>
              <w:right w:val="nil"/>
            </w:tcBorders>
          </w:tcPr>
          <w:p w14:paraId="0B556F6F"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Gender</w:t>
            </w:r>
          </w:p>
        </w:tc>
        <w:tc>
          <w:tcPr>
            <w:tcW w:w="1356" w:type="dxa"/>
            <w:tcBorders>
              <w:top w:val="nil"/>
              <w:left w:val="nil"/>
              <w:bottom w:val="nil"/>
              <w:right w:val="nil"/>
            </w:tcBorders>
          </w:tcPr>
          <w:p w14:paraId="67A09E15"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top w:val="nil"/>
              <w:left w:val="nil"/>
              <w:bottom w:val="nil"/>
              <w:right w:val="nil"/>
            </w:tcBorders>
          </w:tcPr>
          <w:p w14:paraId="17DD84A4"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top w:val="nil"/>
              <w:left w:val="nil"/>
              <w:bottom w:val="nil"/>
              <w:right w:val="nil"/>
            </w:tcBorders>
          </w:tcPr>
          <w:p w14:paraId="28364878"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.23</w:t>
            </w:r>
          </w:p>
        </w:tc>
        <w:tc>
          <w:tcPr>
            <w:tcW w:w="900" w:type="dxa"/>
            <w:tcBorders>
              <w:top w:val="nil"/>
              <w:left w:val="nil"/>
              <w:bottom w:val="nil"/>
              <w:right w:val="nil"/>
            </w:tcBorders>
          </w:tcPr>
          <w:p w14:paraId="4586E29C"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.51</w:t>
            </w:r>
          </w:p>
        </w:tc>
        <w:tc>
          <w:tcPr>
            <w:tcW w:w="827" w:type="dxa"/>
            <w:tcBorders>
              <w:top w:val="nil"/>
              <w:left w:val="nil"/>
              <w:bottom w:val="nil"/>
              <w:right w:val="nil"/>
            </w:tcBorders>
          </w:tcPr>
          <w:p w14:paraId="62B04B4B"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.02</w:t>
            </w:r>
          </w:p>
        </w:tc>
        <w:tc>
          <w:tcPr>
            <w:tcW w:w="1062" w:type="dxa"/>
            <w:tcBorders>
              <w:top w:val="nil"/>
              <w:left w:val="nil"/>
              <w:bottom w:val="nil"/>
              <w:right w:val="nil"/>
            </w:tcBorders>
          </w:tcPr>
          <w:p w14:paraId="2045672C"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 xml:space="preserve">p </w:t>
            </w:r>
            <w:r w:rsidRPr="000E4244">
              <w:rPr>
                <w:rFonts w:ascii="Times New Roman" w:hAnsi="Times New Roman" w:cs="Times New Roman"/>
              </w:rPr>
              <w:t>= .66</w:t>
            </w:r>
          </w:p>
        </w:tc>
      </w:tr>
      <w:tr w:rsidR="000E4244" w:rsidRPr="000E4244" w14:paraId="344A89D0" w14:textId="77777777" w:rsidTr="000E4244">
        <w:trPr>
          <w:trHeight w:val="336"/>
        </w:trPr>
        <w:tc>
          <w:tcPr>
            <w:tcW w:w="1743" w:type="dxa"/>
            <w:tcBorders>
              <w:top w:val="nil"/>
              <w:left w:val="nil"/>
              <w:bottom w:val="nil"/>
              <w:right w:val="nil"/>
            </w:tcBorders>
          </w:tcPr>
          <w:p w14:paraId="3BF3B138"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t>Step 2</w:t>
            </w:r>
          </w:p>
        </w:tc>
        <w:tc>
          <w:tcPr>
            <w:tcW w:w="1356" w:type="dxa"/>
            <w:tcBorders>
              <w:top w:val="nil"/>
              <w:left w:val="nil"/>
              <w:bottom w:val="nil"/>
              <w:right w:val="nil"/>
            </w:tcBorders>
          </w:tcPr>
          <w:p w14:paraId="0EE28844"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top w:val="nil"/>
              <w:left w:val="nil"/>
              <w:bottom w:val="nil"/>
              <w:right w:val="nil"/>
            </w:tcBorders>
          </w:tcPr>
          <w:p w14:paraId="239240CB"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top w:val="nil"/>
              <w:left w:val="nil"/>
              <w:bottom w:val="nil"/>
              <w:right w:val="nil"/>
            </w:tcBorders>
          </w:tcPr>
          <w:p w14:paraId="3CCC660A" w14:textId="77777777" w:rsidR="000E4244" w:rsidRPr="000E4244" w:rsidRDefault="000E4244" w:rsidP="000E4244">
            <w:pPr>
              <w:pStyle w:val="NoSpacing"/>
              <w:spacing w:line="480" w:lineRule="auto"/>
              <w:rPr>
                <w:rFonts w:ascii="Times New Roman" w:hAnsi="Times New Roman" w:cs="Times New Roman"/>
              </w:rPr>
            </w:pPr>
          </w:p>
        </w:tc>
        <w:tc>
          <w:tcPr>
            <w:tcW w:w="900" w:type="dxa"/>
            <w:tcBorders>
              <w:top w:val="nil"/>
              <w:left w:val="nil"/>
              <w:bottom w:val="nil"/>
              <w:right w:val="nil"/>
            </w:tcBorders>
          </w:tcPr>
          <w:p w14:paraId="0873739D" w14:textId="77777777" w:rsidR="000E4244" w:rsidRPr="000E4244" w:rsidRDefault="000E4244" w:rsidP="000E4244">
            <w:pPr>
              <w:pStyle w:val="NoSpacing"/>
              <w:spacing w:line="480" w:lineRule="auto"/>
              <w:rPr>
                <w:rFonts w:ascii="Times New Roman" w:hAnsi="Times New Roman" w:cs="Times New Roman"/>
              </w:rPr>
            </w:pPr>
          </w:p>
        </w:tc>
        <w:tc>
          <w:tcPr>
            <w:tcW w:w="827" w:type="dxa"/>
            <w:tcBorders>
              <w:top w:val="nil"/>
              <w:left w:val="nil"/>
              <w:bottom w:val="nil"/>
              <w:right w:val="nil"/>
            </w:tcBorders>
          </w:tcPr>
          <w:p w14:paraId="502709AD" w14:textId="77777777" w:rsidR="000E4244" w:rsidRPr="000E4244" w:rsidRDefault="000E4244" w:rsidP="000E4244">
            <w:pPr>
              <w:pStyle w:val="NoSpacing"/>
              <w:spacing w:line="480" w:lineRule="auto"/>
              <w:rPr>
                <w:rFonts w:ascii="Times New Roman" w:hAnsi="Times New Roman" w:cs="Times New Roman"/>
              </w:rPr>
            </w:pPr>
          </w:p>
        </w:tc>
        <w:tc>
          <w:tcPr>
            <w:tcW w:w="1062" w:type="dxa"/>
            <w:tcBorders>
              <w:top w:val="nil"/>
              <w:left w:val="nil"/>
              <w:bottom w:val="nil"/>
              <w:right w:val="nil"/>
            </w:tcBorders>
          </w:tcPr>
          <w:p w14:paraId="04AB222B" w14:textId="77777777" w:rsidR="000E4244" w:rsidRPr="000E4244" w:rsidRDefault="000E4244" w:rsidP="000E4244">
            <w:pPr>
              <w:pStyle w:val="NoSpacing"/>
              <w:spacing w:line="480" w:lineRule="auto"/>
              <w:rPr>
                <w:rFonts w:ascii="Times New Roman" w:hAnsi="Times New Roman" w:cs="Times New Roman"/>
              </w:rPr>
            </w:pPr>
          </w:p>
        </w:tc>
      </w:tr>
      <w:tr w:rsidR="000E4244" w:rsidRPr="000E4244" w14:paraId="7EB7283C" w14:textId="77777777" w:rsidTr="000E4244">
        <w:trPr>
          <w:trHeight w:val="411"/>
        </w:trPr>
        <w:tc>
          <w:tcPr>
            <w:tcW w:w="1743" w:type="dxa"/>
            <w:tcBorders>
              <w:top w:val="nil"/>
              <w:left w:val="nil"/>
              <w:bottom w:val="nil"/>
              <w:right w:val="nil"/>
            </w:tcBorders>
          </w:tcPr>
          <w:p w14:paraId="2A95C14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Presence</w:t>
            </w:r>
          </w:p>
        </w:tc>
        <w:tc>
          <w:tcPr>
            <w:tcW w:w="1356" w:type="dxa"/>
            <w:tcBorders>
              <w:top w:val="nil"/>
              <w:left w:val="nil"/>
              <w:bottom w:val="nil"/>
              <w:right w:val="nil"/>
            </w:tcBorders>
          </w:tcPr>
          <w:p w14:paraId="4E23F2DE"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.06</w:t>
            </w:r>
          </w:p>
        </w:tc>
        <w:tc>
          <w:tcPr>
            <w:tcW w:w="2407" w:type="dxa"/>
            <w:tcBorders>
              <w:top w:val="nil"/>
              <w:left w:val="nil"/>
              <w:bottom w:val="nil"/>
              <w:right w:val="nil"/>
            </w:tcBorders>
          </w:tcPr>
          <w:p w14:paraId="54290C15" w14:textId="77777777" w:rsidR="000E4244" w:rsidRPr="000E4244" w:rsidRDefault="000E4244" w:rsidP="000E4244">
            <w:pPr>
              <w:pStyle w:val="NoSpacing"/>
              <w:spacing w:line="480" w:lineRule="auto"/>
              <w:rPr>
                <w:rFonts w:ascii="Times New Roman" w:hAnsi="Times New Roman" w:cs="Times New Roman"/>
              </w:rPr>
            </w:pPr>
            <w:proofErr w:type="gramStart"/>
            <w:r w:rsidRPr="000E4244">
              <w:rPr>
                <w:rFonts w:ascii="Times New Roman" w:hAnsi="Times New Roman" w:cs="Times New Roman"/>
              </w:rPr>
              <w:t>F(</w:t>
            </w:r>
            <w:proofErr w:type="gramEnd"/>
            <w:r w:rsidRPr="000E4244">
              <w:rPr>
                <w:rFonts w:ascii="Times New Roman" w:hAnsi="Times New Roman" w:cs="Times New Roman"/>
              </w:rPr>
              <w:t>2, 536) = 18.96***</w:t>
            </w:r>
          </w:p>
        </w:tc>
        <w:tc>
          <w:tcPr>
            <w:tcW w:w="720" w:type="dxa"/>
            <w:gridSpan w:val="2"/>
            <w:tcBorders>
              <w:top w:val="nil"/>
              <w:left w:val="nil"/>
              <w:bottom w:val="nil"/>
              <w:right w:val="nil"/>
            </w:tcBorders>
          </w:tcPr>
          <w:p w14:paraId="45C16EE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-.22</w:t>
            </w:r>
          </w:p>
        </w:tc>
        <w:tc>
          <w:tcPr>
            <w:tcW w:w="900" w:type="dxa"/>
            <w:tcBorders>
              <w:top w:val="nil"/>
              <w:left w:val="nil"/>
              <w:bottom w:val="nil"/>
              <w:right w:val="nil"/>
            </w:tcBorders>
          </w:tcPr>
          <w:p w14:paraId="28C75AC6"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.04</w:t>
            </w:r>
          </w:p>
        </w:tc>
        <w:tc>
          <w:tcPr>
            <w:tcW w:w="827" w:type="dxa"/>
            <w:tcBorders>
              <w:top w:val="nil"/>
              <w:left w:val="nil"/>
              <w:bottom w:val="nil"/>
              <w:right w:val="nil"/>
            </w:tcBorders>
          </w:tcPr>
          <w:p w14:paraId="02F217C7"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-.26</w:t>
            </w:r>
          </w:p>
        </w:tc>
        <w:tc>
          <w:tcPr>
            <w:tcW w:w="1062" w:type="dxa"/>
            <w:tcBorders>
              <w:top w:val="nil"/>
              <w:left w:val="nil"/>
              <w:bottom w:val="nil"/>
              <w:right w:val="nil"/>
            </w:tcBorders>
          </w:tcPr>
          <w:p w14:paraId="1C86E976"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 xml:space="preserve">p </w:t>
            </w:r>
            <w:r w:rsidRPr="000E4244">
              <w:rPr>
                <w:rFonts w:ascii="Times New Roman" w:hAnsi="Times New Roman" w:cs="Times New Roman"/>
              </w:rPr>
              <w:t>&lt; .001</w:t>
            </w:r>
          </w:p>
        </w:tc>
      </w:tr>
      <w:tr w:rsidR="000E4244" w:rsidRPr="000E4244" w14:paraId="0E0B1369" w14:textId="77777777" w:rsidTr="000E4244">
        <w:trPr>
          <w:trHeight w:val="479"/>
        </w:trPr>
        <w:tc>
          <w:tcPr>
            <w:tcW w:w="1743" w:type="dxa"/>
            <w:tcBorders>
              <w:top w:val="nil"/>
              <w:left w:val="nil"/>
              <w:bottom w:val="nil"/>
              <w:right w:val="nil"/>
            </w:tcBorders>
          </w:tcPr>
          <w:p w14:paraId="538F8ADE"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Search</w:t>
            </w:r>
          </w:p>
        </w:tc>
        <w:tc>
          <w:tcPr>
            <w:tcW w:w="1356" w:type="dxa"/>
            <w:tcBorders>
              <w:top w:val="nil"/>
              <w:left w:val="nil"/>
              <w:bottom w:val="nil"/>
              <w:right w:val="nil"/>
            </w:tcBorders>
          </w:tcPr>
          <w:p w14:paraId="44CF5744"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top w:val="nil"/>
              <w:left w:val="nil"/>
              <w:bottom w:val="nil"/>
              <w:right w:val="nil"/>
            </w:tcBorders>
          </w:tcPr>
          <w:p w14:paraId="6153A5C4"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top w:val="nil"/>
              <w:left w:val="nil"/>
              <w:bottom w:val="nil"/>
              <w:right w:val="nil"/>
            </w:tcBorders>
          </w:tcPr>
          <w:p w14:paraId="610B36C7"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-.02</w:t>
            </w:r>
          </w:p>
        </w:tc>
        <w:tc>
          <w:tcPr>
            <w:tcW w:w="900" w:type="dxa"/>
            <w:tcBorders>
              <w:top w:val="nil"/>
              <w:left w:val="nil"/>
              <w:bottom w:val="nil"/>
              <w:right w:val="nil"/>
            </w:tcBorders>
          </w:tcPr>
          <w:p w14:paraId="064163B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.04</w:t>
            </w:r>
          </w:p>
        </w:tc>
        <w:tc>
          <w:tcPr>
            <w:tcW w:w="827" w:type="dxa"/>
            <w:tcBorders>
              <w:top w:val="nil"/>
              <w:left w:val="nil"/>
              <w:bottom w:val="nil"/>
              <w:right w:val="nil"/>
            </w:tcBorders>
          </w:tcPr>
          <w:p w14:paraId="1599FFED"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-.03</w:t>
            </w:r>
          </w:p>
        </w:tc>
        <w:tc>
          <w:tcPr>
            <w:tcW w:w="1062" w:type="dxa"/>
            <w:tcBorders>
              <w:top w:val="nil"/>
              <w:left w:val="nil"/>
              <w:bottom w:val="nil"/>
              <w:right w:val="nil"/>
            </w:tcBorders>
          </w:tcPr>
          <w:p w14:paraId="4FFBE849"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 xml:space="preserve">p </w:t>
            </w:r>
            <w:r w:rsidRPr="000E4244">
              <w:rPr>
                <w:rFonts w:ascii="Times New Roman" w:hAnsi="Times New Roman" w:cs="Times New Roman"/>
              </w:rPr>
              <w:t>= .54</w:t>
            </w:r>
          </w:p>
        </w:tc>
      </w:tr>
      <w:tr w:rsidR="000E4244" w:rsidRPr="000E4244" w14:paraId="7901F9BF" w14:textId="77777777" w:rsidTr="000E4244">
        <w:trPr>
          <w:trHeight w:val="312"/>
        </w:trPr>
        <w:tc>
          <w:tcPr>
            <w:tcW w:w="1743" w:type="dxa"/>
            <w:tcBorders>
              <w:top w:val="nil"/>
              <w:left w:val="nil"/>
              <w:bottom w:val="nil"/>
              <w:right w:val="nil"/>
            </w:tcBorders>
          </w:tcPr>
          <w:p w14:paraId="59F46348"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t>Step 3</w:t>
            </w:r>
          </w:p>
        </w:tc>
        <w:tc>
          <w:tcPr>
            <w:tcW w:w="1356" w:type="dxa"/>
            <w:tcBorders>
              <w:top w:val="nil"/>
              <w:left w:val="nil"/>
              <w:bottom w:val="nil"/>
              <w:right w:val="nil"/>
            </w:tcBorders>
          </w:tcPr>
          <w:p w14:paraId="0F91AD95"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top w:val="nil"/>
              <w:left w:val="nil"/>
              <w:bottom w:val="nil"/>
              <w:right w:val="nil"/>
            </w:tcBorders>
          </w:tcPr>
          <w:p w14:paraId="62BCDA3C"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top w:val="nil"/>
              <w:left w:val="nil"/>
              <w:bottom w:val="nil"/>
              <w:right w:val="nil"/>
            </w:tcBorders>
          </w:tcPr>
          <w:p w14:paraId="020D16FA" w14:textId="77777777" w:rsidR="000E4244" w:rsidRPr="000E4244" w:rsidRDefault="000E4244" w:rsidP="000E4244">
            <w:pPr>
              <w:pStyle w:val="NoSpacing"/>
              <w:spacing w:line="480" w:lineRule="auto"/>
              <w:rPr>
                <w:rFonts w:ascii="Times New Roman" w:hAnsi="Times New Roman" w:cs="Times New Roman"/>
              </w:rPr>
            </w:pPr>
          </w:p>
        </w:tc>
        <w:tc>
          <w:tcPr>
            <w:tcW w:w="900" w:type="dxa"/>
            <w:tcBorders>
              <w:top w:val="nil"/>
              <w:left w:val="nil"/>
              <w:bottom w:val="nil"/>
              <w:right w:val="nil"/>
            </w:tcBorders>
          </w:tcPr>
          <w:p w14:paraId="4B372CDE" w14:textId="77777777" w:rsidR="000E4244" w:rsidRPr="000E4244" w:rsidRDefault="000E4244" w:rsidP="000E4244">
            <w:pPr>
              <w:pStyle w:val="NoSpacing"/>
              <w:spacing w:line="480" w:lineRule="auto"/>
              <w:rPr>
                <w:rFonts w:ascii="Times New Roman" w:hAnsi="Times New Roman" w:cs="Times New Roman"/>
              </w:rPr>
            </w:pPr>
          </w:p>
        </w:tc>
        <w:tc>
          <w:tcPr>
            <w:tcW w:w="827" w:type="dxa"/>
            <w:tcBorders>
              <w:top w:val="nil"/>
              <w:left w:val="nil"/>
              <w:bottom w:val="nil"/>
              <w:right w:val="nil"/>
            </w:tcBorders>
          </w:tcPr>
          <w:p w14:paraId="1EC11566" w14:textId="77777777" w:rsidR="000E4244" w:rsidRPr="000E4244" w:rsidRDefault="000E4244" w:rsidP="000E4244">
            <w:pPr>
              <w:pStyle w:val="NoSpacing"/>
              <w:spacing w:line="480" w:lineRule="auto"/>
              <w:rPr>
                <w:rFonts w:ascii="Times New Roman" w:hAnsi="Times New Roman" w:cs="Times New Roman"/>
              </w:rPr>
            </w:pPr>
          </w:p>
        </w:tc>
        <w:tc>
          <w:tcPr>
            <w:tcW w:w="1062" w:type="dxa"/>
            <w:tcBorders>
              <w:top w:val="nil"/>
              <w:left w:val="nil"/>
              <w:bottom w:val="nil"/>
              <w:right w:val="nil"/>
            </w:tcBorders>
          </w:tcPr>
          <w:p w14:paraId="705E9EE0" w14:textId="77777777" w:rsidR="000E4244" w:rsidRPr="000E4244" w:rsidRDefault="000E4244" w:rsidP="000E4244">
            <w:pPr>
              <w:pStyle w:val="NoSpacing"/>
              <w:spacing w:line="480" w:lineRule="auto"/>
              <w:rPr>
                <w:rFonts w:ascii="Times New Roman" w:hAnsi="Times New Roman" w:cs="Times New Roman"/>
              </w:rPr>
            </w:pPr>
          </w:p>
        </w:tc>
      </w:tr>
      <w:tr w:rsidR="000E4244" w:rsidRPr="000E4244" w14:paraId="6EF2ED01" w14:textId="77777777" w:rsidTr="000E4244">
        <w:trPr>
          <w:trHeight w:val="346"/>
        </w:trPr>
        <w:tc>
          <w:tcPr>
            <w:tcW w:w="1743" w:type="dxa"/>
            <w:tcBorders>
              <w:top w:val="nil"/>
              <w:left w:val="nil"/>
              <w:bottom w:val="nil"/>
              <w:right w:val="nil"/>
            </w:tcBorders>
          </w:tcPr>
          <w:p w14:paraId="5BD716B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Frequency</w:t>
            </w:r>
          </w:p>
        </w:tc>
        <w:tc>
          <w:tcPr>
            <w:tcW w:w="1356" w:type="dxa"/>
            <w:tcBorders>
              <w:top w:val="nil"/>
              <w:left w:val="nil"/>
              <w:bottom w:val="nil"/>
              <w:right w:val="nil"/>
            </w:tcBorders>
          </w:tcPr>
          <w:p w14:paraId="658E32FB"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.00</w:t>
            </w:r>
          </w:p>
        </w:tc>
        <w:tc>
          <w:tcPr>
            <w:tcW w:w="2407" w:type="dxa"/>
            <w:tcBorders>
              <w:top w:val="nil"/>
              <w:left w:val="nil"/>
              <w:bottom w:val="nil"/>
              <w:right w:val="nil"/>
            </w:tcBorders>
          </w:tcPr>
          <w:p w14:paraId="1B46A73F" w14:textId="77777777" w:rsidR="000E4244" w:rsidRPr="000E4244" w:rsidRDefault="000E4244" w:rsidP="000E4244">
            <w:pPr>
              <w:pStyle w:val="NoSpacing"/>
              <w:spacing w:line="480" w:lineRule="auto"/>
              <w:rPr>
                <w:rFonts w:ascii="Times New Roman" w:hAnsi="Times New Roman" w:cs="Times New Roman"/>
              </w:rPr>
            </w:pPr>
            <w:proofErr w:type="gramStart"/>
            <w:r w:rsidRPr="000E4244">
              <w:rPr>
                <w:rFonts w:ascii="Times New Roman" w:hAnsi="Times New Roman" w:cs="Times New Roman"/>
              </w:rPr>
              <w:t>F(</w:t>
            </w:r>
            <w:proofErr w:type="gramEnd"/>
            <w:r w:rsidRPr="000E4244">
              <w:rPr>
                <w:rFonts w:ascii="Times New Roman" w:hAnsi="Times New Roman" w:cs="Times New Roman"/>
              </w:rPr>
              <w:t>2, 534) = .17</w:t>
            </w:r>
          </w:p>
        </w:tc>
        <w:tc>
          <w:tcPr>
            <w:tcW w:w="720" w:type="dxa"/>
            <w:gridSpan w:val="2"/>
            <w:tcBorders>
              <w:top w:val="nil"/>
              <w:left w:val="nil"/>
              <w:bottom w:val="nil"/>
              <w:right w:val="nil"/>
            </w:tcBorders>
          </w:tcPr>
          <w:p w14:paraId="008ACA1F"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-.23</w:t>
            </w:r>
          </w:p>
        </w:tc>
        <w:tc>
          <w:tcPr>
            <w:tcW w:w="900" w:type="dxa"/>
            <w:tcBorders>
              <w:top w:val="nil"/>
              <w:left w:val="nil"/>
              <w:bottom w:val="nil"/>
              <w:right w:val="nil"/>
            </w:tcBorders>
          </w:tcPr>
          <w:p w14:paraId="6778BD82"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.52</w:t>
            </w:r>
          </w:p>
        </w:tc>
        <w:tc>
          <w:tcPr>
            <w:tcW w:w="827" w:type="dxa"/>
            <w:tcBorders>
              <w:top w:val="nil"/>
              <w:left w:val="nil"/>
              <w:bottom w:val="nil"/>
              <w:right w:val="nil"/>
            </w:tcBorders>
          </w:tcPr>
          <w:p w14:paraId="1E0B118D"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-.02</w:t>
            </w:r>
          </w:p>
        </w:tc>
        <w:tc>
          <w:tcPr>
            <w:tcW w:w="1062" w:type="dxa"/>
            <w:tcBorders>
              <w:top w:val="nil"/>
              <w:left w:val="nil"/>
              <w:bottom w:val="nil"/>
              <w:right w:val="nil"/>
            </w:tcBorders>
          </w:tcPr>
          <w:p w14:paraId="29AD0DB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rPr>
              <w:t xml:space="preserve">p </w:t>
            </w:r>
            <w:r w:rsidRPr="000E4244">
              <w:rPr>
                <w:rFonts w:ascii="Times New Roman" w:hAnsi="Times New Roman" w:cs="Times New Roman"/>
              </w:rPr>
              <w:t>= .66</w:t>
            </w:r>
          </w:p>
        </w:tc>
      </w:tr>
      <w:tr w:rsidR="000E4244" w:rsidRPr="000E4244" w14:paraId="21664035" w14:textId="77777777" w:rsidTr="000E4244">
        <w:trPr>
          <w:trHeight w:val="304"/>
        </w:trPr>
        <w:tc>
          <w:tcPr>
            <w:tcW w:w="1743" w:type="dxa"/>
            <w:tcBorders>
              <w:top w:val="nil"/>
              <w:left w:val="nil"/>
              <w:bottom w:val="single" w:sz="18" w:space="0" w:color="auto"/>
              <w:right w:val="nil"/>
            </w:tcBorders>
          </w:tcPr>
          <w:p w14:paraId="787B37EB"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Enjoyment</w:t>
            </w:r>
          </w:p>
        </w:tc>
        <w:tc>
          <w:tcPr>
            <w:tcW w:w="1356" w:type="dxa"/>
            <w:tcBorders>
              <w:top w:val="nil"/>
              <w:left w:val="nil"/>
              <w:bottom w:val="single" w:sz="18" w:space="0" w:color="auto"/>
              <w:right w:val="nil"/>
            </w:tcBorders>
          </w:tcPr>
          <w:p w14:paraId="2A1D3C9E" w14:textId="77777777" w:rsidR="000E4244" w:rsidRPr="000E4244" w:rsidRDefault="000E4244" w:rsidP="000E4244">
            <w:pPr>
              <w:pStyle w:val="NoSpacing"/>
              <w:spacing w:line="480" w:lineRule="auto"/>
              <w:rPr>
                <w:rFonts w:ascii="Times New Roman" w:hAnsi="Times New Roman" w:cs="Times New Roman"/>
              </w:rPr>
            </w:pPr>
          </w:p>
        </w:tc>
        <w:tc>
          <w:tcPr>
            <w:tcW w:w="2407" w:type="dxa"/>
            <w:tcBorders>
              <w:top w:val="nil"/>
              <w:left w:val="nil"/>
              <w:bottom w:val="single" w:sz="18" w:space="0" w:color="auto"/>
              <w:right w:val="nil"/>
            </w:tcBorders>
          </w:tcPr>
          <w:p w14:paraId="3EAB31D2" w14:textId="77777777" w:rsidR="000E4244" w:rsidRPr="000E4244" w:rsidRDefault="000E4244" w:rsidP="000E4244">
            <w:pPr>
              <w:pStyle w:val="NoSpacing"/>
              <w:spacing w:line="480" w:lineRule="auto"/>
              <w:rPr>
                <w:rFonts w:ascii="Times New Roman" w:hAnsi="Times New Roman" w:cs="Times New Roman"/>
              </w:rPr>
            </w:pPr>
          </w:p>
        </w:tc>
        <w:tc>
          <w:tcPr>
            <w:tcW w:w="720" w:type="dxa"/>
            <w:gridSpan w:val="2"/>
            <w:tcBorders>
              <w:top w:val="nil"/>
              <w:left w:val="nil"/>
              <w:bottom w:val="single" w:sz="18" w:space="0" w:color="auto"/>
              <w:right w:val="nil"/>
            </w:tcBorders>
          </w:tcPr>
          <w:p w14:paraId="48A31683"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.01</w:t>
            </w:r>
          </w:p>
        </w:tc>
        <w:tc>
          <w:tcPr>
            <w:tcW w:w="900" w:type="dxa"/>
            <w:tcBorders>
              <w:top w:val="nil"/>
              <w:left w:val="nil"/>
              <w:bottom w:val="single" w:sz="18" w:space="0" w:color="auto"/>
              <w:right w:val="nil"/>
            </w:tcBorders>
          </w:tcPr>
          <w:p w14:paraId="33A37589"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.60</w:t>
            </w:r>
          </w:p>
        </w:tc>
        <w:tc>
          <w:tcPr>
            <w:tcW w:w="827" w:type="dxa"/>
            <w:tcBorders>
              <w:top w:val="nil"/>
              <w:left w:val="nil"/>
              <w:bottom w:val="single" w:sz="18" w:space="0" w:color="auto"/>
              <w:right w:val="nil"/>
            </w:tcBorders>
          </w:tcPr>
          <w:p w14:paraId="20E0C95C"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.00</w:t>
            </w:r>
          </w:p>
        </w:tc>
        <w:tc>
          <w:tcPr>
            <w:tcW w:w="1062" w:type="dxa"/>
            <w:tcBorders>
              <w:top w:val="nil"/>
              <w:left w:val="nil"/>
              <w:bottom w:val="single" w:sz="18" w:space="0" w:color="auto"/>
              <w:right w:val="nil"/>
            </w:tcBorders>
          </w:tcPr>
          <w:p w14:paraId="6A9997ED" w14:textId="77777777" w:rsidR="000E4244" w:rsidRPr="000E4244" w:rsidRDefault="000E4244" w:rsidP="000E4244">
            <w:pPr>
              <w:pStyle w:val="NoSpacing"/>
              <w:spacing w:line="480" w:lineRule="auto"/>
              <w:rPr>
                <w:rFonts w:ascii="Times New Roman" w:hAnsi="Times New Roman" w:cs="Times New Roman"/>
                <w:i/>
              </w:rPr>
            </w:pPr>
            <w:r w:rsidRPr="000E4244">
              <w:rPr>
                <w:rFonts w:ascii="Times New Roman" w:hAnsi="Times New Roman" w:cs="Times New Roman"/>
                <w:i/>
              </w:rPr>
              <w:t xml:space="preserve">p = </w:t>
            </w:r>
            <w:r w:rsidRPr="000E4244">
              <w:rPr>
                <w:rFonts w:ascii="Times New Roman" w:hAnsi="Times New Roman" w:cs="Times New Roman"/>
              </w:rPr>
              <w:t>.99</w:t>
            </w:r>
          </w:p>
        </w:tc>
      </w:tr>
    </w:tbl>
    <w:p w14:paraId="6AB9F450"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i/>
          <w:iCs/>
        </w:rPr>
        <w:t>Note.</w:t>
      </w:r>
      <w:r w:rsidRPr="000E4244">
        <w:rPr>
          <w:rFonts w:ascii="Times New Roman" w:hAnsi="Times New Roman" w:cs="Times New Roman"/>
        </w:rPr>
        <w:t xml:space="preserve"> Presence = presence of meaning in life; Search = search for meaning in life; Frequency = how often a person engaged in alcohol-free activities; Enjoyment = how much a person derived enjoyment from alcohol-free activities. ***</w:t>
      </w:r>
      <w:r w:rsidRPr="000E4244">
        <w:rPr>
          <w:rFonts w:ascii="Times New Roman" w:hAnsi="Times New Roman" w:cs="Times New Roman"/>
          <w:i/>
          <w:iCs/>
        </w:rPr>
        <w:t>p</w:t>
      </w:r>
      <w:r w:rsidRPr="000E4244">
        <w:rPr>
          <w:rFonts w:ascii="Times New Roman" w:hAnsi="Times New Roman" w:cs="Times New Roman"/>
        </w:rPr>
        <w:t xml:space="preserve"> &lt; .001.</w:t>
      </w:r>
    </w:p>
    <w:p w14:paraId="7ADE90B4" w14:textId="77777777" w:rsidR="000E4244" w:rsidRPr="000E4244" w:rsidRDefault="000E4244" w:rsidP="000E4244">
      <w:pPr>
        <w:pStyle w:val="NoSpacing"/>
        <w:spacing w:line="480" w:lineRule="auto"/>
        <w:rPr>
          <w:rFonts w:ascii="Times New Roman" w:hAnsi="Times New Roman" w:cs="Times New Roman"/>
        </w:rPr>
      </w:pPr>
    </w:p>
    <w:p w14:paraId="47623BF5"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rPr>
        <w:t>Similar to the primary findings as reported in Chapter 2, Table S2.2 shows presence of meaning in life had a highly significant negative association with AUDIT scores, meaning that as presence of meaning in life increases, AUDIT scores decrease. However, there was no significant association between searching for meaning in life and AUDIT scores. Furthermore, the frequency and enjoyment subscales of alcohol-free reinforcement did not account for any additional variance, or have any significant association with, AUDIT scores.</w:t>
      </w:r>
    </w:p>
    <w:p w14:paraId="07FF10ED" w14:textId="77777777" w:rsidR="000E4244" w:rsidRDefault="000E4244" w:rsidP="00093B56">
      <w:pPr>
        <w:pStyle w:val="NoSpacing"/>
      </w:pPr>
    </w:p>
    <w:p w14:paraId="03F2E18C" w14:textId="17C36FFC" w:rsidR="000E4244" w:rsidRDefault="000E4244" w:rsidP="00093B56">
      <w:pPr>
        <w:pStyle w:val="NoSpacing"/>
      </w:pPr>
    </w:p>
    <w:p w14:paraId="3FABCBE5" w14:textId="3CB9F69E" w:rsidR="000E4244" w:rsidRDefault="000E4244" w:rsidP="00093B56">
      <w:pPr>
        <w:pStyle w:val="NoSpacing"/>
      </w:pPr>
    </w:p>
    <w:p w14:paraId="4536F0DA" w14:textId="67C2B2C9" w:rsidR="000E4244" w:rsidRDefault="000E4244" w:rsidP="00093B56">
      <w:pPr>
        <w:pStyle w:val="NoSpacing"/>
      </w:pPr>
    </w:p>
    <w:p w14:paraId="3351AFD2" w14:textId="5FD2ED38" w:rsidR="000E4244" w:rsidRDefault="000E4244" w:rsidP="00093B56">
      <w:pPr>
        <w:pStyle w:val="NoSpacing"/>
      </w:pPr>
    </w:p>
    <w:p w14:paraId="39E366B2" w14:textId="63E77CF9" w:rsidR="000E4244" w:rsidRDefault="000E4244" w:rsidP="00093B56">
      <w:pPr>
        <w:pStyle w:val="NoSpacing"/>
      </w:pPr>
    </w:p>
    <w:p w14:paraId="42B25325" w14:textId="4E2C817D" w:rsidR="000E4244" w:rsidRDefault="000E4244" w:rsidP="00093B56">
      <w:pPr>
        <w:pStyle w:val="NoSpacing"/>
      </w:pPr>
    </w:p>
    <w:p w14:paraId="1C708A74" w14:textId="247C4927" w:rsidR="000E4244" w:rsidRDefault="000E4244" w:rsidP="00093B56">
      <w:pPr>
        <w:pStyle w:val="NoSpacing"/>
      </w:pPr>
    </w:p>
    <w:p w14:paraId="4F0F1BCF" w14:textId="11AAA859" w:rsidR="000E4244" w:rsidRDefault="000E4244" w:rsidP="00093B56">
      <w:pPr>
        <w:pStyle w:val="NoSpacing"/>
      </w:pPr>
    </w:p>
    <w:p w14:paraId="5B091122" w14:textId="05E3250A" w:rsidR="000E4244" w:rsidRDefault="000E4244" w:rsidP="00093B56">
      <w:pPr>
        <w:pStyle w:val="NoSpacing"/>
      </w:pPr>
    </w:p>
    <w:p w14:paraId="7610A262" w14:textId="77327AD1" w:rsidR="000E4244" w:rsidRDefault="000E4244" w:rsidP="00093B56">
      <w:pPr>
        <w:pStyle w:val="NoSpacing"/>
      </w:pPr>
    </w:p>
    <w:p w14:paraId="176FF201" w14:textId="037AE4F1" w:rsidR="000E4244" w:rsidRPr="000E4244" w:rsidRDefault="000E4244" w:rsidP="000E4244">
      <w:pPr>
        <w:pStyle w:val="NoSpacing"/>
        <w:rPr>
          <w:rFonts w:ascii="Times New Roman" w:hAnsi="Times New Roman" w:cs="Times New Roman"/>
          <w:b/>
          <w:bCs/>
        </w:rPr>
      </w:pPr>
      <w:r w:rsidRPr="000E4244">
        <w:rPr>
          <w:rFonts w:ascii="Times New Roman" w:hAnsi="Times New Roman" w:cs="Times New Roman"/>
          <w:b/>
          <w:bCs/>
        </w:rPr>
        <w:lastRenderedPageBreak/>
        <w:t>7. SEM analyses with age as a covariate</w:t>
      </w:r>
    </w:p>
    <w:p w14:paraId="1CAD90B9" w14:textId="77777777" w:rsidR="000E4244" w:rsidRPr="000E4244" w:rsidRDefault="000E4244" w:rsidP="000E4244">
      <w:pPr>
        <w:pStyle w:val="NoSpacing"/>
        <w:rPr>
          <w:rFonts w:ascii="Times New Roman" w:hAnsi="Times New Roman" w:cs="Times New Roman"/>
          <w:b/>
          <w:bCs/>
        </w:rPr>
      </w:pPr>
    </w:p>
    <w:p w14:paraId="3CA3D72C" w14:textId="77777777" w:rsidR="000E4244" w:rsidRP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rPr>
        <w:t>Model fit.</w:t>
      </w:r>
      <w:r w:rsidRPr="000E4244">
        <w:rPr>
          <w:rFonts w:ascii="Times New Roman" w:hAnsi="Times New Roman" w:cs="Times New Roman"/>
        </w:rPr>
        <w:t xml:space="preserve"> Modification indices suggested covariances needed to be added (alcohol value and drinking to cope, and alcohol-free reinforcement and depressive symptoms) which led to a notable improvement in model fit</w:t>
      </w:r>
      <w:r w:rsidRPr="000E4244">
        <w:rPr>
          <w:rFonts w:ascii="Times New Roman" w:hAnsi="Times New Roman" w:cs="Times New Roman"/>
          <w:vertAlign w:val="superscript"/>
        </w:rPr>
        <w:footnoteReference w:id="23"/>
      </w:r>
      <w:r w:rsidRPr="000E4244">
        <w:rPr>
          <w:rFonts w:ascii="Times New Roman" w:hAnsi="Times New Roman" w:cs="Times New Roman"/>
        </w:rPr>
        <w:t>. After adding covariances, the hypothesized structural model proved to be a good fit of the data (SRMR = .01; CFI = ~.99: TLI = .98; RMSEA = .04 (90% CI = .00 to .10); Χ</w:t>
      </w:r>
      <w:r w:rsidRPr="000E4244">
        <w:rPr>
          <w:rFonts w:ascii="Times New Roman" w:hAnsi="Times New Roman" w:cs="Times New Roman"/>
          <w:vertAlign w:val="superscript"/>
        </w:rPr>
        <w:t>2</w:t>
      </w:r>
      <w:r w:rsidRPr="000E4244">
        <w:rPr>
          <w:rFonts w:ascii="Times New Roman" w:hAnsi="Times New Roman" w:cs="Times New Roman"/>
        </w:rPr>
        <w:t>/</w:t>
      </w:r>
      <w:proofErr w:type="spellStart"/>
      <w:r w:rsidRPr="000E4244">
        <w:rPr>
          <w:rFonts w:ascii="Times New Roman" w:hAnsi="Times New Roman" w:cs="Times New Roman"/>
          <w:i/>
        </w:rPr>
        <w:t>df</w:t>
      </w:r>
      <w:proofErr w:type="spellEnd"/>
      <w:r w:rsidRPr="000E4244">
        <w:rPr>
          <w:rFonts w:ascii="Times New Roman" w:hAnsi="Times New Roman" w:cs="Times New Roman"/>
        </w:rPr>
        <w:t xml:space="preserve"> = 1.89) </w:t>
      </w:r>
      <w:bookmarkStart w:id="374" w:name="_Hlk102567418"/>
      <w:r w:rsidRPr="000E4244">
        <w:rPr>
          <w:rFonts w:ascii="Times New Roman" w:hAnsi="Times New Roman" w:cs="Times New Roman"/>
        </w:rPr>
        <w:t>and the overall model predicted approximately 44% of variance in AUDIT scores (</w:t>
      </w:r>
      <w:r w:rsidRPr="000E4244">
        <w:rPr>
          <w:rFonts w:ascii="Times New Roman" w:hAnsi="Times New Roman" w:cs="Times New Roman"/>
          <w:i/>
          <w:iCs/>
        </w:rPr>
        <w:t>R</w:t>
      </w:r>
      <w:r w:rsidRPr="000E4244">
        <w:rPr>
          <w:rFonts w:ascii="Times New Roman" w:hAnsi="Times New Roman" w:cs="Times New Roman"/>
          <w:vertAlign w:val="superscript"/>
        </w:rPr>
        <w:t xml:space="preserve">2 </w:t>
      </w:r>
      <w:r w:rsidRPr="000E4244">
        <w:rPr>
          <w:rFonts w:ascii="Times New Roman" w:hAnsi="Times New Roman" w:cs="Times New Roman"/>
        </w:rPr>
        <w:t xml:space="preserve">= .44). </w:t>
      </w:r>
      <w:bookmarkEnd w:id="374"/>
    </w:p>
    <w:p w14:paraId="74827F69" w14:textId="77777777" w:rsidR="000E4244" w:rsidRPr="000E4244" w:rsidRDefault="000E4244" w:rsidP="000E4244">
      <w:pPr>
        <w:pStyle w:val="NoSpacing"/>
        <w:rPr>
          <w:rFonts w:ascii="Times New Roman" w:hAnsi="Times New Roman" w:cs="Times New Roman"/>
        </w:rPr>
      </w:pPr>
    </w:p>
    <w:p w14:paraId="44202DE0" w14:textId="77777777" w:rsidR="000E4244" w:rsidRDefault="000E4244" w:rsidP="000E4244">
      <w:pPr>
        <w:pStyle w:val="NoSpacing"/>
        <w:spacing w:line="480" w:lineRule="auto"/>
        <w:rPr>
          <w:rFonts w:ascii="Times New Roman" w:hAnsi="Times New Roman" w:cs="Times New Roman"/>
        </w:rPr>
      </w:pPr>
      <w:r w:rsidRPr="000E4244">
        <w:rPr>
          <w:rFonts w:ascii="Times New Roman" w:hAnsi="Times New Roman" w:cs="Times New Roman"/>
          <w:b/>
          <w:bCs/>
        </w:rPr>
        <w:t>Figure S2.1</w:t>
      </w:r>
    </w:p>
    <w:p w14:paraId="4D5EC379" w14:textId="557BD5F0" w:rsidR="000E4244" w:rsidRPr="000E4244" w:rsidRDefault="000E4244" w:rsidP="000E4244">
      <w:pPr>
        <w:pStyle w:val="NoSpacing"/>
        <w:spacing w:line="480" w:lineRule="auto"/>
        <w:rPr>
          <w:rFonts w:ascii="Times New Roman" w:hAnsi="Times New Roman" w:cs="Times New Roman"/>
          <w:i/>
          <w:iCs/>
        </w:rPr>
      </w:pPr>
      <w:r w:rsidRPr="000E4244">
        <w:rPr>
          <w:rFonts w:ascii="Times New Roman" w:hAnsi="Times New Roman" w:cs="Times New Roman"/>
          <w:i/>
          <w:iCs/>
        </w:rPr>
        <w:t>Direct and indirect relationships between meaning in life, alcohol consumption, alcohol-free reinforcement, alcohol value, depressive symptoms, and drinking to cope</w:t>
      </w:r>
    </w:p>
    <w:p w14:paraId="669E8F72" w14:textId="5110FCD9" w:rsidR="000E4244" w:rsidRPr="000E4244" w:rsidRDefault="000E4244" w:rsidP="000E4244">
      <w:pPr>
        <w:pStyle w:val="NoSpacing"/>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45D5A8B4" wp14:editId="6301A482">
            <wp:extent cx="5730875" cy="2853055"/>
            <wp:effectExtent l="0" t="0" r="317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0875" cy="2853055"/>
                    </a:xfrm>
                    <a:prstGeom prst="rect">
                      <a:avLst/>
                    </a:prstGeom>
                    <a:noFill/>
                  </pic:spPr>
                </pic:pic>
              </a:graphicData>
            </a:graphic>
          </wp:inline>
        </w:drawing>
      </w:r>
    </w:p>
    <w:p w14:paraId="67C49E96"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i/>
          <w:iCs/>
        </w:rPr>
        <w:t>Note</w:t>
      </w:r>
      <w:r w:rsidRPr="00123394">
        <w:rPr>
          <w:rFonts w:ascii="Times New Roman" w:hAnsi="Times New Roman" w:cs="Times New Roman"/>
        </w:rPr>
        <w:t>. Standardized parameter estimates are presented. Age is included as a covariate, but this is not modelled in the figure. ***</w:t>
      </w:r>
      <w:r w:rsidRPr="00123394">
        <w:rPr>
          <w:rFonts w:ascii="Times New Roman" w:hAnsi="Times New Roman" w:cs="Times New Roman"/>
          <w:i/>
          <w:iCs/>
        </w:rPr>
        <w:t>p</w:t>
      </w:r>
      <w:r w:rsidRPr="00123394">
        <w:rPr>
          <w:rFonts w:ascii="Times New Roman" w:hAnsi="Times New Roman" w:cs="Times New Roman"/>
        </w:rPr>
        <w:t xml:space="preserve"> &lt; .001, **</w:t>
      </w:r>
      <w:r w:rsidRPr="00123394">
        <w:rPr>
          <w:rFonts w:ascii="Times New Roman" w:hAnsi="Times New Roman" w:cs="Times New Roman"/>
          <w:i/>
          <w:iCs/>
        </w:rPr>
        <w:t>p</w:t>
      </w:r>
      <w:r w:rsidRPr="00123394">
        <w:rPr>
          <w:rFonts w:ascii="Times New Roman" w:hAnsi="Times New Roman" w:cs="Times New Roman"/>
        </w:rPr>
        <w:t xml:space="preserve"> &lt; .01, *</w:t>
      </w:r>
      <w:r w:rsidRPr="00123394">
        <w:rPr>
          <w:rFonts w:ascii="Times New Roman" w:hAnsi="Times New Roman" w:cs="Times New Roman"/>
          <w:i/>
          <w:iCs/>
        </w:rPr>
        <w:t>p</w:t>
      </w:r>
      <w:r w:rsidRPr="00123394">
        <w:rPr>
          <w:rFonts w:ascii="Times New Roman" w:hAnsi="Times New Roman" w:cs="Times New Roman"/>
        </w:rPr>
        <w:t xml:space="preserve"> &lt; .05.</w:t>
      </w:r>
    </w:p>
    <w:p w14:paraId="3D477DD5" w14:textId="4C050056" w:rsidR="000E4244" w:rsidRDefault="000E4244" w:rsidP="000E4244">
      <w:pPr>
        <w:pStyle w:val="NoSpacing"/>
        <w:spacing w:line="480" w:lineRule="auto"/>
        <w:rPr>
          <w:rFonts w:ascii="Times New Roman" w:hAnsi="Times New Roman" w:cs="Times New Roman"/>
        </w:rPr>
      </w:pPr>
    </w:p>
    <w:p w14:paraId="261FA368" w14:textId="77777777" w:rsidR="00123394" w:rsidRPr="00123394" w:rsidRDefault="00123394" w:rsidP="00123394">
      <w:pPr>
        <w:pStyle w:val="NoSpacing"/>
        <w:spacing w:line="480" w:lineRule="auto"/>
        <w:rPr>
          <w:rFonts w:ascii="Times New Roman" w:hAnsi="Times New Roman" w:cs="Times New Roman"/>
          <w:b/>
        </w:rPr>
      </w:pPr>
      <w:r w:rsidRPr="00123394">
        <w:rPr>
          <w:rFonts w:ascii="Times New Roman" w:hAnsi="Times New Roman" w:cs="Times New Roman"/>
          <w:b/>
        </w:rPr>
        <w:t>Model evaluation (Figure S2.1)</w:t>
      </w:r>
    </w:p>
    <w:p w14:paraId="26CC9623" w14:textId="77777777" w:rsidR="00123394" w:rsidRPr="00123394" w:rsidRDefault="00123394" w:rsidP="00123394">
      <w:pPr>
        <w:pStyle w:val="NoSpacing"/>
        <w:spacing w:line="480" w:lineRule="auto"/>
        <w:rPr>
          <w:rFonts w:ascii="Times New Roman" w:hAnsi="Times New Roman" w:cs="Times New Roman"/>
        </w:rPr>
      </w:pPr>
    </w:p>
    <w:p w14:paraId="11A88FE3"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i/>
        </w:rPr>
        <w:t>Direct effects</w:t>
      </w:r>
      <w:r w:rsidRPr="00123394">
        <w:rPr>
          <w:rFonts w:ascii="Times New Roman" w:hAnsi="Times New Roman" w:cs="Times New Roman"/>
        </w:rPr>
        <w:t xml:space="preserve"> </w:t>
      </w:r>
    </w:p>
    <w:p w14:paraId="0AA4C2C5" w14:textId="77777777" w:rsidR="00123394" w:rsidRPr="00123394" w:rsidRDefault="00123394" w:rsidP="00123394">
      <w:pPr>
        <w:pStyle w:val="NoSpacing"/>
        <w:spacing w:line="480" w:lineRule="auto"/>
        <w:rPr>
          <w:rFonts w:ascii="Times New Roman" w:hAnsi="Times New Roman" w:cs="Times New Roman"/>
        </w:rPr>
      </w:pPr>
      <w:bookmarkStart w:id="375" w:name="_Hlk102567674"/>
      <w:r w:rsidRPr="00123394">
        <w:rPr>
          <w:rFonts w:ascii="Times New Roman" w:hAnsi="Times New Roman" w:cs="Times New Roman"/>
        </w:rPr>
        <w:t xml:space="preserve">Presence of meaning had a significant positive association with alcohol-free reinforcement (95% CI = .22 to .39), and a significant negative association with alcohol value (95% CI = -.29 to -.11), depressive symptoms (95% CI = -.53 to -.39) and drinking to cope (95% CI = -.20 to -.01). The direct effect of presence of meaning on AUDIT scores was not statistically significant (95% CI = -.16 to .01). Search for meaning had a significant positive association with depressive symptoms (95% CI = .06 to .22) and drinking to cope (95% CI = .02 to .19). However, there were no significant associations between search for meaning and alcohol-free reinforcement (95% CI = -.12 to .07), alcohol value (95% CI = -.13 to .04), and AUDIT scores (95% CI = -.14 to .02). </w:t>
      </w:r>
    </w:p>
    <w:bookmarkEnd w:id="375"/>
    <w:p w14:paraId="6DD0C818" w14:textId="77777777" w:rsidR="00123394" w:rsidRPr="00123394" w:rsidRDefault="00123394" w:rsidP="00123394">
      <w:pPr>
        <w:pStyle w:val="NoSpacing"/>
        <w:spacing w:line="480" w:lineRule="auto"/>
        <w:rPr>
          <w:rFonts w:ascii="Times New Roman" w:hAnsi="Times New Roman" w:cs="Times New Roman"/>
        </w:rPr>
      </w:pPr>
    </w:p>
    <w:p w14:paraId="7D993A53"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Depressive symptoms had a significant positive association with drinking to cope (95% CI = .32 to .51) and drinking to cope had a significant positive association with AUDIT scores (95% CI = .22 to .41). Alcohol-free reinforcement had no significant association with alcohol value (95% CI = -.08 to .07), but alcohol value had a significant positive association with AUDIT scores (95% CI = .39 to .54). Neither alcohol-free reinforcement (95% CI = -.06 to .07) or depressive symptoms (95% CI = -.08 to .12) had any significant association with AUDIT scores. </w:t>
      </w:r>
    </w:p>
    <w:p w14:paraId="7A5F7ADC" w14:textId="77777777" w:rsidR="00123394" w:rsidRPr="00123394" w:rsidRDefault="00123394" w:rsidP="00123394">
      <w:pPr>
        <w:pStyle w:val="NoSpacing"/>
        <w:spacing w:line="480" w:lineRule="auto"/>
        <w:rPr>
          <w:rFonts w:ascii="Times New Roman" w:hAnsi="Times New Roman" w:cs="Times New Roman"/>
        </w:rPr>
      </w:pPr>
    </w:p>
    <w:p w14:paraId="3BF93BBD" w14:textId="77777777" w:rsidR="00123394" w:rsidRPr="00123394" w:rsidRDefault="00123394" w:rsidP="00123394">
      <w:pPr>
        <w:pStyle w:val="NoSpacing"/>
        <w:spacing w:line="480" w:lineRule="auto"/>
        <w:rPr>
          <w:rFonts w:ascii="Times New Roman" w:hAnsi="Times New Roman" w:cs="Times New Roman"/>
          <w:i/>
        </w:rPr>
      </w:pPr>
      <w:r w:rsidRPr="00123394">
        <w:rPr>
          <w:rFonts w:ascii="Times New Roman" w:hAnsi="Times New Roman" w:cs="Times New Roman"/>
          <w:i/>
        </w:rPr>
        <w:t>Indirect effects</w:t>
      </w:r>
    </w:p>
    <w:p w14:paraId="63759833"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There was a significant indirect effect of presence of meaning in life on AUDIT scores through lower alcohol value (β = -.09, </w:t>
      </w:r>
      <w:r w:rsidRPr="00123394">
        <w:rPr>
          <w:rFonts w:ascii="Times New Roman" w:hAnsi="Times New Roman" w:cs="Times New Roman"/>
          <w:i/>
        </w:rPr>
        <w:t>p</w:t>
      </w:r>
      <w:r w:rsidRPr="00123394">
        <w:rPr>
          <w:rFonts w:ascii="Times New Roman" w:hAnsi="Times New Roman" w:cs="Times New Roman"/>
        </w:rPr>
        <w:t xml:space="preserve"> &lt; .001, 95% CI = -.14 to -.05) and drinking to cope (β = -.03, </w:t>
      </w:r>
      <w:r w:rsidRPr="00123394">
        <w:rPr>
          <w:rFonts w:ascii="Times New Roman" w:hAnsi="Times New Roman" w:cs="Times New Roman"/>
          <w:i/>
        </w:rPr>
        <w:t>p</w:t>
      </w:r>
      <w:r w:rsidRPr="00123394">
        <w:rPr>
          <w:rFonts w:ascii="Times New Roman" w:hAnsi="Times New Roman" w:cs="Times New Roman"/>
        </w:rPr>
        <w:t xml:space="preserve"> = .02, 95% CI = -.07 to -.00). </w:t>
      </w:r>
      <w:bookmarkStart w:id="376" w:name="_Hlk102648764"/>
      <w:r w:rsidRPr="00123394">
        <w:rPr>
          <w:rFonts w:ascii="Times New Roman" w:hAnsi="Times New Roman" w:cs="Times New Roman"/>
        </w:rPr>
        <w:t xml:space="preserve">Although there was no significant indirect effect of depressive symptoms on its own (β = -.01, </w:t>
      </w:r>
      <w:r w:rsidRPr="00123394">
        <w:rPr>
          <w:rFonts w:ascii="Times New Roman" w:hAnsi="Times New Roman" w:cs="Times New Roman"/>
          <w:i/>
        </w:rPr>
        <w:t xml:space="preserve">p </w:t>
      </w:r>
      <w:r w:rsidRPr="00123394">
        <w:rPr>
          <w:rFonts w:ascii="Times New Roman" w:hAnsi="Times New Roman" w:cs="Times New Roman"/>
        </w:rPr>
        <w:t xml:space="preserve">= .66, 95% CI = -.06 to .04), there was an </w:t>
      </w:r>
      <w:r w:rsidRPr="00123394">
        <w:rPr>
          <w:rFonts w:ascii="Times New Roman" w:hAnsi="Times New Roman" w:cs="Times New Roman"/>
        </w:rPr>
        <w:lastRenderedPageBreak/>
        <w:t xml:space="preserve">indirect effect through two variables: depressive symptoms and drinking to cope (β = -.06, </w:t>
      </w:r>
      <w:r w:rsidRPr="00123394">
        <w:rPr>
          <w:rFonts w:ascii="Times New Roman" w:hAnsi="Times New Roman" w:cs="Times New Roman"/>
          <w:i/>
          <w:iCs/>
        </w:rPr>
        <w:t>p</w:t>
      </w:r>
      <w:r w:rsidRPr="00123394">
        <w:rPr>
          <w:rFonts w:ascii="Times New Roman" w:hAnsi="Times New Roman" w:cs="Times New Roman"/>
        </w:rPr>
        <w:t xml:space="preserve"> &lt; .001, 95% CI = -.09 to -.04). </w:t>
      </w:r>
      <w:bookmarkEnd w:id="376"/>
      <w:r w:rsidRPr="00123394">
        <w:rPr>
          <w:rFonts w:ascii="Times New Roman" w:hAnsi="Times New Roman" w:cs="Times New Roman"/>
        </w:rPr>
        <w:t>There was no significant indirect effect of alcohol-free reinforcement (β = .00,</w:t>
      </w:r>
      <w:r w:rsidRPr="00123394">
        <w:rPr>
          <w:rFonts w:ascii="Times New Roman" w:hAnsi="Times New Roman" w:cs="Times New Roman"/>
          <w:i/>
        </w:rPr>
        <w:t xml:space="preserve"> p</w:t>
      </w:r>
      <w:r w:rsidRPr="00123394">
        <w:rPr>
          <w:rFonts w:ascii="Times New Roman" w:hAnsi="Times New Roman" w:cs="Times New Roman"/>
        </w:rPr>
        <w:t xml:space="preserve"> = .91, 95% CI = -.02 to .02).</w:t>
      </w:r>
    </w:p>
    <w:p w14:paraId="315CD4DD" w14:textId="77777777" w:rsidR="00123394" w:rsidRPr="00123394" w:rsidRDefault="00123394" w:rsidP="00123394">
      <w:pPr>
        <w:pStyle w:val="NoSpacing"/>
        <w:spacing w:line="480" w:lineRule="auto"/>
        <w:rPr>
          <w:rFonts w:ascii="Times New Roman" w:hAnsi="Times New Roman" w:cs="Times New Roman"/>
        </w:rPr>
      </w:pPr>
    </w:p>
    <w:p w14:paraId="515EF12F"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There was a significant indirect effect of search for meaning on AUDIT scores through greater drinking to cope (β = .03,</w:t>
      </w:r>
      <w:r w:rsidRPr="00123394">
        <w:rPr>
          <w:rFonts w:ascii="Times New Roman" w:hAnsi="Times New Roman" w:cs="Times New Roman"/>
          <w:i/>
        </w:rPr>
        <w:t xml:space="preserve"> p</w:t>
      </w:r>
      <w:r w:rsidRPr="00123394">
        <w:rPr>
          <w:rFonts w:ascii="Times New Roman" w:hAnsi="Times New Roman" w:cs="Times New Roman"/>
        </w:rPr>
        <w:t xml:space="preserve"> = .01, 95% CI = .01 to .06). Although there was no significant indirect effect of depressive symptoms on its own (β = .00, </w:t>
      </w:r>
      <w:r w:rsidRPr="00123394">
        <w:rPr>
          <w:rFonts w:ascii="Times New Roman" w:hAnsi="Times New Roman" w:cs="Times New Roman"/>
          <w:i/>
        </w:rPr>
        <w:t>p</w:t>
      </w:r>
      <w:r w:rsidRPr="00123394">
        <w:rPr>
          <w:rFonts w:ascii="Times New Roman" w:hAnsi="Times New Roman" w:cs="Times New Roman"/>
        </w:rPr>
        <w:t xml:space="preserve"> = .66, 95% CI = -.01 to .02), there was an indirect effect through two variables: depressive symptoms and drinking to cope (β = .02, </w:t>
      </w:r>
      <w:r w:rsidRPr="00123394">
        <w:rPr>
          <w:rFonts w:ascii="Times New Roman" w:hAnsi="Times New Roman" w:cs="Times New Roman"/>
          <w:i/>
          <w:iCs/>
        </w:rPr>
        <w:t>p</w:t>
      </w:r>
      <w:r w:rsidRPr="00123394">
        <w:rPr>
          <w:rFonts w:ascii="Times New Roman" w:hAnsi="Times New Roman" w:cs="Times New Roman"/>
        </w:rPr>
        <w:t xml:space="preserve"> = .002, 95% CI = .01 to .03). There were however no significant indirect effects of alcohol value (β = -.02, </w:t>
      </w:r>
      <w:r w:rsidRPr="00123394">
        <w:rPr>
          <w:rFonts w:ascii="Times New Roman" w:hAnsi="Times New Roman" w:cs="Times New Roman"/>
          <w:i/>
        </w:rPr>
        <w:t>p</w:t>
      </w:r>
      <w:r w:rsidRPr="00123394">
        <w:rPr>
          <w:rFonts w:ascii="Times New Roman" w:hAnsi="Times New Roman" w:cs="Times New Roman"/>
        </w:rPr>
        <w:t xml:space="preserve"> = .32, 95% CI = -.06 to .02) or alcohol-free reinforcement (β = .00, </w:t>
      </w:r>
      <w:r w:rsidRPr="00123394">
        <w:rPr>
          <w:rFonts w:ascii="Times New Roman" w:hAnsi="Times New Roman" w:cs="Times New Roman"/>
          <w:i/>
        </w:rPr>
        <w:t>p</w:t>
      </w:r>
      <w:r w:rsidRPr="00123394">
        <w:rPr>
          <w:rFonts w:ascii="Times New Roman" w:hAnsi="Times New Roman" w:cs="Times New Roman"/>
        </w:rPr>
        <w:t xml:space="preserve"> = .91, 95% CI = .00 to .01). </w:t>
      </w:r>
    </w:p>
    <w:p w14:paraId="42577C2E" w14:textId="77777777" w:rsidR="00123394" w:rsidRPr="00123394" w:rsidRDefault="00123394" w:rsidP="00123394">
      <w:pPr>
        <w:pStyle w:val="NoSpacing"/>
        <w:spacing w:line="480" w:lineRule="auto"/>
        <w:rPr>
          <w:rFonts w:ascii="Times New Roman" w:hAnsi="Times New Roman" w:cs="Times New Roman"/>
        </w:rPr>
      </w:pPr>
    </w:p>
    <w:p w14:paraId="3143BDF7"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There was a significant indirect effect of presence of meaning on drinking to cope through lower depressive symptoms (β = -.19, </w:t>
      </w:r>
      <w:r w:rsidRPr="00123394">
        <w:rPr>
          <w:rFonts w:ascii="Times New Roman" w:hAnsi="Times New Roman" w:cs="Times New Roman"/>
          <w:i/>
          <w:iCs/>
        </w:rPr>
        <w:t>p</w:t>
      </w:r>
      <w:r w:rsidRPr="00123394">
        <w:rPr>
          <w:rFonts w:ascii="Times New Roman" w:hAnsi="Times New Roman" w:cs="Times New Roman"/>
        </w:rPr>
        <w:t xml:space="preserve"> &lt; .001, 95% CI = -.25 to -.14) and a significant indirect effect of search for meaning on drinking to cope via greater depressive symptoms (β = .06, </w:t>
      </w:r>
      <w:r w:rsidRPr="00123394">
        <w:rPr>
          <w:rFonts w:ascii="Times New Roman" w:hAnsi="Times New Roman" w:cs="Times New Roman"/>
          <w:i/>
        </w:rPr>
        <w:t>p</w:t>
      </w:r>
      <w:r w:rsidRPr="00123394">
        <w:rPr>
          <w:rFonts w:ascii="Times New Roman" w:hAnsi="Times New Roman" w:cs="Times New Roman"/>
        </w:rPr>
        <w:t xml:space="preserve"> = .001, 95% CI = .02 to .10). There was a significant indirect effect of depressive symptoms on AUDIT scores through greater drinking to cope (β = .13, </w:t>
      </w:r>
      <w:r w:rsidRPr="00123394">
        <w:rPr>
          <w:rFonts w:ascii="Times New Roman" w:hAnsi="Times New Roman" w:cs="Times New Roman"/>
          <w:i/>
        </w:rPr>
        <w:t>p</w:t>
      </w:r>
      <w:r w:rsidRPr="00123394">
        <w:rPr>
          <w:rFonts w:ascii="Times New Roman" w:hAnsi="Times New Roman" w:cs="Times New Roman"/>
        </w:rPr>
        <w:t xml:space="preserve"> &lt; .001, 95% CI = .08 to .19). To conclude, the inclusion of age as a covariate does not confound the model fit, the variance accounted for in AUDIT scores, or the relationships reported in Chapter 2.</w:t>
      </w:r>
    </w:p>
    <w:p w14:paraId="76EABB48" w14:textId="77777777" w:rsidR="00123394" w:rsidRPr="000E4244" w:rsidRDefault="00123394" w:rsidP="000E4244">
      <w:pPr>
        <w:pStyle w:val="NoSpacing"/>
        <w:spacing w:line="480" w:lineRule="auto"/>
        <w:rPr>
          <w:rFonts w:ascii="Times New Roman" w:hAnsi="Times New Roman" w:cs="Times New Roman"/>
        </w:rPr>
      </w:pPr>
    </w:p>
    <w:p w14:paraId="466B72BE" w14:textId="231DACAE" w:rsidR="000E4244" w:rsidRDefault="000E4244" w:rsidP="00093B56">
      <w:pPr>
        <w:pStyle w:val="NoSpacing"/>
      </w:pPr>
    </w:p>
    <w:p w14:paraId="447657E4" w14:textId="0B16A704" w:rsidR="000E4244" w:rsidRDefault="000E4244" w:rsidP="00093B56">
      <w:pPr>
        <w:pStyle w:val="NoSpacing"/>
      </w:pPr>
    </w:p>
    <w:p w14:paraId="7F11E81E" w14:textId="6D02B26B" w:rsidR="000E4244" w:rsidRDefault="000E4244" w:rsidP="00093B56">
      <w:pPr>
        <w:pStyle w:val="NoSpacing"/>
      </w:pPr>
    </w:p>
    <w:p w14:paraId="1B83A5E3" w14:textId="247FC86A" w:rsidR="000E4244" w:rsidRDefault="000E4244" w:rsidP="00093B56">
      <w:pPr>
        <w:pStyle w:val="NoSpacing"/>
      </w:pPr>
    </w:p>
    <w:p w14:paraId="553840E8" w14:textId="2F8FCD8C" w:rsidR="000E4244" w:rsidRDefault="000E4244" w:rsidP="00093B56">
      <w:pPr>
        <w:pStyle w:val="NoSpacing"/>
      </w:pPr>
    </w:p>
    <w:p w14:paraId="3ACD3ECA" w14:textId="77777777" w:rsidR="00123394" w:rsidRDefault="00123394" w:rsidP="00093B56">
      <w:pPr>
        <w:pStyle w:val="NoSpacing"/>
      </w:pPr>
    </w:p>
    <w:p w14:paraId="3C7E6578" w14:textId="5807896E" w:rsidR="000E4244" w:rsidRDefault="000E4244" w:rsidP="00093B56">
      <w:pPr>
        <w:pStyle w:val="NoSpacing"/>
      </w:pPr>
    </w:p>
    <w:p w14:paraId="34301CD3" w14:textId="34CE98A7" w:rsidR="000E4244" w:rsidRDefault="000E4244" w:rsidP="00093B56">
      <w:pPr>
        <w:pStyle w:val="NoSpacing"/>
      </w:pPr>
    </w:p>
    <w:p w14:paraId="74C31BE0" w14:textId="7C115F13" w:rsidR="000E4244" w:rsidRDefault="000E4244" w:rsidP="00093B56">
      <w:pPr>
        <w:pStyle w:val="NoSpacing"/>
      </w:pPr>
    </w:p>
    <w:p w14:paraId="41796219" w14:textId="68B53F35" w:rsidR="000E4244" w:rsidRDefault="000E4244" w:rsidP="00093B56">
      <w:pPr>
        <w:pStyle w:val="NoSpacing"/>
      </w:pPr>
    </w:p>
    <w:p w14:paraId="62820AE9" w14:textId="6EEE976F" w:rsidR="00123394" w:rsidRDefault="00123394" w:rsidP="00123394">
      <w:pPr>
        <w:pStyle w:val="NoSpacing"/>
        <w:rPr>
          <w:rFonts w:ascii="Times New Roman" w:hAnsi="Times New Roman" w:cs="Times New Roman"/>
          <w:b/>
        </w:rPr>
      </w:pPr>
      <w:r w:rsidRPr="00123394">
        <w:rPr>
          <w:rFonts w:ascii="Times New Roman" w:hAnsi="Times New Roman" w:cs="Times New Roman"/>
          <w:b/>
        </w:rPr>
        <w:t xml:space="preserve">8. SEM analyses repeated with </w:t>
      </w:r>
      <w:proofErr w:type="spellStart"/>
      <w:r w:rsidRPr="00123394">
        <w:rPr>
          <w:rFonts w:ascii="Times New Roman" w:hAnsi="Times New Roman" w:cs="Times New Roman"/>
          <w:b/>
        </w:rPr>
        <w:t>O</w:t>
      </w:r>
      <w:r w:rsidRPr="00123394">
        <w:rPr>
          <w:rFonts w:ascii="Times New Roman" w:hAnsi="Times New Roman" w:cs="Times New Roman"/>
          <w:b/>
          <w:vertAlign w:val="subscript"/>
        </w:rPr>
        <w:t>max</w:t>
      </w:r>
      <w:proofErr w:type="spellEnd"/>
      <w:r w:rsidRPr="00123394">
        <w:rPr>
          <w:rFonts w:ascii="Times New Roman" w:hAnsi="Times New Roman" w:cs="Times New Roman"/>
          <w:b/>
        </w:rPr>
        <w:t xml:space="preserve"> and breakpoint</w:t>
      </w:r>
    </w:p>
    <w:p w14:paraId="6D121825" w14:textId="77777777" w:rsidR="00123394" w:rsidRPr="00123394" w:rsidRDefault="00123394" w:rsidP="00123394">
      <w:pPr>
        <w:pStyle w:val="NoSpacing"/>
        <w:rPr>
          <w:rFonts w:ascii="Times New Roman" w:hAnsi="Times New Roman" w:cs="Times New Roman"/>
          <w:b/>
        </w:rPr>
      </w:pPr>
    </w:p>
    <w:p w14:paraId="79E44BEA" w14:textId="6CAFA4E1"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The structural models presented below were calculated similar to the model reported in Chapter 2, with the difference being the variable that represents demand (see </w:t>
      </w:r>
      <w:r w:rsidRPr="00123394">
        <w:rPr>
          <w:rFonts w:ascii="Times New Roman" w:hAnsi="Times New Roman" w:cs="Times New Roman"/>
          <w:i/>
        </w:rPr>
        <w:t>Data preparation</w:t>
      </w:r>
      <w:r w:rsidRPr="00123394">
        <w:rPr>
          <w:rFonts w:ascii="Times New Roman" w:hAnsi="Times New Roman" w:cs="Times New Roman"/>
        </w:rPr>
        <w:t xml:space="preserve"> in Chapter 2 (p.60)</w:t>
      </w:r>
      <w:r>
        <w:rPr>
          <w:rFonts w:ascii="Times New Roman" w:hAnsi="Times New Roman" w:cs="Times New Roman"/>
        </w:rPr>
        <w:t xml:space="preserve"> </w:t>
      </w:r>
      <w:r w:rsidRPr="00123394">
        <w:rPr>
          <w:rFonts w:ascii="Times New Roman" w:hAnsi="Times New Roman" w:cs="Times New Roman"/>
        </w:rPr>
        <w:t>and section 1 of Appendix A</w:t>
      </w:r>
      <w:r>
        <w:rPr>
          <w:rFonts w:ascii="Times New Roman" w:hAnsi="Times New Roman" w:cs="Times New Roman"/>
        </w:rPr>
        <w:t xml:space="preserve"> </w:t>
      </w:r>
      <w:r w:rsidRPr="00123394">
        <w:rPr>
          <w:rFonts w:ascii="Times New Roman" w:hAnsi="Times New Roman" w:cs="Times New Roman"/>
        </w:rPr>
        <w:t xml:space="preserve">(p.328) for justification of why intensity was selected for the core analyses).  </w:t>
      </w:r>
    </w:p>
    <w:p w14:paraId="464148B8" w14:textId="77777777" w:rsidR="00123394" w:rsidRPr="00123394" w:rsidRDefault="00123394" w:rsidP="00123394">
      <w:pPr>
        <w:pStyle w:val="NoSpacing"/>
        <w:spacing w:line="480" w:lineRule="auto"/>
        <w:rPr>
          <w:rFonts w:ascii="Times New Roman" w:hAnsi="Times New Roman" w:cs="Times New Roman"/>
        </w:rPr>
      </w:pPr>
    </w:p>
    <w:p w14:paraId="518F864C" w14:textId="77777777" w:rsidR="00123394" w:rsidRPr="00123394" w:rsidRDefault="00123394" w:rsidP="00123394">
      <w:pPr>
        <w:pStyle w:val="NoSpacing"/>
        <w:spacing w:line="480" w:lineRule="auto"/>
        <w:rPr>
          <w:rFonts w:ascii="Times New Roman" w:hAnsi="Times New Roman" w:cs="Times New Roman"/>
          <w:i/>
          <w:iCs/>
        </w:rPr>
      </w:pPr>
      <w:r w:rsidRPr="00123394">
        <w:rPr>
          <w:rFonts w:ascii="Times New Roman" w:hAnsi="Times New Roman" w:cs="Times New Roman"/>
          <w:i/>
          <w:iCs/>
        </w:rPr>
        <w:t xml:space="preserve">First,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i/>
          <w:iCs/>
        </w:rPr>
        <w:t>:</w:t>
      </w:r>
    </w:p>
    <w:p w14:paraId="0A1FE815"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b/>
        </w:rPr>
        <w:t>Model fit.</w:t>
      </w:r>
      <w:r w:rsidRPr="00123394">
        <w:rPr>
          <w:rFonts w:ascii="Times New Roman" w:hAnsi="Times New Roman" w:cs="Times New Roman"/>
        </w:rPr>
        <w:t xml:space="preserve"> Modification indices suggested covariances needed to be added (alcohol value and drinking to cope) which led to a notable improvement in model fit</w:t>
      </w:r>
      <w:r w:rsidRPr="00123394">
        <w:rPr>
          <w:rFonts w:ascii="Times New Roman" w:hAnsi="Times New Roman" w:cs="Times New Roman"/>
          <w:vertAlign w:val="superscript"/>
        </w:rPr>
        <w:footnoteReference w:id="24"/>
      </w:r>
      <w:r w:rsidRPr="00123394">
        <w:rPr>
          <w:rFonts w:ascii="Times New Roman" w:hAnsi="Times New Roman" w:cs="Times New Roman"/>
        </w:rPr>
        <w:t>.  Subsequently, the hypothesized structural model proved to be a good fit of the data (SRMR = .02; CFI = .99, TLI = .94, RMSEA = .06 (90% CI = .02 to .11), Χ</w:t>
      </w:r>
      <w:r w:rsidRPr="00123394">
        <w:rPr>
          <w:rFonts w:ascii="Times New Roman" w:hAnsi="Times New Roman" w:cs="Times New Roman"/>
          <w:vertAlign w:val="superscript"/>
        </w:rPr>
        <w:t>2</w:t>
      </w:r>
      <w:r w:rsidRPr="00123394">
        <w:rPr>
          <w:rFonts w:ascii="Times New Roman" w:hAnsi="Times New Roman" w:cs="Times New Roman"/>
        </w:rPr>
        <w:t>/</w:t>
      </w:r>
      <w:proofErr w:type="spellStart"/>
      <w:r w:rsidRPr="00123394">
        <w:rPr>
          <w:rFonts w:ascii="Times New Roman" w:hAnsi="Times New Roman" w:cs="Times New Roman"/>
          <w:i/>
        </w:rPr>
        <w:t>df</w:t>
      </w:r>
      <w:proofErr w:type="spellEnd"/>
      <w:r w:rsidRPr="00123394">
        <w:rPr>
          <w:rFonts w:ascii="Times New Roman" w:hAnsi="Times New Roman" w:cs="Times New Roman"/>
        </w:rPr>
        <w:t xml:space="preserve"> = 3.01) and the overall model predicted approximately 33% of variance in AUDIT scores (</w:t>
      </w:r>
      <w:r w:rsidRPr="00123394">
        <w:rPr>
          <w:rFonts w:ascii="Times New Roman" w:hAnsi="Times New Roman" w:cs="Times New Roman"/>
          <w:i/>
          <w:iCs/>
        </w:rPr>
        <w:t>R</w:t>
      </w:r>
      <w:r w:rsidRPr="00123394">
        <w:rPr>
          <w:rFonts w:ascii="Times New Roman" w:hAnsi="Times New Roman" w:cs="Times New Roman"/>
          <w:vertAlign w:val="superscript"/>
        </w:rPr>
        <w:t xml:space="preserve">2 </w:t>
      </w:r>
      <w:r w:rsidRPr="00123394">
        <w:rPr>
          <w:rFonts w:ascii="Times New Roman" w:hAnsi="Times New Roman" w:cs="Times New Roman"/>
        </w:rPr>
        <w:t>= .33).</w:t>
      </w:r>
    </w:p>
    <w:p w14:paraId="05171246" w14:textId="77777777" w:rsidR="00123394" w:rsidRPr="00123394" w:rsidRDefault="00123394" w:rsidP="00123394">
      <w:pPr>
        <w:pStyle w:val="NoSpacing"/>
        <w:spacing w:line="480" w:lineRule="auto"/>
        <w:rPr>
          <w:rFonts w:ascii="Times New Roman" w:hAnsi="Times New Roman" w:cs="Times New Roman"/>
        </w:rPr>
      </w:pPr>
    </w:p>
    <w:p w14:paraId="00539BF5" w14:textId="77777777" w:rsidR="00123394" w:rsidRPr="00123394" w:rsidRDefault="00123394" w:rsidP="00123394">
      <w:pPr>
        <w:pStyle w:val="NoSpacing"/>
        <w:spacing w:line="480" w:lineRule="auto"/>
        <w:rPr>
          <w:rFonts w:ascii="Times New Roman" w:hAnsi="Times New Roman" w:cs="Times New Roman"/>
          <w:b/>
          <w:bCs/>
        </w:rPr>
      </w:pPr>
      <w:r w:rsidRPr="00123394">
        <w:rPr>
          <w:rFonts w:ascii="Times New Roman" w:hAnsi="Times New Roman" w:cs="Times New Roman"/>
          <w:b/>
          <w:bCs/>
        </w:rPr>
        <w:t>Figure S2.2</w:t>
      </w:r>
    </w:p>
    <w:p w14:paraId="6124B416" w14:textId="2292A7CC" w:rsidR="00123394" w:rsidRPr="00123394" w:rsidRDefault="00123394" w:rsidP="00123394">
      <w:pPr>
        <w:pStyle w:val="NoSpacing"/>
        <w:spacing w:line="480" w:lineRule="auto"/>
        <w:rPr>
          <w:rFonts w:ascii="Times New Roman" w:hAnsi="Times New Roman" w:cs="Times New Roman"/>
          <w:i/>
          <w:iCs/>
        </w:rPr>
      </w:pPr>
      <w:r w:rsidRPr="00123394">
        <w:rPr>
          <w:rFonts w:ascii="Times New Roman" w:hAnsi="Times New Roman" w:cs="Times New Roman"/>
          <w:i/>
          <w:iCs/>
        </w:rPr>
        <w:t>Direct and indirect relationships between meaning in life, alcohol consumption, alcohol-free reinforcement, alcohol value, depressive symptoms, and drinking to cope</w:t>
      </w:r>
    </w:p>
    <w:p w14:paraId="59F1E662" w14:textId="302021A2" w:rsidR="00123394" w:rsidRDefault="00123394" w:rsidP="00093B56">
      <w:pPr>
        <w:pStyle w:val="NoSpacing"/>
      </w:pPr>
    </w:p>
    <w:p w14:paraId="5BB70A22" w14:textId="180CA2BB" w:rsidR="00123394" w:rsidRDefault="00123394" w:rsidP="00093B56">
      <w:pPr>
        <w:pStyle w:val="NoSpacing"/>
      </w:pPr>
    </w:p>
    <w:p w14:paraId="37CB9462" w14:textId="540C6604" w:rsidR="00123394" w:rsidRDefault="00123394" w:rsidP="00093B56">
      <w:pPr>
        <w:pStyle w:val="NoSpacing"/>
      </w:pPr>
      <w:r>
        <w:rPr>
          <w:noProof/>
        </w:rPr>
        <w:lastRenderedPageBreak/>
        <w:drawing>
          <wp:inline distT="0" distB="0" distL="0" distR="0" wp14:anchorId="126A2FE6" wp14:editId="1081865D">
            <wp:extent cx="5730875" cy="2853055"/>
            <wp:effectExtent l="0" t="0" r="317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875" cy="2853055"/>
                    </a:xfrm>
                    <a:prstGeom prst="rect">
                      <a:avLst/>
                    </a:prstGeom>
                    <a:noFill/>
                  </pic:spPr>
                </pic:pic>
              </a:graphicData>
            </a:graphic>
          </wp:inline>
        </w:drawing>
      </w:r>
    </w:p>
    <w:p w14:paraId="52F7480B" w14:textId="7393BD56" w:rsidR="000E4244" w:rsidRDefault="000E4244" w:rsidP="00093B56">
      <w:pPr>
        <w:pStyle w:val="NoSpacing"/>
      </w:pPr>
    </w:p>
    <w:p w14:paraId="49B2F23A" w14:textId="77777777" w:rsidR="00123394" w:rsidRPr="00123394" w:rsidRDefault="00123394" w:rsidP="00123394">
      <w:pPr>
        <w:pStyle w:val="NoSpacing"/>
        <w:rPr>
          <w:rFonts w:ascii="Times New Roman" w:hAnsi="Times New Roman" w:cs="Times New Roman"/>
        </w:rPr>
      </w:pPr>
      <w:r w:rsidRPr="00123394">
        <w:rPr>
          <w:rFonts w:ascii="Times New Roman" w:hAnsi="Times New Roman" w:cs="Times New Roman"/>
          <w:i/>
        </w:rPr>
        <w:t>Note.</w:t>
      </w:r>
      <w:r w:rsidRPr="00123394">
        <w:rPr>
          <w:rFonts w:ascii="Times New Roman" w:hAnsi="Times New Roman" w:cs="Times New Roman"/>
        </w:rPr>
        <w:t xml:space="preserve"> Standardized parameter estimates are presented. ***</w:t>
      </w:r>
      <w:r w:rsidRPr="00123394">
        <w:rPr>
          <w:rFonts w:ascii="Times New Roman" w:hAnsi="Times New Roman" w:cs="Times New Roman"/>
          <w:i/>
        </w:rPr>
        <w:t>p</w:t>
      </w:r>
      <w:r w:rsidRPr="00123394">
        <w:rPr>
          <w:rFonts w:ascii="Times New Roman" w:hAnsi="Times New Roman" w:cs="Times New Roman"/>
        </w:rPr>
        <w:t xml:space="preserve"> &lt; .001, **</w:t>
      </w:r>
      <w:r w:rsidRPr="00123394">
        <w:rPr>
          <w:rFonts w:ascii="Times New Roman" w:hAnsi="Times New Roman" w:cs="Times New Roman"/>
          <w:i/>
        </w:rPr>
        <w:t>p</w:t>
      </w:r>
      <w:r w:rsidRPr="00123394">
        <w:rPr>
          <w:rFonts w:ascii="Times New Roman" w:hAnsi="Times New Roman" w:cs="Times New Roman"/>
        </w:rPr>
        <w:t xml:space="preserve"> &lt; .01, *</w:t>
      </w:r>
      <w:r w:rsidRPr="00123394">
        <w:rPr>
          <w:rFonts w:ascii="Times New Roman" w:hAnsi="Times New Roman" w:cs="Times New Roman"/>
          <w:i/>
        </w:rPr>
        <w:t>p</w:t>
      </w:r>
      <w:r w:rsidRPr="00123394">
        <w:rPr>
          <w:rFonts w:ascii="Times New Roman" w:hAnsi="Times New Roman" w:cs="Times New Roman"/>
        </w:rPr>
        <w:t xml:space="preserve"> &lt; .05.</w:t>
      </w:r>
    </w:p>
    <w:p w14:paraId="05D394C4" w14:textId="20FED4E2" w:rsidR="000E4244" w:rsidRDefault="000E4244" w:rsidP="00093B56">
      <w:pPr>
        <w:pStyle w:val="NoSpacing"/>
      </w:pPr>
    </w:p>
    <w:p w14:paraId="013DAED5" w14:textId="77777777" w:rsidR="00123394" w:rsidRDefault="00123394" w:rsidP="00123394">
      <w:pPr>
        <w:pStyle w:val="NoSpacing"/>
        <w:spacing w:line="480" w:lineRule="auto"/>
        <w:rPr>
          <w:rFonts w:ascii="Times New Roman" w:hAnsi="Times New Roman" w:cs="Times New Roman"/>
          <w:b/>
        </w:rPr>
      </w:pPr>
    </w:p>
    <w:p w14:paraId="6F41DC42" w14:textId="1B9D6BCF" w:rsidR="00123394" w:rsidRPr="00123394" w:rsidRDefault="00123394" w:rsidP="00123394">
      <w:pPr>
        <w:pStyle w:val="NoSpacing"/>
        <w:spacing w:line="480" w:lineRule="auto"/>
        <w:rPr>
          <w:rFonts w:ascii="Times New Roman" w:hAnsi="Times New Roman" w:cs="Times New Roman"/>
          <w:b/>
        </w:rPr>
      </w:pPr>
      <w:r w:rsidRPr="00123394">
        <w:rPr>
          <w:rFonts w:ascii="Times New Roman" w:hAnsi="Times New Roman" w:cs="Times New Roman"/>
          <w:b/>
        </w:rPr>
        <w:t>Model evaluation (Figure S2.2)</w:t>
      </w:r>
    </w:p>
    <w:p w14:paraId="4CABB1C2" w14:textId="77777777" w:rsidR="00123394" w:rsidRPr="00123394" w:rsidRDefault="00123394" w:rsidP="00123394">
      <w:pPr>
        <w:pStyle w:val="NoSpacing"/>
        <w:spacing w:line="480" w:lineRule="auto"/>
        <w:rPr>
          <w:rFonts w:ascii="Times New Roman" w:hAnsi="Times New Roman" w:cs="Times New Roman"/>
          <w:i/>
        </w:rPr>
      </w:pPr>
      <w:r w:rsidRPr="00123394">
        <w:rPr>
          <w:rFonts w:ascii="Times New Roman" w:hAnsi="Times New Roman" w:cs="Times New Roman"/>
          <w:i/>
        </w:rPr>
        <w:t xml:space="preserve">Direct effects </w:t>
      </w:r>
    </w:p>
    <w:p w14:paraId="71CF3AF6" w14:textId="77777777" w:rsidR="00123394" w:rsidRPr="00123394" w:rsidRDefault="00123394" w:rsidP="00123394">
      <w:pPr>
        <w:pStyle w:val="NoSpacing"/>
        <w:spacing w:line="480" w:lineRule="auto"/>
        <w:rPr>
          <w:rFonts w:ascii="Times New Roman" w:hAnsi="Times New Roman" w:cs="Times New Roman"/>
        </w:rPr>
      </w:pPr>
      <w:bookmarkStart w:id="378" w:name="_Hlk102574796"/>
      <w:r w:rsidRPr="00123394">
        <w:rPr>
          <w:rFonts w:ascii="Times New Roman" w:hAnsi="Times New Roman" w:cs="Times New Roman"/>
          <w:iCs/>
        </w:rPr>
        <w:t>There was a statistically significant association between presence of meaning and AUDIT scores (95% CI = -.23 to -.06). Presence of meaning also had a significant positive association with alcohol-free reinforcement (95% CI = .19 to .36),</w:t>
      </w:r>
      <w:r w:rsidRPr="00123394">
        <w:rPr>
          <w:rFonts w:ascii="Times New Roman" w:hAnsi="Times New Roman" w:cs="Times New Roman"/>
        </w:rPr>
        <w:t xml:space="preserve"> and significant negative associations with depressive symptoms (95% CI = -.55 to -.40) and drinking to cope (95% CI = -.20 to .00). However, there was </w:t>
      </w:r>
      <w:r w:rsidRPr="00123394">
        <w:rPr>
          <w:rFonts w:ascii="Times New Roman" w:hAnsi="Times New Roman" w:cs="Times New Roman"/>
          <w:iCs/>
        </w:rPr>
        <w:t>no significant association between presence of meaning and alcohol value (</w:t>
      </w:r>
      <w:proofErr w:type="spellStart"/>
      <w:r w:rsidRPr="00123394">
        <w:rPr>
          <w:rFonts w:ascii="Times New Roman" w:hAnsi="Times New Roman" w:cs="Times New Roman"/>
          <w:iCs/>
        </w:rPr>
        <w:t>O</w:t>
      </w:r>
      <w:r w:rsidRPr="00123394">
        <w:rPr>
          <w:rFonts w:ascii="Times New Roman" w:hAnsi="Times New Roman" w:cs="Times New Roman"/>
          <w:iCs/>
          <w:vertAlign w:val="subscript"/>
        </w:rPr>
        <w:t>max</w:t>
      </w:r>
      <w:proofErr w:type="spellEnd"/>
      <w:r w:rsidRPr="00123394">
        <w:rPr>
          <w:rFonts w:ascii="Times New Roman" w:hAnsi="Times New Roman" w:cs="Times New Roman"/>
          <w:iCs/>
        </w:rPr>
        <w:t>) (95% CI = -.15 to .03).</w:t>
      </w:r>
      <w:r w:rsidRPr="00123394">
        <w:rPr>
          <w:rFonts w:ascii="Times New Roman" w:hAnsi="Times New Roman" w:cs="Times New Roman"/>
        </w:rPr>
        <w:t xml:space="preserve"> </w:t>
      </w:r>
      <w:r w:rsidRPr="00123394">
        <w:rPr>
          <w:rFonts w:ascii="Times New Roman" w:hAnsi="Times New Roman" w:cs="Times New Roman"/>
          <w:iCs/>
        </w:rPr>
        <w:t>Search for meaning had a significant positive association with depressive symptoms (</w:t>
      </w:r>
      <w:r w:rsidRPr="00123394">
        <w:rPr>
          <w:rFonts w:ascii="Times New Roman" w:hAnsi="Times New Roman" w:cs="Times New Roman"/>
        </w:rPr>
        <w:t>95% CI = .08 to .24</w:t>
      </w:r>
      <w:r w:rsidRPr="00123394">
        <w:rPr>
          <w:rFonts w:ascii="Times New Roman" w:hAnsi="Times New Roman" w:cs="Times New Roman"/>
          <w:iCs/>
        </w:rPr>
        <w:t>) and drinking to cope (</w:t>
      </w:r>
      <w:r w:rsidRPr="00123394">
        <w:rPr>
          <w:rFonts w:ascii="Times New Roman" w:hAnsi="Times New Roman" w:cs="Times New Roman"/>
        </w:rPr>
        <w:t>95% CI = .02 to .19</w:t>
      </w:r>
      <w:r w:rsidRPr="00123394">
        <w:rPr>
          <w:rFonts w:ascii="Times New Roman" w:hAnsi="Times New Roman" w:cs="Times New Roman"/>
          <w:iCs/>
        </w:rPr>
        <w:t xml:space="preserve">). However, there were no significant associations between search for meaning and alcohol-free reinforcement (95% </w:t>
      </w:r>
      <w:r w:rsidRPr="00123394">
        <w:rPr>
          <w:rFonts w:ascii="Times New Roman" w:hAnsi="Times New Roman" w:cs="Times New Roman"/>
        </w:rPr>
        <w:t>CI = -.07 to .12</w:t>
      </w:r>
      <w:r w:rsidRPr="00123394">
        <w:rPr>
          <w:rFonts w:ascii="Times New Roman" w:hAnsi="Times New Roman" w:cs="Times New Roman"/>
          <w:iCs/>
        </w:rPr>
        <w:t xml:space="preserve">), </w:t>
      </w:r>
      <w:r w:rsidRPr="00123394">
        <w:rPr>
          <w:rFonts w:ascii="Times New Roman" w:hAnsi="Times New Roman" w:cs="Times New Roman"/>
        </w:rPr>
        <w:t>alcohol value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(95% CI = -.08 to .11)</w:t>
      </w:r>
      <w:r w:rsidRPr="00123394">
        <w:rPr>
          <w:rFonts w:ascii="Times New Roman" w:hAnsi="Times New Roman" w:cs="Times New Roman"/>
          <w:iCs/>
        </w:rPr>
        <w:t>, and AUDIT scores (</w:t>
      </w:r>
      <w:r w:rsidRPr="00123394">
        <w:rPr>
          <w:rFonts w:ascii="Times New Roman" w:hAnsi="Times New Roman" w:cs="Times New Roman"/>
        </w:rPr>
        <w:t>95% CI = -.15 to .02</w:t>
      </w:r>
      <w:r w:rsidRPr="00123394">
        <w:rPr>
          <w:rFonts w:ascii="Times New Roman" w:hAnsi="Times New Roman" w:cs="Times New Roman"/>
          <w:iCs/>
        </w:rPr>
        <w:t>).</w:t>
      </w:r>
    </w:p>
    <w:bookmarkEnd w:id="378"/>
    <w:p w14:paraId="3615E741" w14:textId="77777777" w:rsidR="00123394" w:rsidRPr="00123394" w:rsidRDefault="00123394" w:rsidP="00123394">
      <w:pPr>
        <w:pStyle w:val="NoSpacing"/>
        <w:spacing w:line="480" w:lineRule="auto"/>
        <w:rPr>
          <w:rFonts w:ascii="Times New Roman" w:hAnsi="Times New Roman" w:cs="Times New Roman"/>
        </w:rPr>
      </w:pPr>
    </w:p>
    <w:p w14:paraId="01557412"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Depressive symptoms had a significant positive association with drinking to cope (95% CI = .33 to .52) and drinking to cope had a significant positive association with AUDIT scores </w:t>
      </w:r>
      <w:r w:rsidRPr="00123394">
        <w:rPr>
          <w:rFonts w:ascii="Times New Roman" w:hAnsi="Times New Roman" w:cs="Times New Roman"/>
        </w:rPr>
        <w:lastRenderedPageBreak/>
        <w:t>(95% CI = .29 to .48). Alcohol-free reinforcement had no significant association with alcohol value (</w:t>
      </w:r>
      <w:proofErr w:type="spellStart"/>
      <w:r w:rsidRPr="00123394">
        <w:rPr>
          <w:rFonts w:ascii="Times New Roman" w:hAnsi="Times New Roman" w:cs="Times New Roman"/>
          <w:i/>
          <w:iCs/>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(95% CI = -.08 to .10), but alcohol value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xml:space="preserve">) had a significant positive association with AUDIT scores (95% CI = .19 to .34). Neither alcohol-free reinforcement (95% CI = -.04 to .10) or depression (95% CI = -.06 to .16) had any significant association with AUDIT scores. </w:t>
      </w:r>
    </w:p>
    <w:p w14:paraId="465286A5" w14:textId="77777777" w:rsidR="00123394" w:rsidRPr="00123394" w:rsidRDefault="00123394" w:rsidP="00123394">
      <w:pPr>
        <w:pStyle w:val="NoSpacing"/>
        <w:spacing w:line="480" w:lineRule="auto"/>
        <w:rPr>
          <w:rFonts w:ascii="Times New Roman" w:hAnsi="Times New Roman" w:cs="Times New Roman"/>
        </w:rPr>
      </w:pPr>
    </w:p>
    <w:p w14:paraId="670432F2" w14:textId="77777777" w:rsidR="00123394" w:rsidRPr="00123394" w:rsidRDefault="00123394" w:rsidP="00123394">
      <w:pPr>
        <w:pStyle w:val="NoSpacing"/>
        <w:spacing w:line="480" w:lineRule="auto"/>
        <w:rPr>
          <w:rFonts w:ascii="Times New Roman" w:hAnsi="Times New Roman" w:cs="Times New Roman"/>
          <w:i/>
        </w:rPr>
      </w:pPr>
      <w:r w:rsidRPr="00123394">
        <w:rPr>
          <w:rFonts w:ascii="Times New Roman" w:hAnsi="Times New Roman" w:cs="Times New Roman"/>
          <w:i/>
        </w:rPr>
        <w:t xml:space="preserve">Indirect effects </w:t>
      </w:r>
    </w:p>
    <w:p w14:paraId="27234C67"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iCs/>
        </w:rPr>
        <w:t>There was a significant indirect effect of presence of meaning in life on AUDIT scores through lower drinking to cope</w:t>
      </w:r>
      <w:r w:rsidRPr="00123394">
        <w:rPr>
          <w:rFonts w:ascii="Times New Roman" w:hAnsi="Times New Roman" w:cs="Times New Roman"/>
        </w:rPr>
        <w:t xml:space="preserve"> (β = -.04, </w:t>
      </w:r>
      <w:r w:rsidRPr="00123394">
        <w:rPr>
          <w:rFonts w:ascii="Times New Roman" w:hAnsi="Times New Roman" w:cs="Times New Roman"/>
          <w:i/>
        </w:rPr>
        <w:t>p</w:t>
      </w:r>
      <w:r w:rsidRPr="00123394">
        <w:rPr>
          <w:rFonts w:ascii="Times New Roman" w:hAnsi="Times New Roman" w:cs="Times New Roman"/>
        </w:rPr>
        <w:t xml:space="preserve"> = .03, 95% CI = -.08 to .00). Although there was no significant indirect effect of depressive symptoms on its own (β = -.02, </w:t>
      </w:r>
      <w:r w:rsidRPr="00123394">
        <w:rPr>
          <w:rFonts w:ascii="Times New Roman" w:hAnsi="Times New Roman" w:cs="Times New Roman"/>
          <w:i/>
          <w:iCs/>
        </w:rPr>
        <w:t>p</w:t>
      </w:r>
      <w:r w:rsidRPr="00123394">
        <w:rPr>
          <w:rFonts w:ascii="Times New Roman" w:hAnsi="Times New Roman" w:cs="Times New Roman"/>
        </w:rPr>
        <w:t xml:space="preserve"> = .32, 95% CI = -.07 to .03), there was an indirect effect through two variables: depressive symptoms and drinking to cope (β = -.08, </w:t>
      </w:r>
      <w:r w:rsidRPr="00123394">
        <w:rPr>
          <w:rFonts w:ascii="Times New Roman" w:hAnsi="Times New Roman" w:cs="Times New Roman"/>
          <w:i/>
          <w:iCs/>
        </w:rPr>
        <w:t>p</w:t>
      </w:r>
      <w:r w:rsidRPr="00123394">
        <w:rPr>
          <w:rFonts w:ascii="Times New Roman" w:hAnsi="Times New Roman" w:cs="Times New Roman"/>
        </w:rPr>
        <w:t xml:space="preserve"> &lt; .001, 95% CI = -.11 to -.05). There were however no significant indirect effects of alcohol value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xml:space="preserve">) (β = -.02, </w:t>
      </w:r>
      <w:r w:rsidRPr="00123394">
        <w:rPr>
          <w:rFonts w:ascii="Times New Roman" w:hAnsi="Times New Roman" w:cs="Times New Roman"/>
          <w:i/>
        </w:rPr>
        <w:t>p</w:t>
      </w:r>
      <w:r w:rsidRPr="00123394">
        <w:rPr>
          <w:rFonts w:ascii="Times New Roman" w:hAnsi="Times New Roman" w:cs="Times New Roman"/>
        </w:rPr>
        <w:t xml:space="preserve"> = .19, 95% CI = -.04 to .01) or alcohol-free reinforcement (β = .01, </w:t>
      </w:r>
      <w:r w:rsidRPr="00123394">
        <w:rPr>
          <w:rFonts w:ascii="Times New Roman" w:hAnsi="Times New Roman" w:cs="Times New Roman"/>
          <w:i/>
        </w:rPr>
        <w:t>p</w:t>
      </w:r>
      <w:r w:rsidRPr="00123394">
        <w:rPr>
          <w:rFonts w:ascii="Times New Roman" w:hAnsi="Times New Roman" w:cs="Times New Roman"/>
        </w:rPr>
        <w:t xml:space="preserve"> = .40, 95% CI = -.01 to .03).</w:t>
      </w:r>
    </w:p>
    <w:p w14:paraId="1036C0C5" w14:textId="77777777" w:rsidR="00123394" w:rsidRPr="00123394" w:rsidRDefault="00123394" w:rsidP="00123394">
      <w:pPr>
        <w:pStyle w:val="NoSpacing"/>
        <w:spacing w:line="480" w:lineRule="auto"/>
        <w:rPr>
          <w:rFonts w:ascii="Times New Roman" w:hAnsi="Times New Roman" w:cs="Times New Roman"/>
        </w:rPr>
      </w:pPr>
    </w:p>
    <w:p w14:paraId="1F8E05A2"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There was a significant indirect effect of search for meaning on AUDIT scores through greater drinking to cope (β = .04, </w:t>
      </w:r>
      <w:r w:rsidRPr="00123394">
        <w:rPr>
          <w:rFonts w:ascii="Times New Roman" w:hAnsi="Times New Roman" w:cs="Times New Roman"/>
          <w:i/>
        </w:rPr>
        <w:t>p</w:t>
      </w:r>
      <w:r w:rsidRPr="00123394">
        <w:rPr>
          <w:rFonts w:ascii="Times New Roman" w:hAnsi="Times New Roman" w:cs="Times New Roman"/>
        </w:rPr>
        <w:t xml:space="preserve"> = .01, 95% CI = .01 to .08). Although there was no significant indirect effect of depressive symptoms on its own (β = .01, </w:t>
      </w:r>
      <w:r w:rsidRPr="00123394">
        <w:rPr>
          <w:rFonts w:ascii="Times New Roman" w:hAnsi="Times New Roman" w:cs="Times New Roman"/>
          <w:i/>
          <w:iCs/>
        </w:rPr>
        <w:t>p</w:t>
      </w:r>
      <w:r w:rsidRPr="00123394">
        <w:rPr>
          <w:rFonts w:ascii="Times New Roman" w:hAnsi="Times New Roman" w:cs="Times New Roman"/>
        </w:rPr>
        <w:t xml:space="preserve"> = .33, 95% CI = -.01 to .03), there was an indirect effect through two variables: depressive symptoms and drinking to cope (β = .03, p &lt; .001, 95% CI = .01 to .05). There were no significant indirect effects of alcohol value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xml:space="preserve">) (β = .00, </w:t>
      </w:r>
      <w:r w:rsidRPr="00123394">
        <w:rPr>
          <w:rFonts w:ascii="Times New Roman" w:hAnsi="Times New Roman" w:cs="Times New Roman"/>
          <w:i/>
        </w:rPr>
        <w:t>p</w:t>
      </w:r>
      <w:r w:rsidRPr="00123394">
        <w:rPr>
          <w:rFonts w:ascii="Times New Roman" w:hAnsi="Times New Roman" w:cs="Times New Roman"/>
        </w:rPr>
        <w:t xml:space="preserve"> = .71, 95% CI = -.02 to .03) or alcohol-free reinforcement (β = .00, </w:t>
      </w:r>
      <w:r w:rsidRPr="00123394">
        <w:rPr>
          <w:rFonts w:ascii="Times New Roman" w:hAnsi="Times New Roman" w:cs="Times New Roman"/>
          <w:i/>
        </w:rPr>
        <w:t>p</w:t>
      </w:r>
      <w:r w:rsidRPr="00123394">
        <w:rPr>
          <w:rFonts w:ascii="Times New Roman" w:hAnsi="Times New Roman" w:cs="Times New Roman"/>
        </w:rPr>
        <w:t xml:space="preserve"> = .67, 95% CI = -.00 to .01).</w:t>
      </w:r>
    </w:p>
    <w:p w14:paraId="267AD6F1" w14:textId="77777777" w:rsidR="00123394" w:rsidRPr="00123394" w:rsidRDefault="00123394" w:rsidP="00123394">
      <w:pPr>
        <w:pStyle w:val="NoSpacing"/>
        <w:spacing w:line="480" w:lineRule="auto"/>
        <w:rPr>
          <w:rFonts w:ascii="Times New Roman" w:hAnsi="Times New Roman" w:cs="Times New Roman"/>
        </w:rPr>
      </w:pPr>
    </w:p>
    <w:p w14:paraId="5194B324" w14:textId="77777777" w:rsidR="00123394" w:rsidRPr="00123394" w:rsidRDefault="00123394" w:rsidP="00123394">
      <w:pPr>
        <w:pStyle w:val="NoSpacing"/>
        <w:spacing w:line="480" w:lineRule="auto"/>
        <w:rPr>
          <w:rFonts w:ascii="Times New Roman" w:hAnsi="Times New Roman" w:cs="Times New Roman"/>
        </w:rPr>
      </w:pPr>
      <w:r w:rsidRPr="00123394">
        <w:rPr>
          <w:rFonts w:ascii="Times New Roman" w:hAnsi="Times New Roman" w:cs="Times New Roman"/>
        </w:rPr>
        <w:t xml:space="preserve">There was a significant indirect effect of presence of meaning on drinking to cope through lower depressive symptoms (β = -.20, </w:t>
      </w:r>
      <w:r w:rsidRPr="00123394">
        <w:rPr>
          <w:rFonts w:ascii="Times New Roman" w:hAnsi="Times New Roman" w:cs="Times New Roman"/>
          <w:i/>
        </w:rPr>
        <w:t>p</w:t>
      </w:r>
      <w:r w:rsidRPr="00123394">
        <w:rPr>
          <w:rFonts w:ascii="Times New Roman" w:hAnsi="Times New Roman" w:cs="Times New Roman"/>
        </w:rPr>
        <w:t xml:space="preserve"> &lt; .001, 95% CI = -.26 to -.15) and a significant </w:t>
      </w:r>
      <w:r w:rsidRPr="00123394">
        <w:rPr>
          <w:rFonts w:ascii="Times New Roman" w:hAnsi="Times New Roman" w:cs="Times New Roman"/>
        </w:rPr>
        <w:lastRenderedPageBreak/>
        <w:t xml:space="preserve">indirect effect of search for meaning on drinking to cope via greater depressive symptoms (β = .07, </w:t>
      </w:r>
      <w:r w:rsidRPr="00123394">
        <w:rPr>
          <w:rFonts w:ascii="Times New Roman" w:hAnsi="Times New Roman" w:cs="Times New Roman"/>
          <w:i/>
        </w:rPr>
        <w:t>p</w:t>
      </w:r>
      <w:r w:rsidRPr="00123394">
        <w:rPr>
          <w:rFonts w:ascii="Times New Roman" w:hAnsi="Times New Roman" w:cs="Times New Roman"/>
        </w:rPr>
        <w:t xml:space="preserve"> &lt; .001, 95% CI = .03 to .11). There was a significant indirect effect of depressive symptoms on AUDIT scores through greater drinking to cope (β = .17, </w:t>
      </w:r>
      <w:r w:rsidRPr="00123394">
        <w:rPr>
          <w:rFonts w:ascii="Times New Roman" w:hAnsi="Times New Roman" w:cs="Times New Roman"/>
          <w:i/>
        </w:rPr>
        <w:t>p</w:t>
      </w:r>
      <w:r w:rsidRPr="00123394">
        <w:rPr>
          <w:rFonts w:ascii="Times New Roman" w:hAnsi="Times New Roman" w:cs="Times New Roman"/>
        </w:rPr>
        <w:t xml:space="preserve"> &lt; .001, 95% CI = .11 to .23).</w:t>
      </w:r>
    </w:p>
    <w:p w14:paraId="50A952E1" w14:textId="77777777" w:rsidR="00123394" w:rsidRPr="00123394" w:rsidRDefault="00123394" w:rsidP="00123394">
      <w:pPr>
        <w:pStyle w:val="NoSpacing"/>
        <w:spacing w:line="480" w:lineRule="auto"/>
        <w:rPr>
          <w:rFonts w:ascii="Times New Roman" w:hAnsi="Times New Roman" w:cs="Times New Roman"/>
          <w:iCs/>
          <w:u w:val="single"/>
        </w:rPr>
      </w:pPr>
    </w:p>
    <w:p w14:paraId="0ADD63AC" w14:textId="77777777" w:rsidR="00123394" w:rsidRPr="00123394" w:rsidRDefault="00123394" w:rsidP="00E46428">
      <w:pPr>
        <w:pStyle w:val="NoSpacing"/>
        <w:spacing w:line="480" w:lineRule="auto"/>
        <w:rPr>
          <w:rFonts w:ascii="Times New Roman" w:hAnsi="Times New Roman" w:cs="Times New Roman"/>
          <w:iCs/>
          <w:u w:val="single"/>
        </w:rPr>
      </w:pPr>
      <w:bookmarkStart w:id="379" w:name="_Hlk102577490"/>
      <w:r w:rsidRPr="00123394">
        <w:rPr>
          <w:rFonts w:ascii="Times New Roman" w:hAnsi="Times New Roman" w:cs="Times New Roman"/>
          <w:iCs/>
          <w:u w:val="single"/>
        </w:rPr>
        <w:t xml:space="preserve">Divergences from primary analyses reported in Chapter 2: </w:t>
      </w:r>
      <w:bookmarkEnd w:id="379"/>
      <w:r w:rsidRPr="00123394">
        <w:rPr>
          <w:rFonts w:ascii="Times New Roman" w:hAnsi="Times New Roman" w:cs="Times New Roman"/>
        </w:rPr>
        <w:t xml:space="preserve">Unlike with intensity, when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xml:space="preserve"> is entered into the model</w:t>
      </w:r>
      <w:bookmarkStart w:id="380" w:name="_Hlk102577531"/>
      <w:r w:rsidRPr="00123394">
        <w:rPr>
          <w:rFonts w:ascii="Times New Roman" w:hAnsi="Times New Roman" w:cs="Times New Roman"/>
        </w:rPr>
        <w:t xml:space="preserve">, the direct effect of presence of meaning on AUDIT scores is significant, indicative of partial mediation of drinking to cope. </w:t>
      </w:r>
      <w:bookmarkEnd w:id="380"/>
      <w:r w:rsidRPr="00123394">
        <w:rPr>
          <w:rFonts w:ascii="Times New Roman" w:hAnsi="Times New Roman" w:cs="Times New Roman"/>
        </w:rPr>
        <w:t xml:space="preserve">Furthermore, there are no significant indirect effects of alcohol value in this model when represented by </w:t>
      </w:r>
      <w:proofErr w:type="spellStart"/>
      <w:r w:rsidRPr="00123394">
        <w:rPr>
          <w:rFonts w:ascii="Times New Roman" w:hAnsi="Times New Roman" w:cs="Times New Roman"/>
        </w:rPr>
        <w:t>O</w:t>
      </w:r>
      <w:r w:rsidRPr="00123394">
        <w:rPr>
          <w:rFonts w:ascii="Times New Roman" w:hAnsi="Times New Roman" w:cs="Times New Roman"/>
          <w:vertAlign w:val="subscript"/>
        </w:rPr>
        <w:t>max</w:t>
      </w:r>
      <w:proofErr w:type="spellEnd"/>
      <w:r w:rsidRPr="00123394">
        <w:rPr>
          <w:rFonts w:ascii="Times New Roman" w:hAnsi="Times New Roman" w:cs="Times New Roman"/>
        </w:rPr>
        <w:t xml:space="preserve">. </w:t>
      </w:r>
    </w:p>
    <w:p w14:paraId="350D8DF4" w14:textId="77777777" w:rsidR="00E46428" w:rsidRDefault="00E46428" w:rsidP="00E46428">
      <w:pPr>
        <w:pStyle w:val="NoSpacing"/>
        <w:spacing w:line="480" w:lineRule="auto"/>
        <w:rPr>
          <w:rFonts w:ascii="Times New Roman" w:hAnsi="Times New Roman" w:cs="Times New Roman"/>
          <w:i/>
          <w:iCs/>
        </w:rPr>
      </w:pPr>
    </w:p>
    <w:p w14:paraId="1854641F" w14:textId="248C4A5D" w:rsidR="00E46428" w:rsidRPr="00E46428" w:rsidRDefault="00E46428" w:rsidP="00E46428">
      <w:pPr>
        <w:pStyle w:val="NoSpacing"/>
        <w:spacing w:line="480" w:lineRule="auto"/>
        <w:rPr>
          <w:rFonts w:ascii="Times New Roman" w:hAnsi="Times New Roman" w:cs="Times New Roman"/>
          <w:i/>
          <w:iCs/>
        </w:rPr>
      </w:pPr>
      <w:r w:rsidRPr="00E46428">
        <w:rPr>
          <w:rFonts w:ascii="Times New Roman" w:hAnsi="Times New Roman" w:cs="Times New Roman"/>
          <w:i/>
          <w:iCs/>
        </w:rPr>
        <w:t>Secondly, breakpoint:</w:t>
      </w:r>
    </w:p>
    <w:p w14:paraId="7891AEAF"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b/>
        </w:rPr>
        <w:t>Model fit.</w:t>
      </w:r>
      <w:r w:rsidRPr="00E46428">
        <w:rPr>
          <w:rFonts w:ascii="Times New Roman" w:hAnsi="Times New Roman" w:cs="Times New Roman"/>
        </w:rPr>
        <w:t xml:space="preserve"> The hypothesized structural model proved to be a good fit of the data (SRMR = .02; CFI = .99, TLI = .95, RMSEA = .05 (90% CI = .01 to .10); Χ</w:t>
      </w:r>
      <w:r w:rsidRPr="00E46428">
        <w:rPr>
          <w:rFonts w:ascii="Times New Roman" w:hAnsi="Times New Roman" w:cs="Times New Roman"/>
          <w:vertAlign w:val="superscript"/>
        </w:rPr>
        <w:t>2</w:t>
      </w:r>
      <w:r w:rsidRPr="00E46428">
        <w:rPr>
          <w:rFonts w:ascii="Times New Roman" w:hAnsi="Times New Roman" w:cs="Times New Roman"/>
        </w:rPr>
        <w:t>/</w:t>
      </w:r>
      <w:proofErr w:type="spellStart"/>
      <w:r w:rsidRPr="00E46428">
        <w:rPr>
          <w:rFonts w:ascii="Times New Roman" w:hAnsi="Times New Roman" w:cs="Times New Roman"/>
          <w:i/>
        </w:rPr>
        <w:t>df</w:t>
      </w:r>
      <w:proofErr w:type="spellEnd"/>
      <w:r w:rsidRPr="00E46428">
        <w:rPr>
          <w:rFonts w:ascii="Times New Roman" w:hAnsi="Times New Roman" w:cs="Times New Roman"/>
        </w:rPr>
        <w:t xml:space="preserve"> = 2.56) and the overall model predicted approximately 26% of variance in AUDIT scores (</w:t>
      </w:r>
      <w:r w:rsidRPr="00E46428">
        <w:rPr>
          <w:rFonts w:ascii="Times New Roman" w:hAnsi="Times New Roman" w:cs="Times New Roman"/>
          <w:i/>
          <w:iCs/>
        </w:rPr>
        <w:t>R</w:t>
      </w:r>
      <w:r w:rsidRPr="00E46428">
        <w:rPr>
          <w:rFonts w:ascii="Times New Roman" w:hAnsi="Times New Roman" w:cs="Times New Roman"/>
          <w:vertAlign w:val="superscript"/>
        </w:rPr>
        <w:t>2</w:t>
      </w:r>
      <w:r w:rsidRPr="00E46428">
        <w:rPr>
          <w:rFonts w:ascii="Times New Roman" w:hAnsi="Times New Roman" w:cs="Times New Roman"/>
        </w:rPr>
        <w:t xml:space="preserve"> = .26).</w:t>
      </w:r>
    </w:p>
    <w:p w14:paraId="07E75CF9" w14:textId="77777777" w:rsidR="00E46428" w:rsidRPr="00E46428" w:rsidRDefault="00E46428" w:rsidP="00E46428">
      <w:pPr>
        <w:pStyle w:val="NoSpacing"/>
        <w:spacing w:line="480" w:lineRule="auto"/>
        <w:rPr>
          <w:rFonts w:ascii="Times New Roman" w:hAnsi="Times New Roman" w:cs="Times New Roman"/>
        </w:rPr>
      </w:pPr>
    </w:p>
    <w:p w14:paraId="73BDA633" w14:textId="77777777" w:rsidR="00E46428" w:rsidRDefault="00E46428" w:rsidP="00E46428">
      <w:pPr>
        <w:pStyle w:val="NoSpacing"/>
        <w:spacing w:line="480" w:lineRule="auto"/>
        <w:rPr>
          <w:rFonts w:ascii="Times New Roman" w:hAnsi="Times New Roman" w:cs="Times New Roman"/>
          <w:b/>
          <w:bCs/>
        </w:rPr>
      </w:pPr>
      <w:r w:rsidRPr="00E46428">
        <w:rPr>
          <w:rFonts w:ascii="Times New Roman" w:hAnsi="Times New Roman" w:cs="Times New Roman"/>
          <w:b/>
          <w:bCs/>
        </w:rPr>
        <w:t>Figure S2.3</w:t>
      </w:r>
    </w:p>
    <w:p w14:paraId="51E6776D" w14:textId="4D9DD92E" w:rsidR="00E46428" w:rsidRPr="00E46428" w:rsidRDefault="00E46428" w:rsidP="00E46428">
      <w:pPr>
        <w:pStyle w:val="NoSpacing"/>
        <w:spacing w:line="480" w:lineRule="auto"/>
        <w:rPr>
          <w:rFonts w:ascii="Times New Roman" w:hAnsi="Times New Roman" w:cs="Times New Roman"/>
          <w:i/>
          <w:iCs/>
        </w:rPr>
      </w:pPr>
      <w:r w:rsidRPr="00E46428">
        <w:rPr>
          <w:rFonts w:ascii="Times New Roman" w:hAnsi="Times New Roman" w:cs="Times New Roman"/>
          <w:i/>
          <w:iCs/>
        </w:rPr>
        <w:t>Direct and indirect relationships between meaning in life, alcohol consumption, alcohol-free reinforcement, alcohol value, depressive symptoms, and drinking to cope</w:t>
      </w:r>
    </w:p>
    <w:p w14:paraId="28DDCAE8" w14:textId="77777777" w:rsidR="00E46428" w:rsidRPr="00123394" w:rsidRDefault="00E46428" w:rsidP="00123394">
      <w:pPr>
        <w:pStyle w:val="NoSpacing"/>
        <w:spacing w:line="480" w:lineRule="auto"/>
        <w:rPr>
          <w:rFonts w:ascii="Times New Roman" w:hAnsi="Times New Roman" w:cs="Times New Roman"/>
        </w:rPr>
      </w:pPr>
    </w:p>
    <w:p w14:paraId="5D21D835" w14:textId="17659AA3" w:rsidR="000E4244" w:rsidRDefault="00E46428" w:rsidP="00E46428">
      <w:pPr>
        <w:pStyle w:val="NoSpacing"/>
        <w:jc w:val="center"/>
      </w:pPr>
      <w:r>
        <w:rPr>
          <w:noProof/>
        </w:rPr>
        <w:lastRenderedPageBreak/>
        <w:drawing>
          <wp:inline distT="0" distB="0" distL="0" distR="0" wp14:anchorId="16B01298" wp14:editId="681F64A9">
            <wp:extent cx="5730875" cy="2834640"/>
            <wp:effectExtent l="0" t="0" r="317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0875" cy="2834640"/>
                    </a:xfrm>
                    <a:prstGeom prst="rect">
                      <a:avLst/>
                    </a:prstGeom>
                    <a:noFill/>
                  </pic:spPr>
                </pic:pic>
              </a:graphicData>
            </a:graphic>
          </wp:inline>
        </w:drawing>
      </w:r>
    </w:p>
    <w:p w14:paraId="4BE4A03A" w14:textId="1CE3ABD0" w:rsidR="000E4244" w:rsidRDefault="000E4244" w:rsidP="00093B56">
      <w:pPr>
        <w:pStyle w:val="NoSpacing"/>
      </w:pPr>
    </w:p>
    <w:p w14:paraId="4AA1D682" w14:textId="77777777" w:rsidR="00E46428" w:rsidRPr="00E46428" w:rsidRDefault="00E46428" w:rsidP="00E46428">
      <w:pPr>
        <w:pStyle w:val="NoSpacing"/>
        <w:rPr>
          <w:rFonts w:ascii="Times New Roman" w:hAnsi="Times New Roman" w:cs="Times New Roman"/>
        </w:rPr>
      </w:pPr>
      <w:r w:rsidRPr="00E46428">
        <w:rPr>
          <w:rFonts w:ascii="Times New Roman" w:hAnsi="Times New Roman" w:cs="Times New Roman"/>
          <w:i/>
        </w:rPr>
        <w:t xml:space="preserve">Note. </w:t>
      </w:r>
      <w:r w:rsidRPr="00E46428">
        <w:rPr>
          <w:rFonts w:ascii="Times New Roman" w:hAnsi="Times New Roman" w:cs="Times New Roman"/>
        </w:rPr>
        <w:t>Standardized parameter estimates are presented. ***</w:t>
      </w:r>
      <w:r w:rsidRPr="00E46428">
        <w:rPr>
          <w:rFonts w:ascii="Times New Roman" w:hAnsi="Times New Roman" w:cs="Times New Roman"/>
          <w:i/>
        </w:rPr>
        <w:t>p</w:t>
      </w:r>
      <w:r w:rsidRPr="00E46428">
        <w:rPr>
          <w:rFonts w:ascii="Times New Roman" w:hAnsi="Times New Roman" w:cs="Times New Roman"/>
        </w:rPr>
        <w:t xml:space="preserve"> &lt; .001, **</w:t>
      </w:r>
      <w:r w:rsidRPr="00E46428">
        <w:rPr>
          <w:rFonts w:ascii="Times New Roman" w:hAnsi="Times New Roman" w:cs="Times New Roman"/>
          <w:i/>
        </w:rPr>
        <w:t>p</w:t>
      </w:r>
      <w:r w:rsidRPr="00E46428">
        <w:rPr>
          <w:rFonts w:ascii="Times New Roman" w:hAnsi="Times New Roman" w:cs="Times New Roman"/>
        </w:rPr>
        <w:t xml:space="preserve"> &lt; .01, *</w:t>
      </w:r>
      <w:r w:rsidRPr="00E46428">
        <w:rPr>
          <w:rFonts w:ascii="Times New Roman" w:hAnsi="Times New Roman" w:cs="Times New Roman"/>
          <w:i/>
        </w:rPr>
        <w:t>p</w:t>
      </w:r>
      <w:r w:rsidRPr="00E46428">
        <w:rPr>
          <w:rFonts w:ascii="Times New Roman" w:hAnsi="Times New Roman" w:cs="Times New Roman"/>
        </w:rPr>
        <w:t xml:space="preserve"> &lt; .05.</w:t>
      </w:r>
    </w:p>
    <w:p w14:paraId="6542FCC3" w14:textId="55E7B981" w:rsidR="000E4244" w:rsidRPr="00E46428" w:rsidRDefault="000E4244" w:rsidP="00E46428">
      <w:pPr>
        <w:pStyle w:val="NoSpacing"/>
        <w:spacing w:line="480" w:lineRule="auto"/>
        <w:rPr>
          <w:rFonts w:ascii="Times New Roman" w:hAnsi="Times New Roman" w:cs="Times New Roman"/>
        </w:rPr>
      </w:pPr>
    </w:p>
    <w:p w14:paraId="030CCC34" w14:textId="77777777" w:rsidR="00E46428" w:rsidRPr="00E46428" w:rsidRDefault="00E46428" w:rsidP="00E46428">
      <w:pPr>
        <w:pStyle w:val="NoSpacing"/>
        <w:spacing w:line="480" w:lineRule="auto"/>
        <w:rPr>
          <w:rFonts w:ascii="Times New Roman" w:hAnsi="Times New Roman" w:cs="Times New Roman"/>
          <w:b/>
        </w:rPr>
      </w:pPr>
      <w:r w:rsidRPr="00E46428">
        <w:rPr>
          <w:rFonts w:ascii="Times New Roman" w:hAnsi="Times New Roman" w:cs="Times New Roman"/>
          <w:b/>
        </w:rPr>
        <w:t>Model evaluation (Figure S2.3)</w:t>
      </w:r>
    </w:p>
    <w:p w14:paraId="1D02944D" w14:textId="77777777" w:rsidR="00E46428" w:rsidRPr="00E46428" w:rsidRDefault="00E46428" w:rsidP="00E46428">
      <w:pPr>
        <w:pStyle w:val="NoSpacing"/>
        <w:spacing w:line="480" w:lineRule="auto"/>
        <w:rPr>
          <w:rFonts w:ascii="Times New Roman" w:hAnsi="Times New Roman" w:cs="Times New Roman"/>
          <w:i/>
        </w:rPr>
      </w:pPr>
      <w:r w:rsidRPr="00E46428">
        <w:rPr>
          <w:rFonts w:ascii="Times New Roman" w:hAnsi="Times New Roman" w:cs="Times New Roman"/>
          <w:i/>
        </w:rPr>
        <w:t xml:space="preserve">Direct effects </w:t>
      </w:r>
    </w:p>
    <w:p w14:paraId="0700044D" w14:textId="77777777" w:rsidR="00E46428" w:rsidRPr="00E46428" w:rsidRDefault="00E46428" w:rsidP="00E46428">
      <w:pPr>
        <w:pStyle w:val="NoSpacing"/>
        <w:spacing w:line="480" w:lineRule="auto"/>
        <w:rPr>
          <w:rFonts w:ascii="Times New Roman" w:hAnsi="Times New Roman" w:cs="Times New Roman"/>
          <w:iCs/>
        </w:rPr>
      </w:pPr>
      <w:r w:rsidRPr="00E46428">
        <w:rPr>
          <w:rFonts w:ascii="Times New Roman" w:hAnsi="Times New Roman" w:cs="Times New Roman"/>
          <w:iCs/>
        </w:rPr>
        <w:t xml:space="preserve">There was a statistically significant association between presence of meaning and AUDIT scores (95% CI = -.25 to -.06). Presence of meaning also had a significant positive association with alcohol-free reinforcement (95% CI = .19 to .36), and significant negative associations with depressive symptoms (95% CI = -.54 to -.40) and drinking to cope (95% CI = -.19 to -.00). However, there was no significant association between presence of meaning and alcohol value (breakpoint) (95% CI = -.02 to .17). Search for meaning had significant positive associations with depressive symptoms (95% CI = .09 to .24) and drinking to cope (95% CI = .02 to .19) </w:t>
      </w:r>
      <w:r w:rsidRPr="00E46428">
        <w:rPr>
          <w:rFonts w:ascii="Times New Roman" w:hAnsi="Times New Roman" w:cs="Times New Roman"/>
        </w:rPr>
        <w:t xml:space="preserve">and a </w:t>
      </w:r>
      <w:r w:rsidRPr="00E46428">
        <w:rPr>
          <w:rFonts w:ascii="Times New Roman" w:hAnsi="Times New Roman" w:cs="Times New Roman"/>
          <w:i/>
          <w:iCs/>
        </w:rPr>
        <w:t xml:space="preserve">marginally </w:t>
      </w:r>
      <w:r w:rsidRPr="00E46428">
        <w:rPr>
          <w:rFonts w:ascii="Times New Roman" w:hAnsi="Times New Roman" w:cs="Times New Roman"/>
        </w:rPr>
        <w:t>significant negative association with alcohol value (breakpoint) (95% CI = -.19 to .01).</w:t>
      </w:r>
      <w:r w:rsidRPr="00E46428">
        <w:rPr>
          <w:rFonts w:ascii="Times New Roman" w:hAnsi="Times New Roman" w:cs="Times New Roman"/>
          <w:iCs/>
        </w:rPr>
        <w:t xml:space="preserve"> However, there were no significant associations between search for meaning and alcohol-free reinforcement (95% CI = -.07 to .12) and AUDIT scores (95% CI = -.15 to .02).</w:t>
      </w:r>
    </w:p>
    <w:p w14:paraId="26B1BC8A" w14:textId="77777777" w:rsidR="00E46428" w:rsidRPr="00E46428" w:rsidRDefault="00E46428" w:rsidP="00E46428">
      <w:pPr>
        <w:pStyle w:val="NoSpacing"/>
        <w:spacing w:line="480" w:lineRule="auto"/>
        <w:rPr>
          <w:rFonts w:ascii="Times New Roman" w:hAnsi="Times New Roman" w:cs="Times New Roman"/>
        </w:rPr>
      </w:pPr>
    </w:p>
    <w:p w14:paraId="0B9AC750"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lastRenderedPageBreak/>
        <w:t>Depressive symptoms had a significant positive association with drinking to cope (95% CI = .34 to .53) and drinking to cope had a significant positive association with AUDIT scores (95% CI = .35 to .53). Alcohol-free reinforcement had no significant association with alcohol value (breakpoint) (95% CI = -.02 to .16). Furthermore, neither alcohol value (breakpoint) (95% CI = -.07 to .07), alcohol-free reinforcement (95% CI = -.04 to .11) or depression (95% CI = -.08 to .15) had any significant association with AUDIT scores.</w:t>
      </w:r>
    </w:p>
    <w:p w14:paraId="4BDCFEFC" w14:textId="77777777" w:rsidR="00E46428" w:rsidRPr="00E46428" w:rsidRDefault="00E46428" w:rsidP="00E46428">
      <w:pPr>
        <w:pStyle w:val="NoSpacing"/>
        <w:spacing w:line="480" w:lineRule="auto"/>
        <w:rPr>
          <w:rFonts w:ascii="Times New Roman" w:hAnsi="Times New Roman" w:cs="Times New Roman"/>
        </w:rPr>
      </w:pPr>
    </w:p>
    <w:p w14:paraId="782EE8DA" w14:textId="77777777" w:rsidR="00E46428" w:rsidRPr="00E46428" w:rsidRDefault="00E46428" w:rsidP="00E46428">
      <w:pPr>
        <w:pStyle w:val="NoSpacing"/>
        <w:spacing w:line="480" w:lineRule="auto"/>
        <w:rPr>
          <w:rFonts w:ascii="Times New Roman" w:hAnsi="Times New Roman" w:cs="Times New Roman"/>
          <w:i/>
        </w:rPr>
      </w:pPr>
      <w:r w:rsidRPr="00E46428">
        <w:rPr>
          <w:rFonts w:ascii="Times New Roman" w:hAnsi="Times New Roman" w:cs="Times New Roman"/>
          <w:i/>
        </w:rPr>
        <w:t xml:space="preserve">Indirect effects </w:t>
      </w:r>
    </w:p>
    <w:p w14:paraId="3AA7F532"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 xml:space="preserve">There was a significant indirect effect of presence of meaning in life on AUDIT scores through lower drinking to cope (β = -.04, </w:t>
      </w:r>
      <w:r w:rsidRPr="00E46428">
        <w:rPr>
          <w:rFonts w:ascii="Times New Roman" w:hAnsi="Times New Roman" w:cs="Times New Roman"/>
          <w:i/>
        </w:rPr>
        <w:t>p</w:t>
      </w:r>
      <w:r w:rsidRPr="00E46428">
        <w:rPr>
          <w:rFonts w:ascii="Times New Roman" w:hAnsi="Times New Roman" w:cs="Times New Roman"/>
        </w:rPr>
        <w:t xml:space="preserve"> = .03, 95% CI = -.09 to -.00). Although there was no significant indirect effect of depressive symptoms on its own (β = -.01, </w:t>
      </w:r>
      <w:r w:rsidRPr="00E46428">
        <w:rPr>
          <w:rFonts w:ascii="Times New Roman" w:hAnsi="Times New Roman" w:cs="Times New Roman"/>
          <w:i/>
          <w:iCs/>
        </w:rPr>
        <w:t>p</w:t>
      </w:r>
      <w:r w:rsidRPr="00E46428">
        <w:rPr>
          <w:rFonts w:ascii="Times New Roman" w:hAnsi="Times New Roman" w:cs="Times New Roman"/>
        </w:rPr>
        <w:t xml:space="preserve"> = .51, 95% CI = -.07 to .04), there was an indirect effect through two variables: depressive symptoms and drinking to cope (β = -.09, </w:t>
      </w:r>
      <w:r w:rsidRPr="00E46428">
        <w:rPr>
          <w:rFonts w:ascii="Times New Roman" w:hAnsi="Times New Roman" w:cs="Times New Roman"/>
          <w:i/>
          <w:iCs/>
        </w:rPr>
        <w:t>p</w:t>
      </w:r>
      <w:r w:rsidRPr="00E46428">
        <w:rPr>
          <w:rFonts w:ascii="Times New Roman" w:hAnsi="Times New Roman" w:cs="Times New Roman"/>
        </w:rPr>
        <w:t xml:space="preserve"> &lt; .001, 95% CI = -.13 to -.06). There were no significant indirect effects of alcohol value (breakpoint) (β = .00, </w:t>
      </w:r>
      <w:r w:rsidRPr="00E46428">
        <w:rPr>
          <w:rFonts w:ascii="Times New Roman" w:hAnsi="Times New Roman" w:cs="Times New Roman"/>
          <w:i/>
        </w:rPr>
        <w:t>p</w:t>
      </w:r>
      <w:r w:rsidRPr="00E46428">
        <w:rPr>
          <w:rFonts w:ascii="Times New Roman" w:hAnsi="Times New Roman" w:cs="Times New Roman"/>
        </w:rPr>
        <w:t xml:space="preserve"> = .99, 95% CI = -.01 to .01) or alcohol-free reinforcement (β = .01, </w:t>
      </w:r>
      <w:r w:rsidRPr="00E46428">
        <w:rPr>
          <w:rFonts w:ascii="Times New Roman" w:hAnsi="Times New Roman" w:cs="Times New Roman"/>
          <w:i/>
        </w:rPr>
        <w:t>p</w:t>
      </w:r>
      <w:r w:rsidRPr="00E46428">
        <w:rPr>
          <w:rFonts w:ascii="Times New Roman" w:hAnsi="Times New Roman" w:cs="Times New Roman"/>
        </w:rPr>
        <w:t xml:space="preserve"> = .38, 95% CI = -.01 to .03) </w:t>
      </w:r>
    </w:p>
    <w:p w14:paraId="58765EB2" w14:textId="77777777" w:rsidR="00E46428" w:rsidRPr="00E46428" w:rsidRDefault="00E46428" w:rsidP="00E46428">
      <w:pPr>
        <w:pStyle w:val="NoSpacing"/>
        <w:spacing w:line="480" w:lineRule="auto"/>
        <w:rPr>
          <w:rFonts w:ascii="Times New Roman" w:hAnsi="Times New Roman" w:cs="Times New Roman"/>
        </w:rPr>
      </w:pPr>
    </w:p>
    <w:p w14:paraId="501BC335"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 xml:space="preserve">There was a significant indirect effect of search for meaning on AUDIT scores through greater drinking to cope (β = .05, </w:t>
      </w:r>
      <w:r w:rsidRPr="00E46428">
        <w:rPr>
          <w:rFonts w:ascii="Times New Roman" w:hAnsi="Times New Roman" w:cs="Times New Roman"/>
          <w:i/>
        </w:rPr>
        <w:t>p</w:t>
      </w:r>
      <w:r w:rsidRPr="00E46428">
        <w:rPr>
          <w:rFonts w:ascii="Times New Roman" w:hAnsi="Times New Roman" w:cs="Times New Roman"/>
        </w:rPr>
        <w:t xml:space="preserve"> = .01, 95% CI = .01 to .09). Although there was no significant indirect effect of depressive symptoms on its own (β = .00, </w:t>
      </w:r>
      <w:r w:rsidRPr="00E46428">
        <w:rPr>
          <w:rFonts w:ascii="Times New Roman" w:hAnsi="Times New Roman" w:cs="Times New Roman"/>
          <w:i/>
          <w:iCs/>
        </w:rPr>
        <w:t>p</w:t>
      </w:r>
      <w:r w:rsidRPr="00E46428">
        <w:rPr>
          <w:rFonts w:ascii="Times New Roman" w:hAnsi="Times New Roman" w:cs="Times New Roman"/>
        </w:rPr>
        <w:t xml:space="preserve"> = .52, 95% CI = -.01 to .03), there was an indirect effect through two variables: depressive symptoms and drinking to cope (β = .03, p &lt; .001, 95% CI = .01 to .05). There were no significant indirect effects of alcohol value (breakpoint) (β = .00, </w:t>
      </w:r>
      <w:r w:rsidRPr="00E46428">
        <w:rPr>
          <w:rFonts w:ascii="Times New Roman" w:hAnsi="Times New Roman" w:cs="Times New Roman"/>
          <w:i/>
        </w:rPr>
        <w:t>p</w:t>
      </w:r>
      <w:r w:rsidRPr="00E46428">
        <w:rPr>
          <w:rFonts w:ascii="Times New Roman" w:hAnsi="Times New Roman" w:cs="Times New Roman"/>
        </w:rPr>
        <w:t xml:space="preserve"> = .99, 95% CI = -.01 to .01) or alcohol-free reinforcement (β = .00, </w:t>
      </w:r>
      <w:r w:rsidRPr="00E46428">
        <w:rPr>
          <w:rFonts w:ascii="Times New Roman" w:hAnsi="Times New Roman" w:cs="Times New Roman"/>
          <w:i/>
        </w:rPr>
        <w:t>p</w:t>
      </w:r>
      <w:r w:rsidRPr="00E46428">
        <w:rPr>
          <w:rFonts w:ascii="Times New Roman" w:hAnsi="Times New Roman" w:cs="Times New Roman"/>
        </w:rPr>
        <w:t xml:space="preserve"> = .67, 95% CI = -.00 to .01).</w:t>
      </w:r>
    </w:p>
    <w:p w14:paraId="541C9B59" w14:textId="77777777" w:rsidR="00E46428" w:rsidRPr="00E46428" w:rsidRDefault="00E46428" w:rsidP="00E46428">
      <w:pPr>
        <w:pStyle w:val="NoSpacing"/>
        <w:spacing w:line="480" w:lineRule="auto"/>
        <w:rPr>
          <w:rFonts w:ascii="Times New Roman" w:hAnsi="Times New Roman" w:cs="Times New Roman"/>
        </w:rPr>
      </w:pPr>
    </w:p>
    <w:p w14:paraId="68809007"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lastRenderedPageBreak/>
        <w:t xml:space="preserve">There was a significant indirect effect of presence of meaning on drinking to cope through lower depressive symptoms (β = -.21, </w:t>
      </w:r>
      <w:r w:rsidRPr="00E46428">
        <w:rPr>
          <w:rFonts w:ascii="Times New Roman" w:hAnsi="Times New Roman" w:cs="Times New Roman"/>
          <w:i/>
        </w:rPr>
        <w:t>p</w:t>
      </w:r>
      <w:r w:rsidRPr="00E46428">
        <w:rPr>
          <w:rFonts w:ascii="Times New Roman" w:hAnsi="Times New Roman" w:cs="Times New Roman"/>
        </w:rPr>
        <w:t xml:space="preserve"> &lt; .001, 95% CI = -.27 to -.15) and a significant indirect effect of search for meaning on drinking to cope via greater depressive symptoms (β = .07, </w:t>
      </w:r>
      <w:r w:rsidRPr="00E46428">
        <w:rPr>
          <w:rFonts w:ascii="Times New Roman" w:hAnsi="Times New Roman" w:cs="Times New Roman"/>
          <w:i/>
        </w:rPr>
        <w:t>p</w:t>
      </w:r>
      <w:r w:rsidRPr="00E46428">
        <w:rPr>
          <w:rFonts w:ascii="Times New Roman" w:hAnsi="Times New Roman" w:cs="Times New Roman"/>
        </w:rPr>
        <w:t xml:space="preserve"> &lt; .001, 95% CI = .03 to .11). There was a significant indirect effect of depressive symptoms on AUDIT scores through greater drinking to cope (β = .19, </w:t>
      </w:r>
      <w:r w:rsidRPr="00E46428">
        <w:rPr>
          <w:rFonts w:ascii="Times New Roman" w:hAnsi="Times New Roman" w:cs="Times New Roman"/>
          <w:i/>
        </w:rPr>
        <w:t>p</w:t>
      </w:r>
      <w:r w:rsidRPr="00E46428">
        <w:rPr>
          <w:rFonts w:ascii="Times New Roman" w:hAnsi="Times New Roman" w:cs="Times New Roman"/>
        </w:rPr>
        <w:t xml:space="preserve"> &lt; .001, 95% CI = .13 to .26).</w:t>
      </w:r>
    </w:p>
    <w:p w14:paraId="27224F8F" w14:textId="77777777" w:rsidR="00E46428" w:rsidRPr="00E46428" w:rsidRDefault="00E46428" w:rsidP="00E46428">
      <w:pPr>
        <w:pStyle w:val="NoSpacing"/>
        <w:spacing w:line="480" w:lineRule="auto"/>
        <w:rPr>
          <w:rFonts w:ascii="Times New Roman" w:hAnsi="Times New Roman" w:cs="Times New Roman"/>
        </w:rPr>
      </w:pPr>
    </w:p>
    <w:p w14:paraId="6A52F3D1"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iCs/>
          <w:u w:val="single"/>
        </w:rPr>
        <w:t>Divergences from primary analyses reported in Chapter 2:</w:t>
      </w:r>
      <w:r w:rsidRPr="00E46428">
        <w:rPr>
          <w:rFonts w:ascii="Times New Roman" w:hAnsi="Times New Roman" w:cs="Times New Roman"/>
          <w:iCs/>
        </w:rPr>
        <w:t xml:space="preserve"> </w:t>
      </w:r>
      <w:r w:rsidRPr="00E46428">
        <w:rPr>
          <w:rFonts w:ascii="Times New Roman" w:hAnsi="Times New Roman" w:cs="Times New Roman"/>
        </w:rPr>
        <w:t xml:space="preserve">Unlike intensity (but similar to </w:t>
      </w:r>
      <w:proofErr w:type="spellStart"/>
      <w:r w:rsidRPr="00E46428">
        <w:rPr>
          <w:rFonts w:ascii="Times New Roman" w:hAnsi="Times New Roman" w:cs="Times New Roman"/>
        </w:rPr>
        <w:t>O</w:t>
      </w:r>
      <w:r w:rsidRPr="00E46428">
        <w:rPr>
          <w:rFonts w:ascii="Times New Roman" w:hAnsi="Times New Roman" w:cs="Times New Roman"/>
          <w:vertAlign w:val="subscript"/>
        </w:rPr>
        <w:t>max</w:t>
      </w:r>
      <w:proofErr w:type="spellEnd"/>
      <w:r w:rsidRPr="00E46428">
        <w:rPr>
          <w:rFonts w:ascii="Times New Roman" w:hAnsi="Times New Roman" w:cs="Times New Roman"/>
        </w:rPr>
        <w:t xml:space="preserve">), when breakpoint is entered into the model, the direct effect of presence of meaning on AUDIT scores is significant, indicative of partial mediation of drinking to cope. Furthermore, there are no significant indirect effects of alcohol value in this model as represented by breakpoint. Furthermore, unique to breakpoint, alcohol value is not associated with AUDIT scores (this is the only model where this is the case, suggesting breakpoint may not be as important of a risk factor for alcohol use and related problems relative to other demand indices). </w:t>
      </w:r>
    </w:p>
    <w:p w14:paraId="35C45C96" w14:textId="4920AE59" w:rsidR="000E4244" w:rsidRDefault="000E4244" w:rsidP="00093B56">
      <w:pPr>
        <w:pStyle w:val="NoSpacing"/>
      </w:pPr>
    </w:p>
    <w:p w14:paraId="05CD6D98" w14:textId="34F20ADB" w:rsidR="000E4244" w:rsidRDefault="000E4244" w:rsidP="00093B56">
      <w:pPr>
        <w:pStyle w:val="NoSpacing"/>
      </w:pPr>
    </w:p>
    <w:p w14:paraId="44973499" w14:textId="77C99E88" w:rsidR="000E4244" w:rsidRDefault="000E4244" w:rsidP="00093B56">
      <w:pPr>
        <w:pStyle w:val="NoSpacing"/>
      </w:pPr>
    </w:p>
    <w:p w14:paraId="0CD3B627" w14:textId="30FFBBA1" w:rsidR="000E4244" w:rsidRDefault="000E4244" w:rsidP="00093B56">
      <w:pPr>
        <w:pStyle w:val="NoSpacing"/>
      </w:pPr>
    </w:p>
    <w:p w14:paraId="5DCDD193" w14:textId="3BEDD62F" w:rsidR="000E4244" w:rsidRDefault="000E4244" w:rsidP="00093B56">
      <w:pPr>
        <w:pStyle w:val="NoSpacing"/>
      </w:pPr>
    </w:p>
    <w:p w14:paraId="2E3EA47D" w14:textId="343919F7" w:rsidR="000E4244" w:rsidRDefault="000E4244" w:rsidP="00093B56">
      <w:pPr>
        <w:pStyle w:val="NoSpacing"/>
      </w:pPr>
    </w:p>
    <w:p w14:paraId="0DA5E84F" w14:textId="30CDCE6E" w:rsidR="000E4244" w:rsidRDefault="000E4244" w:rsidP="00093B56">
      <w:pPr>
        <w:pStyle w:val="NoSpacing"/>
      </w:pPr>
    </w:p>
    <w:p w14:paraId="6275207C" w14:textId="426C1CAC" w:rsidR="000E4244" w:rsidRDefault="000E4244" w:rsidP="00093B56">
      <w:pPr>
        <w:pStyle w:val="NoSpacing"/>
      </w:pPr>
    </w:p>
    <w:p w14:paraId="4894D457" w14:textId="10A2EFFD" w:rsidR="000E4244" w:rsidRDefault="000E4244" w:rsidP="00093B56">
      <w:pPr>
        <w:pStyle w:val="NoSpacing"/>
      </w:pPr>
    </w:p>
    <w:p w14:paraId="55DD8357" w14:textId="2E0496EB" w:rsidR="000E4244" w:rsidRDefault="000E4244" w:rsidP="00093B56">
      <w:pPr>
        <w:pStyle w:val="NoSpacing"/>
      </w:pPr>
    </w:p>
    <w:p w14:paraId="011E87F2" w14:textId="0B5208D6" w:rsidR="000E4244" w:rsidRDefault="000E4244" w:rsidP="00093B56">
      <w:pPr>
        <w:pStyle w:val="NoSpacing"/>
      </w:pPr>
    </w:p>
    <w:p w14:paraId="6529BCE1" w14:textId="0D3FDF7E" w:rsidR="000E4244" w:rsidRDefault="000E4244" w:rsidP="00093B56">
      <w:pPr>
        <w:pStyle w:val="NoSpacing"/>
      </w:pPr>
    </w:p>
    <w:p w14:paraId="666D952D" w14:textId="1500C63A" w:rsidR="000E4244" w:rsidRDefault="000E4244" w:rsidP="00093B56">
      <w:pPr>
        <w:pStyle w:val="NoSpacing"/>
      </w:pPr>
    </w:p>
    <w:p w14:paraId="59C1619B" w14:textId="6ACA5C89" w:rsidR="000E4244" w:rsidRDefault="000E4244" w:rsidP="00093B56">
      <w:pPr>
        <w:pStyle w:val="NoSpacing"/>
      </w:pPr>
    </w:p>
    <w:p w14:paraId="704CDCD1" w14:textId="4FC0313D" w:rsidR="000E4244" w:rsidRDefault="000E4244" w:rsidP="00093B56">
      <w:pPr>
        <w:pStyle w:val="NoSpacing"/>
      </w:pPr>
    </w:p>
    <w:p w14:paraId="1B2DDFFB" w14:textId="49F66C76" w:rsidR="000E4244" w:rsidRDefault="000E4244" w:rsidP="00093B56">
      <w:pPr>
        <w:pStyle w:val="NoSpacing"/>
      </w:pPr>
    </w:p>
    <w:p w14:paraId="0DABC143" w14:textId="1121EB61" w:rsidR="000E4244" w:rsidRDefault="000E4244" w:rsidP="00093B56">
      <w:pPr>
        <w:pStyle w:val="NoSpacing"/>
      </w:pPr>
    </w:p>
    <w:p w14:paraId="5D4F9904" w14:textId="51AE11CF" w:rsidR="000E4244" w:rsidRDefault="000E4244" w:rsidP="00093B56">
      <w:pPr>
        <w:pStyle w:val="NoSpacing"/>
      </w:pPr>
    </w:p>
    <w:p w14:paraId="1DEE067F" w14:textId="4F7BF6E0" w:rsidR="000E4244" w:rsidRDefault="000E4244" w:rsidP="00093B56">
      <w:pPr>
        <w:pStyle w:val="NoSpacing"/>
      </w:pPr>
    </w:p>
    <w:p w14:paraId="61BAC6D1" w14:textId="2F26648D" w:rsidR="000E4244" w:rsidRPr="00E46428" w:rsidRDefault="00E46428" w:rsidP="00E46428">
      <w:pPr>
        <w:pStyle w:val="NoSpacing"/>
        <w:spacing w:line="480" w:lineRule="auto"/>
        <w:rPr>
          <w:rFonts w:ascii="Times New Roman" w:hAnsi="Times New Roman" w:cs="Times New Roman"/>
          <w:b/>
          <w:bCs/>
        </w:rPr>
      </w:pPr>
      <w:r w:rsidRPr="00E46428">
        <w:rPr>
          <w:rFonts w:ascii="Times New Roman" w:hAnsi="Times New Roman" w:cs="Times New Roman"/>
          <w:b/>
          <w:bCs/>
        </w:rPr>
        <w:lastRenderedPageBreak/>
        <w:t xml:space="preserve">9. Exploratory correlations </w:t>
      </w:r>
    </w:p>
    <w:p w14:paraId="37C2AC53" w14:textId="08CE7499" w:rsid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 xml:space="preserve">We conducted exploratory correlational analyses to further investigate the relationships between variables measured in this study. This is because our pre-registered analysis focused on directional relationships stemming from meaning in life subscales (presence and search) to other observed variables. However, there is also theoretical and empirical work which raises interesting questions regarding independent relationships between the other observed variables. For example, experimental research has shown that alcohol value is elevated by negative mood states, and that this is augmented in people who report coping motives (see Hogarth, 2020 for a review). Therefore, perhaps of interest are the relationships between alcohol value, depression, and drinking to cope, particularly given the self-reported nature of the data in this study. Furthermore, anhedonia (i.e., loss of or reduced ability to experience reinforcement derived from activities or events that would typically be enjoyed) is common in people with depression (De </w:t>
      </w:r>
      <w:proofErr w:type="spellStart"/>
      <w:r w:rsidRPr="00E46428">
        <w:rPr>
          <w:rFonts w:ascii="Times New Roman" w:hAnsi="Times New Roman" w:cs="Times New Roman"/>
        </w:rPr>
        <w:t>Fruyt</w:t>
      </w:r>
      <w:proofErr w:type="spellEnd"/>
      <w:r w:rsidRPr="00E46428">
        <w:rPr>
          <w:rFonts w:ascii="Times New Roman" w:hAnsi="Times New Roman" w:cs="Times New Roman"/>
        </w:rPr>
        <w:t xml:space="preserve"> et al., 2020), and therefore the relationship between alcohol-free reinforcement and depression may be of interest. An alternative option was to include these additional relationships within the SEM; however, this deviates from our pre-registration and makes it challenging to maintain model complexity and fit, and so for this reason we instead present these exploratory correlations here. </w:t>
      </w:r>
    </w:p>
    <w:p w14:paraId="5563C406" w14:textId="77777777" w:rsidR="00E46428" w:rsidRPr="00E46428" w:rsidRDefault="00E46428" w:rsidP="00E46428">
      <w:pPr>
        <w:pStyle w:val="NoSpacing"/>
        <w:spacing w:line="480" w:lineRule="auto"/>
        <w:rPr>
          <w:rFonts w:ascii="Times New Roman" w:hAnsi="Times New Roman" w:cs="Times New Roman"/>
        </w:rPr>
      </w:pPr>
    </w:p>
    <w:p w14:paraId="22A5A768" w14:textId="77777777" w:rsidR="00E46428" w:rsidRDefault="00E46428" w:rsidP="00E46428">
      <w:pPr>
        <w:pStyle w:val="NoSpacing"/>
        <w:spacing w:line="480" w:lineRule="auto"/>
        <w:rPr>
          <w:rFonts w:ascii="Times New Roman" w:hAnsi="Times New Roman" w:cs="Times New Roman"/>
          <w:b/>
          <w:bCs/>
          <w:iCs/>
        </w:rPr>
      </w:pPr>
      <w:r w:rsidRPr="00E46428">
        <w:rPr>
          <w:rFonts w:ascii="Times New Roman" w:hAnsi="Times New Roman" w:cs="Times New Roman"/>
          <w:b/>
          <w:bCs/>
          <w:iCs/>
        </w:rPr>
        <w:t>Table S2.3</w:t>
      </w:r>
    </w:p>
    <w:p w14:paraId="20627052" w14:textId="436B58AC"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i/>
          <w:iCs/>
        </w:rPr>
        <w:t>Correlation matrix for the variables explored within the study</w:t>
      </w:r>
    </w:p>
    <w:tbl>
      <w:tblPr>
        <w:tblW w:w="8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967"/>
        <w:gridCol w:w="967"/>
        <w:gridCol w:w="967"/>
        <w:gridCol w:w="968"/>
        <w:gridCol w:w="967"/>
        <w:gridCol w:w="691"/>
        <w:gridCol w:w="314"/>
        <w:gridCol w:w="263"/>
      </w:tblGrid>
      <w:tr w:rsidR="00E46428" w:rsidRPr="00E46428" w14:paraId="48B55FDF" w14:textId="77777777" w:rsidTr="00E46428">
        <w:trPr>
          <w:trHeight w:val="180"/>
        </w:trPr>
        <w:tc>
          <w:tcPr>
            <w:tcW w:w="2628" w:type="dxa"/>
            <w:tcBorders>
              <w:top w:val="single" w:sz="12" w:space="0" w:color="auto"/>
              <w:left w:val="nil"/>
              <w:right w:val="nil"/>
            </w:tcBorders>
          </w:tcPr>
          <w:p w14:paraId="7B7BBF52"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top w:val="single" w:sz="12" w:space="0" w:color="auto"/>
              <w:left w:val="nil"/>
              <w:right w:val="nil"/>
            </w:tcBorders>
          </w:tcPr>
          <w:p w14:paraId="55679C35"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1.</w:t>
            </w:r>
          </w:p>
        </w:tc>
        <w:tc>
          <w:tcPr>
            <w:tcW w:w="967" w:type="dxa"/>
            <w:tcBorders>
              <w:top w:val="single" w:sz="12" w:space="0" w:color="auto"/>
              <w:left w:val="nil"/>
              <w:right w:val="nil"/>
            </w:tcBorders>
          </w:tcPr>
          <w:p w14:paraId="02E07AFE"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w:t>
            </w:r>
          </w:p>
        </w:tc>
        <w:tc>
          <w:tcPr>
            <w:tcW w:w="967" w:type="dxa"/>
            <w:tcBorders>
              <w:top w:val="single" w:sz="12" w:space="0" w:color="auto"/>
              <w:left w:val="nil"/>
              <w:right w:val="nil"/>
            </w:tcBorders>
          </w:tcPr>
          <w:p w14:paraId="78DB1EA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w:t>
            </w:r>
          </w:p>
        </w:tc>
        <w:tc>
          <w:tcPr>
            <w:tcW w:w="968" w:type="dxa"/>
            <w:tcBorders>
              <w:top w:val="single" w:sz="12" w:space="0" w:color="auto"/>
              <w:left w:val="nil"/>
              <w:right w:val="nil"/>
            </w:tcBorders>
          </w:tcPr>
          <w:p w14:paraId="0934490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4.</w:t>
            </w:r>
          </w:p>
        </w:tc>
        <w:tc>
          <w:tcPr>
            <w:tcW w:w="967" w:type="dxa"/>
            <w:tcBorders>
              <w:top w:val="single" w:sz="12" w:space="0" w:color="auto"/>
              <w:left w:val="nil"/>
              <w:right w:val="nil"/>
            </w:tcBorders>
          </w:tcPr>
          <w:p w14:paraId="35E2B09E"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5.</w:t>
            </w:r>
          </w:p>
        </w:tc>
        <w:tc>
          <w:tcPr>
            <w:tcW w:w="691" w:type="dxa"/>
            <w:tcBorders>
              <w:top w:val="single" w:sz="12" w:space="0" w:color="auto"/>
              <w:left w:val="nil"/>
              <w:right w:val="nil"/>
            </w:tcBorders>
          </w:tcPr>
          <w:p w14:paraId="549E68C6"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6.</w:t>
            </w:r>
          </w:p>
        </w:tc>
        <w:tc>
          <w:tcPr>
            <w:tcW w:w="577" w:type="dxa"/>
            <w:gridSpan w:val="2"/>
            <w:tcBorders>
              <w:top w:val="single" w:sz="12" w:space="0" w:color="auto"/>
              <w:left w:val="nil"/>
              <w:right w:val="nil"/>
            </w:tcBorders>
          </w:tcPr>
          <w:p w14:paraId="5C2669C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7.</w:t>
            </w:r>
          </w:p>
        </w:tc>
      </w:tr>
      <w:tr w:rsidR="00E46428" w:rsidRPr="00E46428" w14:paraId="429D0872" w14:textId="77777777" w:rsidTr="00E46428">
        <w:trPr>
          <w:trHeight w:val="390"/>
        </w:trPr>
        <w:tc>
          <w:tcPr>
            <w:tcW w:w="2628" w:type="dxa"/>
            <w:tcBorders>
              <w:left w:val="nil"/>
              <w:bottom w:val="nil"/>
              <w:right w:val="nil"/>
            </w:tcBorders>
          </w:tcPr>
          <w:p w14:paraId="712BC0A8"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1. AUDIT</w:t>
            </w:r>
          </w:p>
        </w:tc>
        <w:tc>
          <w:tcPr>
            <w:tcW w:w="967" w:type="dxa"/>
            <w:tcBorders>
              <w:left w:val="nil"/>
              <w:bottom w:val="nil"/>
              <w:right w:val="nil"/>
            </w:tcBorders>
          </w:tcPr>
          <w:p w14:paraId="368AD449"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left w:val="nil"/>
              <w:bottom w:val="nil"/>
              <w:right w:val="nil"/>
            </w:tcBorders>
          </w:tcPr>
          <w:p w14:paraId="06FEB3B0"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left w:val="nil"/>
              <w:bottom w:val="nil"/>
              <w:right w:val="nil"/>
            </w:tcBorders>
          </w:tcPr>
          <w:p w14:paraId="74401F21" w14:textId="77777777" w:rsidR="00E46428" w:rsidRPr="00E46428" w:rsidRDefault="00E46428" w:rsidP="00E46428">
            <w:pPr>
              <w:pStyle w:val="NoSpacing"/>
              <w:spacing w:line="480" w:lineRule="auto"/>
              <w:rPr>
                <w:rFonts w:ascii="Times New Roman" w:hAnsi="Times New Roman" w:cs="Times New Roman"/>
              </w:rPr>
            </w:pPr>
          </w:p>
        </w:tc>
        <w:tc>
          <w:tcPr>
            <w:tcW w:w="968" w:type="dxa"/>
            <w:tcBorders>
              <w:left w:val="nil"/>
              <w:bottom w:val="nil"/>
              <w:right w:val="nil"/>
            </w:tcBorders>
          </w:tcPr>
          <w:p w14:paraId="5AF73E08"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left w:val="nil"/>
              <w:bottom w:val="nil"/>
              <w:right w:val="nil"/>
            </w:tcBorders>
          </w:tcPr>
          <w:p w14:paraId="5A139B49" w14:textId="77777777" w:rsidR="00E46428" w:rsidRPr="00E46428" w:rsidRDefault="00E46428" w:rsidP="00E46428">
            <w:pPr>
              <w:pStyle w:val="NoSpacing"/>
              <w:spacing w:line="480" w:lineRule="auto"/>
              <w:rPr>
                <w:rFonts w:ascii="Times New Roman" w:hAnsi="Times New Roman" w:cs="Times New Roman"/>
              </w:rPr>
            </w:pPr>
          </w:p>
        </w:tc>
        <w:tc>
          <w:tcPr>
            <w:tcW w:w="1005" w:type="dxa"/>
            <w:gridSpan w:val="2"/>
            <w:tcBorders>
              <w:left w:val="nil"/>
              <w:bottom w:val="nil"/>
              <w:right w:val="nil"/>
            </w:tcBorders>
          </w:tcPr>
          <w:p w14:paraId="3D392C51"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left w:val="nil"/>
              <w:bottom w:val="nil"/>
              <w:right w:val="nil"/>
            </w:tcBorders>
          </w:tcPr>
          <w:p w14:paraId="5565EF60"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14F82EEC" w14:textId="77777777" w:rsidTr="00E46428">
        <w:trPr>
          <w:trHeight w:val="401"/>
        </w:trPr>
        <w:tc>
          <w:tcPr>
            <w:tcW w:w="2628" w:type="dxa"/>
            <w:tcBorders>
              <w:top w:val="nil"/>
              <w:left w:val="nil"/>
              <w:bottom w:val="nil"/>
              <w:right w:val="nil"/>
            </w:tcBorders>
          </w:tcPr>
          <w:p w14:paraId="1D59DDB3"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2. Alcohol-free reinforcement</w:t>
            </w:r>
          </w:p>
        </w:tc>
        <w:tc>
          <w:tcPr>
            <w:tcW w:w="967" w:type="dxa"/>
            <w:tcBorders>
              <w:top w:val="nil"/>
              <w:left w:val="nil"/>
              <w:bottom w:val="nil"/>
              <w:right w:val="nil"/>
            </w:tcBorders>
          </w:tcPr>
          <w:p w14:paraId="1B9ADF2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-.07</w:t>
            </w:r>
          </w:p>
        </w:tc>
        <w:tc>
          <w:tcPr>
            <w:tcW w:w="967" w:type="dxa"/>
            <w:tcBorders>
              <w:top w:val="nil"/>
              <w:left w:val="nil"/>
              <w:bottom w:val="nil"/>
              <w:right w:val="nil"/>
            </w:tcBorders>
          </w:tcPr>
          <w:p w14:paraId="1F701E82"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top w:val="nil"/>
              <w:left w:val="nil"/>
              <w:bottom w:val="nil"/>
              <w:right w:val="nil"/>
            </w:tcBorders>
          </w:tcPr>
          <w:p w14:paraId="2B4F294F" w14:textId="77777777" w:rsidR="00E46428" w:rsidRPr="00E46428" w:rsidRDefault="00E46428" w:rsidP="00E46428">
            <w:pPr>
              <w:pStyle w:val="NoSpacing"/>
              <w:spacing w:line="480" w:lineRule="auto"/>
              <w:rPr>
                <w:rFonts w:ascii="Times New Roman" w:hAnsi="Times New Roman" w:cs="Times New Roman"/>
              </w:rPr>
            </w:pPr>
          </w:p>
        </w:tc>
        <w:tc>
          <w:tcPr>
            <w:tcW w:w="968" w:type="dxa"/>
            <w:tcBorders>
              <w:top w:val="nil"/>
              <w:left w:val="nil"/>
              <w:bottom w:val="nil"/>
              <w:right w:val="nil"/>
            </w:tcBorders>
          </w:tcPr>
          <w:p w14:paraId="16F08B80"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top w:val="nil"/>
              <w:left w:val="nil"/>
              <w:bottom w:val="nil"/>
              <w:right w:val="nil"/>
            </w:tcBorders>
          </w:tcPr>
          <w:p w14:paraId="25247223" w14:textId="77777777" w:rsidR="00E46428" w:rsidRPr="00E46428" w:rsidRDefault="00E46428" w:rsidP="00E46428">
            <w:pPr>
              <w:pStyle w:val="NoSpacing"/>
              <w:spacing w:line="480" w:lineRule="auto"/>
              <w:rPr>
                <w:rFonts w:ascii="Times New Roman" w:hAnsi="Times New Roman" w:cs="Times New Roman"/>
              </w:rPr>
            </w:pPr>
          </w:p>
        </w:tc>
        <w:tc>
          <w:tcPr>
            <w:tcW w:w="1005" w:type="dxa"/>
            <w:gridSpan w:val="2"/>
            <w:tcBorders>
              <w:top w:val="nil"/>
              <w:left w:val="nil"/>
              <w:bottom w:val="nil"/>
              <w:right w:val="nil"/>
            </w:tcBorders>
          </w:tcPr>
          <w:p w14:paraId="023B6AE1"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top w:val="nil"/>
              <w:left w:val="nil"/>
              <w:bottom w:val="nil"/>
              <w:right w:val="nil"/>
            </w:tcBorders>
          </w:tcPr>
          <w:p w14:paraId="3C7FFC20"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75408F8C" w14:textId="77777777" w:rsidTr="00E46428">
        <w:trPr>
          <w:trHeight w:val="390"/>
        </w:trPr>
        <w:tc>
          <w:tcPr>
            <w:tcW w:w="2628" w:type="dxa"/>
            <w:tcBorders>
              <w:top w:val="nil"/>
              <w:left w:val="nil"/>
              <w:bottom w:val="nil"/>
              <w:right w:val="nil"/>
            </w:tcBorders>
          </w:tcPr>
          <w:p w14:paraId="102CCF4E"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3. Presence of meaning</w:t>
            </w:r>
          </w:p>
        </w:tc>
        <w:tc>
          <w:tcPr>
            <w:tcW w:w="967" w:type="dxa"/>
            <w:tcBorders>
              <w:top w:val="nil"/>
              <w:left w:val="nil"/>
              <w:bottom w:val="nil"/>
              <w:right w:val="nil"/>
            </w:tcBorders>
          </w:tcPr>
          <w:p w14:paraId="2219A653"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-.29***</w:t>
            </w:r>
          </w:p>
        </w:tc>
        <w:tc>
          <w:tcPr>
            <w:tcW w:w="967" w:type="dxa"/>
            <w:tcBorders>
              <w:top w:val="nil"/>
              <w:left w:val="nil"/>
              <w:bottom w:val="nil"/>
              <w:right w:val="nil"/>
            </w:tcBorders>
          </w:tcPr>
          <w:p w14:paraId="4D0E8077"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.29***</w:t>
            </w:r>
          </w:p>
        </w:tc>
        <w:tc>
          <w:tcPr>
            <w:tcW w:w="967" w:type="dxa"/>
            <w:tcBorders>
              <w:top w:val="nil"/>
              <w:left w:val="nil"/>
              <w:bottom w:val="nil"/>
              <w:right w:val="nil"/>
            </w:tcBorders>
          </w:tcPr>
          <w:p w14:paraId="4063258E" w14:textId="77777777" w:rsidR="00E46428" w:rsidRPr="00E46428" w:rsidRDefault="00E46428" w:rsidP="00E46428">
            <w:pPr>
              <w:pStyle w:val="NoSpacing"/>
              <w:spacing w:line="480" w:lineRule="auto"/>
              <w:rPr>
                <w:rFonts w:ascii="Times New Roman" w:hAnsi="Times New Roman" w:cs="Times New Roman"/>
              </w:rPr>
            </w:pPr>
          </w:p>
        </w:tc>
        <w:tc>
          <w:tcPr>
            <w:tcW w:w="968" w:type="dxa"/>
            <w:tcBorders>
              <w:top w:val="nil"/>
              <w:left w:val="nil"/>
              <w:bottom w:val="nil"/>
              <w:right w:val="nil"/>
            </w:tcBorders>
          </w:tcPr>
          <w:p w14:paraId="36A487A3"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top w:val="nil"/>
              <w:left w:val="nil"/>
              <w:bottom w:val="nil"/>
              <w:right w:val="nil"/>
            </w:tcBorders>
          </w:tcPr>
          <w:p w14:paraId="60F443E4" w14:textId="77777777" w:rsidR="00E46428" w:rsidRPr="00E46428" w:rsidRDefault="00E46428" w:rsidP="00E46428">
            <w:pPr>
              <w:pStyle w:val="NoSpacing"/>
              <w:spacing w:line="480" w:lineRule="auto"/>
              <w:rPr>
                <w:rFonts w:ascii="Times New Roman" w:hAnsi="Times New Roman" w:cs="Times New Roman"/>
              </w:rPr>
            </w:pPr>
          </w:p>
        </w:tc>
        <w:tc>
          <w:tcPr>
            <w:tcW w:w="1005" w:type="dxa"/>
            <w:gridSpan w:val="2"/>
            <w:tcBorders>
              <w:top w:val="nil"/>
              <w:left w:val="nil"/>
              <w:bottom w:val="nil"/>
              <w:right w:val="nil"/>
            </w:tcBorders>
          </w:tcPr>
          <w:p w14:paraId="15DD6D34"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top w:val="nil"/>
              <w:left w:val="nil"/>
              <w:bottom w:val="nil"/>
              <w:right w:val="nil"/>
            </w:tcBorders>
          </w:tcPr>
          <w:p w14:paraId="6AB32287"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28E4C80B" w14:textId="77777777" w:rsidTr="00E46428">
        <w:trPr>
          <w:trHeight w:val="401"/>
        </w:trPr>
        <w:tc>
          <w:tcPr>
            <w:tcW w:w="2628" w:type="dxa"/>
            <w:tcBorders>
              <w:top w:val="nil"/>
              <w:left w:val="nil"/>
              <w:bottom w:val="nil"/>
              <w:right w:val="nil"/>
            </w:tcBorders>
          </w:tcPr>
          <w:p w14:paraId="48CFED63"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lastRenderedPageBreak/>
              <w:t>4. Search for meaning</w:t>
            </w:r>
          </w:p>
        </w:tc>
        <w:tc>
          <w:tcPr>
            <w:tcW w:w="967" w:type="dxa"/>
            <w:tcBorders>
              <w:top w:val="nil"/>
              <w:left w:val="nil"/>
              <w:bottom w:val="nil"/>
              <w:right w:val="nil"/>
            </w:tcBorders>
          </w:tcPr>
          <w:p w14:paraId="6BD2CECC"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.14**</w:t>
            </w:r>
          </w:p>
        </w:tc>
        <w:tc>
          <w:tcPr>
            <w:tcW w:w="967" w:type="dxa"/>
            <w:tcBorders>
              <w:top w:val="nil"/>
              <w:left w:val="nil"/>
              <w:bottom w:val="nil"/>
              <w:right w:val="nil"/>
            </w:tcBorders>
          </w:tcPr>
          <w:p w14:paraId="11544E2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-.05</w:t>
            </w:r>
          </w:p>
        </w:tc>
        <w:tc>
          <w:tcPr>
            <w:tcW w:w="967" w:type="dxa"/>
            <w:tcBorders>
              <w:top w:val="nil"/>
              <w:left w:val="nil"/>
              <w:bottom w:val="nil"/>
              <w:right w:val="nil"/>
            </w:tcBorders>
          </w:tcPr>
          <w:p w14:paraId="6A476404"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-.36***</w:t>
            </w:r>
          </w:p>
        </w:tc>
        <w:tc>
          <w:tcPr>
            <w:tcW w:w="968" w:type="dxa"/>
            <w:tcBorders>
              <w:top w:val="nil"/>
              <w:left w:val="nil"/>
              <w:bottom w:val="nil"/>
              <w:right w:val="nil"/>
            </w:tcBorders>
          </w:tcPr>
          <w:p w14:paraId="4FD4E796" w14:textId="77777777" w:rsidR="00E46428" w:rsidRPr="00E46428" w:rsidRDefault="00E46428" w:rsidP="00E46428">
            <w:pPr>
              <w:pStyle w:val="NoSpacing"/>
              <w:spacing w:line="480" w:lineRule="auto"/>
              <w:rPr>
                <w:rFonts w:ascii="Times New Roman" w:hAnsi="Times New Roman" w:cs="Times New Roman"/>
              </w:rPr>
            </w:pPr>
          </w:p>
        </w:tc>
        <w:tc>
          <w:tcPr>
            <w:tcW w:w="967" w:type="dxa"/>
            <w:tcBorders>
              <w:top w:val="nil"/>
              <w:left w:val="nil"/>
              <w:bottom w:val="nil"/>
              <w:right w:val="nil"/>
            </w:tcBorders>
          </w:tcPr>
          <w:p w14:paraId="35C5422E" w14:textId="77777777" w:rsidR="00E46428" w:rsidRPr="00E46428" w:rsidRDefault="00E46428" w:rsidP="00E46428">
            <w:pPr>
              <w:pStyle w:val="NoSpacing"/>
              <w:spacing w:line="480" w:lineRule="auto"/>
              <w:rPr>
                <w:rFonts w:ascii="Times New Roman" w:hAnsi="Times New Roman" w:cs="Times New Roman"/>
              </w:rPr>
            </w:pPr>
          </w:p>
        </w:tc>
        <w:tc>
          <w:tcPr>
            <w:tcW w:w="1005" w:type="dxa"/>
            <w:gridSpan w:val="2"/>
            <w:tcBorders>
              <w:top w:val="nil"/>
              <w:left w:val="nil"/>
              <w:bottom w:val="nil"/>
              <w:right w:val="nil"/>
            </w:tcBorders>
          </w:tcPr>
          <w:p w14:paraId="6B88ACA2"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top w:val="nil"/>
              <w:left w:val="nil"/>
              <w:bottom w:val="nil"/>
              <w:right w:val="nil"/>
            </w:tcBorders>
          </w:tcPr>
          <w:p w14:paraId="7553BF74"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293617DE" w14:textId="77777777" w:rsidTr="00E46428">
        <w:trPr>
          <w:trHeight w:val="390"/>
        </w:trPr>
        <w:tc>
          <w:tcPr>
            <w:tcW w:w="2628" w:type="dxa"/>
            <w:tcBorders>
              <w:top w:val="nil"/>
              <w:left w:val="nil"/>
              <w:bottom w:val="nil"/>
              <w:right w:val="nil"/>
            </w:tcBorders>
          </w:tcPr>
          <w:p w14:paraId="6BDB0E0F"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5. Depression</w:t>
            </w:r>
          </w:p>
        </w:tc>
        <w:tc>
          <w:tcPr>
            <w:tcW w:w="967" w:type="dxa"/>
            <w:tcBorders>
              <w:top w:val="nil"/>
              <w:left w:val="nil"/>
              <w:bottom w:val="nil"/>
              <w:right w:val="nil"/>
            </w:tcBorders>
          </w:tcPr>
          <w:p w14:paraId="4DB73AE7"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.27***</w:t>
            </w:r>
          </w:p>
        </w:tc>
        <w:tc>
          <w:tcPr>
            <w:tcW w:w="967" w:type="dxa"/>
            <w:tcBorders>
              <w:top w:val="nil"/>
              <w:left w:val="nil"/>
              <w:bottom w:val="nil"/>
              <w:right w:val="nil"/>
            </w:tcBorders>
          </w:tcPr>
          <w:p w14:paraId="095B87AA"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-.24***</w:t>
            </w:r>
          </w:p>
        </w:tc>
        <w:tc>
          <w:tcPr>
            <w:tcW w:w="967" w:type="dxa"/>
            <w:tcBorders>
              <w:top w:val="nil"/>
              <w:left w:val="nil"/>
              <w:bottom w:val="nil"/>
              <w:right w:val="nil"/>
            </w:tcBorders>
          </w:tcPr>
          <w:p w14:paraId="17702CC6"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-.52***</w:t>
            </w:r>
          </w:p>
        </w:tc>
        <w:tc>
          <w:tcPr>
            <w:tcW w:w="968" w:type="dxa"/>
            <w:tcBorders>
              <w:top w:val="nil"/>
              <w:left w:val="nil"/>
              <w:bottom w:val="nil"/>
              <w:right w:val="nil"/>
            </w:tcBorders>
          </w:tcPr>
          <w:p w14:paraId="45725B41"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.34***</w:t>
            </w:r>
          </w:p>
        </w:tc>
        <w:tc>
          <w:tcPr>
            <w:tcW w:w="967" w:type="dxa"/>
            <w:tcBorders>
              <w:top w:val="nil"/>
              <w:left w:val="nil"/>
              <w:bottom w:val="nil"/>
              <w:right w:val="nil"/>
            </w:tcBorders>
          </w:tcPr>
          <w:p w14:paraId="4F23B6B6" w14:textId="77777777" w:rsidR="00E46428" w:rsidRPr="00E46428" w:rsidRDefault="00E46428" w:rsidP="00E46428">
            <w:pPr>
              <w:pStyle w:val="NoSpacing"/>
              <w:spacing w:line="480" w:lineRule="auto"/>
              <w:rPr>
                <w:rFonts w:ascii="Times New Roman" w:hAnsi="Times New Roman" w:cs="Times New Roman"/>
              </w:rPr>
            </w:pPr>
          </w:p>
        </w:tc>
        <w:tc>
          <w:tcPr>
            <w:tcW w:w="1005" w:type="dxa"/>
            <w:gridSpan w:val="2"/>
            <w:tcBorders>
              <w:top w:val="nil"/>
              <w:left w:val="nil"/>
              <w:bottom w:val="nil"/>
              <w:right w:val="nil"/>
            </w:tcBorders>
          </w:tcPr>
          <w:p w14:paraId="282545C0"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top w:val="nil"/>
              <w:left w:val="nil"/>
              <w:bottom w:val="nil"/>
              <w:right w:val="nil"/>
            </w:tcBorders>
          </w:tcPr>
          <w:p w14:paraId="38F1A43A"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28F3AFC2" w14:textId="77777777" w:rsidTr="00E46428">
        <w:trPr>
          <w:trHeight w:val="401"/>
        </w:trPr>
        <w:tc>
          <w:tcPr>
            <w:tcW w:w="2628" w:type="dxa"/>
            <w:tcBorders>
              <w:top w:val="nil"/>
              <w:left w:val="nil"/>
              <w:bottom w:val="nil"/>
              <w:right w:val="nil"/>
            </w:tcBorders>
          </w:tcPr>
          <w:p w14:paraId="1B3E6E7A"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6. Coping motives</w:t>
            </w:r>
          </w:p>
        </w:tc>
        <w:tc>
          <w:tcPr>
            <w:tcW w:w="967" w:type="dxa"/>
            <w:tcBorders>
              <w:top w:val="nil"/>
              <w:left w:val="nil"/>
              <w:bottom w:val="nil"/>
              <w:right w:val="nil"/>
            </w:tcBorders>
          </w:tcPr>
          <w:p w14:paraId="4520F518"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.49***</w:t>
            </w:r>
          </w:p>
        </w:tc>
        <w:tc>
          <w:tcPr>
            <w:tcW w:w="967" w:type="dxa"/>
            <w:tcBorders>
              <w:top w:val="nil"/>
              <w:left w:val="nil"/>
              <w:bottom w:val="nil"/>
              <w:right w:val="nil"/>
            </w:tcBorders>
          </w:tcPr>
          <w:p w14:paraId="1C676B18"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-.12**</w:t>
            </w:r>
          </w:p>
        </w:tc>
        <w:tc>
          <w:tcPr>
            <w:tcW w:w="967" w:type="dxa"/>
            <w:tcBorders>
              <w:top w:val="nil"/>
              <w:left w:val="nil"/>
              <w:bottom w:val="nil"/>
              <w:right w:val="nil"/>
            </w:tcBorders>
          </w:tcPr>
          <w:p w14:paraId="4684353C"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-.34***</w:t>
            </w:r>
          </w:p>
        </w:tc>
        <w:tc>
          <w:tcPr>
            <w:tcW w:w="968" w:type="dxa"/>
            <w:tcBorders>
              <w:top w:val="nil"/>
              <w:left w:val="nil"/>
              <w:bottom w:val="nil"/>
              <w:right w:val="nil"/>
            </w:tcBorders>
          </w:tcPr>
          <w:p w14:paraId="58FB1D81"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.31***</w:t>
            </w:r>
          </w:p>
        </w:tc>
        <w:tc>
          <w:tcPr>
            <w:tcW w:w="967" w:type="dxa"/>
            <w:tcBorders>
              <w:top w:val="nil"/>
              <w:left w:val="nil"/>
              <w:bottom w:val="nil"/>
              <w:right w:val="nil"/>
            </w:tcBorders>
          </w:tcPr>
          <w:p w14:paraId="34A7CE7B"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.47***</w:t>
            </w:r>
          </w:p>
        </w:tc>
        <w:tc>
          <w:tcPr>
            <w:tcW w:w="1005" w:type="dxa"/>
            <w:gridSpan w:val="2"/>
            <w:tcBorders>
              <w:top w:val="nil"/>
              <w:left w:val="nil"/>
              <w:bottom w:val="nil"/>
              <w:right w:val="nil"/>
            </w:tcBorders>
          </w:tcPr>
          <w:p w14:paraId="24A91EC0" w14:textId="77777777" w:rsidR="00E46428" w:rsidRPr="00E46428" w:rsidRDefault="00E46428" w:rsidP="00E46428">
            <w:pPr>
              <w:pStyle w:val="NoSpacing"/>
              <w:spacing w:line="480" w:lineRule="auto"/>
              <w:rPr>
                <w:rFonts w:ascii="Times New Roman" w:hAnsi="Times New Roman" w:cs="Times New Roman"/>
              </w:rPr>
            </w:pPr>
          </w:p>
        </w:tc>
        <w:tc>
          <w:tcPr>
            <w:tcW w:w="263" w:type="dxa"/>
            <w:tcBorders>
              <w:top w:val="nil"/>
              <w:left w:val="nil"/>
              <w:bottom w:val="nil"/>
              <w:right w:val="nil"/>
            </w:tcBorders>
          </w:tcPr>
          <w:p w14:paraId="070D6BF8" w14:textId="77777777" w:rsidR="00E46428" w:rsidRPr="00E46428" w:rsidRDefault="00E46428" w:rsidP="00E46428">
            <w:pPr>
              <w:pStyle w:val="NoSpacing"/>
              <w:spacing w:line="480" w:lineRule="auto"/>
              <w:rPr>
                <w:rFonts w:ascii="Times New Roman" w:hAnsi="Times New Roman" w:cs="Times New Roman"/>
              </w:rPr>
            </w:pPr>
          </w:p>
        </w:tc>
      </w:tr>
      <w:tr w:rsidR="00E46428" w:rsidRPr="00E46428" w14:paraId="7B0C82AB" w14:textId="77777777" w:rsidTr="00E46428">
        <w:trPr>
          <w:trHeight w:val="390"/>
        </w:trPr>
        <w:tc>
          <w:tcPr>
            <w:tcW w:w="2628" w:type="dxa"/>
            <w:tcBorders>
              <w:top w:val="nil"/>
              <w:left w:val="nil"/>
              <w:bottom w:val="single" w:sz="12" w:space="0" w:color="auto"/>
              <w:right w:val="nil"/>
            </w:tcBorders>
          </w:tcPr>
          <w:p w14:paraId="27AA74D4" w14:textId="77777777" w:rsidR="00E46428" w:rsidRPr="00E46428" w:rsidRDefault="00E46428" w:rsidP="00E46428">
            <w:pPr>
              <w:pStyle w:val="NoSpacing"/>
              <w:spacing w:line="360" w:lineRule="auto"/>
              <w:rPr>
                <w:rFonts w:ascii="Times New Roman" w:hAnsi="Times New Roman" w:cs="Times New Roman"/>
                <w:sz w:val="22"/>
                <w:szCs w:val="22"/>
              </w:rPr>
            </w:pPr>
            <w:r w:rsidRPr="00E46428">
              <w:rPr>
                <w:rFonts w:ascii="Times New Roman" w:hAnsi="Times New Roman" w:cs="Times New Roman"/>
                <w:sz w:val="22"/>
                <w:szCs w:val="22"/>
              </w:rPr>
              <w:t>7. Alcohol value (intensity)</w:t>
            </w:r>
          </w:p>
        </w:tc>
        <w:tc>
          <w:tcPr>
            <w:tcW w:w="967" w:type="dxa"/>
            <w:tcBorders>
              <w:top w:val="nil"/>
              <w:left w:val="nil"/>
              <w:bottom w:val="single" w:sz="12" w:space="0" w:color="auto"/>
              <w:right w:val="nil"/>
            </w:tcBorders>
          </w:tcPr>
          <w:p w14:paraId="5150AA34"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.61***</w:t>
            </w:r>
          </w:p>
        </w:tc>
        <w:tc>
          <w:tcPr>
            <w:tcW w:w="967" w:type="dxa"/>
            <w:tcBorders>
              <w:top w:val="nil"/>
              <w:left w:val="nil"/>
              <w:bottom w:val="single" w:sz="12" w:space="0" w:color="auto"/>
              <w:right w:val="nil"/>
            </w:tcBorders>
          </w:tcPr>
          <w:p w14:paraId="1E9E67C8"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-.05</w:t>
            </w:r>
          </w:p>
        </w:tc>
        <w:tc>
          <w:tcPr>
            <w:tcW w:w="967" w:type="dxa"/>
            <w:tcBorders>
              <w:top w:val="nil"/>
              <w:left w:val="nil"/>
              <w:bottom w:val="single" w:sz="12" w:space="0" w:color="auto"/>
              <w:right w:val="nil"/>
            </w:tcBorders>
          </w:tcPr>
          <w:p w14:paraId="3E0023CC"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-.27***</w:t>
            </w:r>
          </w:p>
        </w:tc>
        <w:tc>
          <w:tcPr>
            <w:tcW w:w="968" w:type="dxa"/>
            <w:tcBorders>
              <w:top w:val="nil"/>
              <w:left w:val="nil"/>
              <w:bottom w:val="single" w:sz="12" w:space="0" w:color="auto"/>
              <w:right w:val="nil"/>
            </w:tcBorders>
          </w:tcPr>
          <w:p w14:paraId="266A0F2B"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.14**</w:t>
            </w:r>
          </w:p>
        </w:tc>
        <w:tc>
          <w:tcPr>
            <w:tcW w:w="967" w:type="dxa"/>
            <w:tcBorders>
              <w:top w:val="nil"/>
              <w:left w:val="nil"/>
              <w:bottom w:val="single" w:sz="12" w:space="0" w:color="auto"/>
              <w:right w:val="nil"/>
            </w:tcBorders>
          </w:tcPr>
          <w:p w14:paraId="4DD4B817"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.25***</w:t>
            </w:r>
          </w:p>
        </w:tc>
        <w:tc>
          <w:tcPr>
            <w:tcW w:w="1005" w:type="dxa"/>
            <w:gridSpan w:val="2"/>
            <w:tcBorders>
              <w:top w:val="nil"/>
              <w:left w:val="nil"/>
              <w:bottom w:val="single" w:sz="12" w:space="0" w:color="auto"/>
              <w:right w:val="nil"/>
            </w:tcBorders>
          </w:tcPr>
          <w:p w14:paraId="74A73187"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.38***</w:t>
            </w:r>
          </w:p>
        </w:tc>
        <w:tc>
          <w:tcPr>
            <w:tcW w:w="263" w:type="dxa"/>
            <w:tcBorders>
              <w:top w:val="nil"/>
              <w:left w:val="nil"/>
              <w:bottom w:val="single" w:sz="12" w:space="0" w:color="auto"/>
              <w:right w:val="nil"/>
            </w:tcBorders>
          </w:tcPr>
          <w:p w14:paraId="4D240CD1" w14:textId="77777777" w:rsidR="00E46428" w:rsidRPr="00E46428" w:rsidRDefault="00E46428" w:rsidP="00E46428">
            <w:pPr>
              <w:pStyle w:val="NoSpacing"/>
              <w:spacing w:line="480" w:lineRule="auto"/>
              <w:rPr>
                <w:rFonts w:ascii="Times New Roman" w:hAnsi="Times New Roman" w:cs="Times New Roman"/>
              </w:rPr>
            </w:pPr>
          </w:p>
        </w:tc>
      </w:tr>
    </w:tbl>
    <w:p w14:paraId="29FDC4AC"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i/>
          <w:iCs/>
        </w:rPr>
        <w:t>Note</w:t>
      </w:r>
      <w:r w:rsidRPr="00E46428">
        <w:rPr>
          <w:rFonts w:ascii="Times New Roman" w:hAnsi="Times New Roman" w:cs="Times New Roman"/>
        </w:rPr>
        <w:t>. ***</w:t>
      </w:r>
      <w:r w:rsidRPr="00E46428">
        <w:rPr>
          <w:rFonts w:ascii="Times New Roman" w:hAnsi="Times New Roman" w:cs="Times New Roman"/>
          <w:i/>
        </w:rPr>
        <w:t>p</w:t>
      </w:r>
      <w:r w:rsidRPr="00E46428">
        <w:rPr>
          <w:rFonts w:ascii="Times New Roman" w:hAnsi="Times New Roman" w:cs="Times New Roman"/>
        </w:rPr>
        <w:t xml:space="preserve"> &lt; .001, **</w:t>
      </w:r>
      <w:r w:rsidRPr="00E46428">
        <w:rPr>
          <w:rFonts w:ascii="Times New Roman" w:hAnsi="Times New Roman" w:cs="Times New Roman"/>
          <w:i/>
        </w:rPr>
        <w:t>p</w:t>
      </w:r>
      <w:r w:rsidRPr="00E46428">
        <w:rPr>
          <w:rFonts w:ascii="Times New Roman" w:hAnsi="Times New Roman" w:cs="Times New Roman"/>
        </w:rPr>
        <w:t xml:space="preserve"> &lt; .01, *</w:t>
      </w:r>
      <w:r w:rsidRPr="00E46428">
        <w:rPr>
          <w:rFonts w:ascii="Times New Roman" w:hAnsi="Times New Roman" w:cs="Times New Roman"/>
          <w:i/>
        </w:rPr>
        <w:t>p</w:t>
      </w:r>
      <w:r w:rsidRPr="00E46428">
        <w:rPr>
          <w:rFonts w:ascii="Times New Roman" w:hAnsi="Times New Roman" w:cs="Times New Roman"/>
        </w:rPr>
        <w:t xml:space="preserve"> &lt; .05.</w:t>
      </w:r>
    </w:p>
    <w:p w14:paraId="076EB95A" w14:textId="77777777" w:rsidR="00E46428" w:rsidRPr="00E46428" w:rsidRDefault="00E46428" w:rsidP="00E46428">
      <w:pPr>
        <w:pStyle w:val="NoSpacing"/>
        <w:spacing w:line="480" w:lineRule="auto"/>
        <w:rPr>
          <w:rFonts w:ascii="Times New Roman" w:hAnsi="Times New Roman" w:cs="Times New Roman"/>
        </w:rPr>
      </w:pPr>
    </w:p>
    <w:p w14:paraId="3DC97462" w14:textId="77777777" w:rsidR="00E46428" w:rsidRPr="00E46428" w:rsidRDefault="00E46428" w:rsidP="00E46428">
      <w:pPr>
        <w:pStyle w:val="NoSpacing"/>
        <w:spacing w:line="480" w:lineRule="auto"/>
        <w:rPr>
          <w:rFonts w:ascii="Times New Roman" w:hAnsi="Times New Roman" w:cs="Times New Roman"/>
        </w:rPr>
      </w:pPr>
      <w:r w:rsidRPr="00E46428">
        <w:rPr>
          <w:rFonts w:ascii="Times New Roman" w:hAnsi="Times New Roman" w:cs="Times New Roman"/>
        </w:rPr>
        <w:t>Although Chapter 2 explored two potential pathways to alcohol consumption guided by two theoretical viewpoints which differ in their relative point of emphasis (i.e., behavioural economic and negative reinforcement accounts), a reconciliation of the highlighted mechanisms (alcohol value and drinking to cope) within the associations between meaning in life and alcohol consumption aligns with a goal-directed negative reinforcement account of addiction (Hogarth, 2020). Indeed, there are significant positive correlations between depression, drinking to cope and alcohol value. Future research may explore this further.</w:t>
      </w:r>
    </w:p>
    <w:p w14:paraId="7482A066" w14:textId="77777777" w:rsidR="00E46428" w:rsidRPr="00E46428" w:rsidRDefault="00E46428" w:rsidP="00E46428">
      <w:pPr>
        <w:pStyle w:val="NoSpacing"/>
        <w:spacing w:line="480" w:lineRule="auto"/>
        <w:rPr>
          <w:rFonts w:ascii="Times New Roman" w:hAnsi="Times New Roman" w:cs="Times New Roman"/>
        </w:rPr>
      </w:pPr>
    </w:p>
    <w:p w14:paraId="1C51D025" w14:textId="77777777" w:rsidR="00E46428" w:rsidRPr="00E46428" w:rsidRDefault="00E46428" w:rsidP="00E46428">
      <w:pPr>
        <w:pStyle w:val="NoSpacing"/>
        <w:spacing w:line="480" w:lineRule="auto"/>
        <w:rPr>
          <w:rFonts w:ascii="Times New Roman" w:hAnsi="Times New Roman" w:cs="Times New Roman"/>
        </w:rPr>
      </w:pPr>
    </w:p>
    <w:p w14:paraId="00477B68" w14:textId="5155E7D9" w:rsidR="00E46428" w:rsidRPr="00E46428" w:rsidRDefault="00E46428" w:rsidP="00E46428">
      <w:pPr>
        <w:pStyle w:val="NoSpacing"/>
        <w:spacing w:line="480" w:lineRule="auto"/>
        <w:rPr>
          <w:rFonts w:ascii="Times New Roman" w:hAnsi="Times New Roman" w:cs="Times New Roman"/>
        </w:rPr>
      </w:pPr>
    </w:p>
    <w:p w14:paraId="67AC49F8" w14:textId="579EAB06" w:rsidR="00E46428" w:rsidRDefault="00E46428" w:rsidP="00093B56">
      <w:pPr>
        <w:pStyle w:val="NoSpacing"/>
      </w:pPr>
    </w:p>
    <w:p w14:paraId="7D13EFA6" w14:textId="00DDB7C8" w:rsidR="00E46428" w:rsidRDefault="00E46428" w:rsidP="00093B56">
      <w:pPr>
        <w:pStyle w:val="NoSpacing"/>
      </w:pPr>
    </w:p>
    <w:p w14:paraId="54E02C87" w14:textId="37190BB7" w:rsidR="00E46428" w:rsidRDefault="00E46428" w:rsidP="00093B56">
      <w:pPr>
        <w:pStyle w:val="NoSpacing"/>
      </w:pPr>
    </w:p>
    <w:p w14:paraId="56E33429" w14:textId="6554EA13" w:rsidR="00E46428" w:rsidRDefault="00E46428" w:rsidP="00093B56">
      <w:pPr>
        <w:pStyle w:val="NoSpacing"/>
      </w:pPr>
    </w:p>
    <w:p w14:paraId="05A4CB4C" w14:textId="1E17E7C5" w:rsidR="00E46428" w:rsidRDefault="00E46428" w:rsidP="00093B56">
      <w:pPr>
        <w:pStyle w:val="NoSpacing"/>
      </w:pPr>
    </w:p>
    <w:p w14:paraId="16233D25" w14:textId="60ED8058" w:rsidR="00E46428" w:rsidRDefault="00E46428" w:rsidP="00093B56">
      <w:pPr>
        <w:pStyle w:val="NoSpacing"/>
      </w:pPr>
    </w:p>
    <w:p w14:paraId="126189E3" w14:textId="42F37BBE" w:rsidR="00E46428" w:rsidRDefault="00E46428" w:rsidP="00093B56">
      <w:pPr>
        <w:pStyle w:val="NoSpacing"/>
      </w:pPr>
    </w:p>
    <w:p w14:paraId="11DEFD4C" w14:textId="32A7F4D9" w:rsidR="00E46428" w:rsidRDefault="00E46428" w:rsidP="00093B56">
      <w:pPr>
        <w:pStyle w:val="NoSpacing"/>
      </w:pPr>
    </w:p>
    <w:p w14:paraId="486C4625" w14:textId="20D08A9C" w:rsidR="000E4244" w:rsidRDefault="000E4244" w:rsidP="00093B56">
      <w:pPr>
        <w:pStyle w:val="NoSpacing"/>
      </w:pPr>
    </w:p>
    <w:p w14:paraId="7B6244C1" w14:textId="03F4A843" w:rsidR="00E46428" w:rsidRDefault="00E46428" w:rsidP="00093B56">
      <w:pPr>
        <w:pStyle w:val="NoSpacing"/>
      </w:pPr>
    </w:p>
    <w:p w14:paraId="41D64491" w14:textId="77777777" w:rsidR="00E46428" w:rsidRDefault="00E46428" w:rsidP="00093B56">
      <w:pPr>
        <w:pStyle w:val="NoSpacing"/>
      </w:pPr>
    </w:p>
    <w:p w14:paraId="338EF628" w14:textId="77777777" w:rsidR="000E4244" w:rsidRDefault="000E4244" w:rsidP="00093B56">
      <w:pPr>
        <w:pStyle w:val="NoSpacing"/>
      </w:pPr>
    </w:p>
    <w:p w14:paraId="5962501C" w14:textId="2BA837A9" w:rsidR="00093B56" w:rsidRDefault="00093B56" w:rsidP="00093B56">
      <w:pPr>
        <w:pStyle w:val="NoSpacing"/>
      </w:pPr>
    </w:p>
    <w:p w14:paraId="6F6C210A" w14:textId="223C63E3" w:rsidR="00093B56" w:rsidRDefault="00093B56" w:rsidP="00093B56">
      <w:pPr>
        <w:pStyle w:val="NoSpacing"/>
      </w:pPr>
    </w:p>
    <w:p w14:paraId="01D0BAA2" w14:textId="3F94910C" w:rsidR="00093B56" w:rsidRDefault="00093B56" w:rsidP="00093B56">
      <w:pPr>
        <w:pStyle w:val="NoSpacing"/>
      </w:pPr>
    </w:p>
    <w:p w14:paraId="0E2BCE51" w14:textId="77777777" w:rsidR="00093B56" w:rsidRDefault="00093B56" w:rsidP="00093B56">
      <w:pPr>
        <w:pStyle w:val="NoSpacing"/>
      </w:pPr>
    </w:p>
    <w:p w14:paraId="5B03DFED" w14:textId="4196A7F5" w:rsidR="00093B56" w:rsidRDefault="00093B56" w:rsidP="00107EBB">
      <w:pPr>
        <w:pStyle w:val="Heading1"/>
      </w:pPr>
      <w:bookmarkStart w:id="381" w:name="_Toc109911339"/>
      <w:bookmarkStart w:id="382" w:name="_Toc110612754"/>
      <w:bookmarkStart w:id="383" w:name="_Toc110629094"/>
      <w:bookmarkStart w:id="384" w:name="_Toc110871002"/>
      <w:r>
        <w:lastRenderedPageBreak/>
        <w:t>Appendix B</w:t>
      </w:r>
      <w:bookmarkEnd w:id="381"/>
      <w:bookmarkEnd w:id="382"/>
      <w:bookmarkEnd w:id="383"/>
      <w:bookmarkEnd w:id="384"/>
    </w:p>
    <w:p w14:paraId="4BB63420" w14:textId="5DB8B5E4" w:rsidR="00093B56" w:rsidRPr="005A265C" w:rsidRDefault="005A265C" w:rsidP="005A265C">
      <w:pPr>
        <w:pStyle w:val="NoSpacing"/>
        <w:spacing w:line="480" w:lineRule="auto"/>
        <w:jc w:val="center"/>
        <w:rPr>
          <w:rFonts w:ascii="Times New Roman" w:hAnsi="Times New Roman" w:cs="Times New Roman"/>
          <w:b/>
          <w:bCs/>
        </w:rPr>
      </w:pPr>
      <w:r w:rsidRPr="005A265C">
        <w:rPr>
          <w:rFonts w:ascii="Times New Roman" w:hAnsi="Times New Roman" w:cs="Times New Roman"/>
          <w:b/>
          <w:bCs/>
        </w:rPr>
        <w:t>Supplementary materials for Chapter 3 “Methodological issues with value-based decision-making (VBDM) tasks: the effect of trial wording on evidence accumulation (EA) outputs from the EZ drift-diffusion model”</w:t>
      </w:r>
    </w:p>
    <w:p w14:paraId="2373474F" w14:textId="77777777" w:rsidR="005A265C" w:rsidRPr="005A265C" w:rsidRDefault="005A265C" w:rsidP="005A265C">
      <w:pPr>
        <w:pStyle w:val="NoSpacing"/>
        <w:spacing w:line="480" w:lineRule="auto"/>
        <w:rPr>
          <w:rFonts w:ascii="Times New Roman" w:hAnsi="Times New Roman" w:cs="Times New Roman"/>
          <w:b/>
          <w:bCs/>
        </w:rPr>
      </w:pPr>
      <w:r w:rsidRPr="005A265C">
        <w:rPr>
          <w:rFonts w:ascii="Times New Roman" w:hAnsi="Times New Roman" w:cs="Times New Roman"/>
          <w:b/>
          <w:bCs/>
        </w:rPr>
        <w:t>Contents:</w:t>
      </w:r>
    </w:p>
    <w:p w14:paraId="188355B4"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 xml:space="preserve">Methods: A comparison of methods across different studies exploring VBDM (Table S3.1). </w:t>
      </w:r>
    </w:p>
    <w:p w14:paraId="017B901E"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Methods: Embedded attention checks.</w:t>
      </w:r>
    </w:p>
    <w:p w14:paraId="7C548B70"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 xml:space="preserve">Methods: Food images used in this study and their valence ratings (Table S3.2). </w:t>
      </w:r>
    </w:p>
    <w:p w14:paraId="52763EE6"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Methods: Exact wording used in the task.</w:t>
      </w:r>
    </w:p>
    <w:p w14:paraId="1D57E2A3" w14:textId="767609F7" w:rsidR="005A265C" w:rsidRPr="005A265C" w:rsidRDefault="005A265C" w:rsidP="000B1A1B">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Analysis: Post-hoc tests for thoroughness</w:t>
      </w:r>
      <w:r w:rsidR="000B1A1B">
        <w:rPr>
          <w:rFonts w:ascii="Times New Roman" w:hAnsi="Times New Roman" w:cs="Times New Roman"/>
        </w:rPr>
        <w:t>.</w:t>
      </w:r>
      <w:r w:rsidRPr="005A265C">
        <w:rPr>
          <w:rFonts w:ascii="Times New Roman" w:hAnsi="Times New Roman" w:cs="Times New Roman"/>
        </w:rPr>
        <w:t xml:space="preserve"> </w:t>
      </w:r>
    </w:p>
    <w:p w14:paraId="4F9E3BF7"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Analysis: Order of the first block of trials: does this matter?</w:t>
      </w:r>
    </w:p>
    <w:p w14:paraId="046F47C7"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Analysis: Exploratory correlations between self-reported hunger and EA rates.</w:t>
      </w:r>
    </w:p>
    <w:p w14:paraId="3C2156FD" w14:textId="554FFDDA"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Analysis: Core analyses repeated on response thresholds (Figure</w:t>
      </w:r>
      <w:r w:rsidR="00AA0A39">
        <w:rPr>
          <w:rFonts w:ascii="Times New Roman" w:hAnsi="Times New Roman" w:cs="Times New Roman"/>
        </w:rPr>
        <w:t>s</w:t>
      </w:r>
      <w:r w:rsidRPr="005A265C">
        <w:rPr>
          <w:rFonts w:ascii="Times New Roman" w:hAnsi="Times New Roman" w:cs="Times New Roman"/>
        </w:rPr>
        <w:t xml:space="preserve"> S3.</w:t>
      </w:r>
      <w:r w:rsidR="00AA0A39" w:rsidRPr="00AA0A39">
        <w:rPr>
          <w:rFonts w:ascii="Times New Roman" w:hAnsi="Times New Roman" w:cs="Times New Roman"/>
        </w:rPr>
        <w:t>1</w:t>
      </w:r>
      <w:r w:rsidR="00AA0A39">
        <w:rPr>
          <w:rFonts w:ascii="Times New Roman" w:hAnsi="Times New Roman" w:cs="Times New Roman"/>
        </w:rPr>
        <w:t xml:space="preserve"> and S3.2</w:t>
      </w:r>
      <w:r w:rsidRPr="005A265C">
        <w:rPr>
          <w:rFonts w:ascii="Times New Roman" w:hAnsi="Times New Roman" w:cs="Times New Roman"/>
        </w:rPr>
        <w:t>).</w:t>
      </w:r>
    </w:p>
    <w:p w14:paraId="6612FC81" w14:textId="168F4A98"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Analysis: Core analyses repeated on non-decision time (Figures S3.</w:t>
      </w:r>
      <w:r w:rsidR="002A3B81">
        <w:rPr>
          <w:rFonts w:ascii="Times New Roman" w:hAnsi="Times New Roman" w:cs="Times New Roman"/>
        </w:rPr>
        <w:t>4</w:t>
      </w:r>
      <w:r w:rsidRPr="005A265C">
        <w:rPr>
          <w:rFonts w:ascii="Times New Roman" w:hAnsi="Times New Roman" w:cs="Times New Roman"/>
        </w:rPr>
        <w:t xml:space="preserve"> </w:t>
      </w:r>
      <w:r w:rsidR="002A3B81">
        <w:rPr>
          <w:rFonts w:ascii="Times New Roman" w:hAnsi="Times New Roman" w:cs="Times New Roman"/>
        </w:rPr>
        <w:t xml:space="preserve">and </w:t>
      </w:r>
      <w:r w:rsidRPr="005A265C">
        <w:rPr>
          <w:rFonts w:ascii="Times New Roman" w:hAnsi="Times New Roman" w:cs="Times New Roman"/>
        </w:rPr>
        <w:t>S3.</w:t>
      </w:r>
      <w:r w:rsidR="002A3B81">
        <w:rPr>
          <w:rFonts w:ascii="Times New Roman" w:hAnsi="Times New Roman" w:cs="Times New Roman"/>
        </w:rPr>
        <w:t>4</w:t>
      </w:r>
      <w:r w:rsidRPr="005A265C">
        <w:rPr>
          <w:rFonts w:ascii="Times New Roman" w:hAnsi="Times New Roman" w:cs="Times New Roman"/>
        </w:rPr>
        <w:t>).</w:t>
      </w:r>
    </w:p>
    <w:p w14:paraId="016DBD7B"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 xml:space="preserve">Discussion: Additional analyses on response thresholds and non-decision time. </w:t>
      </w:r>
    </w:p>
    <w:p w14:paraId="6A0AB846" w14:textId="64670283"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 xml:space="preserve">Supplementary: Core analyses repeated on parameters derived from the </w:t>
      </w:r>
      <w:r w:rsidRPr="005A265C">
        <w:rPr>
          <w:rFonts w:ascii="Times New Roman" w:hAnsi="Times New Roman" w:cs="Times New Roman"/>
          <w:i/>
          <w:iCs/>
        </w:rPr>
        <w:t>fast</w:t>
      </w:r>
      <w:r w:rsidRPr="005A265C">
        <w:rPr>
          <w:rFonts w:ascii="Times New Roman" w:hAnsi="Times New Roman" w:cs="Times New Roman"/>
        </w:rPr>
        <w:t>-dm-30 (Figures S3.</w:t>
      </w:r>
      <w:r w:rsidR="00FD2616">
        <w:rPr>
          <w:rFonts w:ascii="Times New Roman" w:hAnsi="Times New Roman" w:cs="Times New Roman"/>
        </w:rPr>
        <w:t>5</w:t>
      </w:r>
      <w:r w:rsidRPr="005A265C">
        <w:rPr>
          <w:rFonts w:ascii="Times New Roman" w:hAnsi="Times New Roman" w:cs="Times New Roman"/>
        </w:rPr>
        <w:t xml:space="preserve"> </w:t>
      </w:r>
      <w:r w:rsidR="00FD2616">
        <w:rPr>
          <w:rFonts w:ascii="Times New Roman" w:hAnsi="Times New Roman" w:cs="Times New Roman"/>
        </w:rPr>
        <w:t>and</w:t>
      </w:r>
      <w:r w:rsidRPr="005A265C">
        <w:rPr>
          <w:rFonts w:ascii="Times New Roman" w:hAnsi="Times New Roman" w:cs="Times New Roman"/>
        </w:rPr>
        <w:t xml:space="preserve"> S3.</w:t>
      </w:r>
      <w:r w:rsidR="00FD2616">
        <w:rPr>
          <w:rFonts w:ascii="Times New Roman" w:hAnsi="Times New Roman" w:cs="Times New Roman"/>
        </w:rPr>
        <w:t>6</w:t>
      </w:r>
      <w:r w:rsidRPr="005A265C">
        <w:rPr>
          <w:rFonts w:ascii="Times New Roman" w:hAnsi="Times New Roman" w:cs="Times New Roman"/>
        </w:rPr>
        <w:t>).</w:t>
      </w:r>
    </w:p>
    <w:p w14:paraId="384C5629" w14:textId="77777777" w:rsidR="005A265C" w:rsidRPr="005A265C" w:rsidRDefault="005A265C" w:rsidP="005A265C">
      <w:pPr>
        <w:pStyle w:val="NoSpacing"/>
        <w:numPr>
          <w:ilvl w:val="0"/>
          <w:numId w:val="12"/>
        </w:numPr>
        <w:spacing w:line="480" w:lineRule="auto"/>
        <w:rPr>
          <w:rFonts w:ascii="Times New Roman" w:hAnsi="Times New Roman" w:cs="Times New Roman"/>
        </w:rPr>
      </w:pPr>
      <w:r w:rsidRPr="005A265C">
        <w:rPr>
          <w:rFonts w:ascii="Times New Roman" w:hAnsi="Times New Roman" w:cs="Times New Roman"/>
        </w:rPr>
        <w:t>Supplementary: Reaction time (RT) and accuracy summary statistics (Table S3.3).</w:t>
      </w:r>
    </w:p>
    <w:p w14:paraId="51EB66BA" w14:textId="4ED0E1EF" w:rsidR="00093B56" w:rsidRPr="005A265C" w:rsidRDefault="00093B56" w:rsidP="005A265C">
      <w:pPr>
        <w:pStyle w:val="NoSpacing"/>
        <w:spacing w:line="480" w:lineRule="auto"/>
        <w:rPr>
          <w:rFonts w:ascii="Times New Roman" w:hAnsi="Times New Roman" w:cs="Times New Roman"/>
        </w:rPr>
      </w:pPr>
    </w:p>
    <w:p w14:paraId="3E786B09" w14:textId="2CAF109D" w:rsidR="00093B56" w:rsidRDefault="00093B56" w:rsidP="00093B56">
      <w:pPr>
        <w:pStyle w:val="NoSpacing"/>
      </w:pPr>
    </w:p>
    <w:p w14:paraId="531D106E" w14:textId="1D0C2B0C" w:rsidR="00093B56" w:rsidRDefault="00093B56" w:rsidP="00093B56">
      <w:pPr>
        <w:pStyle w:val="NoSpacing"/>
      </w:pPr>
    </w:p>
    <w:p w14:paraId="76DC3217" w14:textId="787A882D" w:rsidR="00093B56" w:rsidRDefault="00093B56" w:rsidP="00093B56">
      <w:pPr>
        <w:pStyle w:val="NoSpacing"/>
      </w:pPr>
    </w:p>
    <w:p w14:paraId="0FC70EE0" w14:textId="629269D6" w:rsidR="00093B56" w:rsidRDefault="00093B56" w:rsidP="00093B56">
      <w:pPr>
        <w:pStyle w:val="NoSpacing"/>
      </w:pPr>
    </w:p>
    <w:p w14:paraId="25F31501" w14:textId="79798E2B" w:rsidR="00093B56" w:rsidRDefault="00093B56" w:rsidP="00093B56">
      <w:pPr>
        <w:pStyle w:val="NoSpacing"/>
      </w:pPr>
    </w:p>
    <w:p w14:paraId="474FFA69" w14:textId="62467279" w:rsidR="00093B56" w:rsidRDefault="00093B56" w:rsidP="00093B56">
      <w:pPr>
        <w:pStyle w:val="NoSpacing"/>
      </w:pPr>
    </w:p>
    <w:p w14:paraId="43A26E1D" w14:textId="4967266D" w:rsidR="00093B56" w:rsidRDefault="00093B56" w:rsidP="00093B56">
      <w:pPr>
        <w:pStyle w:val="NoSpacing"/>
      </w:pPr>
    </w:p>
    <w:p w14:paraId="1539FFEA" w14:textId="6F48B56B" w:rsidR="00093B56" w:rsidRDefault="00093B56" w:rsidP="00093B56">
      <w:pPr>
        <w:pStyle w:val="NoSpacing"/>
      </w:pPr>
    </w:p>
    <w:p w14:paraId="4FE6BBDC" w14:textId="77777777" w:rsidR="005A265C" w:rsidRDefault="005A265C" w:rsidP="00093B56">
      <w:pPr>
        <w:pStyle w:val="NoSpacing"/>
        <w:sectPr w:rsidR="005A265C" w:rsidSect="003A7189">
          <w:footerReference w:type="even" r:id="rId80"/>
          <w:footerReference w:type="default" r:id="rId81"/>
          <w:pgSz w:w="11900" w:h="16840"/>
          <w:pgMar w:top="1440" w:right="1440" w:bottom="1440" w:left="1440" w:header="708" w:footer="708" w:gutter="0"/>
          <w:cols w:space="708"/>
          <w:titlePg/>
          <w:docGrid w:linePitch="360"/>
        </w:sectPr>
      </w:pPr>
    </w:p>
    <w:p w14:paraId="41816EB6" w14:textId="70136925" w:rsidR="00D53261" w:rsidRDefault="00D53261" w:rsidP="00D53261">
      <w:pPr>
        <w:pStyle w:val="NoSpacing"/>
        <w:rPr>
          <w:rFonts w:ascii="Times New Roman" w:hAnsi="Times New Roman" w:cs="Times New Roman"/>
          <w:b/>
        </w:rPr>
      </w:pPr>
      <w:r w:rsidRPr="00D53261">
        <w:rPr>
          <w:rFonts w:ascii="Times New Roman" w:hAnsi="Times New Roman" w:cs="Times New Roman"/>
          <w:b/>
        </w:rPr>
        <w:lastRenderedPageBreak/>
        <w:t>1. A comparison of methods across different studies exploring VBDM (Table S3.1).</w:t>
      </w:r>
    </w:p>
    <w:p w14:paraId="33B5A81A" w14:textId="77777777" w:rsidR="00D53261" w:rsidRDefault="00D53261" w:rsidP="00D53261">
      <w:pPr>
        <w:pStyle w:val="NoSpacing"/>
        <w:rPr>
          <w:rFonts w:ascii="Times New Roman" w:hAnsi="Times New Roman" w:cs="Times New Roman"/>
          <w:b/>
        </w:rPr>
      </w:pPr>
    </w:p>
    <w:p w14:paraId="3DFB435B" w14:textId="3D0D479F" w:rsidR="00D53261" w:rsidRDefault="00D53261" w:rsidP="00D53261">
      <w:pPr>
        <w:pStyle w:val="NoSpacing"/>
        <w:spacing w:line="480" w:lineRule="auto"/>
        <w:rPr>
          <w:rFonts w:ascii="Times New Roman" w:hAnsi="Times New Roman" w:cs="Times New Roman"/>
          <w:b/>
          <w:i/>
          <w:iCs/>
        </w:rPr>
      </w:pPr>
      <w:r w:rsidRPr="00D53261">
        <w:rPr>
          <w:rFonts w:ascii="Times New Roman" w:hAnsi="Times New Roman" w:cs="Times New Roman"/>
          <w:b/>
        </w:rPr>
        <w:t>Table S3.1</w:t>
      </w:r>
    </w:p>
    <w:p w14:paraId="784961AC" w14:textId="0959B737" w:rsidR="00D53261" w:rsidRPr="00D53261" w:rsidRDefault="00D53261" w:rsidP="00D53261">
      <w:pPr>
        <w:pStyle w:val="NoSpacing"/>
        <w:spacing w:line="480" w:lineRule="auto"/>
        <w:rPr>
          <w:rFonts w:ascii="Times New Roman" w:hAnsi="Times New Roman" w:cs="Times New Roman"/>
          <w:bCs/>
          <w:i/>
          <w:iCs/>
        </w:rPr>
      </w:pPr>
      <w:r w:rsidRPr="00D53261">
        <w:rPr>
          <w:rFonts w:ascii="Times New Roman" w:hAnsi="Times New Roman" w:cs="Times New Roman"/>
          <w:bCs/>
          <w:i/>
          <w:iCs/>
        </w:rPr>
        <w:t>A comparison of methods across different studies including whether precise trial wording is included within the manuscript</w:t>
      </w:r>
    </w:p>
    <w:tbl>
      <w:tblPr>
        <w:tblStyle w:val="TableGrid2"/>
        <w:tblW w:w="13976" w:type="dxa"/>
        <w:tblLook w:val="04A0" w:firstRow="1" w:lastRow="0" w:firstColumn="1" w:lastColumn="0" w:noHBand="0" w:noVBand="1"/>
      </w:tblPr>
      <w:tblGrid>
        <w:gridCol w:w="2689"/>
        <w:gridCol w:w="3686"/>
        <w:gridCol w:w="3828"/>
        <w:gridCol w:w="3773"/>
      </w:tblGrid>
      <w:tr w:rsidR="00D53261" w:rsidRPr="00D53261" w14:paraId="619157E4" w14:textId="77777777" w:rsidTr="002A1E63">
        <w:trPr>
          <w:trHeight w:val="417"/>
        </w:trPr>
        <w:tc>
          <w:tcPr>
            <w:tcW w:w="2688" w:type="dxa"/>
          </w:tcPr>
          <w:p w14:paraId="15206973" w14:textId="77777777" w:rsidR="00D53261" w:rsidRPr="00D53261" w:rsidRDefault="00D53261" w:rsidP="00D53261">
            <w:pPr>
              <w:jc w:val="both"/>
              <w:rPr>
                <w:rFonts w:ascii="Times New Roman" w:eastAsia="Times New Roman" w:hAnsi="Times New Roman" w:cs="Times New Roman"/>
                <w:b/>
              </w:rPr>
            </w:pPr>
            <w:r w:rsidRPr="00D53261">
              <w:rPr>
                <w:rFonts w:ascii="Times New Roman" w:eastAsia="Times New Roman" w:hAnsi="Times New Roman" w:cs="Times New Roman"/>
                <w:b/>
              </w:rPr>
              <w:t>Study</w:t>
            </w:r>
          </w:p>
        </w:tc>
        <w:tc>
          <w:tcPr>
            <w:tcW w:w="3686" w:type="dxa"/>
          </w:tcPr>
          <w:p w14:paraId="177A1FB8" w14:textId="77777777" w:rsidR="00D53261" w:rsidRPr="00D53261" w:rsidRDefault="00D53261" w:rsidP="00D53261">
            <w:pPr>
              <w:jc w:val="both"/>
              <w:rPr>
                <w:rFonts w:ascii="Times New Roman" w:eastAsia="Times New Roman" w:hAnsi="Times New Roman" w:cs="Times New Roman"/>
                <w:b/>
              </w:rPr>
            </w:pPr>
            <w:r w:rsidRPr="00D53261">
              <w:rPr>
                <w:rFonts w:ascii="Times New Roman" w:eastAsia="Times New Roman" w:hAnsi="Times New Roman" w:cs="Times New Roman"/>
                <w:b/>
              </w:rPr>
              <w:t>Rating phase wording</w:t>
            </w:r>
          </w:p>
        </w:tc>
        <w:tc>
          <w:tcPr>
            <w:tcW w:w="3828" w:type="dxa"/>
          </w:tcPr>
          <w:p w14:paraId="431F9F80" w14:textId="77777777" w:rsidR="00D53261" w:rsidRPr="00D53261" w:rsidRDefault="00D53261" w:rsidP="00D53261">
            <w:pPr>
              <w:jc w:val="both"/>
              <w:rPr>
                <w:rFonts w:ascii="Times New Roman" w:eastAsia="Times New Roman" w:hAnsi="Times New Roman" w:cs="Times New Roman"/>
                <w:b/>
              </w:rPr>
            </w:pPr>
            <w:r w:rsidRPr="00D53261">
              <w:rPr>
                <w:rFonts w:ascii="Times New Roman" w:eastAsia="Times New Roman" w:hAnsi="Times New Roman" w:cs="Times New Roman"/>
                <w:b/>
              </w:rPr>
              <w:t xml:space="preserve">Trial wording </w:t>
            </w:r>
          </w:p>
        </w:tc>
        <w:tc>
          <w:tcPr>
            <w:tcW w:w="3773" w:type="dxa"/>
          </w:tcPr>
          <w:p w14:paraId="2F36BA2F" w14:textId="77777777" w:rsidR="00D53261" w:rsidRPr="00D53261" w:rsidRDefault="00D53261" w:rsidP="00D53261">
            <w:pPr>
              <w:jc w:val="both"/>
              <w:rPr>
                <w:rFonts w:ascii="Times New Roman" w:eastAsia="Times New Roman" w:hAnsi="Times New Roman" w:cs="Times New Roman"/>
                <w:b/>
              </w:rPr>
            </w:pPr>
            <w:r w:rsidRPr="00D53261">
              <w:rPr>
                <w:rFonts w:ascii="Times New Roman" w:eastAsia="Times New Roman" w:hAnsi="Times New Roman" w:cs="Times New Roman"/>
                <w:b/>
              </w:rPr>
              <w:t>Other experimental details</w:t>
            </w:r>
          </w:p>
        </w:tc>
      </w:tr>
      <w:tr w:rsidR="00D53261" w:rsidRPr="00D53261" w14:paraId="59CE69C2" w14:textId="77777777" w:rsidTr="002A1E63">
        <w:trPr>
          <w:trHeight w:val="2309"/>
        </w:trPr>
        <w:tc>
          <w:tcPr>
            <w:tcW w:w="2688" w:type="dxa"/>
          </w:tcPr>
          <w:p w14:paraId="1FE5B639" w14:textId="77777777" w:rsidR="00D53261" w:rsidRPr="00D53261" w:rsidRDefault="00D53261" w:rsidP="00D53261">
            <w:pPr>
              <w:rPr>
                <w:rFonts w:ascii="Times New Roman" w:eastAsia="Times New Roman" w:hAnsi="Times New Roman" w:cs="Times New Roman"/>
                <w:bCs/>
              </w:rPr>
            </w:pPr>
            <w:bookmarkStart w:id="385" w:name="_Hlk94296313"/>
            <w:r w:rsidRPr="00D53261">
              <w:rPr>
                <w:rFonts w:ascii="Times New Roman" w:eastAsia="Times New Roman" w:hAnsi="Times New Roman" w:cs="Times New Roman"/>
                <w:bCs/>
              </w:rPr>
              <w:t>Milosavljevic</w:t>
            </w:r>
            <w:bookmarkEnd w:id="385"/>
            <w:r w:rsidRPr="00D53261">
              <w:rPr>
                <w:rFonts w:ascii="Times New Roman" w:eastAsia="Times New Roman" w:hAnsi="Times New Roman" w:cs="Times New Roman"/>
                <w:bCs/>
              </w:rPr>
              <w:t xml:space="preserve"> et al. (2010)</w:t>
            </w:r>
          </w:p>
        </w:tc>
        <w:tc>
          <w:tcPr>
            <w:tcW w:w="3686" w:type="dxa"/>
          </w:tcPr>
          <w:p w14:paraId="4A8C6DDE"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Participants were asked to rate how much they would like to eat each food item at the end of the experiment (scale -2 to 2).</w:t>
            </w:r>
          </w:p>
        </w:tc>
        <w:tc>
          <w:tcPr>
            <w:tcW w:w="3828" w:type="dxa"/>
          </w:tcPr>
          <w:p w14:paraId="085FAA3B"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Trial wording not explicitly clear. </w:t>
            </w:r>
          </w:p>
          <w:p w14:paraId="59123EF9" w14:textId="77777777" w:rsidR="00D53261" w:rsidRPr="00D53261" w:rsidRDefault="00D53261" w:rsidP="00D53261">
            <w:pPr>
              <w:jc w:val="both"/>
              <w:rPr>
                <w:rFonts w:ascii="Times New Roman" w:eastAsia="Times New Roman" w:hAnsi="Times New Roman" w:cs="Times New Roman"/>
                <w:bCs/>
              </w:rPr>
            </w:pPr>
          </w:p>
          <w:p w14:paraId="2C06B05F"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“Subjects chose the best item (as determined by their own liking-ratings)”.</w:t>
            </w:r>
          </w:p>
          <w:p w14:paraId="17A90528" w14:textId="77777777" w:rsidR="00D53261" w:rsidRPr="00D53261" w:rsidRDefault="00D53261" w:rsidP="00D53261">
            <w:pPr>
              <w:jc w:val="both"/>
              <w:rPr>
                <w:rFonts w:ascii="Times New Roman" w:eastAsia="Times New Roman" w:hAnsi="Times New Roman" w:cs="Times New Roman"/>
                <w:bCs/>
              </w:rPr>
            </w:pPr>
          </w:p>
          <w:p w14:paraId="4A377E70" w14:textId="77777777" w:rsidR="00D53261" w:rsidRPr="00D53261" w:rsidRDefault="00D53261" w:rsidP="00D53261">
            <w:pPr>
              <w:jc w:val="both"/>
              <w:rPr>
                <w:rFonts w:ascii="Times New Roman" w:eastAsia="Times New Roman" w:hAnsi="Times New Roman" w:cs="Times New Roman"/>
                <w:bCs/>
              </w:rPr>
            </w:pPr>
          </w:p>
        </w:tc>
        <w:tc>
          <w:tcPr>
            <w:tcW w:w="3773" w:type="dxa"/>
          </w:tcPr>
          <w:p w14:paraId="4DFA5D49"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Subjects attend the lab after not eating for &gt;3 hours.</w:t>
            </w:r>
          </w:p>
          <w:p w14:paraId="18D9A81E" w14:textId="77777777" w:rsidR="00D53261" w:rsidRPr="00D53261" w:rsidRDefault="00D53261" w:rsidP="00D53261">
            <w:pPr>
              <w:jc w:val="both"/>
              <w:rPr>
                <w:rFonts w:ascii="Times New Roman" w:eastAsia="Times New Roman" w:hAnsi="Times New Roman" w:cs="Times New Roman"/>
                <w:bCs/>
              </w:rPr>
            </w:pPr>
          </w:p>
          <w:p w14:paraId="71133E45"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At the end subjects were required to eat whatever food they chose from one randomly selected trial.</w:t>
            </w:r>
          </w:p>
          <w:p w14:paraId="0A48BFD3" w14:textId="77777777" w:rsidR="00D53261" w:rsidRPr="00D53261" w:rsidRDefault="00D53261" w:rsidP="00D53261">
            <w:pPr>
              <w:jc w:val="both"/>
              <w:rPr>
                <w:rFonts w:ascii="Times New Roman" w:eastAsia="Times New Roman" w:hAnsi="Times New Roman" w:cs="Times New Roman"/>
                <w:bCs/>
              </w:rPr>
            </w:pPr>
          </w:p>
          <w:p w14:paraId="23F3C4B7"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8 participants took part.</w:t>
            </w:r>
          </w:p>
        </w:tc>
      </w:tr>
      <w:tr w:rsidR="00D53261" w:rsidRPr="00D53261" w14:paraId="0A1BC014" w14:textId="77777777" w:rsidTr="002A1E63">
        <w:trPr>
          <w:trHeight w:val="2585"/>
        </w:trPr>
        <w:tc>
          <w:tcPr>
            <w:tcW w:w="2688" w:type="dxa"/>
          </w:tcPr>
          <w:p w14:paraId="5EBC2A0A" w14:textId="77777777" w:rsidR="00D53261" w:rsidRPr="00D53261" w:rsidRDefault="00D53261" w:rsidP="00D53261">
            <w:pPr>
              <w:rPr>
                <w:rFonts w:ascii="Times New Roman" w:eastAsia="Times New Roman" w:hAnsi="Times New Roman" w:cs="Times New Roman"/>
                <w:bCs/>
              </w:rPr>
            </w:pPr>
            <w:proofErr w:type="spellStart"/>
            <w:r w:rsidRPr="00D53261">
              <w:rPr>
                <w:rFonts w:ascii="Times New Roman" w:eastAsia="Times New Roman" w:hAnsi="Times New Roman" w:cs="Times New Roman"/>
                <w:bCs/>
              </w:rPr>
              <w:t>Krajbich</w:t>
            </w:r>
            <w:proofErr w:type="spellEnd"/>
            <w:r w:rsidRPr="00D53261">
              <w:rPr>
                <w:rFonts w:ascii="Times New Roman" w:eastAsia="Times New Roman" w:hAnsi="Times New Roman" w:cs="Times New Roman"/>
                <w:bCs/>
              </w:rPr>
              <w:t xml:space="preserve"> et al. (2010)</w:t>
            </w:r>
          </w:p>
        </w:tc>
        <w:tc>
          <w:tcPr>
            <w:tcW w:w="3686" w:type="dxa"/>
          </w:tcPr>
          <w:p w14:paraId="73A5B76B"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Participants were asked: “How much would you like to eat this at the end of the experiment?” (scale -10 to 10).</w:t>
            </w:r>
          </w:p>
        </w:tc>
        <w:tc>
          <w:tcPr>
            <w:tcW w:w="3828" w:type="dxa"/>
          </w:tcPr>
          <w:p w14:paraId="377A7264"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Trial wording not explicitly clear.</w:t>
            </w:r>
          </w:p>
          <w:p w14:paraId="6F833D2B" w14:textId="77777777" w:rsidR="00D53261" w:rsidRPr="00D53261" w:rsidRDefault="00D53261" w:rsidP="00D53261">
            <w:pPr>
              <w:jc w:val="both"/>
              <w:rPr>
                <w:rFonts w:ascii="Times New Roman" w:eastAsia="Times New Roman" w:hAnsi="Times New Roman" w:cs="Times New Roman"/>
                <w:bCs/>
              </w:rPr>
            </w:pPr>
          </w:p>
          <w:p w14:paraId="18CE8878"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“In the choice phase, subjects made their choices using the keyboard.”</w:t>
            </w:r>
          </w:p>
          <w:p w14:paraId="46562229" w14:textId="77777777" w:rsidR="00D53261" w:rsidRPr="00D53261" w:rsidRDefault="00D53261" w:rsidP="00D53261">
            <w:pPr>
              <w:jc w:val="both"/>
              <w:rPr>
                <w:rFonts w:ascii="Times New Roman" w:eastAsia="Times New Roman" w:hAnsi="Times New Roman" w:cs="Times New Roman"/>
                <w:bCs/>
              </w:rPr>
            </w:pPr>
          </w:p>
          <w:p w14:paraId="71694C11"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After emailing, authors responded “we </w:t>
            </w:r>
            <w:r w:rsidRPr="00D53261">
              <w:rPr>
                <w:rFonts w:ascii="Times New Roman" w:eastAsia="Times New Roman" w:hAnsi="Times New Roman" w:cs="Times New Roman"/>
                <w:bCs/>
                <w:i/>
                <w:iCs/>
              </w:rPr>
              <w:t>typically</w:t>
            </w:r>
            <w:r w:rsidRPr="00D53261">
              <w:rPr>
                <w:rFonts w:ascii="Times New Roman" w:eastAsia="Times New Roman" w:hAnsi="Times New Roman" w:cs="Times New Roman"/>
                <w:bCs/>
              </w:rPr>
              <w:t xml:space="preserve"> tell them ‘Choose the food that you would prefer to eat at the end of the study’”.</w:t>
            </w:r>
          </w:p>
        </w:tc>
        <w:tc>
          <w:tcPr>
            <w:tcW w:w="3773" w:type="dxa"/>
          </w:tcPr>
          <w:p w14:paraId="6F982BD2"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Subjects attend the lab after not eating for &gt;3 hours.</w:t>
            </w:r>
          </w:p>
          <w:p w14:paraId="3BD61D09" w14:textId="77777777" w:rsidR="00D53261" w:rsidRPr="00D53261" w:rsidRDefault="00D53261" w:rsidP="00D53261">
            <w:pPr>
              <w:jc w:val="both"/>
              <w:rPr>
                <w:rFonts w:ascii="Times New Roman" w:eastAsia="Times New Roman" w:hAnsi="Times New Roman" w:cs="Times New Roman"/>
                <w:bCs/>
              </w:rPr>
            </w:pPr>
          </w:p>
          <w:p w14:paraId="2024C4F4"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After the experiment they were required to stay in the room and consume the food item that they chose in a randomly selected trial.</w:t>
            </w:r>
          </w:p>
          <w:p w14:paraId="3DA48095" w14:textId="77777777" w:rsidR="00D53261" w:rsidRPr="00D53261" w:rsidRDefault="00D53261" w:rsidP="00D53261">
            <w:pPr>
              <w:jc w:val="both"/>
              <w:rPr>
                <w:rFonts w:ascii="Times New Roman" w:eastAsia="Times New Roman" w:hAnsi="Times New Roman" w:cs="Times New Roman"/>
                <w:bCs/>
              </w:rPr>
            </w:pPr>
          </w:p>
          <w:p w14:paraId="6AE5B9F4"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39 participants took part. </w:t>
            </w:r>
          </w:p>
        </w:tc>
      </w:tr>
      <w:tr w:rsidR="00D53261" w:rsidRPr="00D53261" w14:paraId="4DD450A5" w14:textId="77777777" w:rsidTr="002A1E63">
        <w:trPr>
          <w:trHeight w:val="361"/>
        </w:trPr>
        <w:tc>
          <w:tcPr>
            <w:tcW w:w="2688" w:type="dxa"/>
          </w:tcPr>
          <w:p w14:paraId="65A46B3F" w14:textId="77777777" w:rsidR="00D53261" w:rsidRPr="00D53261" w:rsidRDefault="00D53261" w:rsidP="00D53261">
            <w:pPr>
              <w:rPr>
                <w:rFonts w:ascii="Times New Roman" w:eastAsia="Times New Roman" w:hAnsi="Times New Roman" w:cs="Times New Roman"/>
                <w:bCs/>
              </w:rPr>
            </w:pPr>
            <w:r w:rsidRPr="00D53261">
              <w:rPr>
                <w:rFonts w:ascii="Times New Roman" w:eastAsia="Times New Roman" w:hAnsi="Times New Roman" w:cs="Times New Roman"/>
                <w:bCs/>
              </w:rPr>
              <w:t>Tusche and Hutcherson (2018)</w:t>
            </w:r>
          </w:p>
        </w:tc>
        <w:tc>
          <w:tcPr>
            <w:tcW w:w="3686" w:type="dxa"/>
          </w:tcPr>
          <w:p w14:paraId="6FB341A0"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Participants were asked to rate food images in relation to perceived “tastiness” and “healthiness” on 5-point scales (very </w:t>
            </w:r>
            <w:proofErr w:type="spellStart"/>
            <w:r w:rsidRPr="00D53261">
              <w:rPr>
                <w:rFonts w:ascii="Times New Roman" w:eastAsia="Times New Roman" w:hAnsi="Times New Roman" w:cs="Times New Roman"/>
                <w:bCs/>
              </w:rPr>
              <w:t>untasty</w:t>
            </w:r>
            <w:proofErr w:type="spellEnd"/>
            <w:r w:rsidRPr="00D53261">
              <w:rPr>
                <w:rFonts w:ascii="Times New Roman" w:eastAsia="Times New Roman" w:hAnsi="Times New Roman" w:cs="Times New Roman"/>
                <w:bCs/>
              </w:rPr>
              <w:t xml:space="preserve"> to very tasty; very unhealthy to very healthy). </w:t>
            </w:r>
          </w:p>
          <w:p w14:paraId="4AE98CFD" w14:textId="77777777" w:rsidR="00D53261" w:rsidRPr="00D53261" w:rsidRDefault="00D53261" w:rsidP="00D53261">
            <w:pPr>
              <w:jc w:val="both"/>
              <w:rPr>
                <w:rFonts w:ascii="Times New Roman" w:eastAsia="Times New Roman" w:hAnsi="Times New Roman" w:cs="Times New Roman"/>
                <w:bCs/>
              </w:rPr>
            </w:pPr>
          </w:p>
          <w:p w14:paraId="7CD2951B"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lastRenderedPageBreak/>
              <w:t>This differs from the other studies, because it does not explicitly ask about desire for consumption in the rating phase.</w:t>
            </w:r>
          </w:p>
        </w:tc>
        <w:tc>
          <w:tcPr>
            <w:tcW w:w="3828" w:type="dxa"/>
          </w:tcPr>
          <w:p w14:paraId="35AF2CC9"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lastRenderedPageBreak/>
              <w:t>Trial wording not explicitly clear.</w:t>
            </w:r>
          </w:p>
          <w:p w14:paraId="1C55FE27" w14:textId="77777777" w:rsidR="00D53261" w:rsidRPr="00D53261" w:rsidRDefault="00D53261" w:rsidP="00D53261">
            <w:pPr>
              <w:jc w:val="both"/>
              <w:rPr>
                <w:rFonts w:ascii="Times New Roman" w:eastAsia="Times New Roman" w:hAnsi="Times New Roman" w:cs="Times New Roman"/>
                <w:bCs/>
              </w:rPr>
            </w:pPr>
          </w:p>
          <w:p w14:paraId="2A03DD8F"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“Subjects chose between one of 90 food items presented on-screen (4s) and a default food. Subjects responded by pressing one of four buttons corresponding to ‘strong yes’, ‘yes’, ‘no’, </w:t>
            </w:r>
            <w:r w:rsidRPr="00D53261">
              <w:rPr>
                <w:rFonts w:ascii="Times New Roman" w:eastAsia="Times New Roman" w:hAnsi="Times New Roman" w:cs="Times New Roman"/>
                <w:bCs/>
              </w:rPr>
              <w:lastRenderedPageBreak/>
              <w:t>‘strong no’ (displayed at the bottom of the screen), using a button box placed in their right hand.”</w:t>
            </w:r>
          </w:p>
          <w:p w14:paraId="7157840C" w14:textId="77777777" w:rsidR="00D53261" w:rsidRPr="00D53261" w:rsidRDefault="00D53261" w:rsidP="00D53261">
            <w:pPr>
              <w:jc w:val="both"/>
              <w:rPr>
                <w:rFonts w:ascii="Times New Roman" w:eastAsia="Times New Roman" w:hAnsi="Times New Roman" w:cs="Times New Roman"/>
                <w:bCs/>
              </w:rPr>
            </w:pPr>
          </w:p>
          <w:p w14:paraId="4571BD0A"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After emailing, authors responded with a document which hints at consumption, but still does not contain the explicit wording. In this document, participant instructions said in the choice task “you are always just choosing whether you want to eat the proposal food or not”.</w:t>
            </w:r>
          </w:p>
          <w:p w14:paraId="376E0C10" w14:textId="77777777" w:rsidR="00D53261" w:rsidRPr="00D53261" w:rsidRDefault="00D53261" w:rsidP="00D53261">
            <w:pPr>
              <w:jc w:val="both"/>
              <w:rPr>
                <w:rFonts w:ascii="Times New Roman" w:eastAsia="Times New Roman" w:hAnsi="Times New Roman" w:cs="Times New Roman"/>
                <w:bCs/>
              </w:rPr>
            </w:pPr>
          </w:p>
          <w:p w14:paraId="13D19D14"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 paper they cite (Hare et al., 2011) when discussing their task says, “to indicate whether they wanted to eat that food at the end of the experiment.”</w:t>
            </w:r>
          </w:p>
          <w:p w14:paraId="6B83C4E1"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 </w:t>
            </w:r>
          </w:p>
        </w:tc>
        <w:tc>
          <w:tcPr>
            <w:tcW w:w="3773" w:type="dxa"/>
          </w:tcPr>
          <w:p w14:paraId="3924E9EB"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lastRenderedPageBreak/>
              <w:t>Subjects attend the lab after not eating for &gt;4 hours.</w:t>
            </w:r>
          </w:p>
          <w:p w14:paraId="582EB1B7" w14:textId="77777777" w:rsidR="00D53261" w:rsidRPr="00D53261" w:rsidRDefault="00D53261" w:rsidP="00D53261">
            <w:pPr>
              <w:jc w:val="both"/>
              <w:rPr>
                <w:rFonts w:ascii="Times New Roman" w:eastAsia="Times New Roman" w:hAnsi="Times New Roman" w:cs="Times New Roman"/>
                <w:bCs/>
              </w:rPr>
            </w:pPr>
          </w:p>
          <w:p w14:paraId="12648F0D"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Participants were told: “At the end of the experiment, you will be required to eat at least a few bites of the food that you </w:t>
            </w:r>
            <w:r w:rsidRPr="00D53261">
              <w:rPr>
                <w:rFonts w:ascii="Times New Roman" w:eastAsia="Times New Roman" w:hAnsi="Times New Roman" w:cs="Times New Roman"/>
                <w:bCs/>
              </w:rPr>
              <w:lastRenderedPageBreak/>
              <w:t>chose, so think about each choice carefully”.</w:t>
            </w:r>
          </w:p>
          <w:p w14:paraId="36D0A9D5" w14:textId="77777777" w:rsidR="00D53261" w:rsidRPr="00D53261" w:rsidRDefault="00D53261" w:rsidP="00D53261">
            <w:pPr>
              <w:jc w:val="both"/>
              <w:rPr>
                <w:rFonts w:ascii="Times New Roman" w:eastAsia="Times New Roman" w:hAnsi="Times New Roman" w:cs="Times New Roman"/>
                <w:bCs/>
              </w:rPr>
            </w:pPr>
          </w:p>
          <w:p w14:paraId="7E102E7C"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37 participants took part (food task).</w:t>
            </w:r>
          </w:p>
        </w:tc>
      </w:tr>
      <w:tr w:rsidR="00D53261" w:rsidRPr="00D53261" w14:paraId="72737D03" w14:textId="77777777" w:rsidTr="002A1E63">
        <w:trPr>
          <w:trHeight w:val="2645"/>
        </w:trPr>
        <w:tc>
          <w:tcPr>
            <w:tcW w:w="2688" w:type="dxa"/>
          </w:tcPr>
          <w:p w14:paraId="65269EAF" w14:textId="77777777" w:rsidR="00D53261" w:rsidRPr="00D53261" w:rsidRDefault="00D53261" w:rsidP="00D53261">
            <w:pPr>
              <w:rPr>
                <w:rFonts w:ascii="Times New Roman" w:eastAsia="Times New Roman" w:hAnsi="Times New Roman" w:cs="Times New Roman"/>
                <w:bCs/>
              </w:rPr>
            </w:pPr>
            <w:proofErr w:type="spellStart"/>
            <w:r w:rsidRPr="00D53261">
              <w:rPr>
                <w:rFonts w:ascii="Times New Roman" w:eastAsia="Times New Roman" w:hAnsi="Times New Roman" w:cs="Times New Roman"/>
                <w:bCs/>
              </w:rPr>
              <w:lastRenderedPageBreak/>
              <w:t>Polanía</w:t>
            </w:r>
            <w:proofErr w:type="spellEnd"/>
            <w:r w:rsidRPr="00D53261">
              <w:rPr>
                <w:rFonts w:ascii="Times New Roman" w:eastAsia="Times New Roman" w:hAnsi="Times New Roman" w:cs="Times New Roman"/>
                <w:bCs/>
              </w:rPr>
              <w:t xml:space="preserve"> et al. (2014)</w:t>
            </w:r>
          </w:p>
        </w:tc>
        <w:tc>
          <w:tcPr>
            <w:tcW w:w="3686" w:type="dxa"/>
          </w:tcPr>
          <w:p w14:paraId="15A28A20"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Participants indicated “how much they wanted to eat the presented food snack at the end of the experiment” with a scale from −10 to 10 in steps of 1.</w:t>
            </w:r>
          </w:p>
          <w:p w14:paraId="1799AC58" w14:textId="77777777" w:rsidR="00D53261" w:rsidRPr="00D53261" w:rsidRDefault="00D53261" w:rsidP="00D53261">
            <w:pPr>
              <w:jc w:val="both"/>
              <w:rPr>
                <w:rFonts w:ascii="Times New Roman" w:eastAsia="Times New Roman" w:hAnsi="Times New Roman" w:cs="Times New Roman"/>
                <w:bCs/>
              </w:rPr>
            </w:pPr>
          </w:p>
          <w:p w14:paraId="7D7560B7" w14:textId="77777777" w:rsidR="00D53261" w:rsidRPr="00D53261" w:rsidRDefault="00D53261" w:rsidP="00D53261">
            <w:pPr>
              <w:jc w:val="both"/>
              <w:rPr>
                <w:rFonts w:ascii="Times New Roman" w:eastAsia="Times New Roman" w:hAnsi="Times New Roman" w:cs="Times New Roman"/>
                <w:bCs/>
              </w:rPr>
            </w:pPr>
          </w:p>
        </w:tc>
        <w:tc>
          <w:tcPr>
            <w:tcW w:w="3828" w:type="dxa"/>
          </w:tcPr>
          <w:p w14:paraId="1B0C47E4"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Trial wording not explicitly clear.</w:t>
            </w:r>
          </w:p>
          <w:p w14:paraId="412EAF99" w14:textId="77777777" w:rsidR="00D53261" w:rsidRPr="00D53261" w:rsidRDefault="00D53261" w:rsidP="00D53261">
            <w:pPr>
              <w:jc w:val="both"/>
              <w:rPr>
                <w:rFonts w:ascii="Times New Roman" w:eastAsia="Times New Roman" w:hAnsi="Times New Roman" w:cs="Times New Roman"/>
                <w:bCs/>
              </w:rPr>
            </w:pPr>
          </w:p>
          <w:p w14:paraId="37135C25"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“In the VDM task, subjects indicated which item (upper or lower) they would prefer to receive at the end of the experiment.”</w:t>
            </w:r>
          </w:p>
          <w:p w14:paraId="7CC2CFEE" w14:textId="77777777" w:rsidR="00D53261" w:rsidRPr="00D53261" w:rsidRDefault="00D53261" w:rsidP="00D53261">
            <w:pPr>
              <w:jc w:val="both"/>
              <w:rPr>
                <w:rFonts w:ascii="Times New Roman" w:eastAsia="Times New Roman" w:hAnsi="Times New Roman" w:cs="Times New Roman"/>
                <w:bCs/>
              </w:rPr>
            </w:pPr>
          </w:p>
          <w:p w14:paraId="58AFCB28" w14:textId="77777777" w:rsidR="00D53261" w:rsidRPr="00D53261" w:rsidRDefault="00D53261" w:rsidP="00D53261">
            <w:pPr>
              <w:jc w:val="both"/>
              <w:rPr>
                <w:rFonts w:ascii="Times New Roman" w:eastAsia="Times New Roman" w:hAnsi="Times New Roman" w:cs="Times New Roman"/>
                <w:bCs/>
              </w:rPr>
            </w:pPr>
          </w:p>
        </w:tc>
        <w:tc>
          <w:tcPr>
            <w:tcW w:w="3773" w:type="dxa"/>
          </w:tcPr>
          <w:p w14:paraId="6B11945F"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Subjects attend the lab after not eating for &gt;3 hours.</w:t>
            </w:r>
          </w:p>
          <w:p w14:paraId="1C75EE5C" w14:textId="77777777" w:rsidR="00D53261" w:rsidRPr="00D53261" w:rsidRDefault="00D53261" w:rsidP="00D53261">
            <w:pPr>
              <w:jc w:val="both"/>
              <w:rPr>
                <w:rFonts w:ascii="Times New Roman" w:eastAsia="Times New Roman" w:hAnsi="Times New Roman" w:cs="Times New Roman"/>
                <w:bCs/>
              </w:rPr>
            </w:pPr>
          </w:p>
          <w:p w14:paraId="7345FDFC"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After the experiment, subjects were required to stay in the room with the experimenter while eating the food item that they chose in a randomly selected trial.</w:t>
            </w:r>
          </w:p>
          <w:p w14:paraId="5F2DA016" w14:textId="77777777" w:rsidR="00D53261" w:rsidRPr="00D53261" w:rsidRDefault="00D53261" w:rsidP="00D53261">
            <w:pPr>
              <w:jc w:val="both"/>
              <w:rPr>
                <w:rFonts w:ascii="Times New Roman" w:eastAsia="Times New Roman" w:hAnsi="Times New Roman" w:cs="Times New Roman"/>
                <w:bCs/>
              </w:rPr>
            </w:pPr>
          </w:p>
          <w:p w14:paraId="7463496D"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23 participants took part.</w:t>
            </w:r>
          </w:p>
          <w:p w14:paraId="2004C7D8" w14:textId="77777777" w:rsidR="00D53261" w:rsidRPr="00D53261" w:rsidRDefault="00D53261" w:rsidP="00D53261">
            <w:pPr>
              <w:jc w:val="both"/>
              <w:rPr>
                <w:rFonts w:ascii="Times New Roman" w:eastAsia="Times New Roman" w:hAnsi="Times New Roman" w:cs="Times New Roman"/>
                <w:bCs/>
              </w:rPr>
            </w:pPr>
          </w:p>
        </w:tc>
      </w:tr>
      <w:tr w:rsidR="00D53261" w:rsidRPr="00D53261" w14:paraId="4EE8A688" w14:textId="77777777" w:rsidTr="002A1E63">
        <w:trPr>
          <w:trHeight w:val="1976"/>
        </w:trPr>
        <w:tc>
          <w:tcPr>
            <w:tcW w:w="2688" w:type="dxa"/>
          </w:tcPr>
          <w:p w14:paraId="538FCA3C" w14:textId="77777777" w:rsidR="00D53261" w:rsidRPr="00D53261" w:rsidRDefault="00D53261" w:rsidP="00D53261">
            <w:pPr>
              <w:rPr>
                <w:rFonts w:ascii="Times New Roman" w:eastAsia="Times New Roman" w:hAnsi="Times New Roman" w:cs="Times New Roman"/>
                <w:b/>
              </w:rPr>
            </w:pPr>
            <w:proofErr w:type="spellStart"/>
            <w:r w:rsidRPr="00D53261">
              <w:rPr>
                <w:rFonts w:ascii="Times New Roman" w:eastAsia="Times New Roman" w:hAnsi="Times New Roman" w:cs="Times New Roman"/>
                <w:bCs/>
              </w:rPr>
              <w:lastRenderedPageBreak/>
              <w:t>Krajbich</w:t>
            </w:r>
            <w:proofErr w:type="spellEnd"/>
            <w:r w:rsidRPr="00D53261">
              <w:rPr>
                <w:rFonts w:ascii="Times New Roman" w:eastAsia="Times New Roman" w:hAnsi="Times New Roman" w:cs="Times New Roman"/>
                <w:bCs/>
              </w:rPr>
              <w:t xml:space="preserve"> et al. (2012)</w:t>
            </w:r>
          </w:p>
          <w:p w14:paraId="4E4E3A3C" w14:textId="77777777" w:rsidR="00D53261" w:rsidRPr="00D53261" w:rsidRDefault="00D53261" w:rsidP="00D53261">
            <w:pPr>
              <w:rPr>
                <w:rFonts w:ascii="Times New Roman" w:eastAsia="Times New Roman" w:hAnsi="Times New Roman" w:cs="Times New Roman"/>
              </w:rPr>
            </w:pPr>
          </w:p>
          <w:p w14:paraId="2A1CF2DB" w14:textId="77777777" w:rsidR="00D53261" w:rsidRPr="00D53261" w:rsidRDefault="00D53261" w:rsidP="00D53261">
            <w:pPr>
              <w:jc w:val="both"/>
              <w:rPr>
                <w:rFonts w:ascii="Times New Roman" w:eastAsia="Times New Roman" w:hAnsi="Times New Roman" w:cs="Times New Roman"/>
              </w:rPr>
            </w:pPr>
            <w:r w:rsidRPr="00D53261">
              <w:rPr>
                <w:rFonts w:ascii="Times New Roman" w:eastAsia="Times New Roman" w:hAnsi="Times New Roman" w:cs="Times New Roman"/>
              </w:rPr>
              <w:t>This is an example of a VBDM task that is not centred on consumption.</w:t>
            </w:r>
          </w:p>
          <w:p w14:paraId="339D73FB" w14:textId="77777777" w:rsidR="00D53261" w:rsidRPr="00D53261" w:rsidRDefault="00D53261" w:rsidP="00D53261">
            <w:pPr>
              <w:rPr>
                <w:rFonts w:ascii="Times New Roman" w:eastAsia="Times New Roman" w:hAnsi="Times New Roman" w:cs="Times New Roman"/>
              </w:rPr>
            </w:pPr>
          </w:p>
          <w:p w14:paraId="3A773568" w14:textId="77777777" w:rsidR="00D53261" w:rsidRPr="00D53261" w:rsidRDefault="00D53261" w:rsidP="00D53261">
            <w:pPr>
              <w:rPr>
                <w:rFonts w:ascii="Times New Roman" w:eastAsia="Times New Roman" w:hAnsi="Times New Roman" w:cs="Times New Roman"/>
                <w:b/>
              </w:rPr>
            </w:pPr>
          </w:p>
          <w:p w14:paraId="0A48ACBA" w14:textId="77777777" w:rsidR="00D53261" w:rsidRPr="00D53261" w:rsidRDefault="00D53261" w:rsidP="00D53261">
            <w:pPr>
              <w:rPr>
                <w:rFonts w:ascii="Times New Roman" w:eastAsia="Times New Roman" w:hAnsi="Times New Roman" w:cs="Times New Roman"/>
              </w:rPr>
            </w:pPr>
          </w:p>
          <w:p w14:paraId="21171C29" w14:textId="77777777" w:rsidR="00D53261" w:rsidRPr="00D53261" w:rsidRDefault="00D53261" w:rsidP="00D53261">
            <w:pPr>
              <w:rPr>
                <w:rFonts w:ascii="Times New Roman" w:eastAsia="Times New Roman" w:hAnsi="Times New Roman" w:cs="Times New Roman"/>
                <w:b/>
              </w:rPr>
            </w:pPr>
          </w:p>
          <w:p w14:paraId="0EA01A67" w14:textId="77777777" w:rsidR="00D53261" w:rsidRPr="00D53261" w:rsidRDefault="00D53261" w:rsidP="00D53261">
            <w:pPr>
              <w:jc w:val="center"/>
              <w:rPr>
                <w:rFonts w:ascii="Times New Roman" w:eastAsia="Times New Roman" w:hAnsi="Times New Roman" w:cs="Times New Roman"/>
              </w:rPr>
            </w:pPr>
          </w:p>
        </w:tc>
        <w:tc>
          <w:tcPr>
            <w:tcW w:w="3686" w:type="dxa"/>
          </w:tcPr>
          <w:p w14:paraId="2F219C2A"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Subjects first reveal how much they are willing to pay for each of the 50 consumer good products, using a Becker–</w:t>
            </w:r>
            <w:proofErr w:type="spellStart"/>
            <w:r w:rsidRPr="00D53261">
              <w:rPr>
                <w:rFonts w:ascii="Times New Roman" w:eastAsia="Times New Roman" w:hAnsi="Times New Roman" w:cs="Times New Roman"/>
                <w:bCs/>
              </w:rPr>
              <w:t>Degroot</w:t>
            </w:r>
            <w:proofErr w:type="spellEnd"/>
            <w:r w:rsidRPr="00D53261">
              <w:rPr>
                <w:rFonts w:ascii="Times New Roman" w:eastAsia="Times New Roman" w:hAnsi="Times New Roman" w:cs="Times New Roman"/>
                <w:bCs/>
              </w:rPr>
              <w:t>–</w:t>
            </w:r>
            <w:proofErr w:type="spellStart"/>
            <w:r w:rsidRPr="00D53261">
              <w:rPr>
                <w:rFonts w:ascii="Times New Roman" w:eastAsia="Times New Roman" w:hAnsi="Times New Roman" w:cs="Times New Roman"/>
                <w:bCs/>
              </w:rPr>
              <w:t>Marshak</w:t>
            </w:r>
            <w:proofErr w:type="spellEnd"/>
            <w:r w:rsidRPr="00D53261">
              <w:rPr>
                <w:rFonts w:ascii="Times New Roman" w:eastAsia="Times New Roman" w:hAnsi="Times New Roman" w:cs="Times New Roman"/>
                <w:bCs/>
              </w:rPr>
              <w:t xml:space="preserve"> auction.</w:t>
            </w:r>
          </w:p>
          <w:p w14:paraId="3770BA52" w14:textId="77777777" w:rsidR="00D53261" w:rsidRPr="00D53261" w:rsidRDefault="00D53261" w:rsidP="00D53261">
            <w:pPr>
              <w:jc w:val="both"/>
              <w:rPr>
                <w:rFonts w:ascii="Times New Roman" w:eastAsia="Times New Roman" w:hAnsi="Times New Roman" w:cs="Times New Roman"/>
                <w:bCs/>
              </w:rPr>
            </w:pPr>
          </w:p>
        </w:tc>
        <w:tc>
          <w:tcPr>
            <w:tcW w:w="3828" w:type="dxa"/>
          </w:tcPr>
          <w:p w14:paraId="7AA8A511"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Trial wording not explicitly clear. </w:t>
            </w:r>
          </w:p>
          <w:p w14:paraId="32D16FBE" w14:textId="77777777" w:rsidR="00D53261" w:rsidRPr="00D53261" w:rsidRDefault="00D53261" w:rsidP="00D53261">
            <w:pPr>
              <w:jc w:val="both"/>
              <w:rPr>
                <w:rFonts w:ascii="Times New Roman" w:eastAsia="Times New Roman" w:hAnsi="Times New Roman" w:cs="Times New Roman"/>
                <w:bCs/>
              </w:rPr>
            </w:pPr>
          </w:p>
          <w:p w14:paraId="27B89B86" w14:textId="77777777" w:rsidR="00D53261" w:rsidRPr="00D53261" w:rsidRDefault="00D53261" w:rsidP="00D53261">
            <w:pPr>
              <w:jc w:val="both"/>
              <w:rPr>
                <w:rFonts w:ascii="Times New Roman" w:eastAsia="Times New Roman" w:hAnsi="Times New Roman" w:cs="Times New Roman"/>
              </w:rPr>
            </w:pPr>
            <w:r w:rsidRPr="00D53261">
              <w:rPr>
                <w:rFonts w:ascii="Times New Roman" w:eastAsia="Times New Roman" w:hAnsi="Times New Roman" w:cs="Times New Roman"/>
                <w:bCs/>
              </w:rPr>
              <w:t>“On every trial subjects decided whether to buy the shown item at the stated price, or to keep their entire $50.</w:t>
            </w:r>
            <w:r w:rsidRPr="00D53261">
              <w:rPr>
                <w:rFonts w:ascii="Times New Roman" w:eastAsia="Times New Roman" w:hAnsi="Times New Roman" w:cs="Times New Roman"/>
              </w:rPr>
              <w:t xml:space="preserve"> </w:t>
            </w:r>
            <w:r w:rsidRPr="00D53261">
              <w:rPr>
                <w:rFonts w:ascii="Times New Roman" w:eastAsia="Times New Roman" w:hAnsi="Times New Roman" w:cs="Times New Roman"/>
                <w:bCs/>
              </w:rPr>
              <w:t>They indicated their choice to purchase (left arrow) or not purchase (right arrow).”</w:t>
            </w:r>
          </w:p>
          <w:p w14:paraId="703332CD" w14:textId="77777777" w:rsidR="00D53261" w:rsidRPr="00D53261" w:rsidRDefault="00D53261" w:rsidP="00D53261">
            <w:pPr>
              <w:jc w:val="both"/>
              <w:rPr>
                <w:rFonts w:ascii="Times New Roman" w:eastAsia="Times New Roman" w:hAnsi="Times New Roman" w:cs="Times New Roman"/>
                <w:bCs/>
              </w:rPr>
            </w:pPr>
          </w:p>
          <w:p w14:paraId="7730DB7B" w14:textId="77777777" w:rsidR="00D53261" w:rsidRPr="00D53261" w:rsidRDefault="00D53261" w:rsidP="00D53261">
            <w:pPr>
              <w:jc w:val="both"/>
              <w:rPr>
                <w:rFonts w:ascii="Times New Roman" w:eastAsia="Times New Roman" w:hAnsi="Times New Roman" w:cs="Times New Roman"/>
                <w:bCs/>
              </w:rPr>
            </w:pPr>
          </w:p>
        </w:tc>
        <w:tc>
          <w:tcPr>
            <w:tcW w:w="3773" w:type="dxa"/>
          </w:tcPr>
          <w:p w14:paraId="2860E503"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At the beginning subjects were given $50 that they could use.</w:t>
            </w:r>
          </w:p>
          <w:p w14:paraId="283E6A26" w14:textId="77777777" w:rsidR="00D53261" w:rsidRPr="00D53261" w:rsidRDefault="00D53261" w:rsidP="00D53261">
            <w:pPr>
              <w:jc w:val="both"/>
              <w:rPr>
                <w:rFonts w:ascii="Times New Roman" w:eastAsia="Times New Roman" w:hAnsi="Times New Roman" w:cs="Times New Roman"/>
                <w:bCs/>
              </w:rPr>
            </w:pPr>
          </w:p>
          <w:p w14:paraId="7D7B0745"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At the end of the experiment one trial was randomly chosen and the subject is paid and/or the chosen product shipped.</w:t>
            </w:r>
          </w:p>
          <w:p w14:paraId="73D2EF9A" w14:textId="77777777" w:rsidR="00D53261" w:rsidRPr="00D53261" w:rsidRDefault="00D53261" w:rsidP="00D53261">
            <w:pPr>
              <w:jc w:val="both"/>
              <w:rPr>
                <w:rFonts w:ascii="Times New Roman" w:eastAsia="Times New Roman" w:hAnsi="Times New Roman" w:cs="Times New Roman"/>
                <w:bCs/>
              </w:rPr>
            </w:pPr>
          </w:p>
          <w:p w14:paraId="7E3EEBCA" w14:textId="77777777" w:rsidR="00D53261" w:rsidRPr="00D53261" w:rsidRDefault="00D53261" w:rsidP="00D53261">
            <w:pPr>
              <w:jc w:val="both"/>
              <w:rPr>
                <w:rFonts w:ascii="Times New Roman" w:eastAsia="Times New Roman" w:hAnsi="Times New Roman" w:cs="Times New Roman"/>
                <w:bCs/>
              </w:rPr>
            </w:pPr>
            <w:r w:rsidRPr="00D53261">
              <w:rPr>
                <w:rFonts w:ascii="Times New Roman" w:eastAsia="Times New Roman" w:hAnsi="Times New Roman" w:cs="Times New Roman"/>
                <w:bCs/>
              </w:rPr>
              <w:t xml:space="preserve">30 participants took part. </w:t>
            </w:r>
          </w:p>
        </w:tc>
      </w:tr>
    </w:tbl>
    <w:p w14:paraId="5364CB32" w14:textId="77777777" w:rsidR="005A265C" w:rsidRDefault="005A265C" w:rsidP="00093B56">
      <w:pPr>
        <w:pStyle w:val="NoSpacing"/>
      </w:pPr>
    </w:p>
    <w:p w14:paraId="4E1BE034" w14:textId="1E7505A2" w:rsidR="00093B56" w:rsidRDefault="00093B56" w:rsidP="00093B56">
      <w:pPr>
        <w:pStyle w:val="NoSpacing"/>
      </w:pPr>
    </w:p>
    <w:p w14:paraId="0A65CA0F" w14:textId="7E054962" w:rsidR="00093B56" w:rsidRDefault="00093B56" w:rsidP="00093B56">
      <w:pPr>
        <w:pStyle w:val="NoSpacing"/>
      </w:pPr>
    </w:p>
    <w:p w14:paraId="2BDD2DB0" w14:textId="5F2E80CB" w:rsidR="00093B56" w:rsidRDefault="00093B56" w:rsidP="00093B56">
      <w:pPr>
        <w:pStyle w:val="NoSpacing"/>
      </w:pPr>
    </w:p>
    <w:p w14:paraId="160FCD02" w14:textId="7738705C" w:rsidR="00093B56" w:rsidRDefault="00093B56" w:rsidP="00093B56">
      <w:pPr>
        <w:pStyle w:val="NoSpacing"/>
      </w:pPr>
    </w:p>
    <w:p w14:paraId="4B3B60D3" w14:textId="3FFE4B9B" w:rsidR="00093B56" w:rsidRDefault="00093B56" w:rsidP="00093B56">
      <w:pPr>
        <w:pStyle w:val="NoSpacing"/>
      </w:pPr>
    </w:p>
    <w:p w14:paraId="19A741B1" w14:textId="408FE89C" w:rsidR="00093B56" w:rsidRDefault="00093B56" w:rsidP="00093B56">
      <w:pPr>
        <w:pStyle w:val="NoSpacing"/>
      </w:pPr>
    </w:p>
    <w:p w14:paraId="6BDB832F" w14:textId="5F448C19" w:rsidR="00093B56" w:rsidRDefault="00093B56" w:rsidP="00093B56">
      <w:pPr>
        <w:pStyle w:val="NoSpacing"/>
      </w:pPr>
    </w:p>
    <w:p w14:paraId="63BF75D1" w14:textId="4317D1DB" w:rsidR="00093B56" w:rsidRDefault="00093B56" w:rsidP="00093B56">
      <w:pPr>
        <w:pStyle w:val="NoSpacing"/>
      </w:pPr>
    </w:p>
    <w:p w14:paraId="03DA8CDD" w14:textId="725AA6A4" w:rsidR="00093B56" w:rsidRDefault="00093B56" w:rsidP="00093B56">
      <w:pPr>
        <w:pStyle w:val="NoSpacing"/>
      </w:pPr>
    </w:p>
    <w:p w14:paraId="1AB7CFCD" w14:textId="18ABA672" w:rsidR="00093B56" w:rsidRDefault="00093B56" w:rsidP="00093B56">
      <w:pPr>
        <w:pStyle w:val="NoSpacing"/>
      </w:pPr>
    </w:p>
    <w:p w14:paraId="0C1D1505" w14:textId="52BC1DBB" w:rsidR="00093B56" w:rsidRDefault="00093B56" w:rsidP="00093B56">
      <w:pPr>
        <w:pStyle w:val="NoSpacing"/>
      </w:pPr>
    </w:p>
    <w:p w14:paraId="15CD82A0" w14:textId="0818F8FD" w:rsidR="00093B56" w:rsidRDefault="00093B56" w:rsidP="00093B56">
      <w:pPr>
        <w:pStyle w:val="NoSpacing"/>
      </w:pPr>
    </w:p>
    <w:p w14:paraId="4114B29D" w14:textId="52150D6C" w:rsidR="00093B56" w:rsidRDefault="00093B56" w:rsidP="00093B56">
      <w:pPr>
        <w:pStyle w:val="NoSpacing"/>
      </w:pPr>
    </w:p>
    <w:p w14:paraId="0CB0C0A7" w14:textId="73DB8707" w:rsidR="00093B56" w:rsidRDefault="00093B56" w:rsidP="00093B56">
      <w:pPr>
        <w:pStyle w:val="NoSpacing"/>
      </w:pPr>
    </w:p>
    <w:p w14:paraId="47D818DE" w14:textId="483EEA45" w:rsidR="00093B56" w:rsidRDefault="00093B56" w:rsidP="00093B56">
      <w:pPr>
        <w:pStyle w:val="NoSpacing"/>
      </w:pPr>
    </w:p>
    <w:p w14:paraId="30AE28F1" w14:textId="24657128" w:rsidR="00093B56" w:rsidRDefault="00093B56" w:rsidP="00093B56">
      <w:pPr>
        <w:pStyle w:val="NoSpacing"/>
      </w:pPr>
    </w:p>
    <w:p w14:paraId="62B2C992" w14:textId="7FEBCF29" w:rsidR="00093B56" w:rsidRDefault="00093B56" w:rsidP="00093B56">
      <w:pPr>
        <w:pStyle w:val="NoSpacing"/>
      </w:pPr>
    </w:p>
    <w:p w14:paraId="14775208" w14:textId="4092B361" w:rsidR="00093B56" w:rsidRDefault="00093B56" w:rsidP="00093B56">
      <w:pPr>
        <w:pStyle w:val="NoSpacing"/>
      </w:pPr>
    </w:p>
    <w:p w14:paraId="56F86C19" w14:textId="1357EF73" w:rsidR="00093B56" w:rsidRDefault="00093B56" w:rsidP="00093B56">
      <w:pPr>
        <w:pStyle w:val="NoSpacing"/>
      </w:pPr>
    </w:p>
    <w:p w14:paraId="2F89C5A0" w14:textId="536F6377" w:rsidR="00093B56" w:rsidRDefault="00093B56" w:rsidP="00093B56">
      <w:pPr>
        <w:pStyle w:val="NoSpacing"/>
      </w:pPr>
    </w:p>
    <w:p w14:paraId="732A3CD0" w14:textId="77777777" w:rsidR="00D53261" w:rsidRDefault="00D53261" w:rsidP="00093B56">
      <w:pPr>
        <w:pStyle w:val="NoSpacing"/>
        <w:sectPr w:rsidR="00D53261" w:rsidSect="00282D7E">
          <w:pgSz w:w="16840" w:h="11900" w:orient="landscape"/>
          <w:pgMar w:top="1440" w:right="1440" w:bottom="1440" w:left="1440" w:header="708" w:footer="708" w:gutter="0"/>
          <w:cols w:space="708"/>
          <w:docGrid w:linePitch="360"/>
        </w:sectPr>
      </w:pPr>
    </w:p>
    <w:p w14:paraId="149F2B77" w14:textId="77777777" w:rsidR="00D53261" w:rsidRDefault="00D53261" w:rsidP="00D53261">
      <w:pPr>
        <w:pStyle w:val="NoSpacing"/>
        <w:spacing w:line="480" w:lineRule="auto"/>
        <w:rPr>
          <w:rFonts w:asciiTheme="majorBidi" w:hAnsiTheme="majorBidi" w:cstheme="majorBidi"/>
        </w:rPr>
      </w:pPr>
      <w:r w:rsidRPr="00D53261">
        <w:rPr>
          <w:rFonts w:asciiTheme="majorBidi" w:hAnsiTheme="majorBidi" w:cstheme="majorBidi"/>
        </w:rPr>
        <w:lastRenderedPageBreak/>
        <w:t>One viewpoint may be that in VBDM tasks (such as those where participants choose between two food images), the task instructions are not critical because participants are told that they will receive a food to eat at the end of the study based on one of their choices. In this instance, it could be argued that trial wording does not matter: “choose the best item” mirrors “which would you rather consume”. However, we posit that there are specific contexts whereby it is important to explicitly consider trial wording. First is the nature of addiction and recovery. It is particularly challenging to make decisions consequential when the participants are people in recovery because there is never an instance where we would ask participants who are in recovery to consume alcohol (or any substance) if they are actively trying to abstain. Therefore, because there is no actual outcome of the task, it could be argued that trial wording is indeed important in this context. Furthermore, an additional challenge to making decisions consequential is the COVID-19 pandemic because this has meant that participants are unable to attend the lab and receive something to consume at the end of the experiment. We believe it is important to explore how sensitive VBDM tasks are to minor alterations in trial wording explicitly because of the instances described above where it is not possible to provide actual outcomes.</w:t>
      </w:r>
    </w:p>
    <w:p w14:paraId="0C56E133" w14:textId="77777777" w:rsidR="00282D7E" w:rsidRDefault="00282D7E" w:rsidP="00D53261">
      <w:pPr>
        <w:pStyle w:val="NoSpacing"/>
        <w:spacing w:line="480" w:lineRule="auto"/>
        <w:rPr>
          <w:rFonts w:asciiTheme="majorBidi" w:hAnsiTheme="majorBidi" w:cstheme="majorBidi"/>
        </w:rPr>
      </w:pPr>
    </w:p>
    <w:p w14:paraId="29647E15" w14:textId="77777777" w:rsidR="00282D7E" w:rsidRDefault="00282D7E" w:rsidP="00D53261">
      <w:pPr>
        <w:pStyle w:val="NoSpacing"/>
        <w:spacing w:line="480" w:lineRule="auto"/>
        <w:rPr>
          <w:rFonts w:asciiTheme="majorBidi" w:hAnsiTheme="majorBidi" w:cstheme="majorBidi"/>
        </w:rPr>
      </w:pPr>
    </w:p>
    <w:p w14:paraId="7DFE1494" w14:textId="77777777" w:rsidR="00282D7E" w:rsidRDefault="00282D7E" w:rsidP="00D53261">
      <w:pPr>
        <w:pStyle w:val="NoSpacing"/>
        <w:spacing w:line="480" w:lineRule="auto"/>
        <w:rPr>
          <w:rFonts w:asciiTheme="majorBidi" w:hAnsiTheme="majorBidi" w:cstheme="majorBidi"/>
        </w:rPr>
      </w:pPr>
    </w:p>
    <w:p w14:paraId="1D8441DC" w14:textId="77777777" w:rsidR="00282D7E" w:rsidRDefault="00282D7E" w:rsidP="00D53261">
      <w:pPr>
        <w:pStyle w:val="NoSpacing"/>
        <w:spacing w:line="480" w:lineRule="auto"/>
        <w:rPr>
          <w:rFonts w:asciiTheme="majorBidi" w:hAnsiTheme="majorBidi" w:cstheme="majorBidi"/>
        </w:rPr>
      </w:pPr>
    </w:p>
    <w:p w14:paraId="14088A49" w14:textId="77777777" w:rsidR="00282D7E" w:rsidRDefault="00282D7E" w:rsidP="00D53261">
      <w:pPr>
        <w:pStyle w:val="NoSpacing"/>
        <w:spacing w:line="480" w:lineRule="auto"/>
        <w:rPr>
          <w:rFonts w:asciiTheme="majorBidi" w:hAnsiTheme="majorBidi" w:cstheme="majorBidi"/>
        </w:rPr>
      </w:pPr>
    </w:p>
    <w:p w14:paraId="77856BC8" w14:textId="77777777" w:rsidR="00282D7E" w:rsidRDefault="00282D7E" w:rsidP="00D53261">
      <w:pPr>
        <w:pStyle w:val="NoSpacing"/>
        <w:spacing w:line="480" w:lineRule="auto"/>
        <w:rPr>
          <w:rFonts w:asciiTheme="majorBidi" w:hAnsiTheme="majorBidi" w:cstheme="majorBidi"/>
        </w:rPr>
      </w:pPr>
    </w:p>
    <w:p w14:paraId="085C9908" w14:textId="77777777" w:rsidR="00282D7E" w:rsidRDefault="00282D7E" w:rsidP="00D53261">
      <w:pPr>
        <w:pStyle w:val="NoSpacing"/>
        <w:spacing w:line="480" w:lineRule="auto"/>
        <w:rPr>
          <w:rFonts w:asciiTheme="majorBidi" w:hAnsiTheme="majorBidi" w:cstheme="majorBidi"/>
        </w:rPr>
      </w:pPr>
    </w:p>
    <w:p w14:paraId="16D7EF0A" w14:textId="77777777" w:rsidR="00282D7E" w:rsidRDefault="00282D7E" w:rsidP="00D53261">
      <w:pPr>
        <w:pStyle w:val="NoSpacing"/>
        <w:spacing w:line="480" w:lineRule="auto"/>
        <w:rPr>
          <w:rFonts w:asciiTheme="majorBidi" w:hAnsiTheme="majorBidi" w:cstheme="majorBidi"/>
        </w:rPr>
      </w:pPr>
    </w:p>
    <w:p w14:paraId="500D318E" w14:textId="77777777" w:rsidR="00282D7E" w:rsidRDefault="00282D7E" w:rsidP="00D53261">
      <w:pPr>
        <w:pStyle w:val="NoSpacing"/>
        <w:spacing w:line="480" w:lineRule="auto"/>
        <w:rPr>
          <w:rFonts w:asciiTheme="majorBidi" w:hAnsiTheme="majorBidi" w:cstheme="majorBidi"/>
        </w:rPr>
      </w:pPr>
    </w:p>
    <w:p w14:paraId="34E58228" w14:textId="77777777" w:rsidR="00282D7E" w:rsidRPr="00282D7E" w:rsidRDefault="00282D7E" w:rsidP="00282D7E">
      <w:pPr>
        <w:pStyle w:val="NoSpacing"/>
        <w:spacing w:line="480" w:lineRule="auto"/>
        <w:rPr>
          <w:rFonts w:asciiTheme="majorBidi" w:hAnsiTheme="majorBidi" w:cstheme="majorBidi"/>
          <w:b/>
          <w:bCs/>
        </w:rPr>
      </w:pPr>
      <w:r w:rsidRPr="00282D7E">
        <w:rPr>
          <w:rFonts w:asciiTheme="majorBidi" w:hAnsiTheme="majorBidi" w:cstheme="majorBidi"/>
          <w:b/>
          <w:bCs/>
        </w:rPr>
        <w:lastRenderedPageBreak/>
        <w:t>2. Embedded attention checks.</w:t>
      </w:r>
    </w:p>
    <w:p w14:paraId="63BF17EA" w14:textId="77777777" w:rsidR="00282D7E" w:rsidRPr="00282D7E" w:rsidRDefault="00282D7E" w:rsidP="00282D7E">
      <w:pPr>
        <w:pStyle w:val="NoSpacing"/>
        <w:spacing w:line="480" w:lineRule="auto"/>
        <w:rPr>
          <w:rFonts w:asciiTheme="majorBidi" w:hAnsiTheme="majorBidi" w:cstheme="majorBidi"/>
        </w:rPr>
      </w:pPr>
      <w:r w:rsidRPr="00282D7E">
        <w:rPr>
          <w:rFonts w:asciiTheme="majorBidi" w:hAnsiTheme="majorBidi" w:cstheme="majorBidi"/>
        </w:rPr>
        <w:t xml:space="preserve">There were 4 embedded attention checks in the VBDM task, and our pre-registered criterion was that data from participants who pass at least 75% (3 out of 4) of these checks would be retained for analysis. Each of the attention checks required participants to use their keyboard to type a response. Specifically, participants were presented with the following text “Please read the statement and question on the next page carefully and press the space bar once you have typed your response to the question”. On the next slide the text “Type the word ‘blue’ in response to the question below, and then press the space bar” was displayed. Underneath this, the text “Question: what colour have you been asked to type in?” was presented and participants used their keyboard to type their response. This is one example, however the exact wording (i.e., colour) used within the attention checks varied between: blue, green, red, and yellow. </w:t>
      </w:r>
    </w:p>
    <w:p w14:paraId="6F7E982A" w14:textId="77777777" w:rsidR="00282D7E" w:rsidRDefault="00282D7E" w:rsidP="00D53261">
      <w:pPr>
        <w:pStyle w:val="NoSpacing"/>
        <w:spacing w:line="480" w:lineRule="auto"/>
        <w:rPr>
          <w:rFonts w:asciiTheme="majorBidi" w:hAnsiTheme="majorBidi" w:cstheme="majorBidi"/>
        </w:rPr>
      </w:pPr>
    </w:p>
    <w:p w14:paraId="330EC396" w14:textId="77777777" w:rsidR="00282D7E" w:rsidRDefault="00282D7E" w:rsidP="00D53261">
      <w:pPr>
        <w:pStyle w:val="NoSpacing"/>
        <w:spacing w:line="480" w:lineRule="auto"/>
        <w:rPr>
          <w:rFonts w:asciiTheme="majorBidi" w:hAnsiTheme="majorBidi" w:cstheme="majorBidi"/>
        </w:rPr>
      </w:pPr>
    </w:p>
    <w:p w14:paraId="2D31E1DB" w14:textId="77777777" w:rsidR="00282D7E" w:rsidRDefault="00282D7E" w:rsidP="00D53261">
      <w:pPr>
        <w:pStyle w:val="NoSpacing"/>
        <w:spacing w:line="480" w:lineRule="auto"/>
        <w:rPr>
          <w:rFonts w:asciiTheme="majorBidi" w:hAnsiTheme="majorBidi" w:cstheme="majorBidi"/>
        </w:rPr>
      </w:pPr>
    </w:p>
    <w:p w14:paraId="6F844C6C" w14:textId="77777777" w:rsidR="00282D7E" w:rsidRDefault="00282D7E" w:rsidP="00D53261">
      <w:pPr>
        <w:pStyle w:val="NoSpacing"/>
        <w:spacing w:line="480" w:lineRule="auto"/>
        <w:rPr>
          <w:rFonts w:asciiTheme="majorBidi" w:hAnsiTheme="majorBidi" w:cstheme="majorBidi"/>
        </w:rPr>
      </w:pPr>
    </w:p>
    <w:p w14:paraId="38F25655" w14:textId="77777777" w:rsidR="00282D7E" w:rsidRDefault="00282D7E" w:rsidP="00D53261">
      <w:pPr>
        <w:pStyle w:val="NoSpacing"/>
        <w:spacing w:line="480" w:lineRule="auto"/>
        <w:rPr>
          <w:rFonts w:asciiTheme="majorBidi" w:hAnsiTheme="majorBidi" w:cstheme="majorBidi"/>
        </w:rPr>
      </w:pPr>
    </w:p>
    <w:p w14:paraId="0722A38C" w14:textId="77777777" w:rsidR="00282D7E" w:rsidRDefault="00282D7E" w:rsidP="00D53261">
      <w:pPr>
        <w:pStyle w:val="NoSpacing"/>
        <w:spacing w:line="480" w:lineRule="auto"/>
        <w:rPr>
          <w:rFonts w:asciiTheme="majorBidi" w:hAnsiTheme="majorBidi" w:cstheme="majorBidi"/>
        </w:rPr>
      </w:pPr>
    </w:p>
    <w:p w14:paraId="4239A8D1" w14:textId="77777777" w:rsidR="00282D7E" w:rsidRDefault="00282D7E" w:rsidP="00D53261">
      <w:pPr>
        <w:pStyle w:val="NoSpacing"/>
        <w:spacing w:line="480" w:lineRule="auto"/>
        <w:rPr>
          <w:rFonts w:asciiTheme="majorBidi" w:hAnsiTheme="majorBidi" w:cstheme="majorBidi"/>
        </w:rPr>
      </w:pPr>
    </w:p>
    <w:p w14:paraId="6FD963E6" w14:textId="77777777" w:rsidR="00282D7E" w:rsidRDefault="00282D7E" w:rsidP="00D53261">
      <w:pPr>
        <w:pStyle w:val="NoSpacing"/>
        <w:spacing w:line="480" w:lineRule="auto"/>
        <w:rPr>
          <w:rFonts w:asciiTheme="majorBidi" w:hAnsiTheme="majorBidi" w:cstheme="majorBidi"/>
        </w:rPr>
      </w:pPr>
    </w:p>
    <w:p w14:paraId="33B83B92" w14:textId="77777777" w:rsidR="00282D7E" w:rsidRDefault="00282D7E" w:rsidP="00D53261">
      <w:pPr>
        <w:pStyle w:val="NoSpacing"/>
        <w:spacing w:line="480" w:lineRule="auto"/>
        <w:rPr>
          <w:rFonts w:asciiTheme="majorBidi" w:hAnsiTheme="majorBidi" w:cstheme="majorBidi"/>
        </w:rPr>
      </w:pPr>
    </w:p>
    <w:p w14:paraId="43979A29" w14:textId="77777777" w:rsidR="00282D7E" w:rsidRDefault="00282D7E" w:rsidP="00D53261">
      <w:pPr>
        <w:pStyle w:val="NoSpacing"/>
        <w:spacing w:line="480" w:lineRule="auto"/>
        <w:rPr>
          <w:rFonts w:asciiTheme="majorBidi" w:hAnsiTheme="majorBidi" w:cstheme="majorBidi"/>
        </w:rPr>
      </w:pPr>
    </w:p>
    <w:p w14:paraId="29D31312" w14:textId="77777777" w:rsidR="00282D7E" w:rsidRDefault="00282D7E" w:rsidP="00D53261">
      <w:pPr>
        <w:pStyle w:val="NoSpacing"/>
        <w:spacing w:line="480" w:lineRule="auto"/>
        <w:rPr>
          <w:rFonts w:asciiTheme="majorBidi" w:hAnsiTheme="majorBidi" w:cstheme="majorBidi"/>
        </w:rPr>
      </w:pPr>
    </w:p>
    <w:p w14:paraId="57F01F1B" w14:textId="1B8B323D" w:rsidR="00282D7E" w:rsidRDefault="00282D7E" w:rsidP="00D53261">
      <w:pPr>
        <w:pStyle w:val="NoSpacing"/>
        <w:spacing w:line="480" w:lineRule="auto"/>
        <w:rPr>
          <w:rFonts w:asciiTheme="majorBidi" w:hAnsiTheme="majorBidi" w:cstheme="majorBidi"/>
        </w:rPr>
      </w:pPr>
    </w:p>
    <w:p w14:paraId="46131A83" w14:textId="77777777" w:rsidR="00282D7E" w:rsidRDefault="00282D7E" w:rsidP="00D53261">
      <w:pPr>
        <w:pStyle w:val="NoSpacing"/>
        <w:spacing w:line="480" w:lineRule="auto"/>
        <w:rPr>
          <w:rFonts w:asciiTheme="majorBidi" w:hAnsiTheme="majorBidi" w:cstheme="majorBidi"/>
        </w:rPr>
      </w:pPr>
    </w:p>
    <w:p w14:paraId="31E63B3B" w14:textId="77777777" w:rsidR="00282D7E" w:rsidRPr="00282D7E" w:rsidRDefault="00282D7E" w:rsidP="00282D7E">
      <w:pPr>
        <w:pStyle w:val="NoSpacing"/>
        <w:spacing w:line="480" w:lineRule="auto"/>
        <w:rPr>
          <w:rFonts w:asciiTheme="majorBidi" w:hAnsiTheme="majorBidi" w:cstheme="majorBidi"/>
        </w:rPr>
      </w:pPr>
      <w:r w:rsidRPr="00282D7E">
        <w:rPr>
          <w:rFonts w:asciiTheme="majorBidi" w:hAnsiTheme="majorBidi" w:cstheme="majorBidi"/>
          <w:b/>
          <w:bCs/>
        </w:rPr>
        <w:lastRenderedPageBreak/>
        <w:t xml:space="preserve">3. Food images used in this study and their valence ratings. </w:t>
      </w:r>
    </w:p>
    <w:p w14:paraId="687B19E7" w14:textId="30A3DC12" w:rsidR="00282D7E" w:rsidRDefault="00282D7E" w:rsidP="00282D7E">
      <w:pPr>
        <w:pStyle w:val="NoSpacing"/>
        <w:spacing w:line="480" w:lineRule="auto"/>
        <w:rPr>
          <w:rFonts w:asciiTheme="majorBidi" w:hAnsiTheme="majorBidi" w:cstheme="majorBidi"/>
        </w:rPr>
      </w:pPr>
      <w:r w:rsidRPr="00282D7E">
        <w:rPr>
          <w:rFonts w:asciiTheme="majorBidi" w:hAnsiTheme="majorBidi" w:cstheme="majorBidi"/>
        </w:rPr>
        <w:t xml:space="preserve">Standardised images were taken from the CROCUFID database available from the OSF repository at </w:t>
      </w:r>
      <w:hyperlink r:id="rId82">
        <w:r w:rsidRPr="00282D7E">
          <w:rPr>
            <w:rStyle w:val="Hyperlink"/>
            <w:rFonts w:asciiTheme="majorBidi" w:hAnsiTheme="majorBidi" w:cstheme="majorBidi"/>
          </w:rPr>
          <w:t>https://osf.io/5jtqx</w:t>
        </w:r>
      </w:hyperlink>
      <w:r w:rsidRPr="00282D7E">
        <w:rPr>
          <w:rFonts w:asciiTheme="majorBidi" w:hAnsiTheme="majorBidi" w:cstheme="majorBidi"/>
        </w:rPr>
        <w:t>. All food depicted in the images appeared on a white plate. Higher valence scores reflect higher valence.</w:t>
      </w:r>
    </w:p>
    <w:p w14:paraId="193E6D37" w14:textId="77777777" w:rsidR="00282D7E" w:rsidRPr="00282D7E" w:rsidRDefault="00282D7E" w:rsidP="00282D7E">
      <w:pPr>
        <w:pStyle w:val="NoSpacing"/>
        <w:spacing w:line="480" w:lineRule="auto"/>
        <w:rPr>
          <w:rFonts w:asciiTheme="majorBidi" w:hAnsiTheme="majorBidi" w:cstheme="majorBidi"/>
        </w:rPr>
      </w:pPr>
    </w:p>
    <w:p w14:paraId="0467D768" w14:textId="77777777" w:rsidR="00282D7E" w:rsidRDefault="00282D7E" w:rsidP="00282D7E">
      <w:pPr>
        <w:pStyle w:val="NoSpacing"/>
        <w:spacing w:line="480" w:lineRule="auto"/>
        <w:rPr>
          <w:rFonts w:asciiTheme="majorBidi" w:hAnsiTheme="majorBidi" w:cstheme="majorBidi"/>
          <w:b/>
          <w:bCs/>
        </w:rPr>
      </w:pPr>
      <w:r w:rsidRPr="00282D7E">
        <w:rPr>
          <w:rFonts w:asciiTheme="majorBidi" w:hAnsiTheme="majorBidi" w:cstheme="majorBidi"/>
          <w:b/>
          <w:bCs/>
        </w:rPr>
        <w:t>Table S3.2</w:t>
      </w:r>
    </w:p>
    <w:p w14:paraId="559D9A18" w14:textId="1EBF6C20" w:rsidR="00282D7E" w:rsidRPr="00282D7E" w:rsidRDefault="00282D7E" w:rsidP="00282D7E">
      <w:pPr>
        <w:pStyle w:val="NoSpacing"/>
        <w:spacing w:line="480" w:lineRule="auto"/>
        <w:rPr>
          <w:rFonts w:asciiTheme="majorBidi" w:hAnsiTheme="majorBidi" w:cstheme="majorBidi"/>
          <w:i/>
          <w:iCs/>
        </w:rPr>
      </w:pPr>
      <w:r w:rsidRPr="00282D7E">
        <w:rPr>
          <w:rFonts w:asciiTheme="majorBidi" w:hAnsiTheme="majorBidi" w:cstheme="majorBidi"/>
          <w:i/>
          <w:iCs/>
        </w:rPr>
        <w:t>Image filenames, content, and valence ratings of the CROCUFID images</w:t>
      </w:r>
    </w:p>
    <w:tbl>
      <w:tblPr>
        <w:tblW w:w="9016" w:type="dxa"/>
        <w:tblLook w:val="0400" w:firstRow="0" w:lastRow="0" w:firstColumn="0" w:lastColumn="0" w:noHBand="0" w:noVBand="1"/>
      </w:tblPr>
      <w:tblGrid>
        <w:gridCol w:w="3282"/>
        <w:gridCol w:w="2719"/>
        <w:gridCol w:w="3015"/>
      </w:tblGrid>
      <w:tr w:rsidR="00282D7E" w:rsidRPr="00282D7E" w14:paraId="2EAC06C3"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1A2D6922" w14:textId="77777777" w:rsidR="00282D7E" w:rsidRPr="00282D7E" w:rsidRDefault="00282D7E" w:rsidP="00282D7E">
            <w:pPr>
              <w:pStyle w:val="NoSpacing"/>
              <w:spacing w:line="480" w:lineRule="auto"/>
              <w:jc w:val="center"/>
              <w:rPr>
                <w:rFonts w:asciiTheme="majorBidi" w:hAnsiTheme="majorBidi" w:cstheme="majorBidi"/>
                <w:b/>
              </w:rPr>
            </w:pPr>
            <w:r w:rsidRPr="00282D7E">
              <w:rPr>
                <w:rFonts w:asciiTheme="majorBidi" w:hAnsiTheme="majorBidi" w:cstheme="majorBidi"/>
                <w:b/>
              </w:rPr>
              <w:t>Image filename</w:t>
            </w:r>
          </w:p>
        </w:tc>
        <w:tc>
          <w:tcPr>
            <w:tcW w:w="2719" w:type="dxa"/>
            <w:tcBorders>
              <w:top w:val="single" w:sz="4" w:space="0" w:color="000000"/>
              <w:left w:val="single" w:sz="4" w:space="0" w:color="000000"/>
              <w:bottom w:val="single" w:sz="4" w:space="0" w:color="000000"/>
              <w:right w:val="single" w:sz="4" w:space="0" w:color="000000"/>
            </w:tcBorders>
          </w:tcPr>
          <w:p w14:paraId="5B26EBBB" w14:textId="77777777" w:rsidR="00282D7E" w:rsidRPr="00282D7E" w:rsidRDefault="00282D7E" w:rsidP="00282D7E">
            <w:pPr>
              <w:pStyle w:val="NoSpacing"/>
              <w:spacing w:line="480" w:lineRule="auto"/>
              <w:jc w:val="center"/>
              <w:rPr>
                <w:rFonts w:asciiTheme="majorBidi" w:hAnsiTheme="majorBidi" w:cstheme="majorBidi"/>
                <w:b/>
              </w:rPr>
            </w:pPr>
            <w:r w:rsidRPr="00282D7E">
              <w:rPr>
                <w:rFonts w:asciiTheme="majorBidi" w:hAnsiTheme="majorBidi" w:cstheme="majorBidi"/>
                <w:b/>
              </w:rPr>
              <w:t>Image content</w:t>
            </w:r>
          </w:p>
        </w:tc>
        <w:tc>
          <w:tcPr>
            <w:tcW w:w="3015" w:type="dxa"/>
            <w:tcBorders>
              <w:top w:val="single" w:sz="4" w:space="0" w:color="000000"/>
              <w:left w:val="single" w:sz="4" w:space="0" w:color="000000"/>
              <w:bottom w:val="single" w:sz="4" w:space="0" w:color="000000"/>
              <w:right w:val="single" w:sz="4" w:space="0" w:color="000000"/>
            </w:tcBorders>
          </w:tcPr>
          <w:p w14:paraId="7F2E4F7A" w14:textId="77777777" w:rsidR="00282D7E" w:rsidRPr="00282D7E" w:rsidRDefault="00282D7E" w:rsidP="00282D7E">
            <w:pPr>
              <w:pStyle w:val="NoSpacing"/>
              <w:spacing w:line="480" w:lineRule="auto"/>
              <w:jc w:val="center"/>
              <w:rPr>
                <w:rFonts w:asciiTheme="majorBidi" w:hAnsiTheme="majorBidi" w:cstheme="majorBidi"/>
                <w:b/>
              </w:rPr>
            </w:pPr>
            <w:r w:rsidRPr="00282D7E">
              <w:rPr>
                <w:rFonts w:asciiTheme="majorBidi" w:hAnsiTheme="majorBidi" w:cstheme="majorBidi"/>
                <w:b/>
              </w:rPr>
              <w:t>Valence rating (range 0 – 100)</w:t>
            </w:r>
          </w:p>
        </w:tc>
      </w:tr>
      <w:tr w:rsidR="00282D7E" w:rsidRPr="00282D7E" w14:paraId="163A12A7"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188C420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0001.jpg</w:t>
            </w:r>
          </w:p>
        </w:tc>
        <w:tc>
          <w:tcPr>
            <w:tcW w:w="2719" w:type="dxa"/>
            <w:tcBorders>
              <w:top w:val="single" w:sz="4" w:space="0" w:color="000000"/>
              <w:left w:val="single" w:sz="4" w:space="0" w:color="000000"/>
              <w:bottom w:val="single" w:sz="4" w:space="0" w:color="000000"/>
              <w:right w:val="single" w:sz="4" w:space="0" w:color="000000"/>
            </w:tcBorders>
          </w:tcPr>
          <w:p w14:paraId="57CDE28E"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Oranges</w:t>
            </w:r>
          </w:p>
        </w:tc>
        <w:tc>
          <w:tcPr>
            <w:tcW w:w="3015" w:type="dxa"/>
            <w:tcBorders>
              <w:top w:val="single" w:sz="4" w:space="0" w:color="000000"/>
              <w:left w:val="single" w:sz="4" w:space="0" w:color="000000"/>
              <w:bottom w:val="single" w:sz="4" w:space="0" w:color="000000"/>
              <w:right w:val="single" w:sz="4" w:space="0" w:color="000000"/>
            </w:tcBorders>
          </w:tcPr>
          <w:p w14:paraId="10793D8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73.07</w:t>
            </w:r>
          </w:p>
        </w:tc>
      </w:tr>
      <w:tr w:rsidR="00282D7E" w:rsidRPr="00282D7E" w14:paraId="2181564C"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CEA436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0002.jpg</w:t>
            </w:r>
          </w:p>
        </w:tc>
        <w:tc>
          <w:tcPr>
            <w:tcW w:w="2719" w:type="dxa"/>
            <w:tcBorders>
              <w:top w:val="single" w:sz="4" w:space="0" w:color="000000"/>
              <w:left w:val="single" w:sz="4" w:space="0" w:color="000000"/>
              <w:bottom w:val="single" w:sz="4" w:space="0" w:color="000000"/>
              <w:right w:val="single" w:sz="4" w:space="0" w:color="000000"/>
            </w:tcBorders>
          </w:tcPr>
          <w:p w14:paraId="5228526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Apples</w:t>
            </w:r>
          </w:p>
        </w:tc>
        <w:tc>
          <w:tcPr>
            <w:tcW w:w="3015" w:type="dxa"/>
            <w:tcBorders>
              <w:top w:val="single" w:sz="4" w:space="0" w:color="000000"/>
              <w:left w:val="single" w:sz="4" w:space="0" w:color="000000"/>
              <w:bottom w:val="single" w:sz="4" w:space="0" w:color="000000"/>
              <w:right w:val="single" w:sz="4" w:space="0" w:color="000000"/>
            </w:tcBorders>
          </w:tcPr>
          <w:p w14:paraId="6FEE3C0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68.82</w:t>
            </w:r>
          </w:p>
        </w:tc>
      </w:tr>
      <w:tr w:rsidR="00282D7E" w:rsidRPr="00282D7E" w14:paraId="0BB0CE6F"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79D86A5D"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0009.jpg</w:t>
            </w:r>
          </w:p>
        </w:tc>
        <w:tc>
          <w:tcPr>
            <w:tcW w:w="2719" w:type="dxa"/>
            <w:tcBorders>
              <w:top w:val="single" w:sz="4" w:space="0" w:color="000000"/>
              <w:left w:val="single" w:sz="4" w:space="0" w:color="000000"/>
              <w:bottom w:val="single" w:sz="4" w:space="0" w:color="000000"/>
              <w:right w:val="single" w:sz="4" w:space="0" w:color="000000"/>
            </w:tcBorders>
          </w:tcPr>
          <w:p w14:paraId="7E7559E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Greek salad</w:t>
            </w:r>
          </w:p>
        </w:tc>
        <w:tc>
          <w:tcPr>
            <w:tcW w:w="3015" w:type="dxa"/>
            <w:tcBorders>
              <w:top w:val="single" w:sz="4" w:space="0" w:color="000000"/>
              <w:left w:val="single" w:sz="4" w:space="0" w:color="000000"/>
              <w:bottom w:val="single" w:sz="4" w:space="0" w:color="000000"/>
              <w:right w:val="single" w:sz="4" w:space="0" w:color="000000"/>
            </w:tcBorders>
          </w:tcPr>
          <w:p w14:paraId="7708123E"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62.44</w:t>
            </w:r>
          </w:p>
        </w:tc>
      </w:tr>
      <w:tr w:rsidR="00282D7E" w:rsidRPr="00282D7E" w14:paraId="0C0E75C3"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18EC402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0015.jpg</w:t>
            </w:r>
          </w:p>
        </w:tc>
        <w:tc>
          <w:tcPr>
            <w:tcW w:w="2719" w:type="dxa"/>
            <w:tcBorders>
              <w:top w:val="single" w:sz="4" w:space="0" w:color="000000"/>
              <w:left w:val="single" w:sz="4" w:space="0" w:color="000000"/>
              <w:bottom w:val="single" w:sz="4" w:space="0" w:color="000000"/>
              <w:right w:val="single" w:sz="4" w:space="0" w:color="000000"/>
            </w:tcBorders>
          </w:tcPr>
          <w:p w14:paraId="3A6705F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Kit Kat</w:t>
            </w:r>
          </w:p>
        </w:tc>
        <w:tc>
          <w:tcPr>
            <w:tcW w:w="3015" w:type="dxa"/>
            <w:tcBorders>
              <w:top w:val="single" w:sz="4" w:space="0" w:color="000000"/>
              <w:left w:val="single" w:sz="4" w:space="0" w:color="000000"/>
              <w:bottom w:val="single" w:sz="4" w:space="0" w:color="000000"/>
              <w:right w:val="single" w:sz="4" w:space="0" w:color="000000"/>
            </w:tcBorders>
          </w:tcPr>
          <w:p w14:paraId="1D5CCC1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69.25</w:t>
            </w:r>
          </w:p>
        </w:tc>
      </w:tr>
      <w:tr w:rsidR="00282D7E" w:rsidRPr="00282D7E" w14:paraId="42FBC34E"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21C8606E"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0021.jpg</w:t>
            </w:r>
          </w:p>
        </w:tc>
        <w:tc>
          <w:tcPr>
            <w:tcW w:w="2719" w:type="dxa"/>
            <w:tcBorders>
              <w:top w:val="single" w:sz="4" w:space="0" w:color="000000"/>
              <w:left w:val="single" w:sz="4" w:space="0" w:color="000000"/>
              <w:bottom w:val="single" w:sz="4" w:space="0" w:color="000000"/>
              <w:right w:val="single" w:sz="4" w:space="0" w:color="000000"/>
            </w:tcBorders>
          </w:tcPr>
          <w:p w14:paraId="1F282458" w14:textId="77777777" w:rsidR="00282D7E" w:rsidRPr="00282D7E" w:rsidRDefault="00282D7E" w:rsidP="00282D7E">
            <w:pPr>
              <w:pStyle w:val="NoSpacing"/>
              <w:spacing w:line="480" w:lineRule="auto"/>
              <w:jc w:val="center"/>
              <w:rPr>
                <w:rFonts w:asciiTheme="majorBidi" w:hAnsiTheme="majorBidi" w:cstheme="majorBidi"/>
              </w:rPr>
            </w:pPr>
            <w:proofErr w:type="spellStart"/>
            <w:r w:rsidRPr="00282D7E">
              <w:rPr>
                <w:rFonts w:asciiTheme="majorBidi" w:hAnsiTheme="majorBidi" w:cstheme="majorBidi"/>
              </w:rPr>
              <w:t>Stroopwaffles</w:t>
            </w:r>
            <w:proofErr w:type="spellEnd"/>
          </w:p>
        </w:tc>
        <w:tc>
          <w:tcPr>
            <w:tcW w:w="3015" w:type="dxa"/>
            <w:tcBorders>
              <w:top w:val="single" w:sz="4" w:space="0" w:color="000000"/>
              <w:left w:val="single" w:sz="4" w:space="0" w:color="000000"/>
              <w:bottom w:val="single" w:sz="4" w:space="0" w:color="000000"/>
              <w:right w:val="single" w:sz="4" w:space="0" w:color="000000"/>
            </w:tcBorders>
          </w:tcPr>
          <w:p w14:paraId="6207094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59.19</w:t>
            </w:r>
          </w:p>
        </w:tc>
      </w:tr>
      <w:tr w:rsidR="00282D7E" w:rsidRPr="00282D7E" w14:paraId="2C14F547"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F80715C"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0025.jpg</w:t>
            </w:r>
          </w:p>
        </w:tc>
        <w:tc>
          <w:tcPr>
            <w:tcW w:w="2719" w:type="dxa"/>
            <w:tcBorders>
              <w:top w:val="single" w:sz="4" w:space="0" w:color="000000"/>
              <w:left w:val="single" w:sz="4" w:space="0" w:color="000000"/>
              <w:bottom w:val="single" w:sz="4" w:space="0" w:color="000000"/>
              <w:right w:val="single" w:sz="4" w:space="0" w:color="000000"/>
            </w:tcBorders>
          </w:tcPr>
          <w:p w14:paraId="0D89B11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Blueberries</w:t>
            </w:r>
          </w:p>
        </w:tc>
        <w:tc>
          <w:tcPr>
            <w:tcW w:w="3015" w:type="dxa"/>
            <w:tcBorders>
              <w:top w:val="single" w:sz="4" w:space="0" w:color="000000"/>
              <w:left w:val="single" w:sz="4" w:space="0" w:color="000000"/>
              <w:bottom w:val="single" w:sz="4" w:space="0" w:color="000000"/>
              <w:right w:val="single" w:sz="4" w:space="0" w:color="000000"/>
            </w:tcBorders>
          </w:tcPr>
          <w:p w14:paraId="765B6A96"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66.67</w:t>
            </w:r>
          </w:p>
        </w:tc>
      </w:tr>
      <w:tr w:rsidR="00282D7E" w:rsidRPr="00282D7E" w14:paraId="1E2EF07D"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3B12772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0031.jpg</w:t>
            </w:r>
          </w:p>
        </w:tc>
        <w:tc>
          <w:tcPr>
            <w:tcW w:w="2719" w:type="dxa"/>
            <w:tcBorders>
              <w:top w:val="single" w:sz="4" w:space="0" w:color="000000"/>
              <w:left w:val="single" w:sz="4" w:space="0" w:color="000000"/>
              <w:bottom w:val="single" w:sz="4" w:space="0" w:color="000000"/>
              <w:right w:val="single" w:sz="4" w:space="0" w:color="000000"/>
            </w:tcBorders>
          </w:tcPr>
          <w:p w14:paraId="4E716B7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Crisps</w:t>
            </w:r>
          </w:p>
        </w:tc>
        <w:tc>
          <w:tcPr>
            <w:tcW w:w="3015" w:type="dxa"/>
            <w:tcBorders>
              <w:top w:val="single" w:sz="4" w:space="0" w:color="000000"/>
              <w:left w:val="single" w:sz="4" w:space="0" w:color="000000"/>
              <w:bottom w:val="single" w:sz="4" w:space="0" w:color="000000"/>
              <w:right w:val="single" w:sz="4" w:space="0" w:color="000000"/>
            </w:tcBorders>
          </w:tcPr>
          <w:p w14:paraId="70343700"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61.44</w:t>
            </w:r>
          </w:p>
        </w:tc>
      </w:tr>
      <w:tr w:rsidR="00282D7E" w:rsidRPr="00282D7E" w14:paraId="58690262"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09CCBE0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0038.jpg</w:t>
            </w:r>
          </w:p>
        </w:tc>
        <w:tc>
          <w:tcPr>
            <w:tcW w:w="2719" w:type="dxa"/>
            <w:tcBorders>
              <w:top w:val="single" w:sz="4" w:space="0" w:color="000000"/>
              <w:left w:val="single" w:sz="4" w:space="0" w:color="000000"/>
              <w:bottom w:val="single" w:sz="4" w:space="0" w:color="000000"/>
              <w:right w:val="single" w:sz="4" w:space="0" w:color="000000"/>
            </w:tcBorders>
          </w:tcPr>
          <w:p w14:paraId="0EA4065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Raspberries</w:t>
            </w:r>
          </w:p>
        </w:tc>
        <w:tc>
          <w:tcPr>
            <w:tcW w:w="3015" w:type="dxa"/>
            <w:tcBorders>
              <w:top w:val="single" w:sz="4" w:space="0" w:color="000000"/>
              <w:left w:val="single" w:sz="4" w:space="0" w:color="000000"/>
              <w:bottom w:val="single" w:sz="4" w:space="0" w:color="000000"/>
              <w:right w:val="single" w:sz="4" w:space="0" w:color="000000"/>
            </w:tcBorders>
          </w:tcPr>
          <w:p w14:paraId="4593F69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68.16</w:t>
            </w:r>
          </w:p>
        </w:tc>
      </w:tr>
      <w:tr w:rsidR="00282D7E" w:rsidRPr="00282D7E" w14:paraId="12BA431E"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F8D5486"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0048.jpg</w:t>
            </w:r>
          </w:p>
        </w:tc>
        <w:tc>
          <w:tcPr>
            <w:tcW w:w="2719" w:type="dxa"/>
            <w:tcBorders>
              <w:top w:val="single" w:sz="4" w:space="0" w:color="000000"/>
              <w:left w:val="single" w:sz="4" w:space="0" w:color="000000"/>
              <w:bottom w:val="single" w:sz="4" w:space="0" w:color="000000"/>
              <w:right w:val="single" w:sz="4" w:space="0" w:color="000000"/>
            </w:tcBorders>
          </w:tcPr>
          <w:p w14:paraId="7BF07A3C"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Pistachio nuts</w:t>
            </w:r>
          </w:p>
        </w:tc>
        <w:tc>
          <w:tcPr>
            <w:tcW w:w="3015" w:type="dxa"/>
            <w:tcBorders>
              <w:top w:val="single" w:sz="4" w:space="0" w:color="000000"/>
              <w:left w:val="single" w:sz="4" w:space="0" w:color="000000"/>
              <w:bottom w:val="single" w:sz="4" w:space="0" w:color="000000"/>
              <w:right w:val="single" w:sz="4" w:space="0" w:color="000000"/>
            </w:tcBorders>
          </w:tcPr>
          <w:p w14:paraId="538E3CAB"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57.54</w:t>
            </w:r>
          </w:p>
        </w:tc>
      </w:tr>
      <w:tr w:rsidR="00282D7E" w:rsidRPr="00282D7E" w14:paraId="2A6D6E83"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0EAD84F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0063.jpg</w:t>
            </w:r>
          </w:p>
        </w:tc>
        <w:tc>
          <w:tcPr>
            <w:tcW w:w="2719" w:type="dxa"/>
            <w:tcBorders>
              <w:top w:val="single" w:sz="4" w:space="0" w:color="000000"/>
              <w:left w:val="single" w:sz="4" w:space="0" w:color="000000"/>
              <w:bottom w:val="single" w:sz="4" w:space="0" w:color="000000"/>
              <w:right w:val="single" w:sz="4" w:space="0" w:color="000000"/>
            </w:tcBorders>
          </w:tcPr>
          <w:p w14:paraId="31D2612E"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Raw mushrooms</w:t>
            </w:r>
          </w:p>
        </w:tc>
        <w:tc>
          <w:tcPr>
            <w:tcW w:w="3015" w:type="dxa"/>
            <w:tcBorders>
              <w:top w:val="single" w:sz="4" w:space="0" w:color="000000"/>
              <w:left w:val="single" w:sz="4" w:space="0" w:color="000000"/>
              <w:bottom w:val="single" w:sz="4" w:space="0" w:color="000000"/>
              <w:right w:val="single" w:sz="4" w:space="0" w:color="000000"/>
            </w:tcBorders>
          </w:tcPr>
          <w:p w14:paraId="6EE6E1B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44.07</w:t>
            </w:r>
          </w:p>
        </w:tc>
      </w:tr>
      <w:tr w:rsidR="00282D7E" w:rsidRPr="00282D7E" w14:paraId="62408818"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3357361"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0066.jpg</w:t>
            </w:r>
          </w:p>
        </w:tc>
        <w:tc>
          <w:tcPr>
            <w:tcW w:w="2719" w:type="dxa"/>
            <w:tcBorders>
              <w:top w:val="single" w:sz="4" w:space="0" w:color="000000"/>
              <w:left w:val="single" w:sz="4" w:space="0" w:color="000000"/>
              <w:bottom w:val="single" w:sz="4" w:space="0" w:color="000000"/>
              <w:right w:val="single" w:sz="4" w:space="0" w:color="000000"/>
            </w:tcBorders>
          </w:tcPr>
          <w:p w14:paraId="7498174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Bananas</w:t>
            </w:r>
          </w:p>
        </w:tc>
        <w:tc>
          <w:tcPr>
            <w:tcW w:w="3015" w:type="dxa"/>
            <w:tcBorders>
              <w:top w:val="single" w:sz="4" w:space="0" w:color="000000"/>
              <w:left w:val="single" w:sz="4" w:space="0" w:color="000000"/>
              <w:bottom w:val="single" w:sz="4" w:space="0" w:color="000000"/>
              <w:right w:val="single" w:sz="4" w:space="0" w:color="000000"/>
            </w:tcBorders>
          </w:tcPr>
          <w:p w14:paraId="09C1936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71.06</w:t>
            </w:r>
          </w:p>
        </w:tc>
      </w:tr>
      <w:tr w:rsidR="00282D7E" w:rsidRPr="00282D7E" w14:paraId="568BD4CC"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60B1EAF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0080.jpg</w:t>
            </w:r>
          </w:p>
        </w:tc>
        <w:tc>
          <w:tcPr>
            <w:tcW w:w="2719" w:type="dxa"/>
            <w:tcBorders>
              <w:top w:val="single" w:sz="4" w:space="0" w:color="000000"/>
              <w:left w:val="single" w:sz="4" w:space="0" w:color="000000"/>
              <w:bottom w:val="single" w:sz="4" w:space="0" w:color="000000"/>
              <w:right w:val="single" w:sz="4" w:space="0" w:color="000000"/>
            </w:tcBorders>
          </w:tcPr>
          <w:p w14:paraId="248FF54D"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Green olives</w:t>
            </w:r>
          </w:p>
        </w:tc>
        <w:tc>
          <w:tcPr>
            <w:tcW w:w="3015" w:type="dxa"/>
            <w:tcBorders>
              <w:top w:val="single" w:sz="4" w:space="0" w:color="000000"/>
              <w:left w:val="single" w:sz="4" w:space="0" w:color="000000"/>
              <w:bottom w:val="single" w:sz="4" w:space="0" w:color="000000"/>
              <w:right w:val="single" w:sz="4" w:space="0" w:color="000000"/>
            </w:tcBorders>
          </w:tcPr>
          <w:p w14:paraId="41C2503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45.21</w:t>
            </w:r>
          </w:p>
        </w:tc>
      </w:tr>
      <w:tr w:rsidR="00282D7E" w:rsidRPr="00282D7E" w14:paraId="0FE22A4D"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D6F8441"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0102.jpg</w:t>
            </w:r>
          </w:p>
        </w:tc>
        <w:tc>
          <w:tcPr>
            <w:tcW w:w="2719" w:type="dxa"/>
            <w:tcBorders>
              <w:top w:val="single" w:sz="4" w:space="0" w:color="000000"/>
              <w:left w:val="single" w:sz="4" w:space="0" w:color="000000"/>
              <w:bottom w:val="single" w:sz="4" w:space="0" w:color="000000"/>
              <w:right w:val="single" w:sz="4" w:space="0" w:color="000000"/>
            </w:tcBorders>
          </w:tcPr>
          <w:p w14:paraId="4A318BE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Muesli cereal</w:t>
            </w:r>
          </w:p>
        </w:tc>
        <w:tc>
          <w:tcPr>
            <w:tcW w:w="3015" w:type="dxa"/>
            <w:tcBorders>
              <w:top w:val="single" w:sz="4" w:space="0" w:color="000000"/>
              <w:left w:val="single" w:sz="4" w:space="0" w:color="000000"/>
              <w:bottom w:val="single" w:sz="4" w:space="0" w:color="000000"/>
              <w:right w:val="single" w:sz="4" w:space="0" w:color="000000"/>
            </w:tcBorders>
          </w:tcPr>
          <w:p w14:paraId="69D0F20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55.17</w:t>
            </w:r>
          </w:p>
        </w:tc>
      </w:tr>
      <w:tr w:rsidR="00282D7E" w:rsidRPr="00282D7E" w14:paraId="71BB475E"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727D761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0128.jpg</w:t>
            </w:r>
          </w:p>
        </w:tc>
        <w:tc>
          <w:tcPr>
            <w:tcW w:w="2719" w:type="dxa"/>
            <w:tcBorders>
              <w:top w:val="single" w:sz="4" w:space="0" w:color="000000"/>
              <w:left w:val="single" w:sz="4" w:space="0" w:color="000000"/>
              <w:bottom w:val="single" w:sz="4" w:space="0" w:color="000000"/>
              <w:right w:val="single" w:sz="4" w:space="0" w:color="000000"/>
            </w:tcBorders>
          </w:tcPr>
          <w:p w14:paraId="5227E09D"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M&amp;M’s chocolate</w:t>
            </w:r>
          </w:p>
        </w:tc>
        <w:tc>
          <w:tcPr>
            <w:tcW w:w="3015" w:type="dxa"/>
            <w:tcBorders>
              <w:top w:val="single" w:sz="4" w:space="0" w:color="000000"/>
              <w:left w:val="single" w:sz="4" w:space="0" w:color="000000"/>
              <w:bottom w:val="single" w:sz="4" w:space="0" w:color="000000"/>
              <w:right w:val="single" w:sz="4" w:space="0" w:color="000000"/>
            </w:tcBorders>
          </w:tcPr>
          <w:p w14:paraId="5EE0D0E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67.20</w:t>
            </w:r>
          </w:p>
        </w:tc>
      </w:tr>
      <w:tr w:rsidR="00282D7E" w:rsidRPr="00282D7E" w14:paraId="2D155C41"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38ADE15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0132.jpg</w:t>
            </w:r>
          </w:p>
        </w:tc>
        <w:tc>
          <w:tcPr>
            <w:tcW w:w="2719" w:type="dxa"/>
            <w:tcBorders>
              <w:top w:val="single" w:sz="4" w:space="0" w:color="000000"/>
              <w:left w:val="single" w:sz="4" w:space="0" w:color="000000"/>
              <w:bottom w:val="single" w:sz="4" w:space="0" w:color="000000"/>
              <w:right w:val="single" w:sz="4" w:space="0" w:color="000000"/>
            </w:tcBorders>
          </w:tcPr>
          <w:p w14:paraId="01AB0B7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Mints</w:t>
            </w:r>
          </w:p>
        </w:tc>
        <w:tc>
          <w:tcPr>
            <w:tcW w:w="3015" w:type="dxa"/>
            <w:tcBorders>
              <w:top w:val="single" w:sz="4" w:space="0" w:color="000000"/>
              <w:left w:val="single" w:sz="4" w:space="0" w:color="000000"/>
              <w:bottom w:val="single" w:sz="4" w:space="0" w:color="000000"/>
              <w:right w:val="single" w:sz="4" w:space="0" w:color="000000"/>
            </w:tcBorders>
          </w:tcPr>
          <w:p w14:paraId="19E2CE6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28.77</w:t>
            </w:r>
          </w:p>
        </w:tc>
      </w:tr>
      <w:tr w:rsidR="00282D7E" w:rsidRPr="00282D7E" w14:paraId="2F575E32"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2780E66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lastRenderedPageBreak/>
              <w:t>0140.jpg</w:t>
            </w:r>
          </w:p>
        </w:tc>
        <w:tc>
          <w:tcPr>
            <w:tcW w:w="2719" w:type="dxa"/>
            <w:tcBorders>
              <w:top w:val="single" w:sz="4" w:space="0" w:color="000000"/>
              <w:left w:val="single" w:sz="4" w:space="0" w:color="000000"/>
              <w:bottom w:val="single" w:sz="4" w:space="0" w:color="000000"/>
              <w:right w:val="single" w:sz="4" w:space="0" w:color="000000"/>
            </w:tcBorders>
          </w:tcPr>
          <w:p w14:paraId="1712FCFE"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Cheeses</w:t>
            </w:r>
          </w:p>
        </w:tc>
        <w:tc>
          <w:tcPr>
            <w:tcW w:w="3015" w:type="dxa"/>
            <w:tcBorders>
              <w:top w:val="single" w:sz="4" w:space="0" w:color="000000"/>
              <w:left w:val="single" w:sz="4" w:space="0" w:color="000000"/>
              <w:bottom w:val="single" w:sz="4" w:space="0" w:color="000000"/>
              <w:right w:val="single" w:sz="4" w:space="0" w:color="000000"/>
            </w:tcBorders>
          </w:tcPr>
          <w:p w14:paraId="4E806960"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63.23</w:t>
            </w:r>
          </w:p>
        </w:tc>
      </w:tr>
      <w:tr w:rsidR="00282D7E" w:rsidRPr="00282D7E" w14:paraId="71D42BC1"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5C5613B"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0146.jpg</w:t>
            </w:r>
          </w:p>
        </w:tc>
        <w:tc>
          <w:tcPr>
            <w:tcW w:w="2719" w:type="dxa"/>
            <w:tcBorders>
              <w:top w:val="single" w:sz="4" w:space="0" w:color="000000"/>
              <w:left w:val="single" w:sz="4" w:space="0" w:color="000000"/>
              <w:bottom w:val="single" w:sz="4" w:space="0" w:color="000000"/>
              <w:right w:val="single" w:sz="4" w:space="0" w:color="000000"/>
            </w:tcBorders>
          </w:tcPr>
          <w:p w14:paraId="402FEFB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Strawberries</w:t>
            </w:r>
          </w:p>
        </w:tc>
        <w:tc>
          <w:tcPr>
            <w:tcW w:w="3015" w:type="dxa"/>
            <w:tcBorders>
              <w:top w:val="single" w:sz="4" w:space="0" w:color="000000"/>
              <w:left w:val="single" w:sz="4" w:space="0" w:color="000000"/>
              <w:bottom w:val="single" w:sz="4" w:space="0" w:color="000000"/>
              <w:right w:val="single" w:sz="4" w:space="0" w:color="000000"/>
            </w:tcBorders>
          </w:tcPr>
          <w:p w14:paraId="0A0B62A6"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84.11</w:t>
            </w:r>
          </w:p>
        </w:tc>
      </w:tr>
      <w:tr w:rsidR="00282D7E" w:rsidRPr="00282D7E" w14:paraId="054BB9C8"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739F86D1"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0158.jpg</w:t>
            </w:r>
          </w:p>
        </w:tc>
        <w:tc>
          <w:tcPr>
            <w:tcW w:w="2719" w:type="dxa"/>
            <w:tcBorders>
              <w:top w:val="single" w:sz="4" w:space="0" w:color="000000"/>
              <w:left w:val="single" w:sz="4" w:space="0" w:color="000000"/>
              <w:bottom w:val="single" w:sz="4" w:space="0" w:color="000000"/>
              <w:right w:val="single" w:sz="4" w:space="0" w:color="000000"/>
            </w:tcBorders>
          </w:tcPr>
          <w:p w14:paraId="4A03FBE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Wholemeal biscuits</w:t>
            </w:r>
          </w:p>
        </w:tc>
        <w:tc>
          <w:tcPr>
            <w:tcW w:w="3015" w:type="dxa"/>
            <w:tcBorders>
              <w:top w:val="single" w:sz="4" w:space="0" w:color="000000"/>
              <w:left w:val="single" w:sz="4" w:space="0" w:color="000000"/>
              <w:bottom w:val="single" w:sz="4" w:space="0" w:color="000000"/>
              <w:right w:val="single" w:sz="4" w:space="0" w:color="000000"/>
            </w:tcBorders>
          </w:tcPr>
          <w:p w14:paraId="15E4CAFB"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60.65</w:t>
            </w:r>
          </w:p>
        </w:tc>
      </w:tr>
      <w:tr w:rsidR="00282D7E" w:rsidRPr="00282D7E" w14:paraId="5F5315B9"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522E2C8"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0169.jpg</w:t>
            </w:r>
          </w:p>
        </w:tc>
        <w:tc>
          <w:tcPr>
            <w:tcW w:w="2719" w:type="dxa"/>
            <w:tcBorders>
              <w:top w:val="single" w:sz="4" w:space="0" w:color="000000"/>
              <w:left w:val="single" w:sz="4" w:space="0" w:color="000000"/>
              <w:bottom w:val="single" w:sz="4" w:space="0" w:color="000000"/>
              <w:right w:val="single" w:sz="4" w:space="0" w:color="000000"/>
            </w:tcBorders>
          </w:tcPr>
          <w:p w14:paraId="6662E42D"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Raw chicken</w:t>
            </w:r>
          </w:p>
        </w:tc>
        <w:tc>
          <w:tcPr>
            <w:tcW w:w="3015" w:type="dxa"/>
            <w:tcBorders>
              <w:top w:val="single" w:sz="4" w:space="0" w:color="000000"/>
              <w:left w:val="single" w:sz="4" w:space="0" w:color="000000"/>
              <w:bottom w:val="single" w:sz="4" w:space="0" w:color="000000"/>
              <w:right w:val="single" w:sz="4" w:space="0" w:color="000000"/>
            </w:tcBorders>
          </w:tcPr>
          <w:p w14:paraId="7AD8842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36.97</w:t>
            </w:r>
          </w:p>
        </w:tc>
      </w:tr>
      <w:tr w:rsidR="00282D7E" w:rsidRPr="00282D7E" w14:paraId="46379FE9"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11754BB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0190.jpg</w:t>
            </w:r>
          </w:p>
        </w:tc>
        <w:tc>
          <w:tcPr>
            <w:tcW w:w="2719" w:type="dxa"/>
            <w:tcBorders>
              <w:top w:val="single" w:sz="4" w:space="0" w:color="000000"/>
              <w:left w:val="single" w:sz="4" w:space="0" w:color="000000"/>
              <w:bottom w:val="single" w:sz="4" w:space="0" w:color="000000"/>
              <w:right w:val="single" w:sz="4" w:space="0" w:color="000000"/>
            </w:tcBorders>
          </w:tcPr>
          <w:p w14:paraId="5BE6D92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Moulded banana</w:t>
            </w:r>
          </w:p>
        </w:tc>
        <w:tc>
          <w:tcPr>
            <w:tcW w:w="3015" w:type="dxa"/>
            <w:tcBorders>
              <w:top w:val="single" w:sz="4" w:space="0" w:color="000000"/>
              <w:left w:val="single" w:sz="4" w:space="0" w:color="000000"/>
              <w:bottom w:val="single" w:sz="4" w:space="0" w:color="000000"/>
              <w:right w:val="single" w:sz="4" w:space="0" w:color="000000"/>
            </w:tcBorders>
          </w:tcPr>
          <w:p w14:paraId="4225FBB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4.75</w:t>
            </w:r>
          </w:p>
        </w:tc>
      </w:tr>
      <w:tr w:rsidR="00282D7E" w:rsidRPr="00282D7E" w14:paraId="0CF69A18"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5EFE791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0289.jpg</w:t>
            </w:r>
          </w:p>
        </w:tc>
        <w:tc>
          <w:tcPr>
            <w:tcW w:w="2719" w:type="dxa"/>
            <w:tcBorders>
              <w:top w:val="single" w:sz="4" w:space="0" w:color="000000"/>
              <w:left w:val="single" w:sz="4" w:space="0" w:color="000000"/>
              <w:bottom w:val="single" w:sz="4" w:space="0" w:color="000000"/>
              <w:right w:val="single" w:sz="4" w:space="0" w:color="000000"/>
            </w:tcBorders>
          </w:tcPr>
          <w:p w14:paraId="63788A8C"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Chips</w:t>
            </w:r>
          </w:p>
        </w:tc>
        <w:tc>
          <w:tcPr>
            <w:tcW w:w="3015" w:type="dxa"/>
            <w:tcBorders>
              <w:top w:val="single" w:sz="4" w:space="0" w:color="000000"/>
              <w:left w:val="single" w:sz="4" w:space="0" w:color="000000"/>
              <w:bottom w:val="single" w:sz="4" w:space="0" w:color="000000"/>
              <w:right w:val="single" w:sz="4" w:space="0" w:color="000000"/>
            </w:tcBorders>
          </w:tcPr>
          <w:p w14:paraId="22680E3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68.16</w:t>
            </w:r>
          </w:p>
        </w:tc>
      </w:tr>
      <w:tr w:rsidR="00282D7E" w:rsidRPr="00282D7E" w14:paraId="7EE49D15"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6B82481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0292.jpg</w:t>
            </w:r>
          </w:p>
        </w:tc>
        <w:tc>
          <w:tcPr>
            <w:tcW w:w="2719" w:type="dxa"/>
            <w:tcBorders>
              <w:top w:val="single" w:sz="4" w:space="0" w:color="000000"/>
              <w:left w:val="single" w:sz="4" w:space="0" w:color="000000"/>
              <w:bottom w:val="single" w:sz="4" w:space="0" w:color="000000"/>
              <w:right w:val="single" w:sz="4" w:space="0" w:color="000000"/>
            </w:tcBorders>
          </w:tcPr>
          <w:p w14:paraId="001444C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Cheeseburger</w:t>
            </w:r>
          </w:p>
        </w:tc>
        <w:tc>
          <w:tcPr>
            <w:tcW w:w="3015" w:type="dxa"/>
            <w:tcBorders>
              <w:top w:val="single" w:sz="4" w:space="0" w:color="000000"/>
              <w:left w:val="single" w:sz="4" w:space="0" w:color="000000"/>
              <w:bottom w:val="single" w:sz="4" w:space="0" w:color="000000"/>
              <w:right w:val="single" w:sz="4" w:space="0" w:color="000000"/>
            </w:tcBorders>
          </w:tcPr>
          <w:p w14:paraId="249EE5D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62.13</w:t>
            </w:r>
          </w:p>
        </w:tc>
      </w:tr>
      <w:tr w:rsidR="00282D7E" w:rsidRPr="00282D7E" w14:paraId="0339D3F8"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236B21A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0293.jpg</w:t>
            </w:r>
          </w:p>
        </w:tc>
        <w:tc>
          <w:tcPr>
            <w:tcW w:w="2719" w:type="dxa"/>
            <w:tcBorders>
              <w:top w:val="single" w:sz="4" w:space="0" w:color="000000"/>
              <w:left w:val="single" w:sz="4" w:space="0" w:color="000000"/>
              <w:bottom w:val="single" w:sz="4" w:space="0" w:color="000000"/>
              <w:right w:val="single" w:sz="4" w:space="0" w:color="000000"/>
            </w:tcBorders>
          </w:tcPr>
          <w:p w14:paraId="5FF689E3"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Chicken nuggets</w:t>
            </w:r>
          </w:p>
        </w:tc>
        <w:tc>
          <w:tcPr>
            <w:tcW w:w="3015" w:type="dxa"/>
            <w:tcBorders>
              <w:top w:val="single" w:sz="4" w:space="0" w:color="000000"/>
              <w:left w:val="single" w:sz="4" w:space="0" w:color="000000"/>
              <w:bottom w:val="single" w:sz="4" w:space="0" w:color="000000"/>
              <w:right w:val="single" w:sz="4" w:space="0" w:color="000000"/>
            </w:tcBorders>
          </w:tcPr>
          <w:p w14:paraId="1014A63B"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48.62</w:t>
            </w:r>
          </w:p>
        </w:tc>
      </w:tr>
      <w:tr w:rsidR="00282D7E" w:rsidRPr="00282D7E" w14:paraId="406F15DD"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5C857CD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0301.jpg</w:t>
            </w:r>
          </w:p>
        </w:tc>
        <w:tc>
          <w:tcPr>
            <w:tcW w:w="2719" w:type="dxa"/>
            <w:tcBorders>
              <w:top w:val="single" w:sz="4" w:space="0" w:color="000000"/>
              <w:left w:val="single" w:sz="4" w:space="0" w:color="000000"/>
              <w:bottom w:val="single" w:sz="4" w:space="0" w:color="000000"/>
              <w:right w:val="single" w:sz="4" w:space="0" w:color="000000"/>
            </w:tcBorders>
          </w:tcPr>
          <w:p w14:paraId="0813940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Croissants</w:t>
            </w:r>
          </w:p>
        </w:tc>
        <w:tc>
          <w:tcPr>
            <w:tcW w:w="3015" w:type="dxa"/>
            <w:tcBorders>
              <w:top w:val="single" w:sz="4" w:space="0" w:color="000000"/>
              <w:left w:val="single" w:sz="4" w:space="0" w:color="000000"/>
              <w:bottom w:val="single" w:sz="4" w:space="0" w:color="000000"/>
              <w:right w:val="single" w:sz="4" w:space="0" w:color="000000"/>
            </w:tcBorders>
          </w:tcPr>
          <w:p w14:paraId="7222E9C5"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71.10</w:t>
            </w:r>
          </w:p>
        </w:tc>
      </w:tr>
      <w:tr w:rsidR="00282D7E" w:rsidRPr="00282D7E" w14:paraId="6F20D014"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00A69D53"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0312.jpg</w:t>
            </w:r>
          </w:p>
        </w:tc>
        <w:tc>
          <w:tcPr>
            <w:tcW w:w="2719" w:type="dxa"/>
            <w:tcBorders>
              <w:top w:val="single" w:sz="4" w:space="0" w:color="000000"/>
              <w:left w:val="single" w:sz="4" w:space="0" w:color="000000"/>
              <w:bottom w:val="single" w:sz="4" w:space="0" w:color="000000"/>
              <w:right w:val="single" w:sz="4" w:space="0" w:color="000000"/>
            </w:tcBorders>
          </w:tcPr>
          <w:p w14:paraId="12EE2B0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Ice-creams</w:t>
            </w:r>
          </w:p>
        </w:tc>
        <w:tc>
          <w:tcPr>
            <w:tcW w:w="3015" w:type="dxa"/>
            <w:tcBorders>
              <w:top w:val="single" w:sz="4" w:space="0" w:color="000000"/>
              <w:left w:val="single" w:sz="4" w:space="0" w:color="000000"/>
              <w:bottom w:val="single" w:sz="4" w:space="0" w:color="000000"/>
              <w:right w:val="single" w:sz="4" w:space="0" w:color="000000"/>
            </w:tcBorders>
          </w:tcPr>
          <w:p w14:paraId="55F690E0"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75.96</w:t>
            </w:r>
          </w:p>
        </w:tc>
      </w:tr>
      <w:tr w:rsidR="00282D7E" w:rsidRPr="00282D7E" w14:paraId="00A13FB3"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58DB8A9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0315.jpg</w:t>
            </w:r>
          </w:p>
        </w:tc>
        <w:tc>
          <w:tcPr>
            <w:tcW w:w="2719" w:type="dxa"/>
            <w:tcBorders>
              <w:top w:val="single" w:sz="4" w:space="0" w:color="000000"/>
              <w:left w:val="single" w:sz="4" w:space="0" w:color="000000"/>
              <w:bottom w:val="single" w:sz="4" w:space="0" w:color="000000"/>
              <w:right w:val="single" w:sz="4" w:space="0" w:color="000000"/>
            </w:tcBorders>
          </w:tcPr>
          <w:p w14:paraId="7960E8D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Hotdog</w:t>
            </w:r>
          </w:p>
        </w:tc>
        <w:tc>
          <w:tcPr>
            <w:tcW w:w="3015" w:type="dxa"/>
            <w:tcBorders>
              <w:top w:val="single" w:sz="4" w:space="0" w:color="000000"/>
              <w:left w:val="single" w:sz="4" w:space="0" w:color="000000"/>
              <w:bottom w:val="single" w:sz="4" w:space="0" w:color="000000"/>
              <w:right w:val="single" w:sz="4" w:space="0" w:color="000000"/>
            </w:tcBorders>
          </w:tcPr>
          <w:p w14:paraId="15D0A6F2"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51.93</w:t>
            </w:r>
          </w:p>
        </w:tc>
      </w:tr>
      <w:tr w:rsidR="00282D7E" w:rsidRPr="00282D7E" w14:paraId="4F610D82"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451568D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0328.jpg</w:t>
            </w:r>
          </w:p>
        </w:tc>
        <w:tc>
          <w:tcPr>
            <w:tcW w:w="2719" w:type="dxa"/>
            <w:tcBorders>
              <w:top w:val="single" w:sz="4" w:space="0" w:color="000000"/>
              <w:left w:val="single" w:sz="4" w:space="0" w:color="000000"/>
              <w:bottom w:val="single" w:sz="4" w:space="0" w:color="000000"/>
              <w:right w:val="single" w:sz="4" w:space="0" w:color="000000"/>
            </w:tcBorders>
          </w:tcPr>
          <w:p w14:paraId="61636CB3"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Chocolate chip cookies</w:t>
            </w:r>
          </w:p>
        </w:tc>
        <w:tc>
          <w:tcPr>
            <w:tcW w:w="3015" w:type="dxa"/>
            <w:tcBorders>
              <w:top w:val="single" w:sz="4" w:space="0" w:color="000000"/>
              <w:left w:val="single" w:sz="4" w:space="0" w:color="000000"/>
              <w:bottom w:val="single" w:sz="4" w:space="0" w:color="000000"/>
              <w:right w:val="single" w:sz="4" w:space="0" w:color="000000"/>
            </w:tcBorders>
          </w:tcPr>
          <w:p w14:paraId="3E4DF29C"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76.31</w:t>
            </w:r>
          </w:p>
        </w:tc>
      </w:tr>
      <w:tr w:rsidR="00282D7E" w:rsidRPr="00282D7E" w14:paraId="2B518C71"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59500EF7"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0336.jpg</w:t>
            </w:r>
          </w:p>
        </w:tc>
        <w:tc>
          <w:tcPr>
            <w:tcW w:w="2719" w:type="dxa"/>
            <w:tcBorders>
              <w:top w:val="single" w:sz="4" w:space="0" w:color="000000"/>
              <w:left w:val="single" w:sz="4" w:space="0" w:color="000000"/>
              <w:bottom w:val="single" w:sz="4" w:space="0" w:color="000000"/>
              <w:right w:val="single" w:sz="4" w:space="0" w:color="000000"/>
            </w:tcBorders>
          </w:tcPr>
          <w:p w14:paraId="6F5AF24B"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Popcorn</w:t>
            </w:r>
          </w:p>
        </w:tc>
        <w:tc>
          <w:tcPr>
            <w:tcW w:w="3015" w:type="dxa"/>
            <w:tcBorders>
              <w:top w:val="single" w:sz="4" w:space="0" w:color="000000"/>
              <w:left w:val="single" w:sz="4" w:space="0" w:color="000000"/>
              <w:bottom w:val="single" w:sz="4" w:space="0" w:color="000000"/>
              <w:right w:val="single" w:sz="4" w:space="0" w:color="000000"/>
            </w:tcBorders>
          </w:tcPr>
          <w:p w14:paraId="0F0E1BE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65.26</w:t>
            </w:r>
          </w:p>
        </w:tc>
      </w:tr>
      <w:tr w:rsidR="00282D7E" w:rsidRPr="00282D7E" w14:paraId="2EB8661E"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728599DF"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0340.jpg</w:t>
            </w:r>
          </w:p>
        </w:tc>
        <w:tc>
          <w:tcPr>
            <w:tcW w:w="2719" w:type="dxa"/>
            <w:tcBorders>
              <w:top w:val="single" w:sz="4" w:space="0" w:color="000000"/>
              <w:left w:val="single" w:sz="4" w:space="0" w:color="000000"/>
              <w:bottom w:val="single" w:sz="4" w:space="0" w:color="000000"/>
              <w:right w:val="single" w:sz="4" w:space="0" w:color="000000"/>
            </w:tcBorders>
          </w:tcPr>
          <w:p w14:paraId="0A6D0384"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Moulded potatoes</w:t>
            </w:r>
          </w:p>
        </w:tc>
        <w:tc>
          <w:tcPr>
            <w:tcW w:w="3015" w:type="dxa"/>
            <w:tcBorders>
              <w:top w:val="single" w:sz="4" w:space="0" w:color="000000"/>
              <w:left w:val="single" w:sz="4" w:space="0" w:color="000000"/>
              <w:bottom w:val="single" w:sz="4" w:space="0" w:color="000000"/>
              <w:right w:val="single" w:sz="4" w:space="0" w:color="000000"/>
            </w:tcBorders>
          </w:tcPr>
          <w:p w14:paraId="132C8A0A"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12.95</w:t>
            </w:r>
          </w:p>
        </w:tc>
      </w:tr>
      <w:tr w:rsidR="00282D7E" w:rsidRPr="00282D7E" w14:paraId="212F0765" w14:textId="77777777" w:rsidTr="002A1E63">
        <w:tc>
          <w:tcPr>
            <w:tcW w:w="3282" w:type="dxa"/>
            <w:tcBorders>
              <w:top w:val="single" w:sz="4" w:space="0" w:color="000000"/>
              <w:left w:val="single" w:sz="4" w:space="0" w:color="000000"/>
              <w:bottom w:val="single" w:sz="4" w:space="0" w:color="000000"/>
              <w:right w:val="single" w:sz="4" w:space="0" w:color="000000"/>
            </w:tcBorders>
          </w:tcPr>
          <w:p w14:paraId="7332677C"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0357.jpg</w:t>
            </w:r>
          </w:p>
        </w:tc>
        <w:tc>
          <w:tcPr>
            <w:tcW w:w="2719" w:type="dxa"/>
            <w:tcBorders>
              <w:top w:val="single" w:sz="4" w:space="0" w:color="000000"/>
              <w:left w:val="single" w:sz="4" w:space="0" w:color="000000"/>
              <w:bottom w:val="single" w:sz="4" w:space="0" w:color="000000"/>
              <w:right w:val="single" w:sz="4" w:space="0" w:color="000000"/>
            </w:tcBorders>
          </w:tcPr>
          <w:p w14:paraId="6FB8F109"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Pizza</w:t>
            </w:r>
          </w:p>
        </w:tc>
        <w:tc>
          <w:tcPr>
            <w:tcW w:w="3015" w:type="dxa"/>
            <w:tcBorders>
              <w:top w:val="single" w:sz="4" w:space="0" w:color="000000"/>
              <w:left w:val="single" w:sz="4" w:space="0" w:color="000000"/>
              <w:bottom w:val="single" w:sz="4" w:space="0" w:color="000000"/>
              <w:right w:val="single" w:sz="4" w:space="0" w:color="000000"/>
            </w:tcBorders>
          </w:tcPr>
          <w:p w14:paraId="2503E32D" w14:textId="77777777" w:rsidR="00282D7E" w:rsidRPr="00282D7E" w:rsidRDefault="00282D7E" w:rsidP="00282D7E">
            <w:pPr>
              <w:pStyle w:val="NoSpacing"/>
              <w:spacing w:line="480" w:lineRule="auto"/>
              <w:jc w:val="center"/>
              <w:rPr>
                <w:rFonts w:asciiTheme="majorBidi" w:hAnsiTheme="majorBidi" w:cstheme="majorBidi"/>
              </w:rPr>
            </w:pPr>
            <w:r w:rsidRPr="00282D7E">
              <w:rPr>
                <w:rFonts w:asciiTheme="majorBidi" w:hAnsiTheme="majorBidi" w:cstheme="majorBidi"/>
              </w:rPr>
              <w:t>75.80</w:t>
            </w:r>
          </w:p>
        </w:tc>
      </w:tr>
    </w:tbl>
    <w:p w14:paraId="1A32E4EF" w14:textId="77777777" w:rsidR="00282D7E" w:rsidRPr="00282D7E" w:rsidRDefault="00282D7E" w:rsidP="00282D7E">
      <w:pPr>
        <w:pStyle w:val="NoSpacing"/>
        <w:spacing w:line="480" w:lineRule="auto"/>
        <w:rPr>
          <w:rFonts w:asciiTheme="majorBidi" w:hAnsiTheme="majorBidi" w:cstheme="majorBidi"/>
        </w:rPr>
      </w:pPr>
      <w:r w:rsidRPr="00282D7E">
        <w:rPr>
          <w:rFonts w:asciiTheme="majorBidi" w:hAnsiTheme="majorBidi" w:cstheme="majorBidi"/>
          <w:i/>
          <w:iCs/>
        </w:rPr>
        <w:t>Note</w:t>
      </w:r>
      <w:r w:rsidRPr="00282D7E">
        <w:rPr>
          <w:rFonts w:asciiTheme="majorBidi" w:hAnsiTheme="majorBidi" w:cstheme="majorBidi"/>
        </w:rPr>
        <w:t xml:space="preserve">. Images included both sweet and savoury images so that there was a variation for participants to view and make value ratings about. We acknowledge that preferences across people will be different. Importantly, we can accommodate for these preferences because our task is personalised for every participant to reflect their own individual judgements. In the process of designing the study, we piloted the selection of images with </w:t>
      </w:r>
      <w:r w:rsidRPr="00282D7E">
        <w:rPr>
          <w:rFonts w:asciiTheme="majorBidi" w:hAnsiTheme="majorBidi" w:cstheme="majorBidi"/>
          <w:i/>
          <w:iCs/>
        </w:rPr>
        <w:t>n</w:t>
      </w:r>
      <w:r w:rsidRPr="00282D7E">
        <w:rPr>
          <w:rFonts w:asciiTheme="majorBidi" w:hAnsiTheme="majorBidi" w:cstheme="majorBidi"/>
        </w:rPr>
        <w:t xml:space="preserve"> = 6 (the image-rating phase of the task), to ensure that there was sufficient variability within the images for people to place them into the different value categories. </w:t>
      </w:r>
    </w:p>
    <w:p w14:paraId="2D857274" w14:textId="77777777" w:rsidR="00282D7E" w:rsidRPr="00282D7E" w:rsidRDefault="00282D7E" w:rsidP="00282D7E">
      <w:pPr>
        <w:pStyle w:val="NoSpacing"/>
        <w:spacing w:line="480" w:lineRule="auto"/>
        <w:rPr>
          <w:rFonts w:asciiTheme="majorBidi" w:hAnsiTheme="majorBidi" w:cstheme="majorBidi"/>
          <w:b/>
          <w:bCs/>
        </w:rPr>
      </w:pPr>
    </w:p>
    <w:p w14:paraId="366BE795" w14:textId="6E8DFB57" w:rsidR="00282D7E" w:rsidRPr="00D53261" w:rsidRDefault="00282D7E" w:rsidP="00D53261">
      <w:pPr>
        <w:pStyle w:val="NoSpacing"/>
        <w:spacing w:line="480" w:lineRule="auto"/>
        <w:rPr>
          <w:rFonts w:asciiTheme="majorBidi" w:hAnsiTheme="majorBidi" w:cstheme="majorBidi"/>
        </w:rPr>
        <w:sectPr w:rsidR="00282D7E" w:rsidRPr="00D53261" w:rsidSect="00F257A7">
          <w:headerReference w:type="default" r:id="rId83"/>
          <w:footerReference w:type="default" r:id="rId84"/>
          <w:pgSz w:w="11906" w:h="16838"/>
          <w:pgMar w:top="1440" w:right="1440" w:bottom="1440" w:left="1440" w:header="0" w:footer="708" w:gutter="0"/>
          <w:pgNumType w:start="350"/>
          <w:cols w:space="720"/>
          <w:formProt w:val="0"/>
          <w:docGrid w:linePitch="326" w:charSpace="12288"/>
        </w:sectPr>
      </w:pPr>
    </w:p>
    <w:p w14:paraId="1C48F32C" w14:textId="77777777" w:rsidR="00001812" w:rsidRPr="00001812" w:rsidRDefault="00001812" w:rsidP="00001812">
      <w:pPr>
        <w:pStyle w:val="NoSpacing"/>
        <w:spacing w:line="480" w:lineRule="auto"/>
        <w:rPr>
          <w:rFonts w:ascii="Times New Roman" w:hAnsi="Times New Roman" w:cs="Times New Roman"/>
          <w:b/>
          <w:bCs/>
        </w:rPr>
      </w:pPr>
      <w:r w:rsidRPr="00001812">
        <w:rPr>
          <w:rFonts w:ascii="Times New Roman" w:hAnsi="Times New Roman" w:cs="Times New Roman"/>
          <w:b/>
          <w:bCs/>
        </w:rPr>
        <w:lastRenderedPageBreak/>
        <w:t>4. Methods: Exact wording used in the task.</w:t>
      </w:r>
    </w:p>
    <w:p w14:paraId="35A5AE2F" w14:textId="77777777" w:rsidR="00001812" w:rsidRPr="00001812" w:rsidRDefault="00001812" w:rsidP="00001812">
      <w:pPr>
        <w:pStyle w:val="NoSpacing"/>
        <w:spacing w:line="480" w:lineRule="auto"/>
        <w:rPr>
          <w:rFonts w:ascii="Times New Roman" w:hAnsi="Times New Roman" w:cs="Times New Roman"/>
          <w:u w:val="single"/>
        </w:rPr>
      </w:pPr>
      <w:r w:rsidRPr="00001812">
        <w:rPr>
          <w:rFonts w:ascii="Times New Roman" w:hAnsi="Times New Roman" w:cs="Times New Roman"/>
          <w:u w:val="single"/>
        </w:rPr>
        <w:t>Image-rating phase:</w:t>
      </w:r>
    </w:p>
    <w:p w14:paraId="27C4B512" w14:textId="4EB2D3FC" w:rsidR="00001812" w:rsidRPr="00001812" w:rsidRDefault="00001812" w:rsidP="00001812">
      <w:pPr>
        <w:pStyle w:val="NoSpacing"/>
        <w:numPr>
          <w:ilvl w:val="0"/>
          <w:numId w:val="14"/>
        </w:numPr>
        <w:spacing w:line="480" w:lineRule="auto"/>
        <w:rPr>
          <w:rFonts w:ascii="Times New Roman" w:hAnsi="Times New Roman" w:cs="Times New Roman"/>
        </w:rPr>
      </w:pPr>
      <w:r w:rsidRPr="00001812">
        <w:rPr>
          <w:rFonts w:ascii="Times New Roman" w:hAnsi="Times New Roman" w:cs="Times New Roman"/>
        </w:rPr>
        <w:t xml:space="preserve">“In this part of the task you will be shown 30 images of food. We would like you to use the computer mouse to DRAG and DROP each of the images into 1 of 4 boxes, labelled: ‘A lot’, ‘A little bit’, ‘Not really, and ‘Not at all’, depending on how much you would like to consume the food depicted in the image right now” </w:t>
      </w:r>
    </w:p>
    <w:p w14:paraId="406332EE" w14:textId="77777777" w:rsidR="00001812" w:rsidRPr="00001812" w:rsidRDefault="00001812" w:rsidP="00001812">
      <w:pPr>
        <w:pStyle w:val="NoSpacing"/>
        <w:numPr>
          <w:ilvl w:val="0"/>
          <w:numId w:val="14"/>
        </w:numPr>
        <w:spacing w:line="480" w:lineRule="auto"/>
        <w:rPr>
          <w:rFonts w:ascii="Times New Roman" w:hAnsi="Times New Roman" w:cs="Times New Roman"/>
        </w:rPr>
      </w:pPr>
      <w:r w:rsidRPr="00001812">
        <w:rPr>
          <w:rFonts w:ascii="Times New Roman" w:hAnsi="Times New Roman" w:cs="Times New Roman"/>
        </w:rPr>
        <w:t xml:space="preserve">“Once you have placed an image within a box, this is not fixed. You can reset images by clicking on them, and then replace them in another box. Each box can hold up to 10 images. </w:t>
      </w:r>
    </w:p>
    <w:p w14:paraId="38A5A190" w14:textId="77777777" w:rsidR="00001812" w:rsidRPr="00001812" w:rsidRDefault="00001812" w:rsidP="00001812">
      <w:pPr>
        <w:pStyle w:val="NoSpacing"/>
        <w:numPr>
          <w:ilvl w:val="0"/>
          <w:numId w:val="14"/>
        </w:numPr>
        <w:spacing w:line="480" w:lineRule="auto"/>
        <w:rPr>
          <w:rFonts w:ascii="Times New Roman" w:hAnsi="Times New Roman" w:cs="Times New Roman"/>
        </w:rPr>
      </w:pPr>
      <w:r w:rsidRPr="00001812">
        <w:rPr>
          <w:rFonts w:ascii="Times New Roman" w:hAnsi="Times New Roman" w:cs="Times New Roman"/>
        </w:rPr>
        <w:t>Please take your time and consider your rating of each image separately. Interpret the food in the images how they are, so if they have mould on them, assume they are mouldy food. You can only proceed once you have rated all 30 images, and once each box contains at least 5 images in total. Please press the space bar when you are ready”.</w:t>
      </w:r>
    </w:p>
    <w:p w14:paraId="4533E7A1" w14:textId="77777777" w:rsidR="00001812" w:rsidRPr="00001812" w:rsidRDefault="00001812" w:rsidP="00001812">
      <w:pPr>
        <w:pStyle w:val="NoSpacing"/>
        <w:spacing w:line="480" w:lineRule="auto"/>
        <w:rPr>
          <w:rFonts w:ascii="Times New Roman" w:hAnsi="Times New Roman" w:cs="Times New Roman"/>
          <w:u w:val="single"/>
        </w:rPr>
      </w:pPr>
    </w:p>
    <w:p w14:paraId="7349EEEA" w14:textId="77777777" w:rsidR="00001812" w:rsidRPr="00001812" w:rsidRDefault="00001812" w:rsidP="00001812">
      <w:pPr>
        <w:pStyle w:val="NoSpacing"/>
        <w:spacing w:line="480" w:lineRule="auto"/>
        <w:rPr>
          <w:rFonts w:ascii="Times New Roman" w:hAnsi="Times New Roman" w:cs="Times New Roman"/>
          <w:u w:val="single"/>
        </w:rPr>
      </w:pPr>
      <w:r w:rsidRPr="00001812">
        <w:rPr>
          <w:rFonts w:ascii="Times New Roman" w:hAnsi="Times New Roman" w:cs="Times New Roman"/>
          <w:u w:val="single"/>
        </w:rPr>
        <w:t xml:space="preserve">Guidance before each block of trials: </w:t>
      </w:r>
    </w:p>
    <w:p w14:paraId="4A0991FB" w14:textId="19AA1A0F" w:rsidR="00001812" w:rsidRPr="00001812" w:rsidRDefault="00001812" w:rsidP="00001812">
      <w:pPr>
        <w:pStyle w:val="NoSpacing"/>
        <w:spacing w:line="480" w:lineRule="auto"/>
        <w:rPr>
          <w:rFonts w:ascii="Times New Roman" w:hAnsi="Times New Roman" w:cs="Times New Roman"/>
        </w:rPr>
      </w:pPr>
      <w:r w:rsidRPr="00001812">
        <w:rPr>
          <w:rFonts w:ascii="Times New Roman" w:hAnsi="Times New Roman" w:cs="Times New Roman"/>
        </w:rPr>
        <w:t xml:space="preserve">“This is the start of a block of trials where we will ask you to think about the images in a specific way”. </w:t>
      </w:r>
    </w:p>
    <w:p w14:paraId="5C68B728" w14:textId="2DB664C7" w:rsidR="00001812" w:rsidRPr="00001812" w:rsidRDefault="00001812" w:rsidP="00001812">
      <w:pPr>
        <w:pStyle w:val="NoSpacing"/>
        <w:numPr>
          <w:ilvl w:val="0"/>
          <w:numId w:val="13"/>
        </w:numPr>
        <w:spacing w:line="480" w:lineRule="auto"/>
        <w:rPr>
          <w:rFonts w:ascii="Times New Roman" w:hAnsi="Times New Roman" w:cs="Times New Roman"/>
        </w:rPr>
      </w:pPr>
      <w:r w:rsidRPr="00001812">
        <w:rPr>
          <w:rFonts w:ascii="Times New Roman" w:hAnsi="Times New Roman" w:cs="Times New Roman"/>
        </w:rPr>
        <w:t xml:space="preserve">In the recall block: “In this block we would like you to think back to when you rated the images and select the image that you rated you would rather consume, press the space bar to begin”. </w:t>
      </w:r>
    </w:p>
    <w:p w14:paraId="27F67FE7" w14:textId="4944EA07" w:rsidR="00001812" w:rsidRPr="00001812" w:rsidRDefault="00001812" w:rsidP="00001812">
      <w:pPr>
        <w:pStyle w:val="NoSpacing"/>
        <w:numPr>
          <w:ilvl w:val="0"/>
          <w:numId w:val="13"/>
        </w:numPr>
        <w:spacing w:line="480" w:lineRule="auto"/>
        <w:rPr>
          <w:rFonts w:ascii="Times New Roman" w:hAnsi="Times New Roman" w:cs="Times New Roman"/>
        </w:rPr>
      </w:pPr>
      <w:r w:rsidRPr="00001812">
        <w:rPr>
          <w:rFonts w:ascii="Times New Roman" w:hAnsi="Times New Roman" w:cs="Times New Roman"/>
        </w:rPr>
        <w:t xml:space="preserve">In the like block: “In this block you will be asked to choose which image you like the most, press the space bar to begin”. </w:t>
      </w:r>
    </w:p>
    <w:p w14:paraId="3695906B" w14:textId="77777777" w:rsidR="00001812" w:rsidRPr="00001812" w:rsidRDefault="00001812" w:rsidP="00001812">
      <w:pPr>
        <w:pStyle w:val="NoSpacing"/>
        <w:numPr>
          <w:ilvl w:val="0"/>
          <w:numId w:val="13"/>
        </w:numPr>
        <w:spacing w:line="480" w:lineRule="auto"/>
        <w:rPr>
          <w:rFonts w:ascii="Times New Roman" w:hAnsi="Times New Roman" w:cs="Times New Roman"/>
          <w:u w:val="single"/>
        </w:rPr>
      </w:pPr>
      <w:r w:rsidRPr="00001812">
        <w:rPr>
          <w:rFonts w:ascii="Times New Roman" w:hAnsi="Times New Roman" w:cs="Times New Roman"/>
        </w:rPr>
        <w:lastRenderedPageBreak/>
        <w:t xml:space="preserve">In the consume block: “In this block you will be asked to choose which image you would rather consume </w:t>
      </w:r>
      <w:r w:rsidRPr="00001812">
        <w:rPr>
          <w:rFonts w:ascii="Times New Roman" w:hAnsi="Times New Roman" w:cs="Times New Roman"/>
          <w:i/>
          <w:iCs/>
        </w:rPr>
        <w:t>right now</w:t>
      </w:r>
      <w:r w:rsidRPr="00001812">
        <w:rPr>
          <w:rFonts w:ascii="Times New Roman" w:hAnsi="Times New Roman" w:cs="Times New Roman"/>
        </w:rPr>
        <w:t>, press the space bar to begin”.</w:t>
      </w:r>
    </w:p>
    <w:p w14:paraId="22D227FF" w14:textId="77777777" w:rsidR="00001812" w:rsidRPr="00001812" w:rsidRDefault="00001812" w:rsidP="00001812">
      <w:pPr>
        <w:pStyle w:val="NoSpacing"/>
        <w:rPr>
          <w:b/>
          <w:bCs/>
        </w:rPr>
      </w:pPr>
    </w:p>
    <w:p w14:paraId="73553448" w14:textId="77777777" w:rsidR="00001812" w:rsidRPr="00001812" w:rsidRDefault="00001812" w:rsidP="00001812">
      <w:pPr>
        <w:pStyle w:val="NoSpacing"/>
        <w:rPr>
          <w:b/>
          <w:bCs/>
        </w:rPr>
      </w:pPr>
    </w:p>
    <w:p w14:paraId="26C39569" w14:textId="488528A0" w:rsidR="00001812" w:rsidRDefault="00001812" w:rsidP="00001812">
      <w:pPr>
        <w:pStyle w:val="NoSpacing"/>
        <w:rPr>
          <w:b/>
          <w:bCs/>
        </w:rPr>
      </w:pPr>
    </w:p>
    <w:p w14:paraId="377453F3" w14:textId="04C5523E" w:rsidR="00001812" w:rsidRDefault="00001812" w:rsidP="00001812">
      <w:pPr>
        <w:pStyle w:val="NoSpacing"/>
        <w:rPr>
          <w:b/>
          <w:bCs/>
        </w:rPr>
      </w:pPr>
    </w:p>
    <w:p w14:paraId="20F0DA82" w14:textId="52FB79BA" w:rsidR="00001812" w:rsidRDefault="00001812" w:rsidP="00001812">
      <w:pPr>
        <w:pStyle w:val="NoSpacing"/>
        <w:rPr>
          <w:b/>
          <w:bCs/>
        </w:rPr>
      </w:pPr>
    </w:p>
    <w:p w14:paraId="1479BFDF" w14:textId="1DC285B0" w:rsidR="00001812" w:rsidRDefault="00001812" w:rsidP="00001812">
      <w:pPr>
        <w:pStyle w:val="NoSpacing"/>
        <w:rPr>
          <w:b/>
          <w:bCs/>
        </w:rPr>
      </w:pPr>
    </w:p>
    <w:p w14:paraId="4A8F62D7" w14:textId="79CFAAE4" w:rsidR="00001812" w:rsidRDefault="00001812" w:rsidP="00001812">
      <w:pPr>
        <w:pStyle w:val="NoSpacing"/>
        <w:rPr>
          <w:b/>
          <w:bCs/>
        </w:rPr>
      </w:pPr>
    </w:p>
    <w:p w14:paraId="2EDBF666" w14:textId="47886D6A" w:rsidR="00001812" w:rsidRDefault="00001812" w:rsidP="00001812">
      <w:pPr>
        <w:pStyle w:val="NoSpacing"/>
        <w:rPr>
          <w:b/>
          <w:bCs/>
        </w:rPr>
      </w:pPr>
    </w:p>
    <w:p w14:paraId="57DA447D" w14:textId="6B82461A" w:rsidR="00001812" w:rsidRDefault="00001812" w:rsidP="00001812">
      <w:pPr>
        <w:pStyle w:val="NoSpacing"/>
        <w:rPr>
          <w:b/>
          <w:bCs/>
        </w:rPr>
      </w:pPr>
    </w:p>
    <w:p w14:paraId="7FC8335A" w14:textId="3E66F0B7" w:rsidR="00001812" w:rsidRDefault="00001812" w:rsidP="00001812">
      <w:pPr>
        <w:pStyle w:val="NoSpacing"/>
        <w:rPr>
          <w:b/>
          <w:bCs/>
        </w:rPr>
      </w:pPr>
    </w:p>
    <w:p w14:paraId="0E2D816A" w14:textId="02CA6653" w:rsidR="00001812" w:rsidRDefault="00001812" w:rsidP="00001812">
      <w:pPr>
        <w:pStyle w:val="NoSpacing"/>
        <w:rPr>
          <w:b/>
          <w:bCs/>
        </w:rPr>
      </w:pPr>
    </w:p>
    <w:p w14:paraId="29C43514" w14:textId="6734F936" w:rsidR="00001812" w:rsidRDefault="00001812" w:rsidP="00001812">
      <w:pPr>
        <w:pStyle w:val="NoSpacing"/>
        <w:rPr>
          <w:b/>
          <w:bCs/>
        </w:rPr>
      </w:pPr>
    </w:p>
    <w:p w14:paraId="76497F41" w14:textId="7CA3DD5E" w:rsidR="00001812" w:rsidRDefault="00001812" w:rsidP="00001812">
      <w:pPr>
        <w:pStyle w:val="NoSpacing"/>
        <w:rPr>
          <w:b/>
          <w:bCs/>
        </w:rPr>
      </w:pPr>
    </w:p>
    <w:p w14:paraId="3570499F" w14:textId="2FC536F3" w:rsidR="00001812" w:rsidRDefault="00001812" w:rsidP="00001812">
      <w:pPr>
        <w:pStyle w:val="NoSpacing"/>
        <w:rPr>
          <w:b/>
          <w:bCs/>
        </w:rPr>
      </w:pPr>
    </w:p>
    <w:p w14:paraId="3BD9C81E" w14:textId="2CDEF773" w:rsidR="00001812" w:rsidRDefault="00001812" w:rsidP="00001812">
      <w:pPr>
        <w:pStyle w:val="NoSpacing"/>
        <w:rPr>
          <w:b/>
          <w:bCs/>
        </w:rPr>
      </w:pPr>
    </w:p>
    <w:p w14:paraId="00C7B45F" w14:textId="085F5FD4" w:rsidR="00001812" w:rsidRDefault="00001812" w:rsidP="00001812">
      <w:pPr>
        <w:pStyle w:val="NoSpacing"/>
        <w:rPr>
          <w:b/>
          <w:bCs/>
        </w:rPr>
      </w:pPr>
    </w:p>
    <w:p w14:paraId="4DEC0E26" w14:textId="73E7ADBE" w:rsidR="00001812" w:rsidRDefault="00001812" w:rsidP="00001812">
      <w:pPr>
        <w:pStyle w:val="NoSpacing"/>
        <w:rPr>
          <w:b/>
          <w:bCs/>
        </w:rPr>
      </w:pPr>
    </w:p>
    <w:p w14:paraId="1A0143C4" w14:textId="3D9185DA" w:rsidR="00001812" w:rsidRDefault="00001812" w:rsidP="00001812">
      <w:pPr>
        <w:pStyle w:val="NoSpacing"/>
        <w:rPr>
          <w:b/>
          <w:bCs/>
        </w:rPr>
      </w:pPr>
    </w:p>
    <w:p w14:paraId="12C8D942" w14:textId="3E438361" w:rsidR="00001812" w:rsidRDefault="00001812" w:rsidP="00001812">
      <w:pPr>
        <w:pStyle w:val="NoSpacing"/>
        <w:rPr>
          <w:b/>
          <w:bCs/>
        </w:rPr>
      </w:pPr>
    </w:p>
    <w:p w14:paraId="3F14083D" w14:textId="7E8CEA7E" w:rsidR="00001812" w:rsidRDefault="00001812" w:rsidP="00001812">
      <w:pPr>
        <w:pStyle w:val="NoSpacing"/>
        <w:rPr>
          <w:b/>
          <w:bCs/>
        </w:rPr>
      </w:pPr>
    </w:p>
    <w:p w14:paraId="7F0CD7E9" w14:textId="2AC3F477" w:rsidR="00001812" w:rsidRDefault="00001812" w:rsidP="00001812">
      <w:pPr>
        <w:pStyle w:val="NoSpacing"/>
        <w:rPr>
          <w:b/>
          <w:bCs/>
        </w:rPr>
      </w:pPr>
    </w:p>
    <w:p w14:paraId="3A864595" w14:textId="4C28427D" w:rsidR="00001812" w:rsidRDefault="00001812" w:rsidP="00001812">
      <w:pPr>
        <w:pStyle w:val="NoSpacing"/>
        <w:rPr>
          <w:b/>
          <w:bCs/>
        </w:rPr>
      </w:pPr>
    </w:p>
    <w:p w14:paraId="3F8B9BB0" w14:textId="69E08674" w:rsidR="00001812" w:rsidRDefault="00001812" w:rsidP="00001812">
      <w:pPr>
        <w:pStyle w:val="NoSpacing"/>
        <w:rPr>
          <w:b/>
          <w:bCs/>
        </w:rPr>
      </w:pPr>
    </w:p>
    <w:p w14:paraId="6592EFF9" w14:textId="510D0982" w:rsidR="00001812" w:rsidRDefault="00001812" w:rsidP="00001812">
      <w:pPr>
        <w:pStyle w:val="NoSpacing"/>
        <w:rPr>
          <w:b/>
          <w:bCs/>
        </w:rPr>
      </w:pPr>
    </w:p>
    <w:p w14:paraId="7C32A933" w14:textId="3E91F5B9" w:rsidR="00001812" w:rsidRDefault="00001812" w:rsidP="00001812">
      <w:pPr>
        <w:pStyle w:val="NoSpacing"/>
        <w:rPr>
          <w:b/>
          <w:bCs/>
        </w:rPr>
      </w:pPr>
    </w:p>
    <w:p w14:paraId="008C9F24" w14:textId="2DC1CEE4" w:rsidR="00001812" w:rsidRDefault="00001812" w:rsidP="00001812">
      <w:pPr>
        <w:pStyle w:val="NoSpacing"/>
        <w:rPr>
          <w:b/>
          <w:bCs/>
        </w:rPr>
      </w:pPr>
    </w:p>
    <w:p w14:paraId="7F2ADE1D" w14:textId="2A97E959" w:rsidR="00001812" w:rsidRDefault="00001812" w:rsidP="00001812">
      <w:pPr>
        <w:pStyle w:val="NoSpacing"/>
        <w:rPr>
          <w:b/>
          <w:bCs/>
        </w:rPr>
      </w:pPr>
    </w:p>
    <w:p w14:paraId="20DFBF4B" w14:textId="42BA706B" w:rsidR="00001812" w:rsidRDefault="00001812" w:rsidP="00001812">
      <w:pPr>
        <w:pStyle w:val="NoSpacing"/>
        <w:rPr>
          <w:b/>
          <w:bCs/>
        </w:rPr>
      </w:pPr>
    </w:p>
    <w:p w14:paraId="0577A05A" w14:textId="594F4A40" w:rsidR="00001812" w:rsidRDefault="00001812" w:rsidP="00001812">
      <w:pPr>
        <w:pStyle w:val="NoSpacing"/>
        <w:rPr>
          <w:b/>
          <w:bCs/>
        </w:rPr>
      </w:pPr>
    </w:p>
    <w:p w14:paraId="51E063DF" w14:textId="28644E0F" w:rsidR="00001812" w:rsidRDefault="00001812" w:rsidP="00001812">
      <w:pPr>
        <w:pStyle w:val="NoSpacing"/>
        <w:rPr>
          <w:b/>
          <w:bCs/>
        </w:rPr>
      </w:pPr>
    </w:p>
    <w:p w14:paraId="2B136C71" w14:textId="23340079" w:rsidR="00001812" w:rsidRDefault="00001812" w:rsidP="00001812">
      <w:pPr>
        <w:pStyle w:val="NoSpacing"/>
        <w:rPr>
          <w:b/>
          <w:bCs/>
        </w:rPr>
      </w:pPr>
    </w:p>
    <w:p w14:paraId="1D02D822" w14:textId="112A5058" w:rsidR="00001812" w:rsidRDefault="00001812" w:rsidP="00001812">
      <w:pPr>
        <w:pStyle w:val="NoSpacing"/>
        <w:rPr>
          <w:b/>
          <w:bCs/>
        </w:rPr>
      </w:pPr>
    </w:p>
    <w:p w14:paraId="1F58F818" w14:textId="33326612" w:rsidR="00001812" w:rsidRDefault="00001812" w:rsidP="00001812">
      <w:pPr>
        <w:pStyle w:val="NoSpacing"/>
        <w:rPr>
          <w:b/>
          <w:bCs/>
        </w:rPr>
      </w:pPr>
    </w:p>
    <w:p w14:paraId="2F82809B" w14:textId="3C8C7966" w:rsidR="00001812" w:rsidRDefault="00001812" w:rsidP="00001812">
      <w:pPr>
        <w:pStyle w:val="NoSpacing"/>
        <w:rPr>
          <w:b/>
          <w:bCs/>
        </w:rPr>
      </w:pPr>
    </w:p>
    <w:p w14:paraId="741A15A5" w14:textId="27BD41BF" w:rsidR="00001812" w:rsidRDefault="00001812" w:rsidP="00001812">
      <w:pPr>
        <w:pStyle w:val="NoSpacing"/>
        <w:rPr>
          <w:b/>
          <w:bCs/>
        </w:rPr>
      </w:pPr>
    </w:p>
    <w:p w14:paraId="228FF7F5" w14:textId="082834FE" w:rsidR="00001812" w:rsidRDefault="00001812" w:rsidP="00001812">
      <w:pPr>
        <w:pStyle w:val="NoSpacing"/>
        <w:rPr>
          <w:b/>
          <w:bCs/>
        </w:rPr>
      </w:pPr>
    </w:p>
    <w:p w14:paraId="0985B697" w14:textId="69BA68D0" w:rsidR="00001812" w:rsidRDefault="00001812" w:rsidP="00001812">
      <w:pPr>
        <w:pStyle w:val="NoSpacing"/>
        <w:rPr>
          <w:b/>
          <w:bCs/>
        </w:rPr>
      </w:pPr>
    </w:p>
    <w:p w14:paraId="2F53E8FA" w14:textId="411D8A80" w:rsidR="00001812" w:rsidRDefault="00001812" w:rsidP="00001812">
      <w:pPr>
        <w:pStyle w:val="NoSpacing"/>
        <w:rPr>
          <w:b/>
          <w:bCs/>
        </w:rPr>
      </w:pPr>
    </w:p>
    <w:p w14:paraId="25571583" w14:textId="18E1013C" w:rsidR="00001812" w:rsidRDefault="00001812" w:rsidP="00001812">
      <w:pPr>
        <w:pStyle w:val="NoSpacing"/>
        <w:rPr>
          <w:b/>
          <w:bCs/>
        </w:rPr>
      </w:pPr>
    </w:p>
    <w:p w14:paraId="0AF90895" w14:textId="0ECAEEEF" w:rsidR="00001812" w:rsidRDefault="00001812" w:rsidP="00001812">
      <w:pPr>
        <w:pStyle w:val="NoSpacing"/>
        <w:rPr>
          <w:b/>
          <w:bCs/>
        </w:rPr>
      </w:pPr>
    </w:p>
    <w:p w14:paraId="1A3D0026" w14:textId="313B638F" w:rsidR="00001812" w:rsidRDefault="00001812" w:rsidP="00001812">
      <w:pPr>
        <w:pStyle w:val="NoSpacing"/>
        <w:rPr>
          <w:b/>
          <w:bCs/>
        </w:rPr>
      </w:pPr>
    </w:p>
    <w:p w14:paraId="4E672FCD" w14:textId="67A1B6EB" w:rsidR="00001812" w:rsidRDefault="00001812" w:rsidP="00001812">
      <w:pPr>
        <w:pStyle w:val="NoSpacing"/>
        <w:rPr>
          <w:b/>
          <w:bCs/>
        </w:rPr>
      </w:pPr>
    </w:p>
    <w:p w14:paraId="51D2F021" w14:textId="77777777" w:rsidR="00001812" w:rsidRPr="00001812" w:rsidRDefault="00001812" w:rsidP="00001812">
      <w:pPr>
        <w:pStyle w:val="NoSpacing"/>
        <w:spacing w:line="480" w:lineRule="auto"/>
        <w:rPr>
          <w:rFonts w:asciiTheme="majorBidi" w:hAnsiTheme="majorBidi" w:cstheme="majorBidi"/>
          <w:b/>
          <w:bCs/>
        </w:rPr>
      </w:pPr>
      <w:r w:rsidRPr="00001812">
        <w:rPr>
          <w:rFonts w:asciiTheme="majorBidi" w:hAnsiTheme="majorBidi" w:cstheme="majorBidi"/>
          <w:b/>
          <w:bCs/>
        </w:rPr>
        <w:lastRenderedPageBreak/>
        <w:t>5. Analysis: Post-hoc tests for thoroughness.</w:t>
      </w:r>
    </w:p>
    <w:p w14:paraId="24530831" w14:textId="5C4E4512" w:rsidR="00001812" w:rsidRPr="00001812" w:rsidRDefault="00001812" w:rsidP="00001812">
      <w:pPr>
        <w:pStyle w:val="NoSpacing"/>
        <w:spacing w:line="480" w:lineRule="auto"/>
        <w:rPr>
          <w:rFonts w:asciiTheme="majorBidi" w:hAnsiTheme="majorBidi" w:cstheme="majorBidi"/>
        </w:rPr>
      </w:pPr>
      <w:bookmarkStart w:id="386" w:name="_Hlk93940519"/>
      <w:r w:rsidRPr="00001812">
        <w:rPr>
          <w:rFonts w:asciiTheme="majorBidi" w:hAnsiTheme="majorBidi" w:cstheme="majorBidi"/>
        </w:rPr>
        <w:t xml:space="preserve">Further investigation of the non-significant main effect of trial wording (applying the Holm-Bonferroni correction to </w:t>
      </w:r>
      <w:r w:rsidRPr="00001812">
        <w:rPr>
          <w:rFonts w:asciiTheme="majorBidi" w:hAnsiTheme="majorBidi" w:cstheme="majorBidi"/>
          <w:i/>
          <w:iCs/>
        </w:rPr>
        <w:t>p</w:t>
      </w:r>
      <w:r w:rsidRPr="00001812">
        <w:rPr>
          <w:rFonts w:asciiTheme="majorBidi" w:hAnsiTheme="majorBidi" w:cstheme="majorBidi"/>
        </w:rPr>
        <w:t xml:space="preserve">-values for multiple comparison) revealed that EA rates between the three blocks of trial wording did not significantly differ (all </w:t>
      </w:r>
      <w:proofErr w:type="spellStart"/>
      <w:r w:rsidRPr="00001812">
        <w:rPr>
          <w:rFonts w:asciiTheme="majorBidi" w:hAnsiTheme="majorBidi" w:cstheme="majorBidi"/>
          <w:i/>
          <w:iCs/>
        </w:rPr>
        <w:t>p</w:t>
      </w:r>
      <w:r w:rsidRPr="00001812">
        <w:rPr>
          <w:rFonts w:asciiTheme="majorBidi" w:hAnsiTheme="majorBidi" w:cstheme="majorBidi"/>
        </w:rPr>
        <w:t>s</w:t>
      </w:r>
      <w:proofErr w:type="spellEnd"/>
      <w:r w:rsidRPr="00001812">
        <w:rPr>
          <w:rFonts w:asciiTheme="majorBidi" w:hAnsiTheme="majorBidi" w:cstheme="majorBidi"/>
        </w:rPr>
        <w:t xml:space="preserve"> &gt; .11). </w:t>
      </w:r>
      <w:bookmarkEnd w:id="386"/>
      <w:r w:rsidRPr="00001812">
        <w:rPr>
          <w:rFonts w:asciiTheme="majorBidi" w:hAnsiTheme="majorBidi" w:cstheme="majorBidi"/>
        </w:rPr>
        <w:t xml:space="preserve">More specifically, EA rates in the consume wording block (M = 1.95, SD = .92) were not significantly different to in the recall wording block (M = 1.96, SD = .82; </w:t>
      </w:r>
      <w:r w:rsidRPr="00001812">
        <w:rPr>
          <w:rFonts w:asciiTheme="majorBidi" w:hAnsiTheme="majorBidi" w:cstheme="majorBidi"/>
          <w:i/>
          <w:iCs/>
        </w:rPr>
        <w:t>p</w:t>
      </w:r>
      <w:r w:rsidRPr="00001812">
        <w:rPr>
          <w:rFonts w:asciiTheme="majorBidi" w:hAnsiTheme="majorBidi" w:cstheme="majorBidi"/>
        </w:rPr>
        <w:t xml:space="preserve"> = .89). Furthermore, EA rates in the like wording block (M = 1.80, SD = .90) were not significantly different to those in the consume wording block (</w:t>
      </w:r>
      <w:r w:rsidRPr="00001812">
        <w:rPr>
          <w:rFonts w:asciiTheme="majorBidi" w:hAnsiTheme="majorBidi" w:cstheme="majorBidi"/>
          <w:i/>
          <w:iCs/>
        </w:rPr>
        <w:t>p</w:t>
      </w:r>
      <w:r w:rsidRPr="00001812">
        <w:rPr>
          <w:rFonts w:asciiTheme="majorBidi" w:hAnsiTheme="majorBidi" w:cstheme="majorBidi"/>
        </w:rPr>
        <w:t xml:space="preserve"> = .11). Finally, EA rates in the like wording block were not significantly different to in the recall wording block (</w:t>
      </w:r>
      <w:r w:rsidRPr="00001812">
        <w:rPr>
          <w:rFonts w:asciiTheme="majorBidi" w:hAnsiTheme="majorBidi" w:cstheme="majorBidi"/>
          <w:i/>
          <w:iCs/>
        </w:rPr>
        <w:t>p</w:t>
      </w:r>
      <w:r w:rsidRPr="00001812">
        <w:rPr>
          <w:rFonts w:asciiTheme="majorBidi" w:hAnsiTheme="majorBidi" w:cstheme="majorBidi"/>
        </w:rPr>
        <w:t xml:space="preserve"> = .11).</w:t>
      </w:r>
    </w:p>
    <w:p w14:paraId="206E105A" w14:textId="77777777" w:rsidR="00001812" w:rsidRPr="00001812" w:rsidRDefault="00001812" w:rsidP="00001812">
      <w:pPr>
        <w:pStyle w:val="NoSpacing"/>
        <w:spacing w:line="480" w:lineRule="auto"/>
        <w:rPr>
          <w:rFonts w:asciiTheme="majorBidi" w:hAnsiTheme="majorBidi" w:cstheme="majorBidi"/>
        </w:rPr>
      </w:pPr>
    </w:p>
    <w:p w14:paraId="3E0DC4E6" w14:textId="741FD135" w:rsidR="00001812" w:rsidRPr="00001812" w:rsidRDefault="00001812" w:rsidP="00001812">
      <w:pPr>
        <w:pStyle w:val="NoSpacing"/>
        <w:spacing w:line="480" w:lineRule="auto"/>
        <w:rPr>
          <w:rFonts w:asciiTheme="majorBidi" w:hAnsiTheme="majorBidi" w:cstheme="majorBidi"/>
        </w:rPr>
      </w:pPr>
      <w:bookmarkStart w:id="387" w:name="_Hlk93940608"/>
      <w:r w:rsidRPr="00001812">
        <w:rPr>
          <w:rFonts w:asciiTheme="majorBidi" w:hAnsiTheme="majorBidi" w:cstheme="majorBidi"/>
        </w:rPr>
        <w:t xml:space="preserve">Further investigation of the non-significant interaction between trial wording and trial difficulty revealed that on hard trials there were no significant differences in EA across the three blocks of trial wording (all </w:t>
      </w:r>
      <w:proofErr w:type="spellStart"/>
      <w:r w:rsidRPr="00001812">
        <w:rPr>
          <w:rFonts w:asciiTheme="majorBidi" w:hAnsiTheme="majorBidi" w:cstheme="majorBidi"/>
          <w:i/>
          <w:iCs/>
        </w:rPr>
        <w:t>p</w:t>
      </w:r>
      <w:r w:rsidRPr="00001812">
        <w:rPr>
          <w:rFonts w:asciiTheme="majorBidi" w:hAnsiTheme="majorBidi" w:cstheme="majorBidi"/>
        </w:rPr>
        <w:t>s</w:t>
      </w:r>
      <w:proofErr w:type="spellEnd"/>
      <w:r w:rsidRPr="00001812">
        <w:rPr>
          <w:rFonts w:asciiTheme="majorBidi" w:hAnsiTheme="majorBidi" w:cstheme="majorBidi"/>
        </w:rPr>
        <w:t xml:space="preserve"> &gt; .43). </w:t>
      </w:r>
      <w:bookmarkStart w:id="388" w:name="_Hlk93943768"/>
      <w:bookmarkEnd w:id="387"/>
      <w:r w:rsidRPr="00001812">
        <w:rPr>
          <w:rFonts w:asciiTheme="majorBidi" w:hAnsiTheme="majorBidi" w:cstheme="majorBidi"/>
        </w:rPr>
        <w:t xml:space="preserve">Specifically, EA rates on the like block (M = 1.09, SD = .48) were not significantly different to in the recall block (M = 1.27, SD = .47; </w:t>
      </w:r>
      <w:r w:rsidRPr="00001812">
        <w:rPr>
          <w:rFonts w:asciiTheme="majorBidi" w:hAnsiTheme="majorBidi" w:cstheme="majorBidi"/>
          <w:i/>
          <w:iCs/>
        </w:rPr>
        <w:t>p</w:t>
      </w:r>
      <w:r w:rsidRPr="00001812">
        <w:rPr>
          <w:rFonts w:asciiTheme="majorBidi" w:hAnsiTheme="majorBidi" w:cstheme="majorBidi"/>
        </w:rPr>
        <w:t xml:space="preserve"> = .43) or consume block (M = 1.21, SD = .53, </w:t>
      </w:r>
      <w:r w:rsidRPr="00001812">
        <w:rPr>
          <w:rFonts w:asciiTheme="majorBidi" w:hAnsiTheme="majorBidi" w:cstheme="majorBidi"/>
          <w:i/>
          <w:iCs/>
        </w:rPr>
        <w:t>p</w:t>
      </w:r>
      <w:r w:rsidRPr="00001812">
        <w:rPr>
          <w:rFonts w:asciiTheme="majorBidi" w:hAnsiTheme="majorBidi" w:cstheme="majorBidi"/>
        </w:rPr>
        <w:t xml:space="preserve"> = 1.00). Furthermore, there were no significant differences between EA rates on the consume block compared to in the recall block (</w:t>
      </w:r>
      <w:r w:rsidRPr="00001812">
        <w:rPr>
          <w:rFonts w:asciiTheme="majorBidi" w:hAnsiTheme="majorBidi" w:cstheme="majorBidi"/>
          <w:i/>
          <w:iCs/>
        </w:rPr>
        <w:t>p</w:t>
      </w:r>
      <w:r w:rsidRPr="00001812">
        <w:rPr>
          <w:rFonts w:asciiTheme="majorBidi" w:hAnsiTheme="majorBidi" w:cstheme="majorBidi"/>
        </w:rPr>
        <w:t xml:space="preserve"> = 1.00). </w:t>
      </w:r>
      <w:bookmarkEnd w:id="388"/>
      <w:r w:rsidRPr="00001812">
        <w:rPr>
          <w:rFonts w:asciiTheme="majorBidi" w:hAnsiTheme="majorBidi" w:cstheme="majorBidi"/>
        </w:rPr>
        <w:t xml:space="preserve">On medium trials, there were no significant differences in EA rates on the consume block (M = 2.10, SD = .80) compared to in the recall block (M = 2.03, SD = .64; </w:t>
      </w:r>
      <w:r w:rsidRPr="00001812">
        <w:rPr>
          <w:rFonts w:asciiTheme="majorBidi" w:hAnsiTheme="majorBidi" w:cstheme="majorBidi"/>
          <w:i/>
          <w:iCs/>
        </w:rPr>
        <w:t>p</w:t>
      </w:r>
      <w:r w:rsidRPr="00001812">
        <w:rPr>
          <w:rFonts w:asciiTheme="majorBidi" w:hAnsiTheme="majorBidi" w:cstheme="majorBidi"/>
        </w:rPr>
        <w:t xml:space="preserve"> = 1.00). Furthermore, EA rates on the recall block were not significantly different than on the like block (M = 1.80, SD = .72; </w:t>
      </w:r>
      <w:r w:rsidRPr="00001812">
        <w:rPr>
          <w:rFonts w:asciiTheme="majorBidi" w:hAnsiTheme="majorBidi" w:cstheme="majorBidi"/>
          <w:i/>
          <w:iCs/>
        </w:rPr>
        <w:t>p</w:t>
      </w:r>
      <w:r w:rsidRPr="00001812">
        <w:rPr>
          <w:rFonts w:asciiTheme="majorBidi" w:hAnsiTheme="majorBidi" w:cstheme="majorBidi"/>
        </w:rPr>
        <w:t xml:space="preserve"> = .13). However, EA rates on the consume block were significantly higher than on the like block (</w:t>
      </w:r>
      <w:r w:rsidRPr="00001812">
        <w:rPr>
          <w:rFonts w:asciiTheme="majorBidi" w:hAnsiTheme="majorBidi" w:cstheme="majorBidi"/>
          <w:i/>
          <w:iCs/>
        </w:rPr>
        <w:t>p</w:t>
      </w:r>
      <w:r w:rsidRPr="00001812">
        <w:rPr>
          <w:rFonts w:asciiTheme="majorBidi" w:hAnsiTheme="majorBidi" w:cstheme="majorBidi"/>
        </w:rPr>
        <w:t xml:space="preserve"> = .02). Finally, on easy trials, there were no significant differences in EA rates across the three blocks of wording (all </w:t>
      </w:r>
      <w:proofErr w:type="spellStart"/>
      <w:r w:rsidRPr="00001812">
        <w:rPr>
          <w:rFonts w:asciiTheme="majorBidi" w:hAnsiTheme="majorBidi" w:cstheme="majorBidi"/>
          <w:i/>
          <w:iCs/>
        </w:rPr>
        <w:t>p</w:t>
      </w:r>
      <w:r w:rsidRPr="00001812">
        <w:rPr>
          <w:rFonts w:asciiTheme="majorBidi" w:hAnsiTheme="majorBidi" w:cstheme="majorBidi"/>
        </w:rPr>
        <w:t>s</w:t>
      </w:r>
      <w:proofErr w:type="spellEnd"/>
      <w:r w:rsidRPr="00001812">
        <w:rPr>
          <w:rFonts w:asciiTheme="majorBidi" w:hAnsiTheme="majorBidi" w:cstheme="majorBidi"/>
        </w:rPr>
        <w:t xml:space="preserve"> = 1.00). Specifically, EA rates on the consume block (M = 2.52, SD = .87) were not significantly different to in the recall block (M = 2.57, SD = .76; </w:t>
      </w:r>
      <w:r w:rsidRPr="00001812">
        <w:rPr>
          <w:rFonts w:asciiTheme="majorBidi" w:hAnsiTheme="majorBidi" w:cstheme="majorBidi"/>
          <w:i/>
          <w:iCs/>
        </w:rPr>
        <w:t>p</w:t>
      </w:r>
      <w:r w:rsidRPr="00001812">
        <w:rPr>
          <w:rFonts w:asciiTheme="majorBidi" w:hAnsiTheme="majorBidi" w:cstheme="majorBidi"/>
        </w:rPr>
        <w:t xml:space="preserve"> = 1.00) or the like block (M = 2.49, SD = .84; </w:t>
      </w:r>
      <w:r w:rsidRPr="00001812">
        <w:rPr>
          <w:rFonts w:asciiTheme="majorBidi" w:hAnsiTheme="majorBidi" w:cstheme="majorBidi"/>
          <w:i/>
          <w:iCs/>
        </w:rPr>
        <w:t>p</w:t>
      </w:r>
      <w:r w:rsidRPr="00001812">
        <w:rPr>
          <w:rFonts w:asciiTheme="majorBidi" w:hAnsiTheme="majorBidi" w:cstheme="majorBidi"/>
        </w:rPr>
        <w:t xml:space="preserve"> = 1.00). Furthermore, EA rates on the recall block were not significantly different </w:t>
      </w:r>
      <w:r w:rsidRPr="00001812">
        <w:rPr>
          <w:rFonts w:asciiTheme="majorBidi" w:hAnsiTheme="majorBidi" w:cstheme="majorBidi"/>
        </w:rPr>
        <w:lastRenderedPageBreak/>
        <w:t>than on the like block (</w:t>
      </w:r>
      <w:r w:rsidRPr="00001812">
        <w:rPr>
          <w:rFonts w:asciiTheme="majorBidi" w:hAnsiTheme="majorBidi" w:cstheme="majorBidi"/>
          <w:i/>
          <w:iCs/>
        </w:rPr>
        <w:t>p</w:t>
      </w:r>
      <w:r w:rsidRPr="00001812">
        <w:rPr>
          <w:rFonts w:asciiTheme="majorBidi" w:hAnsiTheme="majorBidi" w:cstheme="majorBidi"/>
        </w:rPr>
        <w:t xml:space="preserve"> = 1.00). These findings demonstrate that, in line with the overall non-significant interaction effect, there were no differences in EA rates across trial wording and difficulty trials (apart from on medium trials only where EA rates on the consume block were significantly higher than on the like block). See Figure 3.2 in Chapter 3 (p.85) for EA rates split by trial wording and trial difficulty.</w:t>
      </w:r>
    </w:p>
    <w:p w14:paraId="31478253" w14:textId="77777777" w:rsidR="00001812" w:rsidRPr="00001812" w:rsidRDefault="00001812" w:rsidP="00001812">
      <w:pPr>
        <w:pStyle w:val="NoSpacing"/>
        <w:spacing w:line="480" w:lineRule="auto"/>
        <w:rPr>
          <w:rFonts w:asciiTheme="majorBidi" w:hAnsiTheme="majorBidi" w:cstheme="majorBidi"/>
        </w:rPr>
      </w:pPr>
    </w:p>
    <w:p w14:paraId="1F5F6AAB" w14:textId="77777777" w:rsidR="00001812" w:rsidRPr="00001812" w:rsidRDefault="00001812" w:rsidP="00001812">
      <w:pPr>
        <w:pStyle w:val="NoSpacing"/>
        <w:spacing w:line="480" w:lineRule="auto"/>
        <w:rPr>
          <w:rFonts w:asciiTheme="majorBidi" w:hAnsiTheme="majorBidi" w:cstheme="majorBidi"/>
        </w:rPr>
      </w:pPr>
    </w:p>
    <w:p w14:paraId="39CDE858" w14:textId="3EA375BE" w:rsidR="00001812" w:rsidRDefault="00001812" w:rsidP="00001812">
      <w:pPr>
        <w:pStyle w:val="NoSpacing"/>
        <w:spacing w:line="480" w:lineRule="auto"/>
        <w:rPr>
          <w:rFonts w:asciiTheme="majorBidi" w:hAnsiTheme="majorBidi" w:cstheme="majorBidi"/>
        </w:rPr>
      </w:pPr>
    </w:p>
    <w:p w14:paraId="1FE8DBCF" w14:textId="77777777" w:rsidR="00001812" w:rsidRPr="00001812" w:rsidRDefault="00001812" w:rsidP="00001812">
      <w:pPr>
        <w:pStyle w:val="NoSpacing"/>
        <w:spacing w:line="480" w:lineRule="auto"/>
        <w:rPr>
          <w:rFonts w:asciiTheme="majorBidi" w:hAnsiTheme="majorBidi" w:cstheme="majorBidi"/>
        </w:rPr>
      </w:pPr>
    </w:p>
    <w:p w14:paraId="2B5758C7" w14:textId="41BCB4E8" w:rsidR="00001812" w:rsidRDefault="00001812" w:rsidP="00001812">
      <w:pPr>
        <w:pStyle w:val="NoSpacing"/>
        <w:spacing w:line="480" w:lineRule="auto"/>
        <w:rPr>
          <w:rFonts w:asciiTheme="majorBidi" w:hAnsiTheme="majorBidi" w:cstheme="majorBidi"/>
        </w:rPr>
      </w:pPr>
    </w:p>
    <w:p w14:paraId="7F74FB4C" w14:textId="448DDBA0" w:rsidR="000B1A1B" w:rsidRDefault="000B1A1B" w:rsidP="00001812">
      <w:pPr>
        <w:pStyle w:val="NoSpacing"/>
        <w:spacing w:line="480" w:lineRule="auto"/>
        <w:rPr>
          <w:rFonts w:asciiTheme="majorBidi" w:hAnsiTheme="majorBidi" w:cstheme="majorBidi"/>
        </w:rPr>
      </w:pPr>
    </w:p>
    <w:p w14:paraId="112F5E52" w14:textId="6142376B" w:rsidR="000B1A1B" w:rsidRDefault="000B1A1B" w:rsidP="00001812">
      <w:pPr>
        <w:pStyle w:val="NoSpacing"/>
        <w:spacing w:line="480" w:lineRule="auto"/>
        <w:rPr>
          <w:rFonts w:asciiTheme="majorBidi" w:hAnsiTheme="majorBidi" w:cstheme="majorBidi"/>
        </w:rPr>
      </w:pPr>
    </w:p>
    <w:p w14:paraId="4454F696" w14:textId="0A84B5DB" w:rsidR="000B1A1B" w:rsidRDefault="000B1A1B" w:rsidP="00001812">
      <w:pPr>
        <w:pStyle w:val="NoSpacing"/>
        <w:spacing w:line="480" w:lineRule="auto"/>
        <w:rPr>
          <w:rFonts w:asciiTheme="majorBidi" w:hAnsiTheme="majorBidi" w:cstheme="majorBidi"/>
        </w:rPr>
      </w:pPr>
    </w:p>
    <w:p w14:paraId="2041527A" w14:textId="0505C37A" w:rsidR="000B1A1B" w:rsidRDefault="000B1A1B" w:rsidP="00001812">
      <w:pPr>
        <w:pStyle w:val="NoSpacing"/>
        <w:spacing w:line="480" w:lineRule="auto"/>
        <w:rPr>
          <w:rFonts w:asciiTheme="majorBidi" w:hAnsiTheme="majorBidi" w:cstheme="majorBidi"/>
        </w:rPr>
      </w:pPr>
    </w:p>
    <w:p w14:paraId="4928D8CA" w14:textId="3F11A36F" w:rsidR="000B1A1B" w:rsidRDefault="000B1A1B" w:rsidP="00001812">
      <w:pPr>
        <w:pStyle w:val="NoSpacing"/>
        <w:spacing w:line="480" w:lineRule="auto"/>
        <w:rPr>
          <w:rFonts w:asciiTheme="majorBidi" w:hAnsiTheme="majorBidi" w:cstheme="majorBidi"/>
        </w:rPr>
      </w:pPr>
    </w:p>
    <w:p w14:paraId="22B7C24D" w14:textId="7EA5C9CD" w:rsidR="000B1A1B" w:rsidRDefault="000B1A1B" w:rsidP="00001812">
      <w:pPr>
        <w:pStyle w:val="NoSpacing"/>
        <w:spacing w:line="480" w:lineRule="auto"/>
        <w:rPr>
          <w:rFonts w:asciiTheme="majorBidi" w:hAnsiTheme="majorBidi" w:cstheme="majorBidi"/>
        </w:rPr>
      </w:pPr>
    </w:p>
    <w:p w14:paraId="393BC8C4" w14:textId="4591D474" w:rsidR="000B1A1B" w:rsidRDefault="000B1A1B" w:rsidP="00001812">
      <w:pPr>
        <w:pStyle w:val="NoSpacing"/>
        <w:spacing w:line="480" w:lineRule="auto"/>
        <w:rPr>
          <w:rFonts w:asciiTheme="majorBidi" w:hAnsiTheme="majorBidi" w:cstheme="majorBidi"/>
        </w:rPr>
      </w:pPr>
    </w:p>
    <w:p w14:paraId="06904A66" w14:textId="6882DFE1" w:rsidR="000B1A1B" w:rsidRDefault="000B1A1B" w:rsidP="00001812">
      <w:pPr>
        <w:pStyle w:val="NoSpacing"/>
        <w:spacing w:line="480" w:lineRule="auto"/>
        <w:rPr>
          <w:rFonts w:asciiTheme="majorBidi" w:hAnsiTheme="majorBidi" w:cstheme="majorBidi"/>
        </w:rPr>
      </w:pPr>
    </w:p>
    <w:p w14:paraId="7FD396BF" w14:textId="734B1FAF" w:rsidR="000B1A1B" w:rsidRDefault="000B1A1B" w:rsidP="00001812">
      <w:pPr>
        <w:pStyle w:val="NoSpacing"/>
        <w:spacing w:line="480" w:lineRule="auto"/>
        <w:rPr>
          <w:rFonts w:asciiTheme="majorBidi" w:hAnsiTheme="majorBidi" w:cstheme="majorBidi"/>
        </w:rPr>
      </w:pPr>
    </w:p>
    <w:p w14:paraId="240B77FC" w14:textId="6706B851" w:rsidR="000B1A1B" w:rsidRDefault="000B1A1B" w:rsidP="00001812">
      <w:pPr>
        <w:pStyle w:val="NoSpacing"/>
        <w:spacing w:line="480" w:lineRule="auto"/>
        <w:rPr>
          <w:rFonts w:asciiTheme="majorBidi" w:hAnsiTheme="majorBidi" w:cstheme="majorBidi"/>
        </w:rPr>
      </w:pPr>
    </w:p>
    <w:p w14:paraId="07D9D6FE" w14:textId="4B198066" w:rsidR="000B1A1B" w:rsidRDefault="000B1A1B" w:rsidP="00001812">
      <w:pPr>
        <w:pStyle w:val="NoSpacing"/>
        <w:spacing w:line="480" w:lineRule="auto"/>
        <w:rPr>
          <w:rFonts w:asciiTheme="majorBidi" w:hAnsiTheme="majorBidi" w:cstheme="majorBidi"/>
        </w:rPr>
      </w:pPr>
    </w:p>
    <w:p w14:paraId="2C5FB6C0" w14:textId="6EF2BA97" w:rsidR="000B1A1B" w:rsidRDefault="000B1A1B" w:rsidP="00001812">
      <w:pPr>
        <w:pStyle w:val="NoSpacing"/>
        <w:spacing w:line="480" w:lineRule="auto"/>
        <w:rPr>
          <w:rFonts w:asciiTheme="majorBidi" w:hAnsiTheme="majorBidi" w:cstheme="majorBidi"/>
        </w:rPr>
      </w:pPr>
    </w:p>
    <w:p w14:paraId="70ED20B3" w14:textId="540C57F4" w:rsidR="000B1A1B" w:rsidRDefault="000B1A1B" w:rsidP="00001812">
      <w:pPr>
        <w:pStyle w:val="NoSpacing"/>
        <w:spacing w:line="480" w:lineRule="auto"/>
        <w:rPr>
          <w:rFonts w:asciiTheme="majorBidi" w:hAnsiTheme="majorBidi" w:cstheme="majorBidi"/>
        </w:rPr>
      </w:pPr>
    </w:p>
    <w:p w14:paraId="78971F40" w14:textId="5896E4DE" w:rsidR="000B1A1B" w:rsidRDefault="000B1A1B" w:rsidP="00001812">
      <w:pPr>
        <w:pStyle w:val="NoSpacing"/>
        <w:spacing w:line="480" w:lineRule="auto"/>
        <w:rPr>
          <w:rFonts w:asciiTheme="majorBidi" w:hAnsiTheme="majorBidi" w:cstheme="majorBidi"/>
        </w:rPr>
      </w:pPr>
    </w:p>
    <w:p w14:paraId="2FD6F3FD" w14:textId="77777777" w:rsidR="000B1A1B" w:rsidRPr="00001812" w:rsidRDefault="000B1A1B" w:rsidP="00001812">
      <w:pPr>
        <w:pStyle w:val="NoSpacing"/>
        <w:spacing w:line="480" w:lineRule="auto"/>
        <w:rPr>
          <w:rFonts w:asciiTheme="majorBidi" w:hAnsiTheme="majorBidi" w:cstheme="majorBidi"/>
        </w:rPr>
      </w:pPr>
    </w:p>
    <w:p w14:paraId="50F597D8" w14:textId="77777777" w:rsidR="00001812" w:rsidRPr="00001812" w:rsidRDefault="00001812" w:rsidP="00001812">
      <w:pPr>
        <w:pStyle w:val="NoSpacing"/>
        <w:spacing w:line="480" w:lineRule="auto"/>
        <w:rPr>
          <w:rFonts w:asciiTheme="majorBidi" w:hAnsiTheme="majorBidi" w:cstheme="majorBidi"/>
          <w:b/>
          <w:bCs/>
        </w:rPr>
      </w:pPr>
      <w:r w:rsidRPr="00001812">
        <w:rPr>
          <w:rFonts w:asciiTheme="majorBidi" w:hAnsiTheme="majorBidi" w:cstheme="majorBidi"/>
          <w:b/>
          <w:bCs/>
        </w:rPr>
        <w:lastRenderedPageBreak/>
        <w:t>6. Order of the first block of trials: does this matter?</w:t>
      </w:r>
    </w:p>
    <w:p w14:paraId="78CF133B"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 xml:space="preserve">We were also interested in exploring whether the order that the blocks of trials were presented to participants in the VBDM task may have altered EA rates. For example, the three blocks of trial wording were presented in a random order across participants, and it might be that </w:t>
      </w:r>
      <w:bookmarkStart w:id="389" w:name="_Hlk94036550"/>
      <w:r w:rsidRPr="00001812">
        <w:rPr>
          <w:rFonts w:asciiTheme="majorBidi" w:hAnsiTheme="majorBidi" w:cstheme="majorBidi"/>
        </w:rPr>
        <w:t>completing the recall trial wording (“which did you rate higher?”) as the first block lead to increased EA rates in this condition compared to when the consume (“which would you rather consume”) and like (“which do you like more”)</w:t>
      </w:r>
      <w:bookmarkEnd w:id="389"/>
      <w:r w:rsidRPr="00001812">
        <w:rPr>
          <w:rFonts w:asciiTheme="majorBidi" w:hAnsiTheme="majorBidi" w:cstheme="majorBidi"/>
        </w:rPr>
        <w:t xml:space="preserve"> wording were presented first. To explore this further, we conducted one-way ANOVAs for EA rates in each of the trial wording conditions with trial block order (3: </w:t>
      </w:r>
      <w:bookmarkStart w:id="390" w:name="_Hlk94036010"/>
      <w:r w:rsidRPr="00001812">
        <w:rPr>
          <w:rFonts w:asciiTheme="majorBidi" w:hAnsiTheme="majorBidi" w:cstheme="majorBidi"/>
        </w:rPr>
        <w:t>consume first, recall first, like first</w:t>
      </w:r>
      <w:bookmarkEnd w:id="390"/>
      <w:r w:rsidRPr="00001812">
        <w:rPr>
          <w:rFonts w:asciiTheme="majorBidi" w:hAnsiTheme="majorBidi" w:cstheme="majorBidi"/>
        </w:rPr>
        <w:t xml:space="preserve">) as the between-subject factor. </w:t>
      </w:r>
    </w:p>
    <w:p w14:paraId="3B21AF80" w14:textId="77777777" w:rsidR="00001812" w:rsidRPr="00001812" w:rsidRDefault="00001812" w:rsidP="00001812">
      <w:pPr>
        <w:pStyle w:val="NoSpacing"/>
        <w:spacing w:line="480" w:lineRule="auto"/>
        <w:rPr>
          <w:rFonts w:asciiTheme="majorBidi" w:hAnsiTheme="majorBidi" w:cstheme="majorBidi"/>
        </w:rPr>
      </w:pPr>
    </w:p>
    <w:p w14:paraId="16569F17" w14:textId="77777777" w:rsidR="00001812" w:rsidRPr="00001812" w:rsidRDefault="00001812" w:rsidP="00001812">
      <w:pPr>
        <w:pStyle w:val="NoSpacing"/>
        <w:spacing w:line="480" w:lineRule="auto"/>
        <w:rPr>
          <w:rFonts w:asciiTheme="majorBidi" w:hAnsiTheme="majorBidi" w:cstheme="majorBidi"/>
          <w:u w:val="single"/>
        </w:rPr>
      </w:pPr>
      <w:r w:rsidRPr="00001812">
        <w:rPr>
          <w:rFonts w:asciiTheme="majorBidi" w:hAnsiTheme="majorBidi" w:cstheme="majorBidi"/>
          <w:u w:val="single"/>
        </w:rPr>
        <w:t>EA rates in the recall block</w:t>
      </w:r>
    </w:p>
    <w:p w14:paraId="1421E3D0"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 xml:space="preserve">There was no significant main effect of trial block order on EA rates from the recall block, </w:t>
      </w:r>
      <w:proofErr w:type="gramStart"/>
      <w:r w:rsidRPr="00001812">
        <w:rPr>
          <w:rFonts w:asciiTheme="majorBidi" w:hAnsiTheme="majorBidi" w:cstheme="majorBidi"/>
          <w:i/>
          <w:iCs/>
        </w:rPr>
        <w:t>F</w:t>
      </w:r>
      <w:r w:rsidRPr="00001812">
        <w:rPr>
          <w:rFonts w:asciiTheme="majorBidi" w:hAnsiTheme="majorBidi" w:cstheme="majorBidi"/>
        </w:rPr>
        <w:t>(</w:t>
      </w:r>
      <w:proofErr w:type="gramEnd"/>
      <w:r w:rsidRPr="00001812">
        <w:rPr>
          <w:rFonts w:asciiTheme="majorBidi" w:hAnsiTheme="majorBidi" w:cstheme="majorBidi"/>
        </w:rPr>
        <w:t xml:space="preserve">2, 55) = 1.47, </w:t>
      </w:r>
      <w:r w:rsidRPr="00001812">
        <w:rPr>
          <w:rFonts w:asciiTheme="majorBidi" w:hAnsiTheme="majorBidi" w:cstheme="majorBidi"/>
          <w:i/>
          <w:iCs/>
        </w:rPr>
        <w:t>p</w:t>
      </w:r>
      <w:r w:rsidRPr="00001812">
        <w:rPr>
          <w:rFonts w:asciiTheme="majorBidi" w:hAnsiTheme="majorBidi" w:cstheme="majorBidi"/>
        </w:rPr>
        <w:t xml:space="preserve"> = .24,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.05. Post-hoc tests revealed that there was no significant difference in EA rates when the recall block was first (M = 1.87, SD = .53) compared to when the consume block was first (M = 2.13, SD = .51; </w:t>
      </w:r>
      <w:r w:rsidRPr="00001812">
        <w:rPr>
          <w:rFonts w:asciiTheme="majorBidi" w:hAnsiTheme="majorBidi" w:cstheme="majorBidi"/>
          <w:i/>
          <w:iCs/>
        </w:rPr>
        <w:t>p</w:t>
      </w:r>
      <w:r w:rsidRPr="00001812">
        <w:rPr>
          <w:rFonts w:asciiTheme="majorBidi" w:hAnsiTheme="majorBidi" w:cstheme="majorBidi"/>
        </w:rPr>
        <w:t xml:space="preserve"> = .37). Furthermore, there was no significant difference in EA rates when the like block was first (M = 1.87, SD = .47) compared to when the consume block was first (</w:t>
      </w:r>
      <w:r w:rsidRPr="00001812">
        <w:rPr>
          <w:rFonts w:asciiTheme="majorBidi" w:hAnsiTheme="majorBidi" w:cstheme="majorBidi"/>
          <w:i/>
          <w:iCs/>
        </w:rPr>
        <w:t>p</w:t>
      </w:r>
      <w:r w:rsidRPr="00001812">
        <w:rPr>
          <w:rFonts w:asciiTheme="majorBidi" w:hAnsiTheme="majorBidi" w:cstheme="majorBidi"/>
        </w:rPr>
        <w:t xml:space="preserve"> = .37). Finally, there was no significant difference in EA rates when the recall block was first compared to when the like block was first (</w:t>
      </w:r>
      <w:r w:rsidRPr="00001812">
        <w:rPr>
          <w:rFonts w:asciiTheme="majorBidi" w:hAnsiTheme="majorBidi" w:cstheme="majorBidi"/>
          <w:i/>
          <w:iCs/>
        </w:rPr>
        <w:t>p</w:t>
      </w:r>
      <w:r w:rsidRPr="00001812">
        <w:rPr>
          <w:rFonts w:asciiTheme="majorBidi" w:hAnsiTheme="majorBidi" w:cstheme="majorBidi"/>
        </w:rPr>
        <w:t xml:space="preserve"> = .96).</w:t>
      </w:r>
    </w:p>
    <w:p w14:paraId="732D6DB6" w14:textId="77777777" w:rsidR="00001812" w:rsidRPr="00001812" w:rsidRDefault="00001812" w:rsidP="00001812">
      <w:pPr>
        <w:pStyle w:val="NoSpacing"/>
        <w:spacing w:line="480" w:lineRule="auto"/>
        <w:rPr>
          <w:rFonts w:asciiTheme="majorBidi" w:hAnsiTheme="majorBidi" w:cstheme="majorBidi"/>
        </w:rPr>
      </w:pPr>
    </w:p>
    <w:p w14:paraId="30D6E670" w14:textId="77777777" w:rsidR="00001812" w:rsidRPr="00001812" w:rsidRDefault="00001812" w:rsidP="00001812">
      <w:pPr>
        <w:pStyle w:val="NoSpacing"/>
        <w:spacing w:line="480" w:lineRule="auto"/>
        <w:rPr>
          <w:rFonts w:asciiTheme="majorBidi" w:hAnsiTheme="majorBidi" w:cstheme="majorBidi"/>
          <w:u w:val="single"/>
        </w:rPr>
      </w:pPr>
      <w:r w:rsidRPr="00001812">
        <w:rPr>
          <w:rFonts w:asciiTheme="majorBidi" w:hAnsiTheme="majorBidi" w:cstheme="majorBidi"/>
          <w:u w:val="single"/>
        </w:rPr>
        <w:t>EA rates in the consume block</w:t>
      </w:r>
    </w:p>
    <w:p w14:paraId="3F533253"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 xml:space="preserve">There was no significant main effect of trial block order on EA rates from the consume block, </w:t>
      </w:r>
      <w:proofErr w:type="gramStart"/>
      <w:r w:rsidRPr="00001812">
        <w:rPr>
          <w:rFonts w:asciiTheme="majorBidi" w:hAnsiTheme="majorBidi" w:cstheme="majorBidi"/>
          <w:i/>
          <w:iCs/>
        </w:rPr>
        <w:t>F</w:t>
      </w:r>
      <w:r w:rsidRPr="00001812">
        <w:rPr>
          <w:rFonts w:asciiTheme="majorBidi" w:hAnsiTheme="majorBidi" w:cstheme="majorBidi"/>
        </w:rPr>
        <w:t>(</w:t>
      </w:r>
      <w:proofErr w:type="gramEnd"/>
      <w:r w:rsidRPr="00001812">
        <w:rPr>
          <w:rFonts w:asciiTheme="majorBidi" w:hAnsiTheme="majorBidi" w:cstheme="majorBidi"/>
        </w:rPr>
        <w:t xml:space="preserve">2, 56) = .66, </w:t>
      </w:r>
      <w:r w:rsidRPr="00001812">
        <w:rPr>
          <w:rFonts w:asciiTheme="majorBidi" w:hAnsiTheme="majorBidi" w:cstheme="majorBidi"/>
          <w:i/>
          <w:iCs/>
        </w:rPr>
        <w:t>p</w:t>
      </w:r>
      <w:r w:rsidRPr="00001812">
        <w:rPr>
          <w:rFonts w:asciiTheme="majorBidi" w:hAnsiTheme="majorBidi" w:cstheme="majorBidi"/>
        </w:rPr>
        <w:t xml:space="preserve"> = .52,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.02. Post-hoc tests revealed that there was no significant difference in EA rates when the recall block was first (M = 1.82, SD = .84) compared to </w:t>
      </w:r>
      <w:r w:rsidRPr="00001812">
        <w:rPr>
          <w:rFonts w:asciiTheme="majorBidi" w:hAnsiTheme="majorBidi" w:cstheme="majorBidi"/>
        </w:rPr>
        <w:lastRenderedPageBreak/>
        <w:t xml:space="preserve">when the consume block was first (M = 1.98, SD = .54; </w:t>
      </w:r>
      <w:r w:rsidRPr="00001812">
        <w:rPr>
          <w:rFonts w:asciiTheme="majorBidi" w:hAnsiTheme="majorBidi" w:cstheme="majorBidi"/>
          <w:i/>
          <w:iCs/>
        </w:rPr>
        <w:t>p</w:t>
      </w:r>
      <w:r w:rsidRPr="00001812">
        <w:rPr>
          <w:rFonts w:asciiTheme="majorBidi" w:hAnsiTheme="majorBidi" w:cstheme="majorBidi"/>
        </w:rPr>
        <w:t xml:space="preserve"> = .97). Furthermore, there was no significant difference in EA rates when the like block was first (M = 2.05, SD = .54) compared to when the consume block was first (</w:t>
      </w:r>
      <w:r w:rsidRPr="00001812">
        <w:rPr>
          <w:rFonts w:asciiTheme="majorBidi" w:hAnsiTheme="majorBidi" w:cstheme="majorBidi"/>
          <w:i/>
          <w:iCs/>
        </w:rPr>
        <w:t>p</w:t>
      </w:r>
      <w:r w:rsidRPr="00001812">
        <w:rPr>
          <w:rFonts w:asciiTheme="majorBidi" w:hAnsiTheme="majorBidi" w:cstheme="majorBidi"/>
        </w:rPr>
        <w:t xml:space="preserve"> = .97). Finally, there was no significant difference in EA rates when the recall block was first compared to when the like block was first (</w:t>
      </w:r>
      <w:r w:rsidRPr="00001812">
        <w:rPr>
          <w:rFonts w:asciiTheme="majorBidi" w:hAnsiTheme="majorBidi" w:cstheme="majorBidi"/>
          <w:i/>
          <w:iCs/>
        </w:rPr>
        <w:t>p</w:t>
      </w:r>
      <w:r w:rsidRPr="00001812">
        <w:rPr>
          <w:rFonts w:asciiTheme="majorBidi" w:hAnsiTheme="majorBidi" w:cstheme="majorBidi"/>
        </w:rPr>
        <w:t xml:space="preserve"> = .79).</w:t>
      </w:r>
    </w:p>
    <w:p w14:paraId="75BE799C" w14:textId="77777777" w:rsidR="00001812" w:rsidRPr="00001812" w:rsidRDefault="00001812" w:rsidP="00001812">
      <w:pPr>
        <w:pStyle w:val="NoSpacing"/>
        <w:spacing w:line="480" w:lineRule="auto"/>
        <w:rPr>
          <w:rFonts w:asciiTheme="majorBidi" w:hAnsiTheme="majorBidi" w:cstheme="majorBidi"/>
        </w:rPr>
      </w:pPr>
    </w:p>
    <w:p w14:paraId="274C3F3F" w14:textId="77777777" w:rsidR="00001812" w:rsidRPr="00001812" w:rsidRDefault="00001812" w:rsidP="00001812">
      <w:pPr>
        <w:pStyle w:val="NoSpacing"/>
        <w:spacing w:line="480" w:lineRule="auto"/>
        <w:rPr>
          <w:rFonts w:asciiTheme="majorBidi" w:hAnsiTheme="majorBidi" w:cstheme="majorBidi"/>
          <w:u w:val="single"/>
        </w:rPr>
      </w:pPr>
      <w:r w:rsidRPr="00001812">
        <w:rPr>
          <w:rFonts w:asciiTheme="majorBidi" w:hAnsiTheme="majorBidi" w:cstheme="majorBidi"/>
          <w:u w:val="single"/>
        </w:rPr>
        <w:t>EA rates in the like block</w:t>
      </w:r>
    </w:p>
    <w:p w14:paraId="33232B2E"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 xml:space="preserve">There was no significant main effect of trial block order on EA rates from the like block, </w:t>
      </w:r>
      <w:proofErr w:type="gramStart"/>
      <w:r w:rsidRPr="00001812">
        <w:rPr>
          <w:rFonts w:asciiTheme="majorBidi" w:hAnsiTheme="majorBidi" w:cstheme="majorBidi"/>
          <w:i/>
          <w:iCs/>
        </w:rPr>
        <w:t>F</w:t>
      </w:r>
      <w:r w:rsidRPr="00001812">
        <w:rPr>
          <w:rFonts w:asciiTheme="majorBidi" w:hAnsiTheme="majorBidi" w:cstheme="majorBidi"/>
        </w:rPr>
        <w:t>(</w:t>
      </w:r>
      <w:proofErr w:type="gramEnd"/>
      <w:r w:rsidRPr="00001812">
        <w:rPr>
          <w:rFonts w:asciiTheme="majorBidi" w:hAnsiTheme="majorBidi" w:cstheme="majorBidi"/>
        </w:rPr>
        <w:t xml:space="preserve">2, 56) = 1.79, </w:t>
      </w:r>
      <w:r w:rsidRPr="00001812">
        <w:rPr>
          <w:rFonts w:asciiTheme="majorBidi" w:hAnsiTheme="majorBidi" w:cstheme="majorBidi"/>
          <w:i/>
          <w:iCs/>
        </w:rPr>
        <w:t>p</w:t>
      </w:r>
      <w:r w:rsidRPr="00001812">
        <w:rPr>
          <w:rFonts w:asciiTheme="majorBidi" w:hAnsiTheme="majorBidi" w:cstheme="majorBidi"/>
        </w:rPr>
        <w:t xml:space="preserve"> = .18,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.06. Post-hoc tests revealed that there was no significant difference in EA rates when the recall block was first (M = 1.63, SD = .67) compared to when the consume block was first (M = 1.98, SD = .49; </w:t>
      </w:r>
      <w:r w:rsidRPr="00001812">
        <w:rPr>
          <w:rFonts w:asciiTheme="majorBidi" w:hAnsiTheme="majorBidi" w:cstheme="majorBidi"/>
          <w:i/>
          <w:iCs/>
        </w:rPr>
        <w:t>p</w:t>
      </w:r>
      <w:r w:rsidRPr="00001812">
        <w:rPr>
          <w:rFonts w:asciiTheme="majorBidi" w:hAnsiTheme="majorBidi" w:cstheme="majorBidi"/>
        </w:rPr>
        <w:t xml:space="preserve"> = .21). Furthermore, there was no significant difference in EA rates when the like block was first (M = 1.84, SD = .52) compared to when the consume block was first (</w:t>
      </w:r>
      <w:r w:rsidRPr="00001812">
        <w:rPr>
          <w:rFonts w:asciiTheme="majorBidi" w:hAnsiTheme="majorBidi" w:cstheme="majorBidi"/>
          <w:i/>
          <w:iCs/>
        </w:rPr>
        <w:t>p</w:t>
      </w:r>
      <w:r w:rsidRPr="00001812">
        <w:rPr>
          <w:rFonts w:asciiTheme="majorBidi" w:hAnsiTheme="majorBidi" w:cstheme="majorBidi"/>
        </w:rPr>
        <w:t xml:space="preserve"> = .46). Finally, there was no significant difference in EA rates when the recall block was first compared to when the like block was first (</w:t>
      </w:r>
      <w:r w:rsidRPr="00001812">
        <w:rPr>
          <w:rFonts w:asciiTheme="majorBidi" w:hAnsiTheme="majorBidi" w:cstheme="majorBidi"/>
          <w:i/>
          <w:iCs/>
        </w:rPr>
        <w:t>p</w:t>
      </w:r>
      <w:r w:rsidRPr="00001812">
        <w:rPr>
          <w:rFonts w:asciiTheme="majorBidi" w:hAnsiTheme="majorBidi" w:cstheme="majorBidi"/>
        </w:rPr>
        <w:t xml:space="preserve"> = .46).</w:t>
      </w:r>
    </w:p>
    <w:p w14:paraId="673C4EA3" w14:textId="77777777" w:rsidR="00001812" w:rsidRPr="00001812" w:rsidRDefault="00001812" w:rsidP="00001812">
      <w:pPr>
        <w:pStyle w:val="NoSpacing"/>
        <w:spacing w:line="480" w:lineRule="auto"/>
        <w:rPr>
          <w:rFonts w:asciiTheme="majorBidi" w:hAnsiTheme="majorBidi" w:cstheme="majorBidi"/>
        </w:rPr>
      </w:pPr>
    </w:p>
    <w:p w14:paraId="0FA1B5A2"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To supplement these analyses, we conducted a mixed ANOVA with a between-subject factor of overall block order (6: consume, recall, like; consume, like, recall; recall, consume, like; recall, like, consume; like, consume, recall; like, recall, consume) and within-subject factors of trial wording (3: like; consume; recall) and trial difficulty (3: easy, medium, hard). Crucially, there was no significant three-way interaction between the order participants completed the blocks of trials, trial wording, and trial difficulty on EA rates (</w:t>
      </w:r>
      <w:proofErr w:type="gramStart"/>
      <w:r w:rsidRPr="00001812">
        <w:rPr>
          <w:rFonts w:asciiTheme="majorBidi" w:hAnsiTheme="majorBidi" w:cstheme="majorBidi"/>
          <w:i/>
          <w:iCs/>
        </w:rPr>
        <w:t>F</w:t>
      </w:r>
      <w:r w:rsidRPr="00001812">
        <w:rPr>
          <w:rFonts w:asciiTheme="majorBidi" w:hAnsiTheme="majorBidi" w:cstheme="majorBidi"/>
        </w:rPr>
        <w:t>(</w:t>
      </w:r>
      <w:proofErr w:type="gramEnd"/>
      <w:r w:rsidRPr="00001812">
        <w:rPr>
          <w:rFonts w:asciiTheme="majorBidi" w:hAnsiTheme="majorBidi" w:cstheme="majorBidi"/>
        </w:rPr>
        <w:t xml:space="preserve">16.77, 177.74) = .41, </w:t>
      </w:r>
      <w:r w:rsidRPr="00001812">
        <w:rPr>
          <w:rFonts w:asciiTheme="majorBidi" w:hAnsiTheme="majorBidi" w:cstheme="majorBidi"/>
          <w:i/>
          <w:iCs/>
        </w:rPr>
        <w:t>p</w:t>
      </w:r>
      <w:r w:rsidRPr="00001812">
        <w:rPr>
          <w:rFonts w:asciiTheme="majorBidi" w:hAnsiTheme="majorBidi" w:cstheme="majorBidi"/>
        </w:rPr>
        <w:t xml:space="preserve"> = .98,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.04). This analysis demonstrates that EA rates did not vary as a function of the order by which participants completed the blocks of trials.</w:t>
      </w:r>
    </w:p>
    <w:p w14:paraId="49C1C957" w14:textId="77777777" w:rsidR="00001812" w:rsidRPr="00001812" w:rsidRDefault="00001812" w:rsidP="00001812">
      <w:pPr>
        <w:pStyle w:val="NoSpacing"/>
        <w:spacing w:line="480" w:lineRule="auto"/>
        <w:rPr>
          <w:rFonts w:asciiTheme="majorBidi" w:hAnsiTheme="majorBidi" w:cstheme="majorBidi"/>
        </w:rPr>
      </w:pPr>
    </w:p>
    <w:p w14:paraId="2A55DF01" w14:textId="77777777" w:rsidR="00001812" w:rsidRPr="00001812" w:rsidRDefault="00001812" w:rsidP="00001812">
      <w:pPr>
        <w:pStyle w:val="NoSpacing"/>
        <w:spacing w:line="480" w:lineRule="auto"/>
        <w:rPr>
          <w:rFonts w:asciiTheme="majorBidi" w:hAnsiTheme="majorBidi" w:cstheme="majorBidi"/>
        </w:rPr>
      </w:pPr>
    </w:p>
    <w:p w14:paraId="3B58FF62" w14:textId="77777777" w:rsidR="00001812" w:rsidRPr="00001812" w:rsidRDefault="00001812" w:rsidP="00001812">
      <w:pPr>
        <w:pStyle w:val="NoSpacing"/>
        <w:spacing w:line="480" w:lineRule="auto"/>
        <w:rPr>
          <w:rFonts w:asciiTheme="majorBidi" w:hAnsiTheme="majorBidi" w:cstheme="majorBidi"/>
          <w:b/>
          <w:bCs/>
        </w:rPr>
      </w:pPr>
      <w:r w:rsidRPr="00001812">
        <w:rPr>
          <w:rFonts w:asciiTheme="majorBidi" w:hAnsiTheme="majorBidi" w:cstheme="majorBidi"/>
          <w:b/>
          <w:bCs/>
        </w:rPr>
        <w:lastRenderedPageBreak/>
        <w:t>7. Exploratory correlations between self-reported hunger and EA rates.</w:t>
      </w:r>
    </w:p>
    <w:p w14:paraId="604A1A28"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 xml:space="preserve">Finally, we explored whether there are any significant correlations between self-reported hunger at the time of completing the task and food EA rates. Self-reported hunger was not correlated with any EA rates (all </w:t>
      </w:r>
      <w:proofErr w:type="spellStart"/>
      <w:r w:rsidRPr="00001812">
        <w:rPr>
          <w:rFonts w:asciiTheme="majorBidi" w:hAnsiTheme="majorBidi" w:cstheme="majorBidi"/>
          <w:i/>
          <w:iCs/>
        </w:rPr>
        <w:t>p</w:t>
      </w:r>
      <w:r w:rsidRPr="00001812">
        <w:rPr>
          <w:rFonts w:asciiTheme="majorBidi" w:hAnsiTheme="majorBidi" w:cstheme="majorBidi"/>
        </w:rPr>
        <w:t>s</w:t>
      </w:r>
      <w:proofErr w:type="spellEnd"/>
      <w:r w:rsidRPr="00001812">
        <w:rPr>
          <w:rFonts w:asciiTheme="majorBidi" w:hAnsiTheme="majorBidi" w:cstheme="majorBidi"/>
        </w:rPr>
        <w:t xml:space="preserve"> &gt; .19). More specifically, there were no significant correlations between hunger and EA rates in the consume block (</w:t>
      </w:r>
      <w:proofErr w:type="gramStart"/>
      <w:r w:rsidRPr="00001812">
        <w:rPr>
          <w:rFonts w:asciiTheme="majorBidi" w:hAnsiTheme="majorBidi" w:cstheme="majorBidi"/>
          <w:i/>
          <w:iCs/>
        </w:rPr>
        <w:t>r</w:t>
      </w:r>
      <w:r w:rsidRPr="00001812">
        <w:rPr>
          <w:rFonts w:asciiTheme="majorBidi" w:hAnsiTheme="majorBidi" w:cstheme="majorBidi"/>
        </w:rPr>
        <w:t>(</w:t>
      </w:r>
      <w:proofErr w:type="gramEnd"/>
      <w:r w:rsidRPr="00001812">
        <w:rPr>
          <w:rFonts w:asciiTheme="majorBidi" w:hAnsiTheme="majorBidi" w:cstheme="majorBidi"/>
        </w:rPr>
        <w:t xml:space="preserve">57) = .05, </w:t>
      </w:r>
      <w:r w:rsidRPr="00001812">
        <w:rPr>
          <w:rFonts w:asciiTheme="majorBidi" w:hAnsiTheme="majorBidi" w:cstheme="majorBidi"/>
          <w:i/>
          <w:iCs/>
        </w:rPr>
        <w:t>p</w:t>
      </w:r>
      <w:r w:rsidRPr="00001812">
        <w:rPr>
          <w:rFonts w:asciiTheme="majorBidi" w:hAnsiTheme="majorBidi" w:cstheme="majorBidi"/>
        </w:rPr>
        <w:t xml:space="preserve"> = .70), recall block (</w:t>
      </w:r>
      <w:r w:rsidRPr="00001812">
        <w:rPr>
          <w:rFonts w:asciiTheme="majorBidi" w:hAnsiTheme="majorBidi" w:cstheme="majorBidi"/>
          <w:i/>
          <w:iCs/>
        </w:rPr>
        <w:t>r</w:t>
      </w:r>
      <w:r w:rsidRPr="00001812">
        <w:rPr>
          <w:rFonts w:asciiTheme="majorBidi" w:hAnsiTheme="majorBidi" w:cstheme="majorBidi"/>
        </w:rPr>
        <w:t xml:space="preserve">(57) = -.17, </w:t>
      </w:r>
      <w:r w:rsidRPr="00001812">
        <w:rPr>
          <w:rFonts w:asciiTheme="majorBidi" w:hAnsiTheme="majorBidi" w:cstheme="majorBidi"/>
          <w:i/>
          <w:iCs/>
        </w:rPr>
        <w:t>p</w:t>
      </w:r>
      <w:r w:rsidRPr="00001812">
        <w:rPr>
          <w:rFonts w:asciiTheme="majorBidi" w:hAnsiTheme="majorBidi" w:cstheme="majorBidi"/>
        </w:rPr>
        <w:t xml:space="preserve"> = .19), like block (</w:t>
      </w:r>
      <w:r w:rsidRPr="00001812">
        <w:rPr>
          <w:rFonts w:asciiTheme="majorBidi" w:hAnsiTheme="majorBidi" w:cstheme="majorBidi"/>
          <w:i/>
          <w:iCs/>
        </w:rPr>
        <w:t>r</w:t>
      </w:r>
      <w:r w:rsidRPr="00001812">
        <w:rPr>
          <w:rFonts w:asciiTheme="majorBidi" w:hAnsiTheme="majorBidi" w:cstheme="majorBidi"/>
        </w:rPr>
        <w:t xml:space="preserve">(57) = -.04, </w:t>
      </w:r>
      <w:r w:rsidRPr="00001812">
        <w:rPr>
          <w:rFonts w:asciiTheme="majorBidi" w:hAnsiTheme="majorBidi" w:cstheme="majorBidi"/>
          <w:i/>
          <w:iCs/>
        </w:rPr>
        <w:t>p</w:t>
      </w:r>
      <w:r w:rsidRPr="00001812">
        <w:rPr>
          <w:rFonts w:asciiTheme="majorBidi" w:hAnsiTheme="majorBidi" w:cstheme="majorBidi"/>
        </w:rPr>
        <w:t xml:space="preserve"> = .78) or overall EA rates averaged across trial wording blocks (</w:t>
      </w:r>
      <w:r w:rsidRPr="00001812">
        <w:rPr>
          <w:rFonts w:asciiTheme="majorBidi" w:hAnsiTheme="majorBidi" w:cstheme="majorBidi"/>
          <w:i/>
          <w:iCs/>
        </w:rPr>
        <w:t>r</w:t>
      </w:r>
      <w:r w:rsidRPr="00001812">
        <w:rPr>
          <w:rFonts w:asciiTheme="majorBidi" w:hAnsiTheme="majorBidi" w:cstheme="majorBidi"/>
        </w:rPr>
        <w:t xml:space="preserve">(57) = -.05, </w:t>
      </w:r>
      <w:r w:rsidRPr="00001812">
        <w:rPr>
          <w:rFonts w:asciiTheme="majorBidi" w:hAnsiTheme="majorBidi" w:cstheme="majorBidi"/>
          <w:i/>
          <w:iCs/>
        </w:rPr>
        <w:t>p</w:t>
      </w:r>
      <w:r w:rsidRPr="00001812">
        <w:rPr>
          <w:rFonts w:asciiTheme="majorBidi" w:hAnsiTheme="majorBidi" w:cstheme="majorBidi"/>
        </w:rPr>
        <w:t xml:space="preserve"> = .69). </w:t>
      </w:r>
    </w:p>
    <w:p w14:paraId="15DA5C48" w14:textId="77777777" w:rsidR="00001812" w:rsidRPr="00001812" w:rsidRDefault="00001812" w:rsidP="00001812">
      <w:pPr>
        <w:pStyle w:val="NoSpacing"/>
        <w:spacing w:line="480" w:lineRule="auto"/>
        <w:rPr>
          <w:rFonts w:asciiTheme="majorBidi" w:hAnsiTheme="majorBidi" w:cstheme="majorBidi"/>
        </w:rPr>
      </w:pPr>
    </w:p>
    <w:p w14:paraId="7512F146" w14:textId="77777777" w:rsidR="00001812" w:rsidRPr="00001812" w:rsidRDefault="00001812" w:rsidP="00001812">
      <w:pPr>
        <w:pStyle w:val="NoSpacing"/>
        <w:spacing w:line="480" w:lineRule="auto"/>
        <w:rPr>
          <w:rFonts w:asciiTheme="majorBidi" w:hAnsiTheme="majorBidi" w:cstheme="majorBidi"/>
        </w:rPr>
      </w:pPr>
      <w:r w:rsidRPr="00001812">
        <w:rPr>
          <w:rFonts w:asciiTheme="majorBidi" w:hAnsiTheme="majorBidi" w:cstheme="majorBidi"/>
        </w:rPr>
        <w:t>To supplement the analyses reported above, we conducted an ANOVA with trial wording (3: “like”, “consume”, “recall”) and a median split of hunger level (2: low, high) predicting EA rates. This analysis shows that there was no main effect of hunger level (</w:t>
      </w:r>
      <w:proofErr w:type="gramStart"/>
      <w:r w:rsidRPr="00001812">
        <w:rPr>
          <w:rFonts w:asciiTheme="majorBidi" w:hAnsiTheme="majorBidi" w:cstheme="majorBidi"/>
          <w:i/>
          <w:iCs/>
        </w:rPr>
        <w:t>F</w:t>
      </w:r>
      <w:r w:rsidRPr="00001812">
        <w:rPr>
          <w:rFonts w:asciiTheme="majorBidi" w:hAnsiTheme="majorBidi" w:cstheme="majorBidi"/>
        </w:rPr>
        <w:t>(</w:t>
      </w:r>
      <w:proofErr w:type="gramEnd"/>
      <w:r w:rsidRPr="00001812">
        <w:rPr>
          <w:rFonts w:asciiTheme="majorBidi" w:hAnsiTheme="majorBidi" w:cstheme="majorBidi"/>
        </w:rPr>
        <w:t xml:space="preserve">1, 57) = .10, </w:t>
      </w:r>
      <w:r w:rsidRPr="00001812">
        <w:rPr>
          <w:rFonts w:asciiTheme="majorBidi" w:hAnsiTheme="majorBidi" w:cstheme="majorBidi"/>
          <w:i/>
          <w:iCs/>
        </w:rPr>
        <w:t>p</w:t>
      </w:r>
      <w:r w:rsidRPr="00001812">
        <w:rPr>
          <w:rFonts w:asciiTheme="majorBidi" w:hAnsiTheme="majorBidi" w:cstheme="majorBidi"/>
        </w:rPr>
        <w:t xml:space="preserve"> = .75,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.00), trial wording (</w:t>
      </w:r>
      <w:r w:rsidRPr="00001812">
        <w:rPr>
          <w:rFonts w:asciiTheme="majorBidi" w:hAnsiTheme="majorBidi" w:cstheme="majorBidi"/>
          <w:i/>
          <w:iCs/>
        </w:rPr>
        <w:t>F</w:t>
      </w:r>
      <w:r w:rsidRPr="00001812">
        <w:rPr>
          <w:rFonts w:asciiTheme="majorBidi" w:hAnsiTheme="majorBidi" w:cstheme="majorBidi"/>
        </w:rPr>
        <w:t xml:space="preserve">(1.83, 104.43) = 2.54, </w:t>
      </w:r>
      <w:r w:rsidRPr="00001812">
        <w:rPr>
          <w:rFonts w:asciiTheme="majorBidi" w:hAnsiTheme="majorBidi" w:cstheme="majorBidi"/>
          <w:i/>
          <w:iCs/>
        </w:rPr>
        <w:t>p</w:t>
      </w:r>
      <w:r w:rsidRPr="00001812">
        <w:rPr>
          <w:rFonts w:asciiTheme="majorBidi" w:hAnsiTheme="majorBidi" w:cstheme="majorBidi"/>
        </w:rPr>
        <w:t xml:space="preserve"> = .09,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.04), or interaction between hunger level and trial wording (</w:t>
      </w:r>
      <w:r w:rsidRPr="00001812">
        <w:rPr>
          <w:rFonts w:asciiTheme="majorBidi" w:hAnsiTheme="majorBidi" w:cstheme="majorBidi"/>
          <w:i/>
          <w:iCs/>
        </w:rPr>
        <w:t>F</w:t>
      </w:r>
      <w:r w:rsidRPr="00001812">
        <w:rPr>
          <w:rFonts w:asciiTheme="majorBidi" w:hAnsiTheme="majorBidi" w:cstheme="majorBidi"/>
        </w:rPr>
        <w:t xml:space="preserve">(1.83, 104.43) = 2.12, </w:t>
      </w:r>
      <w:r w:rsidRPr="00001812">
        <w:rPr>
          <w:rFonts w:asciiTheme="majorBidi" w:hAnsiTheme="majorBidi" w:cstheme="majorBidi"/>
          <w:i/>
          <w:iCs/>
        </w:rPr>
        <w:t>p</w:t>
      </w:r>
      <w:r w:rsidRPr="00001812">
        <w:rPr>
          <w:rFonts w:asciiTheme="majorBidi" w:hAnsiTheme="majorBidi" w:cstheme="majorBidi"/>
        </w:rPr>
        <w:t xml:space="preserve"> = .13, η</w:t>
      </w:r>
      <w:r w:rsidRPr="00001812">
        <w:rPr>
          <w:rFonts w:asciiTheme="majorBidi" w:hAnsiTheme="majorBidi" w:cstheme="majorBidi"/>
          <w:vertAlign w:val="subscript"/>
        </w:rPr>
        <w:t>p</w:t>
      </w:r>
      <w:r w:rsidRPr="00001812">
        <w:rPr>
          <w:rFonts w:asciiTheme="majorBidi" w:hAnsiTheme="majorBidi" w:cstheme="majorBidi"/>
          <w:vertAlign w:val="superscript"/>
        </w:rPr>
        <w:t>2</w:t>
      </w:r>
      <w:r w:rsidRPr="00001812">
        <w:rPr>
          <w:rFonts w:asciiTheme="majorBidi" w:hAnsiTheme="majorBidi" w:cstheme="majorBidi"/>
        </w:rPr>
        <w:t xml:space="preserve"> = .04) on EA rates. This analysis demonstrates that subjective hunger did not modify EA rates or their sensitivity to trial wording. </w:t>
      </w:r>
      <w:bookmarkStart w:id="391" w:name="_Hlk94866481"/>
      <w:bookmarkEnd w:id="391"/>
    </w:p>
    <w:p w14:paraId="72BEF054" w14:textId="77777777" w:rsidR="00001812" w:rsidRPr="00001812" w:rsidRDefault="00001812" w:rsidP="00001812">
      <w:pPr>
        <w:pStyle w:val="NoSpacing"/>
        <w:spacing w:line="480" w:lineRule="auto"/>
        <w:rPr>
          <w:rFonts w:asciiTheme="majorBidi" w:hAnsiTheme="majorBidi" w:cstheme="majorBidi"/>
        </w:rPr>
      </w:pPr>
    </w:p>
    <w:p w14:paraId="2216C7EB" w14:textId="77777777" w:rsidR="00001812" w:rsidRPr="00001812" w:rsidRDefault="00001812" w:rsidP="00001812">
      <w:pPr>
        <w:pStyle w:val="NoSpacing"/>
        <w:rPr>
          <w:b/>
          <w:bCs/>
        </w:rPr>
      </w:pPr>
    </w:p>
    <w:p w14:paraId="41F34158" w14:textId="2C1E9CFE" w:rsidR="00001812" w:rsidRDefault="00001812" w:rsidP="00001812">
      <w:pPr>
        <w:pStyle w:val="NoSpacing"/>
        <w:rPr>
          <w:b/>
          <w:bCs/>
        </w:rPr>
      </w:pPr>
    </w:p>
    <w:p w14:paraId="2D7995D0" w14:textId="2C7528BA" w:rsidR="00001812" w:rsidRDefault="00001812" w:rsidP="00001812">
      <w:pPr>
        <w:pStyle w:val="NoSpacing"/>
        <w:rPr>
          <w:b/>
          <w:bCs/>
        </w:rPr>
      </w:pPr>
    </w:p>
    <w:p w14:paraId="25A82B15" w14:textId="3F89915B" w:rsidR="00001812" w:rsidRDefault="00001812" w:rsidP="00001812">
      <w:pPr>
        <w:pStyle w:val="NoSpacing"/>
        <w:rPr>
          <w:b/>
          <w:bCs/>
        </w:rPr>
      </w:pPr>
    </w:p>
    <w:p w14:paraId="1B9A29E6" w14:textId="04462E3B" w:rsidR="00001812" w:rsidRDefault="00001812" w:rsidP="00001812">
      <w:pPr>
        <w:pStyle w:val="NoSpacing"/>
        <w:rPr>
          <w:b/>
          <w:bCs/>
        </w:rPr>
      </w:pPr>
    </w:p>
    <w:p w14:paraId="13684076" w14:textId="217DBD18" w:rsidR="00001812" w:rsidRDefault="00001812" w:rsidP="00001812">
      <w:pPr>
        <w:pStyle w:val="NoSpacing"/>
        <w:rPr>
          <w:b/>
          <w:bCs/>
        </w:rPr>
      </w:pPr>
    </w:p>
    <w:p w14:paraId="6FCC0D78" w14:textId="022DA6F0" w:rsidR="00001812" w:rsidRDefault="00001812" w:rsidP="00001812">
      <w:pPr>
        <w:pStyle w:val="NoSpacing"/>
        <w:rPr>
          <w:b/>
          <w:bCs/>
        </w:rPr>
      </w:pPr>
    </w:p>
    <w:p w14:paraId="2C69FFDC" w14:textId="79895703" w:rsidR="00001812" w:rsidRDefault="00001812" w:rsidP="00001812">
      <w:pPr>
        <w:pStyle w:val="NoSpacing"/>
        <w:rPr>
          <w:b/>
          <w:bCs/>
        </w:rPr>
      </w:pPr>
    </w:p>
    <w:p w14:paraId="24DC18DC" w14:textId="2AB272AF" w:rsidR="00001812" w:rsidRDefault="00001812" w:rsidP="00001812">
      <w:pPr>
        <w:pStyle w:val="NoSpacing"/>
        <w:rPr>
          <w:b/>
          <w:bCs/>
        </w:rPr>
      </w:pPr>
    </w:p>
    <w:p w14:paraId="1AE67759" w14:textId="167D47A8" w:rsidR="00001812" w:rsidRDefault="00001812" w:rsidP="00001812">
      <w:pPr>
        <w:pStyle w:val="NoSpacing"/>
        <w:rPr>
          <w:b/>
          <w:bCs/>
        </w:rPr>
      </w:pPr>
    </w:p>
    <w:p w14:paraId="5F32C5F5" w14:textId="39E11E3F" w:rsidR="00001812" w:rsidRDefault="00001812" w:rsidP="00001812">
      <w:pPr>
        <w:pStyle w:val="NoSpacing"/>
        <w:rPr>
          <w:b/>
          <w:bCs/>
        </w:rPr>
      </w:pPr>
    </w:p>
    <w:p w14:paraId="0C52335A" w14:textId="4888BCB7" w:rsidR="00001812" w:rsidRDefault="00001812" w:rsidP="00001812">
      <w:pPr>
        <w:pStyle w:val="NoSpacing"/>
        <w:rPr>
          <w:b/>
          <w:bCs/>
        </w:rPr>
      </w:pPr>
    </w:p>
    <w:p w14:paraId="40BC9B16" w14:textId="1E967655" w:rsidR="00001812" w:rsidRDefault="00001812" w:rsidP="00001812">
      <w:pPr>
        <w:pStyle w:val="NoSpacing"/>
        <w:rPr>
          <w:b/>
          <w:bCs/>
        </w:rPr>
      </w:pPr>
    </w:p>
    <w:p w14:paraId="0D465E78" w14:textId="5FA2CEEC" w:rsidR="00001812" w:rsidRDefault="00001812" w:rsidP="00001812">
      <w:pPr>
        <w:pStyle w:val="NoSpacing"/>
        <w:rPr>
          <w:b/>
          <w:bCs/>
        </w:rPr>
      </w:pPr>
    </w:p>
    <w:p w14:paraId="03E92FD2" w14:textId="23DC36F9" w:rsidR="00001812" w:rsidRDefault="00001812" w:rsidP="00001812">
      <w:pPr>
        <w:pStyle w:val="NoSpacing"/>
        <w:rPr>
          <w:b/>
          <w:bCs/>
        </w:rPr>
      </w:pPr>
    </w:p>
    <w:p w14:paraId="5235C453" w14:textId="73B98422" w:rsidR="00001812" w:rsidRDefault="00001812" w:rsidP="00001812">
      <w:pPr>
        <w:pStyle w:val="NoSpacing"/>
        <w:rPr>
          <w:b/>
          <w:bCs/>
        </w:rPr>
      </w:pPr>
    </w:p>
    <w:p w14:paraId="2F56F2FF" w14:textId="77777777" w:rsidR="000B1A1B" w:rsidRPr="000B1A1B"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lastRenderedPageBreak/>
        <w:t>8. Core analyses repeated on response thresholds.</w:t>
      </w:r>
    </w:p>
    <w:p w14:paraId="35B4E486" w14:textId="77777777"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 xml:space="preserve">We did not make any pre-registered hypotheses about response thresholds, however here we explore whether response thresholds for food images differ across trial wording and trial difficulty level. Response thresholds were analysed using a two-way repeated measures ANOVA with trial wording (3: “consume”; “like”; “recall”) and trial difficulty (3: easy; medium, hard) as within-subject variables. As in Chapter 3, if data violated assumptions of sphericity, </w:t>
      </w:r>
      <w:r w:rsidRPr="000B1A1B">
        <w:rPr>
          <w:rFonts w:ascii="Times New Roman" w:hAnsi="Times New Roman" w:cs="Times New Roman"/>
          <w:i/>
          <w:iCs/>
        </w:rPr>
        <w:t>F</w:t>
      </w:r>
      <w:r w:rsidRPr="000B1A1B">
        <w:rPr>
          <w:rFonts w:ascii="Times New Roman" w:hAnsi="Times New Roman" w:cs="Times New Roman"/>
        </w:rPr>
        <w:t xml:space="preserve"> values were derived using a correction (Huynh-Feldt correction if the Greenhouse-</w:t>
      </w:r>
      <w:proofErr w:type="spellStart"/>
      <w:r w:rsidRPr="000B1A1B">
        <w:rPr>
          <w:rFonts w:ascii="Times New Roman" w:hAnsi="Times New Roman" w:cs="Times New Roman"/>
        </w:rPr>
        <w:t>Geisser</w:t>
      </w:r>
      <w:proofErr w:type="spellEnd"/>
      <w:r w:rsidRPr="000B1A1B">
        <w:rPr>
          <w:rFonts w:ascii="Times New Roman" w:hAnsi="Times New Roman" w:cs="Times New Roman"/>
        </w:rPr>
        <w:t xml:space="preserve"> epsilon (ε) ≥ 0.75, otherwise if ε &lt; 0.75 the Greenhouse-</w:t>
      </w:r>
      <w:proofErr w:type="spellStart"/>
      <w:r w:rsidRPr="000B1A1B">
        <w:rPr>
          <w:rFonts w:ascii="Times New Roman" w:hAnsi="Times New Roman" w:cs="Times New Roman"/>
        </w:rPr>
        <w:t>Geisser</w:t>
      </w:r>
      <w:proofErr w:type="spellEnd"/>
      <w:r w:rsidRPr="000B1A1B">
        <w:rPr>
          <w:rFonts w:ascii="Times New Roman" w:hAnsi="Times New Roman" w:cs="Times New Roman"/>
        </w:rPr>
        <w:t xml:space="preserve"> correction was used).</w:t>
      </w:r>
      <w:bookmarkStart w:id="392" w:name="_Hlk93933751"/>
      <w:bookmarkEnd w:id="392"/>
    </w:p>
    <w:p w14:paraId="77AFB1E2" w14:textId="77777777" w:rsidR="000B1A1B" w:rsidRPr="000B1A1B" w:rsidRDefault="000B1A1B" w:rsidP="000B1A1B">
      <w:pPr>
        <w:pStyle w:val="NoSpacing"/>
        <w:spacing w:line="480" w:lineRule="auto"/>
        <w:rPr>
          <w:rFonts w:ascii="Times New Roman" w:hAnsi="Times New Roman" w:cs="Times New Roman"/>
        </w:rPr>
      </w:pPr>
    </w:p>
    <w:p w14:paraId="2A4816B3" w14:textId="77777777"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 xml:space="preserve">There was a significant main effect of trial wording, </w:t>
      </w:r>
      <w:proofErr w:type="gramStart"/>
      <w:r w:rsidRPr="000B1A1B">
        <w:rPr>
          <w:rFonts w:ascii="Times New Roman" w:hAnsi="Times New Roman" w:cs="Times New Roman"/>
          <w:i/>
          <w:iCs/>
        </w:rPr>
        <w:t>F</w:t>
      </w:r>
      <w:r w:rsidRPr="000B1A1B">
        <w:rPr>
          <w:rFonts w:ascii="Times New Roman" w:hAnsi="Times New Roman" w:cs="Times New Roman"/>
        </w:rPr>
        <w:t>(</w:t>
      </w:r>
      <w:proofErr w:type="gramEnd"/>
      <w:r w:rsidRPr="000B1A1B">
        <w:rPr>
          <w:rFonts w:ascii="Times New Roman" w:hAnsi="Times New Roman" w:cs="Times New Roman"/>
        </w:rPr>
        <w:t xml:space="preserve">2, 116) = 5.97, </w:t>
      </w:r>
      <w:r w:rsidRPr="000B1A1B">
        <w:rPr>
          <w:rFonts w:ascii="Times New Roman" w:hAnsi="Times New Roman" w:cs="Times New Roman"/>
          <w:i/>
          <w:iCs/>
        </w:rPr>
        <w:t>p</w:t>
      </w:r>
      <w:r w:rsidRPr="000B1A1B">
        <w:rPr>
          <w:rFonts w:ascii="Times New Roman" w:hAnsi="Times New Roman" w:cs="Times New Roman"/>
        </w:rPr>
        <w:t xml:space="preserve"> &lt; .01, η</w:t>
      </w:r>
      <w:r w:rsidRPr="000B1A1B">
        <w:rPr>
          <w:rFonts w:ascii="Times New Roman" w:hAnsi="Times New Roman" w:cs="Times New Roman"/>
          <w:vertAlign w:val="subscript"/>
        </w:rPr>
        <w:t>p</w:t>
      </w:r>
      <w:r w:rsidRPr="000B1A1B">
        <w:rPr>
          <w:rFonts w:ascii="Times New Roman" w:hAnsi="Times New Roman" w:cs="Times New Roman"/>
          <w:vertAlign w:val="superscript"/>
        </w:rPr>
        <w:t>2</w:t>
      </w:r>
      <w:r w:rsidRPr="000B1A1B">
        <w:rPr>
          <w:rFonts w:ascii="Times New Roman" w:hAnsi="Times New Roman" w:cs="Times New Roman"/>
        </w:rPr>
        <w:t xml:space="preserve"> = .09, with the Bayes factor indicating </w:t>
      </w:r>
      <w:r w:rsidRPr="000B1A1B">
        <w:rPr>
          <w:rFonts w:ascii="Times New Roman" w:hAnsi="Times New Roman" w:cs="Times New Roman"/>
          <w:i/>
          <w:iCs/>
        </w:rPr>
        <w:t xml:space="preserve">strong </w:t>
      </w:r>
      <w:r w:rsidRPr="000B1A1B">
        <w:rPr>
          <w:rFonts w:ascii="Times New Roman" w:hAnsi="Times New Roman" w:cs="Times New Roman"/>
        </w:rPr>
        <w:t>evidence in favour of the experimental hypothesis (BF</w:t>
      </w:r>
      <w:r w:rsidRPr="000B1A1B">
        <w:rPr>
          <w:rFonts w:ascii="Times New Roman" w:hAnsi="Times New Roman" w:cs="Times New Roman"/>
          <w:vertAlign w:val="subscript"/>
        </w:rPr>
        <w:t xml:space="preserve">10 </w:t>
      </w:r>
      <w:r w:rsidRPr="000B1A1B">
        <w:rPr>
          <w:rFonts w:ascii="Times New Roman" w:hAnsi="Times New Roman" w:cs="Times New Roman"/>
        </w:rPr>
        <w:t xml:space="preserve">=  28.53), and of trial difficulty, </w:t>
      </w:r>
      <w:r w:rsidRPr="000B1A1B">
        <w:rPr>
          <w:rFonts w:ascii="Times New Roman" w:hAnsi="Times New Roman" w:cs="Times New Roman"/>
          <w:i/>
          <w:iCs/>
        </w:rPr>
        <w:t>F</w:t>
      </w:r>
      <w:r w:rsidRPr="000B1A1B">
        <w:rPr>
          <w:rFonts w:ascii="Times New Roman" w:hAnsi="Times New Roman" w:cs="Times New Roman"/>
        </w:rPr>
        <w:t xml:space="preserve">(1.74, 100.65) = 11.41, </w:t>
      </w:r>
      <w:r w:rsidRPr="000B1A1B">
        <w:rPr>
          <w:rFonts w:ascii="Times New Roman" w:hAnsi="Times New Roman" w:cs="Times New Roman"/>
          <w:i/>
          <w:iCs/>
        </w:rPr>
        <w:t>p</w:t>
      </w:r>
      <w:r w:rsidRPr="000B1A1B">
        <w:rPr>
          <w:rFonts w:ascii="Times New Roman" w:hAnsi="Times New Roman" w:cs="Times New Roman"/>
        </w:rPr>
        <w:t xml:space="preserve"> &lt; .001, η</w:t>
      </w:r>
      <w:r w:rsidRPr="000B1A1B">
        <w:rPr>
          <w:rFonts w:ascii="Times New Roman" w:hAnsi="Times New Roman" w:cs="Times New Roman"/>
          <w:vertAlign w:val="subscript"/>
        </w:rPr>
        <w:t>p</w:t>
      </w:r>
      <w:r w:rsidRPr="000B1A1B">
        <w:rPr>
          <w:rFonts w:ascii="Times New Roman" w:hAnsi="Times New Roman" w:cs="Times New Roman"/>
          <w:vertAlign w:val="superscript"/>
        </w:rPr>
        <w:t>2</w:t>
      </w:r>
      <w:r w:rsidRPr="000B1A1B">
        <w:rPr>
          <w:rFonts w:ascii="Times New Roman" w:hAnsi="Times New Roman" w:cs="Times New Roman"/>
        </w:rPr>
        <w:t xml:space="preserve"> = .16, with the Bayes factor indicating </w:t>
      </w:r>
      <w:r w:rsidRPr="000B1A1B">
        <w:rPr>
          <w:rFonts w:ascii="Times New Roman" w:hAnsi="Times New Roman" w:cs="Times New Roman"/>
          <w:i/>
          <w:iCs/>
        </w:rPr>
        <w:t>extreme</w:t>
      </w:r>
      <w:r w:rsidRPr="000B1A1B">
        <w:rPr>
          <w:rFonts w:ascii="Times New Roman" w:hAnsi="Times New Roman" w:cs="Times New Roman"/>
        </w:rPr>
        <w:t xml:space="preserve"> evidence in favour of the experimental hypothesis (BF</w:t>
      </w:r>
      <w:r w:rsidRPr="000B1A1B">
        <w:rPr>
          <w:rFonts w:ascii="Times New Roman" w:hAnsi="Times New Roman" w:cs="Times New Roman"/>
          <w:vertAlign w:val="subscript"/>
        </w:rPr>
        <w:t>10</w:t>
      </w:r>
      <w:r w:rsidRPr="000B1A1B">
        <w:rPr>
          <w:rFonts w:ascii="Times New Roman" w:hAnsi="Times New Roman" w:cs="Times New Roman"/>
        </w:rPr>
        <w:t xml:space="preserve"> &gt; 100). Furthermore, there was a significant interaction between trial difficulty level and trial wording, </w:t>
      </w:r>
      <w:proofErr w:type="gramStart"/>
      <w:r w:rsidRPr="000B1A1B">
        <w:rPr>
          <w:rFonts w:ascii="Times New Roman" w:hAnsi="Times New Roman" w:cs="Times New Roman"/>
          <w:i/>
          <w:iCs/>
        </w:rPr>
        <w:t>F</w:t>
      </w:r>
      <w:r w:rsidRPr="000B1A1B">
        <w:rPr>
          <w:rFonts w:ascii="Times New Roman" w:hAnsi="Times New Roman" w:cs="Times New Roman"/>
        </w:rPr>
        <w:t>(</w:t>
      </w:r>
      <w:proofErr w:type="gramEnd"/>
      <w:r w:rsidRPr="000B1A1B">
        <w:rPr>
          <w:rFonts w:ascii="Times New Roman" w:hAnsi="Times New Roman" w:cs="Times New Roman"/>
        </w:rPr>
        <w:t xml:space="preserve">4, 232) = 2.99, </w:t>
      </w:r>
      <w:r w:rsidRPr="000B1A1B">
        <w:rPr>
          <w:rFonts w:ascii="Times New Roman" w:hAnsi="Times New Roman" w:cs="Times New Roman"/>
          <w:i/>
          <w:iCs/>
        </w:rPr>
        <w:t>p</w:t>
      </w:r>
      <w:r w:rsidRPr="000B1A1B">
        <w:rPr>
          <w:rFonts w:ascii="Times New Roman" w:hAnsi="Times New Roman" w:cs="Times New Roman"/>
        </w:rPr>
        <w:t xml:space="preserve"> = .02, η</w:t>
      </w:r>
      <w:r w:rsidRPr="000B1A1B">
        <w:rPr>
          <w:rFonts w:ascii="Times New Roman" w:hAnsi="Times New Roman" w:cs="Times New Roman"/>
          <w:vertAlign w:val="subscript"/>
        </w:rPr>
        <w:t>p</w:t>
      </w:r>
      <w:r w:rsidRPr="000B1A1B">
        <w:rPr>
          <w:rFonts w:ascii="Times New Roman" w:hAnsi="Times New Roman" w:cs="Times New Roman"/>
          <w:vertAlign w:val="superscript"/>
        </w:rPr>
        <w:t>2</w:t>
      </w:r>
      <w:r w:rsidRPr="000B1A1B">
        <w:rPr>
          <w:rFonts w:ascii="Times New Roman" w:hAnsi="Times New Roman" w:cs="Times New Roman"/>
        </w:rPr>
        <w:t xml:space="preserve"> = .05, however the Bayes factor did not support the experimental hypothesis (BF</w:t>
      </w:r>
      <w:r w:rsidRPr="000B1A1B">
        <w:rPr>
          <w:rFonts w:ascii="Times New Roman" w:hAnsi="Times New Roman" w:cs="Times New Roman"/>
          <w:vertAlign w:val="subscript"/>
        </w:rPr>
        <w:t>10</w:t>
      </w:r>
      <w:r w:rsidRPr="000B1A1B">
        <w:rPr>
          <w:rFonts w:ascii="Times New Roman" w:hAnsi="Times New Roman" w:cs="Times New Roman"/>
        </w:rPr>
        <w:t xml:space="preserve"> = .21).</w:t>
      </w:r>
      <w:bookmarkStart w:id="393" w:name="_Hlk93933843"/>
      <w:bookmarkEnd w:id="393"/>
    </w:p>
    <w:p w14:paraId="2A9BA493" w14:textId="77777777" w:rsidR="000B1A1B" w:rsidRPr="000B1A1B" w:rsidRDefault="000B1A1B" w:rsidP="000B1A1B">
      <w:pPr>
        <w:pStyle w:val="NoSpacing"/>
        <w:spacing w:line="480" w:lineRule="auto"/>
        <w:rPr>
          <w:rFonts w:ascii="Times New Roman" w:hAnsi="Times New Roman" w:cs="Times New Roman"/>
        </w:rPr>
      </w:pPr>
    </w:p>
    <w:p w14:paraId="3005632F" w14:textId="7E522741" w:rsidR="000B1A1B" w:rsidRPr="000B1A1B"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Main effect: trial wording</w:t>
      </w:r>
    </w:p>
    <w:p w14:paraId="59BADC5D" w14:textId="77777777"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 xml:space="preserve">Response thresholds were higher in the recall block (M = 1.66, SD = .45) compared to in the consume block (M = 1.57, SD = .45; </w:t>
      </w:r>
      <w:r w:rsidRPr="000B1A1B">
        <w:rPr>
          <w:rFonts w:ascii="Times New Roman" w:hAnsi="Times New Roman" w:cs="Times New Roman"/>
          <w:i/>
          <w:iCs/>
        </w:rPr>
        <w:t>p</w:t>
      </w:r>
      <w:r w:rsidRPr="000B1A1B">
        <w:rPr>
          <w:rFonts w:ascii="Times New Roman" w:hAnsi="Times New Roman" w:cs="Times New Roman"/>
        </w:rPr>
        <w:t xml:space="preserve"> = .04) and the like block (M = 1.53, SD = .44; </w:t>
      </w:r>
      <w:r w:rsidRPr="000B1A1B">
        <w:rPr>
          <w:rFonts w:ascii="Times New Roman" w:hAnsi="Times New Roman" w:cs="Times New Roman"/>
          <w:i/>
          <w:iCs/>
        </w:rPr>
        <w:t>p</w:t>
      </w:r>
      <w:r w:rsidRPr="000B1A1B">
        <w:rPr>
          <w:rFonts w:ascii="Times New Roman" w:hAnsi="Times New Roman" w:cs="Times New Roman"/>
        </w:rPr>
        <w:t xml:space="preserve"> &lt; .01). There were no differences in response thresholds between the consume block and the like block (</w:t>
      </w:r>
      <w:r w:rsidRPr="000B1A1B">
        <w:rPr>
          <w:rFonts w:ascii="Times New Roman" w:hAnsi="Times New Roman" w:cs="Times New Roman"/>
          <w:i/>
          <w:iCs/>
        </w:rPr>
        <w:t>p</w:t>
      </w:r>
      <w:r w:rsidRPr="000B1A1B">
        <w:rPr>
          <w:rFonts w:ascii="Times New Roman" w:hAnsi="Times New Roman" w:cs="Times New Roman"/>
        </w:rPr>
        <w:t xml:space="preserve"> = .35). These findings suggest that participants were more cautious in their decision-making when they were instructed to recall their previous value rating compared to </w:t>
      </w:r>
      <w:r w:rsidRPr="000B1A1B">
        <w:rPr>
          <w:rFonts w:ascii="Times New Roman" w:hAnsi="Times New Roman" w:cs="Times New Roman"/>
        </w:rPr>
        <w:lastRenderedPageBreak/>
        <w:t>when they were making subjective like or consumption judgements, but that there were no differences between subjective consumption and liking judgements.</w:t>
      </w:r>
      <w:bookmarkStart w:id="394" w:name="_Hlk93938421"/>
      <w:bookmarkEnd w:id="394"/>
    </w:p>
    <w:p w14:paraId="2C943FD7" w14:textId="77777777" w:rsidR="000B1A1B" w:rsidRPr="000B1A1B" w:rsidRDefault="000B1A1B" w:rsidP="000B1A1B">
      <w:pPr>
        <w:pStyle w:val="NoSpacing"/>
        <w:spacing w:line="480" w:lineRule="auto"/>
        <w:rPr>
          <w:rFonts w:ascii="Times New Roman" w:hAnsi="Times New Roman" w:cs="Times New Roman"/>
        </w:rPr>
      </w:pPr>
    </w:p>
    <w:p w14:paraId="4E61DD1E" w14:textId="6078F7A1" w:rsidR="000B1A1B" w:rsidRPr="000B1A1B"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 xml:space="preserve">Main effect: difficulty </w:t>
      </w:r>
    </w:p>
    <w:p w14:paraId="1B6CA2B7" w14:textId="77777777"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 xml:space="preserve">Response thresholds were higher in the medium block of trials (M = 1.69, SD = .44) compared to in the easy trials (M = 1.52, SD = .48; </w:t>
      </w:r>
      <w:r w:rsidRPr="000B1A1B">
        <w:rPr>
          <w:rFonts w:ascii="Times New Roman" w:hAnsi="Times New Roman" w:cs="Times New Roman"/>
          <w:i/>
          <w:iCs/>
        </w:rPr>
        <w:t>p</w:t>
      </w:r>
      <w:r w:rsidRPr="000B1A1B">
        <w:rPr>
          <w:rFonts w:ascii="Times New Roman" w:hAnsi="Times New Roman" w:cs="Times New Roman"/>
        </w:rPr>
        <w:t xml:space="preserve"> &lt; .001) and in the hard trials (M = 1.55, SD = .39; </w:t>
      </w:r>
      <w:r w:rsidRPr="000B1A1B">
        <w:rPr>
          <w:rFonts w:ascii="Times New Roman" w:hAnsi="Times New Roman" w:cs="Times New Roman"/>
          <w:i/>
          <w:iCs/>
        </w:rPr>
        <w:t>p</w:t>
      </w:r>
      <w:r w:rsidRPr="000B1A1B">
        <w:rPr>
          <w:rFonts w:ascii="Times New Roman" w:hAnsi="Times New Roman" w:cs="Times New Roman"/>
        </w:rPr>
        <w:t xml:space="preserve"> &lt; .001). There were no significant differences in response thresholds in the easy trials compared to the hard trials (</w:t>
      </w:r>
      <w:r w:rsidRPr="000B1A1B">
        <w:rPr>
          <w:rFonts w:ascii="Times New Roman" w:hAnsi="Times New Roman" w:cs="Times New Roman"/>
          <w:i/>
          <w:iCs/>
        </w:rPr>
        <w:t>p</w:t>
      </w:r>
      <w:r w:rsidRPr="000B1A1B">
        <w:rPr>
          <w:rFonts w:ascii="Times New Roman" w:hAnsi="Times New Roman" w:cs="Times New Roman"/>
        </w:rPr>
        <w:t xml:space="preserve"> = .52). This demonstrates that participants cautiousness in decision-making is increased on medium trials (but that there are no differences between easy and hard choices).</w:t>
      </w:r>
      <w:bookmarkStart w:id="395" w:name="_Hlk93935690"/>
      <w:bookmarkEnd w:id="395"/>
    </w:p>
    <w:p w14:paraId="205BE2C3" w14:textId="77777777" w:rsidR="000B1A1B" w:rsidRPr="000B1A1B" w:rsidRDefault="000B1A1B" w:rsidP="000B1A1B">
      <w:pPr>
        <w:pStyle w:val="NoSpacing"/>
        <w:spacing w:line="480" w:lineRule="auto"/>
        <w:rPr>
          <w:rFonts w:ascii="Times New Roman" w:hAnsi="Times New Roman" w:cs="Times New Roman"/>
          <w:u w:val="single"/>
        </w:rPr>
      </w:pPr>
    </w:p>
    <w:p w14:paraId="001725B7" w14:textId="22C5A5A6" w:rsidR="000B1A1B" w:rsidRPr="000B1A1B"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Interaction effect: trial wording and difficulty (see Figure S3.</w:t>
      </w:r>
      <w:r w:rsidR="00AA0A39" w:rsidRPr="002A3B81">
        <w:rPr>
          <w:rFonts w:ascii="Times New Roman" w:hAnsi="Times New Roman" w:cs="Times New Roman"/>
          <w:b/>
          <w:bCs/>
        </w:rPr>
        <w:t>1</w:t>
      </w:r>
      <w:r w:rsidRPr="000B1A1B">
        <w:rPr>
          <w:rFonts w:ascii="Times New Roman" w:hAnsi="Times New Roman" w:cs="Times New Roman"/>
          <w:b/>
          <w:bCs/>
        </w:rPr>
        <w:t>)</w:t>
      </w:r>
    </w:p>
    <w:p w14:paraId="130E8CEA" w14:textId="77777777"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 xml:space="preserve">On hard trials, response thresholds on the like block (M = 1.42, SD = .35) were significantly lower compared to in the recall block (M = 1.67, SD = .40; </w:t>
      </w:r>
      <w:r w:rsidRPr="000B1A1B">
        <w:rPr>
          <w:rFonts w:ascii="Times New Roman" w:hAnsi="Times New Roman" w:cs="Times New Roman"/>
          <w:i/>
          <w:iCs/>
        </w:rPr>
        <w:t>p</w:t>
      </w:r>
      <w:r w:rsidRPr="000B1A1B">
        <w:rPr>
          <w:rFonts w:ascii="Times New Roman" w:hAnsi="Times New Roman" w:cs="Times New Roman"/>
        </w:rPr>
        <w:t xml:space="preserve"> &lt; .001). There were no significant differences between response thresholds on the consume block (M = 1.55, SD = .39) compared to the recall block (</w:t>
      </w:r>
      <w:r w:rsidRPr="000B1A1B">
        <w:rPr>
          <w:rFonts w:ascii="Times New Roman" w:hAnsi="Times New Roman" w:cs="Times New Roman"/>
          <w:i/>
          <w:iCs/>
        </w:rPr>
        <w:t>p</w:t>
      </w:r>
      <w:r w:rsidRPr="000B1A1B">
        <w:rPr>
          <w:rFonts w:ascii="Times New Roman" w:hAnsi="Times New Roman" w:cs="Times New Roman"/>
        </w:rPr>
        <w:t xml:space="preserve"> = .72) and like block (</w:t>
      </w:r>
      <w:r w:rsidRPr="000B1A1B">
        <w:rPr>
          <w:rFonts w:ascii="Times New Roman" w:hAnsi="Times New Roman" w:cs="Times New Roman"/>
          <w:i/>
          <w:iCs/>
        </w:rPr>
        <w:t>p</w:t>
      </w:r>
      <w:r w:rsidRPr="000B1A1B">
        <w:rPr>
          <w:rFonts w:ascii="Times New Roman" w:hAnsi="Times New Roman" w:cs="Times New Roman"/>
        </w:rPr>
        <w:t xml:space="preserve"> = .63). On medium trials, there were no significant differences in response thresholds across the three blocks of wording (all </w:t>
      </w:r>
      <w:proofErr w:type="spellStart"/>
      <w:r w:rsidRPr="000B1A1B">
        <w:rPr>
          <w:rFonts w:ascii="Times New Roman" w:hAnsi="Times New Roman" w:cs="Times New Roman"/>
          <w:i/>
          <w:iCs/>
        </w:rPr>
        <w:t>p</w:t>
      </w:r>
      <w:r w:rsidRPr="000B1A1B">
        <w:rPr>
          <w:rFonts w:ascii="Times New Roman" w:hAnsi="Times New Roman" w:cs="Times New Roman"/>
        </w:rPr>
        <w:t>s</w:t>
      </w:r>
      <w:proofErr w:type="spellEnd"/>
      <w:r w:rsidRPr="000B1A1B">
        <w:rPr>
          <w:rFonts w:ascii="Times New Roman" w:hAnsi="Times New Roman" w:cs="Times New Roman"/>
        </w:rPr>
        <w:t xml:space="preserve"> &gt; .19). Specifically, response thresholds on the consume block (M = 1.63, SD = .42) were not significantly different to in the recall block (M = 1.79, SD = .42; </w:t>
      </w:r>
      <w:r w:rsidRPr="000B1A1B">
        <w:rPr>
          <w:rFonts w:ascii="Times New Roman" w:hAnsi="Times New Roman" w:cs="Times New Roman"/>
          <w:i/>
          <w:iCs/>
        </w:rPr>
        <w:t>p</w:t>
      </w:r>
      <w:r w:rsidRPr="000B1A1B">
        <w:rPr>
          <w:rFonts w:ascii="Times New Roman" w:hAnsi="Times New Roman" w:cs="Times New Roman"/>
        </w:rPr>
        <w:t xml:space="preserve"> = .19) or the like block (M = 1.65, SD = .47; </w:t>
      </w:r>
      <w:r w:rsidRPr="000B1A1B">
        <w:rPr>
          <w:rFonts w:ascii="Times New Roman" w:hAnsi="Times New Roman" w:cs="Times New Roman"/>
          <w:i/>
          <w:iCs/>
        </w:rPr>
        <w:t>p</w:t>
      </w:r>
      <w:r w:rsidRPr="000B1A1B">
        <w:rPr>
          <w:rFonts w:ascii="Times New Roman" w:hAnsi="Times New Roman" w:cs="Times New Roman"/>
        </w:rPr>
        <w:t xml:space="preserve"> = 1.00). Furthermore, response thresholds on the recall block were not significantly different than on the like block (</w:t>
      </w:r>
      <w:r w:rsidRPr="000B1A1B">
        <w:rPr>
          <w:rFonts w:ascii="Times New Roman" w:hAnsi="Times New Roman" w:cs="Times New Roman"/>
          <w:i/>
          <w:iCs/>
        </w:rPr>
        <w:t>p</w:t>
      </w:r>
      <w:r w:rsidRPr="000B1A1B">
        <w:rPr>
          <w:rFonts w:ascii="Times New Roman" w:hAnsi="Times New Roman" w:cs="Times New Roman"/>
        </w:rPr>
        <w:t xml:space="preserve"> = .45). Finally, on easy trials, there were also no significant differences in response thresholds across the three blocks of wording (all </w:t>
      </w:r>
      <w:proofErr w:type="spellStart"/>
      <w:r w:rsidRPr="000B1A1B">
        <w:rPr>
          <w:rFonts w:ascii="Times New Roman" w:hAnsi="Times New Roman" w:cs="Times New Roman"/>
          <w:i/>
          <w:iCs/>
        </w:rPr>
        <w:t>p</w:t>
      </w:r>
      <w:r w:rsidRPr="000B1A1B">
        <w:rPr>
          <w:rFonts w:ascii="Times New Roman" w:hAnsi="Times New Roman" w:cs="Times New Roman"/>
        </w:rPr>
        <w:t>s</w:t>
      </w:r>
      <w:proofErr w:type="spellEnd"/>
      <w:r w:rsidRPr="000B1A1B">
        <w:rPr>
          <w:rFonts w:ascii="Times New Roman" w:hAnsi="Times New Roman" w:cs="Times New Roman"/>
        </w:rPr>
        <w:t xml:space="preserve"> = 1.00). Specifically, response thresholds on the consume block (M = 1.52, SD = .52) were not significantly different to in the recall block (M = 1.54, SD = .48; </w:t>
      </w:r>
      <w:r w:rsidRPr="000B1A1B">
        <w:rPr>
          <w:rFonts w:ascii="Times New Roman" w:hAnsi="Times New Roman" w:cs="Times New Roman"/>
          <w:i/>
          <w:iCs/>
        </w:rPr>
        <w:t>p</w:t>
      </w:r>
      <w:r w:rsidRPr="000B1A1B">
        <w:rPr>
          <w:rFonts w:ascii="Times New Roman" w:hAnsi="Times New Roman" w:cs="Times New Roman"/>
        </w:rPr>
        <w:t xml:space="preserve"> = 1.00) or the like block (M = 1.51, SD = .46; </w:t>
      </w:r>
      <w:r w:rsidRPr="000B1A1B">
        <w:rPr>
          <w:rFonts w:ascii="Times New Roman" w:hAnsi="Times New Roman" w:cs="Times New Roman"/>
          <w:i/>
          <w:iCs/>
        </w:rPr>
        <w:t>p</w:t>
      </w:r>
      <w:r w:rsidRPr="000B1A1B">
        <w:rPr>
          <w:rFonts w:ascii="Times New Roman" w:hAnsi="Times New Roman" w:cs="Times New Roman"/>
        </w:rPr>
        <w:t xml:space="preserve"> = 1.00). Furthermore, response thresholds on the recall block were not </w:t>
      </w:r>
      <w:r w:rsidRPr="000B1A1B">
        <w:rPr>
          <w:rFonts w:ascii="Times New Roman" w:hAnsi="Times New Roman" w:cs="Times New Roman"/>
        </w:rPr>
        <w:lastRenderedPageBreak/>
        <w:t>significantly different than on the like block (</w:t>
      </w:r>
      <w:r w:rsidRPr="000B1A1B">
        <w:rPr>
          <w:rFonts w:ascii="Times New Roman" w:hAnsi="Times New Roman" w:cs="Times New Roman"/>
          <w:i/>
          <w:iCs/>
        </w:rPr>
        <w:t>p</w:t>
      </w:r>
      <w:r w:rsidRPr="000B1A1B">
        <w:rPr>
          <w:rFonts w:ascii="Times New Roman" w:hAnsi="Times New Roman" w:cs="Times New Roman"/>
        </w:rPr>
        <w:t xml:space="preserve"> = 1.00). These findings demonstrate that on hard trials, response thresholds were higher when participants had to recall their previous value rating versus when they had to make a subjective liking rating.</w:t>
      </w:r>
      <w:bookmarkStart w:id="396" w:name="_Hlk93939013"/>
      <w:bookmarkEnd w:id="396"/>
    </w:p>
    <w:p w14:paraId="30409FA9" w14:textId="77777777" w:rsidR="000B1A1B" w:rsidRPr="000B1A1B" w:rsidRDefault="000B1A1B" w:rsidP="000B1A1B">
      <w:pPr>
        <w:pStyle w:val="NoSpacing"/>
        <w:spacing w:line="480" w:lineRule="auto"/>
        <w:rPr>
          <w:rFonts w:ascii="Times New Roman" w:hAnsi="Times New Roman" w:cs="Times New Roman"/>
          <w:b/>
          <w:bCs/>
        </w:rPr>
      </w:pPr>
    </w:p>
    <w:p w14:paraId="11F46C88" w14:textId="77777777" w:rsidR="00AA0A39" w:rsidRPr="00AA0A39"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Figure S3.</w:t>
      </w:r>
      <w:r w:rsidR="00AA0A39" w:rsidRPr="00AA0A39">
        <w:rPr>
          <w:rFonts w:ascii="Times New Roman" w:hAnsi="Times New Roman" w:cs="Times New Roman"/>
          <w:b/>
          <w:bCs/>
        </w:rPr>
        <w:t>1</w:t>
      </w:r>
    </w:p>
    <w:p w14:paraId="3A39F5CC" w14:textId="02ACBECD" w:rsidR="000B1A1B" w:rsidRPr="000B1A1B" w:rsidRDefault="000B1A1B" w:rsidP="000B1A1B">
      <w:pPr>
        <w:pStyle w:val="NoSpacing"/>
        <w:spacing w:line="480" w:lineRule="auto"/>
        <w:rPr>
          <w:rFonts w:ascii="Times New Roman" w:hAnsi="Times New Roman" w:cs="Times New Roman"/>
          <w:i/>
          <w:iCs/>
        </w:rPr>
      </w:pPr>
      <w:r w:rsidRPr="000B1A1B">
        <w:rPr>
          <w:rFonts w:ascii="Times New Roman" w:hAnsi="Times New Roman" w:cs="Times New Roman"/>
          <w:i/>
          <w:iCs/>
        </w:rPr>
        <w:t>Mean response thresholds split by trial difficulty and trial wording</w:t>
      </w:r>
      <w:bookmarkStart w:id="397" w:name="_Hlk93947822"/>
      <w:bookmarkEnd w:id="397"/>
    </w:p>
    <w:p w14:paraId="5C976DD9" w14:textId="77777777" w:rsidR="000B1A1B" w:rsidRPr="000B1A1B" w:rsidRDefault="000B1A1B" w:rsidP="00AA0A39">
      <w:pPr>
        <w:pStyle w:val="NoSpacing"/>
        <w:jc w:val="center"/>
      </w:pPr>
      <w:r w:rsidRPr="000B1A1B">
        <w:rPr>
          <w:noProof/>
        </w:rPr>
        <w:drawing>
          <wp:inline distT="0" distB="0" distL="0" distR="0" wp14:anchorId="0F67F761" wp14:editId="2289FC5D">
            <wp:extent cx="5034915" cy="3206115"/>
            <wp:effectExtent l="0" t="0" r="0" b="0"/>
            <wp:docPr id="42" name="Picture 26" descr="Chart, radar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Chart, radar chart, line chart&#10;&#10;Description automatically generated"/>
                    <pic:cNvPicPr>
                      <a:picLocks noChangeAspect="1" noChangeArrowheads="1"/>
                    </pic:cNvPicPr>
                  </pic:nvPicPr>
                  <pic:blipFill>
                    <a:blip r:embed="rId85"/>
                    <a:stretch>
                      <a:fillRect/>
                    </a:stretch>
                  </pic:blipFill>
                  <pic:spPr bwMode="auto">
                    <a:xfrm>
                      <a:off x="0" y="0"/>
                      <a:ext cx="5034915" cy="3206115"/>
                    </a:xfrm>
                    <a:prstGeom prst="rect">
                      <a:avLst/>
                    </a:prstGeom>
                  </pic:spPr>
                </pic:pic>
              </a:graphicData>
            </a:graphic>
          </wp:inline>
        </w:drawing>
      </w:r>
    </w:p>
    <w:p w14:paraId="385DF666" w14:textId="77777777" w:rsidR="000B1A1B" w:rsidRPr="00AA0A39" w:rsidRDefault="000B1A1B" w:rsidP="00AA0A39">
      <w:pPr>
        <w:pStyle w:val="NoSpacing"/>
        <w:spacing w:line="480" w:lineRule="auto"/>
        <w:rPr>
          <w:rFonts w:ascii="Times New Roman" w:hAnsi="Times New Roman" w:cs="Times New Roman"/>
        </w:rPr>
      </w:pPr>
      <w:r w:rsidRPr="00AA0A39">
        <w:rPr>
          <w:rFonts w:ascii="Times New Roman" w:hAnsi="Times New Roman" w:cs="Times New Roman"/>
          <w:i/>
          <w:iCs/>
        </w:rPr>
        <w:t>Note.</w:t>
      </w:r>
      <w:r w:rsidRPr="00AA0A39">
        <w:rPr>
          <w:rFonts w:ascii="Times New Roman" w:hAnsi="Times New Roman" w:cs="Times New Roman"/>
        </w:rPr>
        <w:t xml:space="preserve"> Light blue (circle) represents response thresholds with the wording “which would you rather consume”, orange (triangle) represents response thresholds with the wording “which do you like more”, and dark blue (square) represents response thresholds with the wording “which did you rate higher”. Error bars represent the standard error of the mean (SE).</w:t>
      </w:r>
    </w:p>
    <w:p w14:paraId="07C2755C" w14:textId="77777777" w:rsidR="000B1A1B" w:rsidRPr="000B1A1B" w:rsidRDefault="000B1A1B" w:rsidP="000B1A1B">
      <w:pPr>
        <w:pStyle w:val="NoSpacing"/>
        <w:spacing w:line="480" w:lineRule="auto"/>
        <w:rPr>
          <w:rFonts w:ascii="Times New Roman" w:hAnsi="Times New Roman" w:cs="Times New Roman"/>
        </w:rPr>
      </w:pPr>
    </w:p>
    <w:p w14:paraId="4A1CF6C7" w14:textId="77777777" w:rsidR="000B1A1B" w:rsidRPr="000B1A1B"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Correlational analyses</w:t>
      </w:r>
    </w:p>
    <w:p w14:paraId="54341E83" w14:textId="1B6DEDC3" w:rsidR="000B1A1B" w:rsidRPr="000B1A1B" w:rsidRDefault="000B1A1B" w:rsidP="000B1A1B">
      <w:pPr>
        <w:pStyle w:val="NoSpacing"/>
        <w:spacing w:line="480" w:lineRule="auto"/>
        <w:rPr>
          <w:rFonts w:ascii="Times New Roman" w:hAnsi="Times New Roman" w:cs="Times New Roman"/>
        </w:rPr>
      </w:pPr>
      <w:r w:rsidRPr="000B1A1B">
        <w:rPr>
          <w:rFonts w:ascii="Times New Roman" w:hAnsi="Times New Roman" w:cs="Times New Roman"/>
        </w:rPr>
        <w:t>As shown in Figure S3.</w:t>
      </w:r>
      <w:r w:rsidR="00AA0A39">
        <w:rPr>
          <w:rFonts w:ascii="Times New Roman" w:hAnsi="Times New Roman" w:cs="Times New Roman"/>
        </w:rPr>
        <w:t>2</w:t>
      </w:r>
      <w:r w:rsidRPr="000B1A1B">
        <w:rPr>
          <w:rFonts w:ascii="Times New Roman" w:hAnsi="Times New Roman" w:cs="Times New Roman"/>
        </w:rPr>
        <w:t xml:space="preserve">, correlational analyses revealed highly significant positive correlations between response thresholds in all three blocks (all </w:t>
      </w:r>
      <w:proofErr w:type="spellStart"/>
      <w:r w:rsidRPr="000B1A1B">
        <w:rPr>
          <w:rFonts w:ascii="Times New Roman" w:hAnsi="Times New Roman" w:cs="Times New Roman"/>
          <w:i/>
          <w:iCs/>
        </w:rPr>
        <w:t>p</w:t>
      </w:r>
      <w:r w:rsidRPr="000B1A1B">
        <w:rPr>
          <w:rFonts w:ascii="Times New Roman" w:hAnsi="Times New Roman" w:cs="Times New Roman"/>
        </w:rPr>
        <w:t>s</w:t>
      </w:r>
      <w:proofErr w:type="spellEnd"/>
      <w:r w:rsidRPr="000B1A1B">
        <w:rPr>
          <w:rFonts w:ascii="Times New Roman" w:hAnsi="Times New Roman" w:cs="Times New Roman"/>
        </w:rPr>
        <w:t xml:space="preserve"> &lt; .001; consume wording </w:t>
      </w:r>
      <w:r w:rsidRPr="000B1A1B">
        <w:rPr>
          <w:rFonts w:ascii="Times New Roman" w:hAnsi="Times New Roman" w:cs="Times New Roman"/>
        </w:rPr>
        <w:lastRenderedPageBreak/>
        <w:t xml:space="preserve">and recall wording </w:t>
      </w:r>
      <w:proofErr w:type="gramStart"/>
      <w:r w:rsidRPr="000B1A1B">
        <w:rPr>
          <w:rFonts w:ascii="Times New Roman" w:hAnsi="Times New Roman" w:cs="Times New Roman"/>
          <w:i/>
          <w:iCs/>
        </w:rPr>
        <w:t>r</w:t>
      </w:r>
      <w:r w:rsidRPr="000B1A1B">
        <w:rPr>
          <w:rFonts w:ascii="Times New Roman" w:hAnsi="Times New Roman" w:cs="Times New Roman"/>
        </w:rPr>
        <w:t>(</w:t>
      </w:r>
      <w:proofErr w:type="gramEnd"/>
      <w:r w:rsidRPr="000B1A1B">
        <w:rPr>
          <w:rFonts w:ascii="Times New Roman" w:hAnsi="Times New Roman" w:cs="Times New Roman"/>
        </w:rPr>
        <w:t xml:space="preserve">57) = .68, </w:t>
      </w:r>
      <w:r w:rsidRPr="000B1A1B">
        <w:rPr>
          <w:rFonts w:ascii="Times New Roman" w:hAnsi="Times New Roman" w:cs="Times New Roman"/>
          <w:i/>
          <w:iCs/>
        </w:rPr>
        <w:t>p</w:t>
      </w:r>
      <w:r w:rsidRPr="000B1A1B">
        <w:rPr>
          <w:rFonts w:ascii="Times New Roman" w:hAnsi="Times New Roman" w:cs="Times New Roman"/>
        </w:rPr>
        <w:t xml:space="preserve"> &lt; .001; recall wording and like wording </w:t>
      </w:r>
      <w:r w:rsidRPr="000B1A1B">
        <w:rPr>
          <w:rFonts w:ascii="Times New Roman" w:hAnsi="Times New Roman" w:cs="Times New Roman"/>
          <w:i/>
          <w:iCs/>
        </w:rPr>
        <w:t>r</w:t>
      </w:r>
      <w:r w:rsidRPr="000B1A1B">
        <w:rPr>
          <w:rFonts w:ascii="Times New Roman" w:hAnsi="Times New Roman" w:cs="Times New Roman"/>
        </w:rPr>
        <w:t xml:space="preserve">(57) = .61, </w:t>
      </w:r>
      <w:r w:rsidRPr="000B1A1B">
        <w:rPr>
          <w:rFonts w:ascii="Times New Roman" w:hAnsi="Times New Roman" w:cs="Times New Roman"/>
          <w:i/>
          <w:iCs/>
        </w:rPr>
        <w:t>p</w:t>
      </w:r>
      <w:r w:rsidRPr="000B1A1B">
        <w:rPr>
          <w:rFonts w:ascii="Times New Roman" w:hAnsi="Times New Roman" w:cs="Times New Roman"/>
        </w:rPr>
        <w:t xml:space="preserve"> &lt; .001; consume wording and like wording </w:t>
      </w:r>
      <w:r w:rsidRPr="000B1A1B">
        <w:rPr>
          <w:rFonts w:ascii="Times New Roman" w:hAnsi="Times New Roman" w:cs="Times New Roman"/>
          <w:i/>
          <w:iCs/>
        </w:rPr>
        <w:t>r</w:t>
      </w:r>
      <w:r w:rsidRPr="000B1A1B">
        <w:rPr>
          <w:rFonts w:ascii="Times New Roman" w:hAnsi="Times New Roman" w:cs="Times New Roman"/>
        </w:rPr>
        <w:t xml:space="preserve">(57) = .59, </w:t>
      </w:r>
      <w:r w:rsidRPr="000B1A1B">
        <w:rPr>
          <w:rFonts w:ascii="Times New Roman" w:hAnsi="Times New Roman" w:cs="Times New Roman"/>
          <w:i/>
          <w:iCs/>
        </w:rPr>
        <w:t>p</w:t>
      </w:r>
      <w:r w:rsidRPr="000B1A1B">
        <w:rPr>
          <w:rFonts w:ascii="Times New Roman" w:hAnsi="Times New Roman" w:cs="Times New Roman"/>
        </w:rPr>
        <w:t xml:space="preserve"> &lt; .001).</w:t>
      </w:r>
      <w:bookmarkStart w:id="398" w:name="_Hlk93947100"/>
      <w:bookmarkEnd w:id="398"/>
    </w:p>
    <w:p w14:paraId="6E8368D8" w14:textId="77777777" w:rsidR="000B1A1B" w:rsidRPr="000B1A1B" w:rsidRDefault="000B1A1B" w:rsidP="000B1A1B">
      <w:pPr>
        <w:pStyle w:val="NoSpacing"/>
        <w:spacing w:line="480" w:lineRule="auto"/>
        <w:rPr>
          <w:rFonts w:ascii="Times New Roman" w:hAnsi="Times New Roman" w:cs="Times New Roman"/>
        </w:rPr>
      </w:pPr>
    </w:p>
    <w:p w14:paraId="0B6F306C" w14:textId="77777777" w:rsidR="00AA0A39" w:rsidRPr="00AA0A39" w:rsidRDefault="000B1A1B" w:rsidP="000B1A1B">
      <w:pPr>
        <w:pStyle w:val="NoSpacing"/>
        <w:spacing w:line="480" w:lineRule="auto"/>
        <w:rPr>
          <w:rFonts w:ascii="Times New Roman" w:hAnsi="Times New Roman" w:cs="Times New Roman"/>
          <w:b/>
          <w:bCs/>
        </w:rPr>
      </w:pPr>
      <w:r w:rsidRPr="000B1A1B">
        <w:rPr>
          <w:rFonts w:ascii="Times New Roman" w:hAnsi="Times New Roman" w:cs="Times New Roman"/>
          <w:b/>
          <w:bCs/>
        </w:rPr>
        <w:t>Figure S3.</w:t>
      </w:r>
      <w:r w:rsidR="00AA0A39" w:rsidRPr="00AA0A39">
        <w:rPr>
          <w:rFonts w:ascii="Times New Roman" w:hAnsi="Times New Roman" w:cs="Times New Roman"/>
          <w:b/>
          <w:bCs/>
        </w:rPr>
        <w:t>2</w:t>
      </w:r>
    </w:p>
    <w:p w14:paraId="425A1DD4" w14:textId="43A14A18" w:rsidR="000B1A1B" w:rsidRPr="000B1A1B" w:rsidRDefault="000B1A1B" w:rsidP="000B1A1B">
      <w:pPr>
        <w:pStyle w:val="NoSpacing"/>
        <w:spacing w:line="480" w:lineRule="auto"/>
        <w:rPr>
          <w:rFonts w:ascii="Times New Roman" w:hAnsi="Times New Roman" w:cs="Times New Roman"/>
          <w:i/>
          <w:iCs/>
        </w:rPr>
      </w:pPr>
      <w:r w:rsidRPr="000B1A1B">
        <w:rPr>
          <w:rFonts w:ascii="Times New Roman" w:hAnsi="Times New Roman" w:cs="Times New Roman"/>
          <w:i/>
          <w:iCs/>
        </w:rPr>
        <w:t>Scatterplots to show correlations between response thresholds during the three blocks of trials</w:t>
      </w:r>
    </w:p>
    <w:p w14:paraId="1637357F" w14:textId="77777777" w:rsidR="000B1A1B" w:rsidRPr="000B1A1B" w:rsidRDefault="000B1A1B" w:rsidP="00AA0A39">
      <w:pPr>
        <w:pStyle w:val="NoSpacing"/>
        <w:jc w:val="center"/>
      </w:pPr>
      <w:r w:rsidRPr="000B1A1B">
        <w:rPr>
          <w:noProof/>
        </w:rPr>
        <w:drawing>
          <wp:inline distT="0" distB="0" distL="0" distR="0" wp14:anchorId="22A33123" wp14:editId="69A0CBC7">
            <wp:extent cx="5731510" cy="1771650"/>
            <wp:effectExtent l="0" t="0" r="0" b="0"/>
            <wp:docPr id="43"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Chart, scatter chart&#10;&#10;Description automatically generated"/>
                    <pic:cNvPicPr>
                      <a:picLocks noChangeAspect="1" noChangeArrowheads="1"/>
                    </pic:cNvPicPr>
                  </pic:nvPicPr>
                  <pic:blipFill>
                    <a:blip r:embed="rId86"/>
                    <a:srcRect b="50925"/>
                    <a:stretch>
                      <a:fillRect/>
                    </a:stretch>
                  </pic:blipFill>
                  <pic:spPr bwMode="auto">
                    <a:xfrm>
                      <a:off x="0" y="0"/>
                      <a:ext cx="5731510" cy="1771650"/>
                    </a:xfrm>
                    <a:prstGeom prst="rect">
                      <a:avLst/>
                    </a:prstGeom>
                  </pic:spPr>
                </pic:pic>
              </a:graphicData>
            </a:graphic>
          </wp:inline>
        </w:drawing>
      </w:r>
    </w:p>
    <w:p w14:paraId="5F0BF6B1" w14:textId="77777777" w:rsidR="000B1A1B" w:rsidRPr="00AA0A39" w:rsidRDefault="000B1A1B" w:rsidP="00AA0A39">
      <w:pPr>
        <w:pStyle w:val="NoSpacing"/>
        <w:spacing w:line="480" w:lineRule="auto"/>
        <w:rPr>
          <w:rFonts w:ascii="Times New Roman" w:hAnsi="Times New Roman" w:cs="Times New Roman"/>
        </w:rPr>
      </w:pPr>
      <w:r w:rsidRPr="00AA0A39">
        <w:rPr>
          <w:rFonts w:ascii="Times New Roman" w:hAnsi="Times New Roman" w:cs="Times New Roman"/>
          <w:i/>
          <w:iCs/>
        </w:rPr>
        <w:t>Note.</w:t>
      </w:r>
      <w:r w:rsidRPr="00AA0A39">
        <w:rPr>
          <w:rFonts w:ascii="Times New Roman" w:hAnsi="Times New Roman" w:cs="Times New Roman"/>
        </w:rPr>
        <w:t xml:space="preserve"> On the left is the correlation between response thresholds during the block of trials with “which would you rather consume” and the block of trials with “which did you rate higher”. In the middle is the correlation between response thresholds during the block of trials with “which would you rather consume” and the block of trials with “which do you like more”. On the right is the correlation between response thresholds during the block of trials with “which did you rate higher” and the block of trials with “which do you like more”.  The grey dashed line represents the line of equality. Shaded areas represent the 95% confidence interval.</w:t>
      </w:r>
    </w:p>
    <w:p w14:paraId="6903CEEC" w14:textId="77777777" w:rsidR="000B1A1B" w:rsidRPr="000B1A1B" w:rsidRDefault="000B1A1B" w:rsidP="000B1A1B">
      <w:pPr>
        <w:pStyle w:val="NoSpacing"/>
        <w:spacing w:line="480" w:lineRule="auto"/>
        <w:rPr>
          <w:rFonts w:ascii="Times New Roman" w:hAnsi="Times New Roman" w:cs="Times New Roman"/>
          <w:b/>
          <w:bCs/>
        </w:rPr>
      </w:pPr>
    </w:p>
    <w:p w14:paraId="2F0F0058" w14:textId="6D8CEA56" w:rsidR="00001812" w:rsidRPr="000B1A1B" w:rsidRDefault="00001812" w:rsidP="000B1A1B">
      <w:pPr>
        <w:pStyle w:val="NoSpacing"/>
        <w:spacing w:line="480" w:lineRule="auto"/>
        <w:rPr>
          <w:rFonts w:ascii="Times New Roman" w:hAnsi="Times New Roman" w:cs="Times New Roman"/>
          <w:b/>
          <w:bCs/>
        </w:rPr>
      </w:pPr>
    </w:p>
    <w:p w14:paraId="5206D230" w14:textId="6ABA5978" w:rsidR="00001812" w:rsidRPr="000B1A1B" w:rsidRDefault="00001812" w:rsidP="000B1A1B">
      <w:pPr>
        <w:pStyle w:val="NoSpacing"/>
        <w:spacing w:line="480" w:lineRule="auto"/>
        <w:rPr>
          <w:rFonts w:ascii="Times New Roman" w:hAnsi="Times New Roman" w:cs="Times New Roman"/>
          <w:b/>
          <w:bCs/>
        </w:rPr>
      </w:pPr>
    </w:p>
    <w:p w14:paraId="0A074F3A" w14:textId="5577167F" w:rsidR="00001812" w:rsidRDefault="00001812" w:rsidP="00001812">
      <w:pPr>
        <w:pStyle w:val="NoSpacing"/>
        <w:rPr>
          <w:b/>
          <w:bCs/>
        </w:rPr>
      </w:pPr>
    </w:p>
    <w:p w14:paraId="54A6E957" w14:textId="22529B54" w:rsidR="00001812" w:rsidRDefault="00001812" w:rsidP="00001812">
      <w:pPr>
        <w:pStyle w:val="NoSpacing"/>
        <w:rPr>
          <w:b/>
          <w:bCs/>
        </w:rPr>
      </w:pPr>
    </w:p>
    <w:p w14:paraId="561DAE7F" w14:textId="4BBC14D4" w:rsidR="00001812" w:rsidRDefault="00001812" w:rsidP="00001812">
      <w:pPr>
        <w:pStyle w:val="NoSpacing"/>
        <w:rPr>
          <w:b/>
          <w:bCs/>
        </w:rPr>
      </w:pPr>
    </w:p>
    <w:p w14:paraId="0977E8ED" w14:textId="582F92C1" w:rsidR="00001812" w:rsidRDefault="00001812" w:rsidP="00001812">
      <w:pPr>
        <w:pStyle w:val="NoSpacing"/>
        <w:rPr>
          <w:b/>
          <w:bCs/>
        </w:rPr>
      </w:pPr>
    </w:p>
    <w:p w14:paraId="341DDAF8" w14:textId="7866224C" w:rsidR="00001812" w:rsidRDefault="00001812" w:rsidP="00001812">
      <w:pPr>
        <w:pStyle w:val="NoSpacing"/>
        <w:rPr>
          <w:b/>
          <w:bCs/>
        </w:rPr>
      </w:pPr>
    </w:p>
    <w:p w14:paraId="013EC562" w14:textId="6026F92C" w:rsidR="00001812" w:rsidRDefault="00001812" w:rsidP="00001812">
      <w:pPr>
        <w:pStyle w:val="NoSpacing"/>
        <w:rPr>
          <w:b/>
          <w:bCs/>
        </w:rPr>
      </w:pPr>
    </w:p>
    <w:p w14:paraId="7E719311" w14:textId="77777777" w:rsidR="00AA0A39" w:rsidRPr="00AA0A39"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lastRenderedPageBreak/>
        <w:t>9. Analyses repeated on non-decision time.</w:t>
      </w:r>
    </w:p>
    <w:p w14:paraId="6623DD59" w14:textId="77777777" w:rsidR="00AA0A39" w:rsidRPr="00AA0A39" w:rsidRDefault="00AA0A39" w:rsidP="002A3B81">
      <w:pPr>
        <w:pStyle w:val="NoSpacing"/>
        <w:spacing w:line="480" w:lineRule="auto"/>
        <w:rPr>
          <w:rFonts w:asciiTheme="majorBidi" w:hAnsiTheme="majorBidi" w:cstheme="majorBidi"/>
        </w:rPr>
      </w:pPr>
      <w:r w:rsidRPr="00AA0A39">
        <w:rPr>
          <w:rFonts w:asciiTheme="majorBidi" w:hAnsiTheme="majorBidi" w:cstheme="majorBidi"/>
        </w:rPr>
        <w:t xml:space="preserve">We did not make any pre-registered hypotheses about non-decision time, however here we explore whether non-decision times for food images differ across trial wording and trial difficulty level. Non-decision times were analysed using a two-way repeated measures ANOVA with trial wording (3: “consume”; “like”; “recall”) and trial difficulty (3: easy; medium, hard) as within-subject variables. </w:t>
      </w:r>
    </w:p>
    <w:p w14:paraId="08EF8803" w14:textId="77777777" w:rsidR="00AA0A39" w:rsidRPr="00AA0A39" w:rsidRDefault="00AA0A39" w:rsidP="002A3B81">
      <w:pPr>
        <w:pStyle w:val="NoSpacing"/>
        <w:spacing w:line="480" w:lineRule="auto"/>
        <w:rPr>
          <w:rFonts w:asciiTheme="majorBidi" w:hAnsiTheme="majorBidi" w:cstheme="majorBidi"/>
        </w:rPr>
      </w:pPr>
    </w:p>
    <w:p w14:paraId="6841850C" w14:textId="77777777" w:rsidR="00AA0A39" w:rsidRPr="00AA0A39" w:rsidRDefault="00AA0A39" w:rsidP="002A3B81">
      <w:pPr>
        <w:pStyle w:val="NoSpacing"/>
        <w:spacing w:line="480" w:lineRule="auto"/>
        <w:rPr>
          <w:rFonts w:asciiTheme="majorBidi" w:hAnsiTheme="majorBidi" w:cstheme="majorBidi"/>
        </w:rPr>
      </w:pPr>
      <w:bookmarkStart w:id="399" w:name="_Hlk94033284"/>
      <w:r w:rsidRPr="00AA0A39">
        <w:rPr>
          <w:rFonts w:asciiTheme="majorBidi" w:hAnsiTheme="majorBidi" w:cstheme="majorBidi"/>
        </w:rPr>
        <w:t xml:space="preserve">There was a significant main effect of trial difficulty </w:t>
      </w:r>
      <w:proofErr w:type="gramStart"/>
      <w:r w:rsidRPr="00AA0A39">
        <w:rPr>
          <w:rFonts w:asciiTheme="majorBidi" w:hAnsiTheme="majorBidi" w:cstheme="majorBidi"/>
          <w:i/>
          <w:iCs/>
        </w:rPr>
        <w:t>F</w:t>
      </w:r>
      <w:r w:rsidRPr="00AA0A39">
        <w:rPr>
          <w:rFonts w:asciiTheme="majorBidi" w:hAnsiTheme="majorBidi" w:cstheme="majorBidi"/>
        </w:rPr>
        <w:t>(</w:t>
      </w:r>
      <w:proofErr w:type="gramEnd"/>
      <w:r w:rsidRPr="00AA0A39">
        <w:rPr>
          <w:rFonts w:asciiTheme="majorBidi" w:hAnsiTheme="majorBidi" w:cstheme="majorBidi"/>
        </w:rPr>
        <w:t xml:space="preserve">1.72, 99.98) = 11.30, </w:t>
      </w:r>
      <w:r w:rsidRPr="00AA0A39">
        <w:rPr>
          <w:rFonts w:asciiTheme="majorBidi" w:hAnsiTheme="majorBidi" w:cstheme="majorBidi"/>
          <w:i/>
          <w:iCs/>
        </w:rPr>
        <w:t xml:space="preserve">p </w:t>
      </w:r>
      <w:r w:rsidRPr="00AA0A39">
        <w:rPr>
          <w:rFonts w:asciiTheme="majorBidi" w:hAnsiTheme="majorBidi" w:cstheme="majorBidi"/>
        </w:rPr>
        <w:t>&lt; .001, η</w:t>
      </w:r>
      <w:r w:rsidRPr="00AA0A39">
        <w:rPr>
          <w:rFonts w:asciiTheme="majorBidi" w:hAnsiTheme="majorBidi" w:cstheme="majorBidi"/>
          <w:vertAlign w:val="subscript"/>
        </w:rPr>
        <w:t>p</w:t>
      </w:r>
      <w:r w:rsidRPr="00AA0A39">
        <w:rPr>
          <w:rFonts w:asciiTheme="majorBidi" w:hAnsiTheme="majorBidi" w:cstheme="majorBidi"/>
          <w:vertAlign w:val="superscript"/>
        </w:rPr>
        <w:t>2</w:t>
      </w:r>
      <w:r w:rsidRPr="00AA0A39">
        <w:rPr>
          <w:rFonts w:asciiTheme="majorBidi" w:hAnsiTheme="majorBidi" w:cstheme="majorBidi"/>
        </w:rPr>
        <w:t xml:space="preserve"> = .16, with the Bayes factor indicating </w:t>
      </w:r>
      <w:r w:rsidRPr="00AA0A39">
        <w:rPr>
          <w:rFonts w:asciiTheme="majorBidi" w:hAnsiTheme="majorBidi" w:cstheme="majorBidi"/>
          <w:i/>
          <w:iCs/>
        </w:rPr>
        <w:t>extreme</w:t>
      </w:r>
      <w:r w:rsidRPr="00AA0A39">
        <w:rPr>
          <w:rFonts w:asciiTheme="majorBidi" w:hAnsiTheme="majorBidi" w:cstheme="majorBidi"/>
        </w:rPr>
        <w:t xml:space="preserve"> evidence in favour of the experimental hypothesis (BF</w:t>
      </w:r>
      <w:r w:rsidRPr="00AA0A39">
        <w:rPr>
          <w:rFonts w:asciiTheme="majorBidi" w:hAnsiTheme="majorBidi" w:cstheme="majorBidi"/>
          <w:vertAlign w:val="subscript"/>
        </w:rPr>
        <w:t>10</w:t>
      </w:r>
      <w:r w:rsidRPr="00AA0A39">
        <w:rPr>
          <w:rFonts w:asciiTheme="majorBidi" w:hAnsiTheme="majorBidi" w:cstheme="majorBidi"/>
        </w:rPr>
        <w:t xml:space="preserve"> &gt;  100). There was however no significant main effect of trial wording, </w:t>
      </w:r>
      <w:proofErr w:type="gramStart"/>
      <w:r w:rsidRPr="00AA0A39">
        <w:rPr>
          <w:rFonts w:asciiTheme="majorBidi" w:hAnsiTheme="majorBidi" w:cstheme="majorBidi"/>
          <w:i/>
          <w:iCs/>
        </w:rPr>
        <w:t>F</w:t>
      </w:r>
      <w:r w:rsidRPr="00AA0A39">
        <w:rPr>
          <w:rFonts w:asciiTheme="majorBidi" w:hAnsiTheme="majorBidi" w:cstheme="majorBidi"/>
        </w:rPr>
        <w:t>(</w:t>
      </w:r>
      <w:proofErr w:type="gramEnd"/>
      <w:r w:rsidRPr="00AA0A39">
        <w:rPr>
          <w:rFonts w:asciiTheme="majorBidi" w:hAnsiTheme="majorBidi" w:cstheme="majorBidi"/>
        </w:rPr>
        <w:t xml:space="preserve">2, 116) = 1.04, </w:t>
      </w:r>
      <w:r w:rsidRPr="00AA0A39">
        <w:rPr>
          <w:rFonts w:asciiTheme="majorBidi" w:hAnsiTheme="majorBidi" w:cstheme="majorBidi"/>
          <w:i/>
          <w:iCs/>
        </w:rPr>
        <w:t>p</w:t>
      </w:r>
      <w:r w:rsidRPr="00AA0A39">
        <w:rPr>
          <w:rFonts w:asciiTheme="majorBidi" w:hAnsiTheme="majorBidi" w:cstheme="majorBidi"/>
        </w:rPr>
        <w:t xml:space="preserve"> = .36, η</w:t>
      </w:r>
      <w:r w:rsidRPr="00AA0A39">
        <w:rPr>
          <w:rFonts w:asciiTheme="majorBidi" w:hAnsiTheme="majorBidi" w:cstheme="majorBidi"/>
          <w:vertAlign w:val="subscript"/>
        </w:rPr>
        <w:t>p</w:t>
      </w:r>
      <w:r w:rsidRPr="00AA0A39">
        <w:rPr>
          <w:rFonts w:asciiTheme="majorBidi" w:hAnsiTheme="majorBidi" w:cstheme="majorBidi"/>
          <w:vertAlign w:val="superscript"/>
        </w:rPr>
        <w:t>2</w:t>
      </w:r>
      <w:r w:rsidRPr="00AA0A39">
        <w:rPr>
          <w:rFonts w:asciiTheme="majorBidi" w:hAnsiTheme="majorBidi" w:cstheme="majorBidi"/>
        </w:rPr>
        <w:t xml:space="preserve"> = .02, with the Bayes factor indicating </w:t>
      </w:r>
      <w:r w:rsidRPr="00AA0A39">
        <w:rPr>
          <w:rFonts w:asciiTheme="majorBidi" w:hAnsiTheme="majorBidi" w:cstheme="majorBidi"/>
          <w:i/>
          <w:iCs/>
        </w:rPr>
        <w:t>moderate</w:t>
      </w:r>
      <w:r w:rsidRPr="00AA0A39">
        <w:rPr>
          <w:rFonts w:asciiTheme="majorBidi" w:hAnsiTheme="majorBidi" w:cstheme="majorBidi"/>
        </w:rPr>
        <w:t xml:space="preserve"> evidence in favour of the null hypothesis (BF</w:t>
      </w:r>
      <w:r w:rsidRPr="00AA0A39">
        <w:rPr>
          <w:rFonts w:asciiTheme="majorBidi" w:hAnsiTheme="majorBidi" w:cstheme="majorBidi"/>
          <w:vertAlign w:val="subscript"/>
        </w:rPr>
        <w:t>10</w:t>
      </w:r>
      <w:r w:rsidRPr="00AA0A39">
        <w:rPr>
          <w:rFonts w:asciiTheme="majorBidi" w:hAnsiTheme="majorBidi" w:cstheme="majorBidi"/>
        </w:rPr>
        <w:t xml:space="preserve"> = .08). Furthermore, there was no significant interaction between trial difficulty level and trial wording, </w:t>
      </w:r>
      <w:proofErr w:type="gramStart"/>
      <w:r w:rsidRPr="00AA0A39">
        <w:rPr>
          <w:rFonts w:asciiTheme="majorBidi" w:hAnsiTheme="majorBidi" w:cstheme="majorBidi"/>
          <w:i/>
          <w:iCs/>
        </w:rPr>
        <w:t>F</w:t>
      </w:r>
      <w:r w:rsidRPr="00AA0A39">
        <w:rPr>
          <w:rFonts w:asciiTheme="majorBidi" w:hAnsiTheme="majorBidi" w:cstheme="majorBidi"/>
        </w:rPr>
        <w:t>(</w:t>
      </w:r>
      <w:proofErr w:type="gramEnd"/>
      <w:r w:rsidRPr="00AA0A39">
        <w:rPr>
          <w:rFonts w:asciiTheme="majorBidi" w:hAnsiTheme="majorBidi" w:cstheme="majorBidi"/>
        </w:rPr>
        <w:t xml:space="preserve">4, 232) = 1.57, </w:t>
      </w:r>
      <w:r w:rsidRPr="00AA0A39">
        <w:rPr>
          <w:rFonts w:asciiTheme="majorBidi" w:hAnsiTheme="majorBidi" w:cstheme="majorBidi"/>
          <w:i/>
          <w:iCs/>
        </w:rPr>
        <w:t>p</w:t>
      </w:r>
      <w:r w:rsidRPr="00AA0A39">
        <w:rPr>
          <w:rFonts w:asciiTheme="majorBidi" w:hAnsiTheme="majorBidi" w:cstheme="majorBidi"/>
        </w:rPr>
        <w:t xml:space="preserve"> = .18, η</w:t>
      </w:r>
      <w:r w:rsidRPr="00AA0A39">
        <w:rPr>
          <w:rFonts w:asciiTheme="majorBidi" w:hAnsiTheme="majorBidi" w:cstheme="majorBidi"/>
          <w:vertAlign w:val="subscript"/>
        </w:rPr>
        <w:t>p</w:t>
      </w:r>
      <w:r w:rsidRPr="00AA0A39">
        <w:rPr>
          <w:rFonts w:asciiTheme="majorBidi" w:hAnsiTheme="majorBidi" w:cstheme="majorBidi"/>
          <w:vertAlign w:val="superscript"/>
        </w:rPr>
        <w:t>2</w:t>
      </w:r>
      <w:r w:rsidRPr="00AA0A39">
        <w:rPr>
          <w:rFonts w:asciiTheme="majorBidi" w:hAnsiTheme="majorBidi" w:cstheme="majorBidi"/>
        </w:rPr>
        <w:t xml:space="preserve"> = .03, </w:t>
      </w:r>
      <w:bookmarkEnd w:id="399"/>
      <w:r w:rsidRPr="00AA0A39">
        <w:rPr>
          <w:rFonts w:asciiTheme="majorBidi" w:hAnsiTheme="majorBidi" w:cstheme="majorBidi"/>
        </w:rPr>
        <w:t xml:space="preserve">with the Bayes factor indicating </w:t>
      </w:r>
      <w:r w:rsidRPr="00AA0A39">
        <w:rPr>
          <w:rFonts w:asciiTheme="majorBidi" w:hAnsiTheme="majorBidi" w:cstheme="majorBidi"/>
          <w:i/>
          <w:iCs/>
        </w:rPr>
        <w:t>moderate</w:t>
      </w:r>
      <w:r w:rsidRPr="00AA0A39">
        <w:rPr>
          <w:rFonts w:asciiTheme="majorBidi" w:hAnsiTheme="majorBidi" w:cstheme="majorBidi"/>
        </w:rPr>
        <w:t xml:space="preserve"> evidence in favour of the null hypothesis (BF</w:t>
      </w:r>
      <w:r w:rsidRPr="00AA0A39">
        <w:rPr>
          <w:rFonts w:asciiTheme="majorBidi" w:hAnsiTheme="majorBidi" w:cstheme="majorBidi"/>
          <w:vertAlign w:val="subscript"/>
        </w:rPr>
        <w:t>10</w:t>
      </w:r>
      <w:r w:rsidRPr="00AA0A39">
        <w:rPr>
          <w:rFonts w:asciiTheme="majorBidi" w:hAnsiTheme="majorBidi" w:cstheme="majorBidi"/>
        </w:rPr>
        <w:t xml:space="preserve"> = .05).</w:t>
      </w:r>
    </w:p>
    <w:p w14:paraId="349A12C6" w14:textId="77777777" w:rsidR="00AA0A39" w:rsidRPr="00AA0A39" w:rsidRDefault="00AA0A39" w:rsidP="002A3B81">
      <w:pPr>
        <w:pStyle w:val="NoSpacing"/>
        <w:spacing w:line="480" w:lineRule="auto"/>
        <w:rPr>
          <w:rFonts w:asciiTheme="majorBidi" w:hAnsiTheme="majorBidi" w:cstheme="majorBidi"/>
        </w:rPr>
      </w:pPr>
    </w:p>
    <w:p w14:paraId="15CF019C" w14:textId="7983AEE0" w:rsidR="00AA0A39" w:rsidRPr="00AA0A39"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t xml:space="preserve">Main effect: trial wording </w:t>
      </w:r>
    </w:p>
    <w:p w14:paraId="417D82AE" w14:textId="77777777" w:rsidR="00AA0A39" w:rsidRPr="00AA0A39" w:rsidRDefault="00AA0A39" w:rsidP="002A3B81">
      <w:pPr>
        <w:pStyle w:val="NoSpacing"/>
        <w:spacing w:line="480" w:lineRule="auto"/>
        <w:rPr>
          <w:rFonts w:asciiTheme="majorBidi" w:hAnsiTheme="majorBidi" w:cstheme="majorBidi"/>
        </w:rPr>
      </w:pPr>
      <w:r w:rsidRPr="00AA0A39">
        <w:rPr>
          <w:rFonts w:asciiTheme="majorBidi" w:hAnsiTheme="majorBidi" w:cstheme="majorBidi"/>
        </w:rPr>
        <w:t xml:space="preserve">Further investigation of the non-significant main effect of trial wording revealed that non-decision time between the three blocks of trial wording did not significantly differ (all </w:t>
      </w:r>
      <w:proofErr w:type="spellStart"/>
      <w:r w:rsidRPr="00AA0A39">
        <w:rPr>
          <w:rFonts w:asciiTheme="majorBidi" w:hAnsiTheme="majorBidi" w:cstheme="majorBidi"/>
          <w:i/>
          <w:iCs/>
        </w:rPr>
        <w:t>p</w:t>
      </w:r>
      <w:r w:rsidRPr="00AA0A39">
        <w:rPr>
          <w:rFonts w:asciiTheme="majorBidi" w:hAnsiTheme="majorBidi" w:cstheme="majorBidi"/>
        </w:rPr>
        <w:t>s</w:t>
      </w:r>
      <w:proofErr w:type="spellEnd"/>
      <w:r w:rsidRPr="00AA0A39">
        <w:rPr>
          <w:rFonts w:asciiTheme="majorBidi" w:hAnsiTheme="majorBidi" w:cstheme="majorBidi"/>
        </w:rPr>
        <w:t xml:space="preserve"> &gt; .57). More specifically, there were no significant differences in non-decision times in the recall block (M = .46, SD = .15) compared to in the consume block (M = .47, SD = .14; </w:t>
      </w:r>
      <w:r w:rsidRPr="00AA0A39">
        <w:rPr>
          <w:rFonts w:asciiTheme="majorBidi" w:hAnsiTheme="majorBidi" w:cstheme="majorBidi"/>
          <w:i/>
          <w:iCs/>
        </w:rPr>
        <w:t>p</w:t>
      </w:r>
      <w:r w:rsidRPr="00AA0A39">
        <w:rPr>
          <w:rFonts w:asciiTheme="majorBidi" w:hAnsiTheme="majorBidi" w:cstheme="majorBidi"/>
        </w:rPr>
        <w:t xml:space="preserve"> = .57) and the like block (M = .47, SD = .14; </w:t>
      </w:r>
      <w:r w:rsidRPr="00AA0A39">
        <w:rPr>
          <w:rFonts w:asciiTheme="majorBidi" w:hAnsiTheme="majorBidi" w:cstheme="majorBidi"/>
          <w:i/>
          <w:iCs/>
        </w:rPr>
        <w:t>p</w:t>
      </w:r>
      <w:r w:rsidRPr="00AA0A39">
        <w:rPr>
          <w:rFonts w:asciiTheme="majorBidi" w:hAnsiTheme="majorBidi" w:cstheme="majorBidi"/>
        </w:rPr>
        <w:t xml:space="preserve"> = .57). There were also no differences in non-decision times between the consume block and the like block (</w:t>
      </w:r>
      <w:r w:rsidRPr="00AA0A39">
        <w:rPr>
          <w:rFonts w:asciiTheme="majorBidi" w:hAnsiTheme="majorBidi" w:cstheme="majorBidi"/>
          <w:i/>
          <w:iCs/>
        </w:rPr>
        <w:t>p</w:t>
      </w:r>
      <w:r w:rsidRPr="00AA0A39">
        <w:rPr>
          <w:rFonts w:asciiTheme="majorBidi" w:hAnsiTheme="majorBidi" w:cstheme="majorBidi"/>
        </w:rPr>
        <w:t xml:space="preserve"> = .88). These findings suggest that participants non-decision time did not alter as a result of trial wording condition. </w:t>
      </w:r>
    </w:p>
    <w:p w14:paraId="58E2C54A" w14:textId="77777777" w:rsidR="00AA0A39" w:rsidRPr="00AA0A39" w:rsidRDefault="00AA0A39" w:rsidP="002A3B81">
      <w:pPr>
        <w:pStyle w:val="NoSpacing"/>
        <w:spacing w:line="480" w:lineRule="auto"/>
        <w:rPr>
          <w:rFonts w:asciiTheme="majorBidi" w:hAnsiTheme="majorBidi" w:cstheme="majorBidi"/>
        </w:rPr>
      </w:pPr>
    </w:p>
    <w:p w14:paraId="0EB7991A" w14:textId="4BD8C1BC" w:rsidR="00AA0A39" w:rsidRPr="00AA0A39"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t xml:space="preserve">Main effect: difficulty </w:t>
      </w:r>
    </w:p>
    <w:p w14:paraId="34793F88" w14:textId="77777777" w:rsidR="00AA0A39" w:rsidRPr="00AA0A39" w:rsidRDefault="00AA0A39" w:rsidP="002A3B81">
      <w:pPr>
        <w:pStyle w:val="NoSpacing"/>
        <w:spacing w:line="480" w:lineRule="auto"/>
        <w:rPr>
          <w:rFonts w:asciiTheme="majorBidi" w:hAnsiTheme="majorBidi" w:cstheme="majorBidi"/>
        </w:rPr>
      </w:pPr>
      <w:r w:rsidRPr="00AA0A39">
        <w:rPr>
          <w:rFonts w:asciiTheme="majorBidi" w:hAnsiTheme="majorBidi" w:cstheme="majorBidi"/>
        </w:rPr>
        <w:lastRenderedPageBreak/>
        <w:t xml:space="preserve">Non-decision times were higher in the difficult block of trials (M = .50, SD = .13) compared to in the easy trials (M = .46, SD = .15; </w:t>
      </w:r>
      <w:r w:rsidRPr="00AA0A39">
        <w:rPr>
          <w:rFonts w:asciiTheme="majorBidi" w:hAnsiTheme="majorBidi" w:cstheme="majorBidi"/>
          <w:i/>
          <w:iCs/>
        </w:rPr>
        <w:t>p</w:t>
      </w:r>
      <w:r w:rsidRPr="00AA0A39">
        <w:rPr>
          <w:rFonts w:asciiTheme="majorBidi" w:hAnsiTheme="majorBidi" w:cstheme="majorBidi"/>
        </w:rPr>
        <w:t xml:space="preserve"> &lt; .001) and in the medium trials (M = .45, SD = .14; </w:t>
      </w:r>
      <w:r w:rsidRPr="00AA0A39">
        <w:rPr>
          <w:rFonts w:asciiTheme="majorBidi" w:hAnsiTheme="majorBidi" w:cstheme="majorBidi"/>
          <w:i/>
          <w:iCs/>
        </w:rPr>
        <w:t>p</w:t>
      </w:r>
      <w:r w:rsidRPr="00AA0A39">
        <w:rPr>
          <w:rFonts w:asciiTheme="majorBidi" w:hAnsiTheme="majorBidi" w:cstheme="majorBidi"/>
        </w:rPr>
        <w:t xml:space="preserve"> &lt; .001). There were no significant differences in non-decision times in the easy trials compared to the medium trials (</w:t>
      </w:r>
      <w:r w:rsidRPr="00AA0A39">
        <w:rPr>
          <w:rFonts w:asciiTheme="majorBidi" w:hAnsiTheme="majorBidi" w:cstheme="majorBidi"/>
          <w:i/>
          <w:iCs/>
        </w:rPr>
        <w:t>p</w:t>
      </w:r>
      <w:r w:rsidRPr="00AA0A39">
        <w:rPr>
          <w:rFonts w:asciiTheme="majorBidi" w:hAnsiTheme="majorBidi" w:cstheme="majorBidi"/>
        </w:rPr>
        <w:t xml:space="preserve"> = .56). This demonstrates that participants non-decision time is increased on difficult trials but that there are no differences between easy and medium choices.</w:t>
      </w:r>
    </w:p>
    <w:p w14:paraId="078C33A8" w14:textId="77777777" w:rsidR="00AA0A39" w:rsidRPr="00AA0A39" w:rsidRDefault="00AA0A39" w:rsidP="002A3B81">
      <w:pPr>
        <w:pStyle w:val="NoSpacing"/>
        <w:spacing w:line="480" w:lineRule="auto"/>
        <w:rPr>
          <w:rFonts w:asciiTheme="majorBidi" w:hAnsiTheme="majorBidi" w:cstheme="majorBidi"/>
        </w:rPr>
      </w:pPr>
    </w:p>
    <w:p w14:paraId="28A66855" w14:textId="79ADDDAF" w:rsidR="00AA0A39" w:rsidRPr="00AA0A39"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t>Interaction effect: trial wording and difficulty (see Figure S3.</w:t>
      </w:r>
      <w:r w:rsidR="002A3B81" w:rsidRPr="002A3B81">
        <w:rPr>
          <w:rFonts w:asciiTheme="majorBidi" w:hAnsiTheme="majorBidi" w:cstheme="majorBidi"/>
          <w:b/>
          <w:bCs/>
        </w:rPr>
        <w:t>3</w:t>
      </w:r>
      <w:r w:rsidRPr="00AA0A39">
        <w:rPr>
          <w:rFonts w:asciiTheme="majorBidi" w:hAnsiTheme="majorBidi" w:cstheme="majorBidi"/>
          <w:b/>
          <w:bCs/>
        </w:rPr>
        <w:t>)</w:t>
      </w:r>
    </w:p>
    <w:p w14:paraId="1BEB58BE" w14:textId="08C102AA" w:rsidR="00AA0A39" w:rsidRDefault="00AA0A39" w:rsidP="002A3B81">
      <w:pPr>
        <w:pStyle w:val="NoSpacing"/>
        <w:spacing w:line="480" w:lineRule="auto"/>
        <w:rPr>
          <w:rFonts w:asciiTheme="majorBidi" w:hAnsiTheme="majorBidi" w:cstheme="majorBidi"/>
        </w:rPr>
      </w:pPr>
      <w:r w:rsidRPr="00AA0A39">
        <w:rPr>
          <w:rFonts w:asciiTheme="majorBidi" w:hAnsiTheme="majorBidi" w:cstheme="majorBidi"/>
        </w:rPr>
        <w:t xml:space="preserve">Further investigation of the non-significant interaction between trial wording and trial difficulty revealed that on hard trials there were no significant differences in non-decision time across the three blocks of trial wording (all </w:t>
      </w:r>
      <w:proofErr w:type="spellStart"/>
      <w:r w:rsidRPr="00AA0A39">
        <w:rPr>
          <w:rFonts w:asciiTheme="majorBidi" w:hAnsiTheme="majorBidi" w:cstheme="majorBidi"/>
          <w:i/>
          <w:iCs/>
        </w:rPr>
        <w:t>p</w:t>
      </w:r>
      <w:r w:rsidRPr="00AA0A39">
        <w:rPr>
          <w:rFonts w:asciiTheme="majorBidi" w:hAnsiTheme="majorBidi" w:cstheme="majorBidi"/>
        </w:rPr>
        <w:t>s</w:t>
      </w:r>
      <w:proofErr w:type="spellEnd"/>
      <w:r w:rsidRPr="00AA0A39">
        <w:rPr>
          <w:rFonts w:asciiTheme="majorBidi" w:hAnsiTheme="majorBidi" w:cstheme="majorBidi"/>
        </w:rPr>
        <w:t xml:space="preserve"> = 1.00). Specifically, non-decision time on the like block (M = .52, SD = .12) were not significantly different to in the recall block (M =.48, SD = .12; </w:t>
      </w:r>
      <w:r w:rsidRPr="00AA0A39">
        <w:rPr>
          <w:rFonts w:asciiTheme="majorBidi" w:hAnsiTheme="majorBidi" w:cstheme="majorBidi"/>
          <w:i/>
          <w:iCs/>
        </w:rPr>
        <w:t>p</w:t>
      </w:r>
      <w:r w:rsidRPr="00AA0A39">
        <w:rPr>
          <w:rFonts w:asciiTheme="majorBidi" w:hAnsiTheme="majorBidi" w:cstheme="majorBidi"/>
        </w:rPr>
        <w:t xml:space="preserve"> = 1.00) or consume block (M = .50, SD = .14, </w:t>
      </w:r>
      <w:r w:rsidRPr="00AA0A39">
        <w:rPr>
          <w:rFonts w:asciiTheme="majorBidi" w:hAnsiTheme="majorBidi" w:cstheme="majorBidi"/>
          <w:i/>
          <w:iCs/>
        </w:rPr>
        <w:t>p</w:t>
      </w:r>
      <w:r w:rsidRPr="00AA0A39">
        <w:rPr>
          <w:rFonts w:asciiTheme="majorBidi" w:hAnsiTheme="majorBidi" w:cstheme="majorBidi"/>
        </w:rPr>
        <w:t xml:space="preserve"> = 1.00). Furthermore, there were no significant differences between non-decision time on the consume block compared to in the recall block (</w:t>
      </w:r>
      <w:r w:rsidRPr="00AA0A39">
        <w:rPr>
          <w:rFonts w:asciiTheme="majorBidi" w:hAnsiTheme="majorBidi" w:cstheme="majorBidi"/>
          <w:i/>
          <w:iCs/>
        </w:rPr>
        <w:t>p</w:t>
      </w:r>
      <w:r w:rsidRPr="00AA0A39">
        <w:rPr>
          <w:rFonts w:asciiTheme="majorBidi" w:hAnsiTheme="majorBidi" w:cstheme="majorBidi"/>
        </w:rPr>
        <w:t xml:space="preserve"> = 1.00). On medium trials, there were no significant differences in non-decision time across the three blocks of wording (all </w:t>
      </w:r>
      <w:proofErr w:type="spellStart"/>
      <w:r w:rsidRPr="00AA0A39">
        <w:rPr>
          <w:rFonts w:asciiTheme="majorBidi" w:hAnsiTheme="majorBidi" w:cstheme="majorBidi"/>
          <w:i/>
          <w:iCs/>
        </w:rPr>
        <w:t>p</w:t>
      </w:r>
      <w:r w:rsidRPr="00AA0A39">
        <w:rPr>
          <w:rFonts w:asciiTheme="majorBidi" w:hAnsiTheme="majorBidi" w:cstheme="majorBidi"/>
        </w:rPr>
        <w:t>s</w:t>
      </w:r>
      <w:proofErr w:type="spellEnd"/>
      <w:r w:rsidRPr="00AA0A39">
        <w:rPr>
          <w:rFonts w:asciiTheme="majorBidi" w:hAnsiTheme="majorBidi" w:cstheme="majorBidi"/>
        </w:rPr>
        <w:t xml:space="preserve"> = 1.00). Specifically, non-decision time on the consume block (M = .47, SD = .12) were not significantly different to in the recall block (M = .44, SD = .15; </w:t>
      </w:r>
      <w:r w:rsidRPr="00AA0A39">
        <w:rPr>
          <w:rFonts w:asciiTheme="majorBidi" w:hAnsiTheme="majorBidi" w:cstheme="majorBidi"/>
          <w:i/>
          <w:iCs/>
        </w:rPr>
        <w:t xml:space="preserve">p </w:t>
      </w:r>
      <w:r w:rsidRPr="00AA0A39">
        <w:rPr>
          <w:rFonts w:asciiTheme="majorBidi" w:hAnsiTheme="majorBidi" w:cstheme="majorBidi"/>
        </w:rPr>
        <w:t xml:space="preserve">= 1.00) or the like block (M = .44, SD = .15; </w:t>
      </w:r>
      <w:r w:rsidRPr="00AA0A39">
        <w:rPr>
          <w:rFonts w:asciiTheme="majorBidi" w:hAnsiTheme="majorBidi" w:cstheme="majorBidi"/>
          <w:i/>
          <w:iCs/>
        </w:rPr>
        <w:t>p</w:t>
      </w:r>
      <w:r w:rsidRPr="00AA0A39">
        <w:rPr>
          <w:rFonts w:asciiTheme="majorBidi" w:hAnsiTheme="majorBidi" w:cstheme="majorBidi"/>
        </w:rPr>
        <w:t xml:space="preserve"> = 1.00). Furthermore, non-decision time on the recall block were not significantly different than on the like block (</w:t>
      </w:r>
      <w:r w:rsidRPr="00AA0A39">
        <w:rPr>
          <w:rFonts w:asciiTheme="majorBidi" w:hAnsiTheme="majorBidi" w:cstheme="majorBidi"/>
          <w:i/>
          <w:iCs/>
        </w:rPr>
        <w:t>p</w:t>
      </w:r>
      <w:r w:rsidRPr="00AA0A39">
        <w:rPr>
          <w:rFonts w:asciiTheme="majorBidi" w:hAnsiTheme="majorBidi" w:cstheme="majorBidi"/>
        </w:rPr>
        <w:t xml:space="preserve"> = 1.00). Finally, on easy trials, there were no significant differences in non-decision time across the three blocks of wording (all </w:t>
      </w:r>
      <w:proofErr w:type="spellStart"/>
      <w:r w:rsidRPr="00AA0A39">
        <w:rPr>
          <w:rFonts w:asciiTheme="majorBidi" w:hAnsiTheme="majorBidi" w:cstheme="majorBidi"/>
          <w:i/>
          <w:iCs/>
        </w:rPr>
        <w:t>p</w:t>
      </w:r>
      <w:r w:rsidRPr="00AA0A39">
        <w:rPr>
          <w:rFonts w:asciiTheme="majorBidi" w:hAnsiTheme="majorBidi" w:cstheme="majorBidi"/>
        </w:rPr>
        <w:t>s</w:t>
      </w:r>
      <w:proofErr w:type="spellEnd"/>
      <w:r w:rsidRPr="00AA0A39">
        <w:rPr>
          <w:rFonts w:asciiTheme="majorBidi" w:hAnsiTheme="majorBidi" w:cstheme="majorBidi"/>
        </w:rPr>
        <w:t xml:space="preserve"> = 1.00). Specifically, non-decision time on the consume block (M = .45, SD = .16) were not significantly different to in the recall block (M = .46, SD = .16; </w:t>
      </w:r>
      <w:r w:rsidRPr="00AA0A39">
        <w:rPr>
          <w:rFonts w:asciiTheme="majorBidi" w:hAnsiTheme="majorBidi" w:cstheme="majorBidi"/>
          <w:i/>
          <w:iCs/>
        </w:rPr>
        <w:t>p</w:t>
      </w:r>
      <w:r w:rsidRPr="00AA0A39">
        <w:rPr>
          <w:rFonts w:asciiTheme="majorBidi" w:hAnsiTheme="majorBidi" w:cstheme="majorBidi"/>
        </w:rPr>
        <w:t xml:space="preserve"> = 1.00) or the like block (M = .46, SD = .14; </w:t>
      </w:r>
      <w:r w:rsidRPr="00AA0A39">
        <w:rPr>
          <w:rFonts w:asciiTheme="majorBidi" w:hAnsiTheme="majorBidi" w:cstheme="majorBidi"/>
          <w:i/>
          <w:iCs/>
        </w:rPr>
        <w:t>p</w:t>
      </w:r>
      <w:r w:rsidRPr="00AA0A39">
        <w:rPr>
          <w:rFonts w:asciiTheme="majorBidi" w:hAnsiTheme="majorBidi" w:cstheme="majorBidi"/>
        </w:rPr>
        <w:t xml:space="preserve"> = 1.00). Furthermore, non-decision time on the recall block were not significantly different than on </w:t>
      </w:r>
      <w:r w:rsidRPr="00AA0A39">
        <w:rPr>
          <w:rFonts w:asciiTheme="majorBidi" w:hAnsiTheme="majorBidi" w:cstheme="majorBidi"/>
        </w:rPr>
        <w:lastRenderedPageBreak/>
        <w:t>the like block (</w:t>
      </w:r>
      <w:r w:rsidRPr="00AA0A39">
        <w:rPr>
          <w:rFonts w:asciiTheme="majorBidi" w:hAnsiTheme="majorBidi" w:cstheme="majorBidi"/>
          <w:i/>
          <w:iCs/>
        </w:rPr>
        <w:t>p</w:t>
      </w:r>
      <w:r w:rsidRPr="00AA0A39">
        <w:rPr>
          <w:rFonts w:asciiTheme="majorBidi" w:hAnsiTheme="majorBidi" w:cstheme="majorBidi"/>
        </w:rPr>
        <w:t xml:space="preserve"> = 1.00). These findings demonstrate that across all difficulty levels, there were no significant differences in non-decision times between trial wording conditions.</w:t>
      </w:r>
    </w:p>
    <w:p w14:paraId="6F8FD745" w14:textId="77777777" w:rsidR="002A3B81" w:rsidRPr="00AA0A39" w:rsidRDefault="002A3B81" w:rsidP="002A3B81">
      <w:pPr>
        <w:pStyle w:val="NoSpacing"/>
        <w:spacing w:line="480" w:lineRule="auto"/>
        <w:rPr>
          <w:rFonts w:asciiTheme="majorBidi" w:hAnsiTheme="majorBidi" w:cstheme="majorBidi"/>
        </w:rPr>
      </w:pPr>
    </w:p>
    <w:p w14:paraId="474BACE7" w14:textId="77777777" w:rsidR="002A3B81" w:rsidRPr="002A3B81" w:rsidRDefault="00AA0A39" w:rsidP="002A3B81">
      <w:pPr>
        <w:pStyle w:val="NoSpacing"/>
        <w:spacing w:line="480" w:lineRule="auto"/>
        <w:rPr>
          <w:rFonts w:asciiTheme="majorBidi" w:hAnsiTheme="majorBidi" w:cstheme="majorBidi"/>
          <w:b/>
          <w:bCs/>
          <w:i/>
          <w:iCs/>
        </w:rPr>
      </w:pPr>
      <w:r w:rsidRPr="00AA0A39">
        <w:rPr>
          <w:rFonts w:asciiTheme="majorBidi" w:hAnsiTheme="majorBidi" w:cstheme="majorBidi"/>
          <w:b/>
          <w:bCs/>
        </w:rPr>
        <w:t>Figure S3.</w:t>
      </w:r>
      <w:r w:rsidR="002A3B81" w:rsidRPr="002A3B81">
        <w:rPr>
          <w:rFonts w:asciiTheme="majorBidi" w:hAnsiTheme="majorBidi" w:cstheme="majorBidi"/>
          <w:b/>
          <w:bCs/>
        </w:rPr>
        <w:t>3</w:t>
      </w:r>
    </w:p>
    <w:p w14:paraId="2EB8435F" w14:textId="3D34EB37" w:rsidR="00AA0A39" w:rsidRPr="00AA0A39" w:rsidRDefault="00AA0A39" w:rsidP="002A3B81">
      <w:pPr>
        <w:pStyle w:val="NoSpacing"/>
        <w:spacing w:line="480" w:lineRule="auto"/>
        <w:rPr>
          <w:rFonts w:asciiTheme="majorBidi" w:hAnsiTheme="majorBidi" w:cstheme="majorBidi"/>
          <w:i/>
          <w:iCs/>
        </w:rPr>
      </w:pPr>
      <w:r w:rsidRPr="00AA0A39">
        <w:rPr>
          <w:rFonts w:asciiTheme="majorBidi" w:hAnsiTheme="majorBidi" w:cstheme="majorBidi"/>
          <w:i/>
          <w:iCs/>
        </w:rPr>
        <w:t>Mean non-decision time split by trial difficulty and trial wording</w:t>
      </w:r>
    </w:p>
    <w:p w14:paraId="6DFD5EE3" w14:textId="77777777" w:rsidR="00AA0A39" w:rsidRPr="00AA0A39" w:rsidRDefault="00AA0A39" w:rsidP="002A3B81">
      <w:pPr>
        <w:pStyle w:val="NoSpacing"/>
        <w:jc w:val="center"/>
      </w:pPr>
      <w:r w:rsidRPr="00AA0A39">
        <w:rPr>
          <w:noProof/>
        </w:rPr>
        <w:drawing>
          <wp:inline distT="0" distB="0" distL="0" distR="0" wp14:anchorId="123D4F93" wp14:editId="55227DD6">
            <wp:extent cx="5029200" cy="3162300"/>
            <wp:effectExtent l="0" t="0" r="0" b="0"/>
            <wp:docPr id="47"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descr="Chart, line chart&#10;&#10;Description automatically generated"/>
                    <pic:cNvPicPr>
                      <a:picLocks noChangeAspect="1" noChangeArrowheads="1"/>
                    </pic:cNvPicPr>
                  </pic:nvPicPr>
                  <pic:blipFill>
                    <a:blip r:embed="rId87"/>
                    <a:srcRect b="1192"/>
                    <a:stretch>
                      <a:fillRect/>
                    </a:stretch>
                  </pic:blipFill>
                  <pic:spPr bwMode="auto">
                    <a:xfrm>
                      <a:off x="0" y="0"/>
                      <a:ext cx="5029200" cy="3162300"/>
                    </a:xfrm>
                    <a:prstGeom prst="rect">
                      <a:avLst/>
                    </a:prstGeom>
                  </pic:spPr>
                </pic:pic>
              </a:graphicData>
            </a:graphic>
          </wp:inline>
        </w:drawing>
      </w:r>
    </w:p>
    <w:p w14:paraId="2C2E2054" w14:textId="77777777" w:rsidR="00AA0A39" w:rsidRPr="002A3B81" w:rsidRDefault="00AA0A39" w:rsidP="002A3B81">
      <w:pPr>
        <w:pStyle w:val="NoSpacing"/>
        <w:spacing w:line="480" w:lineRule="auto"/>
        <w:rPr>
          <w:rFonts w:ascii="Times New Roman" w:hAnsi="Times New Roman" w:cs="Times New Roman"/>
        </w:rPr>
      </w:pPr>
      <w:r w:rsidRPr="002A3B81">
        <w:rPr>
          <w:rFonts w:ascii="Times New Roman" w:hAnsi="Times New Roman" w:cs="Times New Roman"/>
          <w:i/>
          <w:iCs/>
        </w:rPr>
        <w:t>Note.</w:t>
      </w:r>
      <w:r w:rsidRPr="002A3B81">
        <w:rPr>
          <w:rFonts w:ascii="Times New Roman" w:hAnsi="Times New Roman" w:cs="Times New Roman"/>
        </w:rPr>
        <w:t xml:space="preserve"> Light blue (circle) represents non-decision time with the wording “which would you rather consume”, orange (triangle) represents non-decision time with the wording “which do you like more”, and dark blue (square) represents non-decision time with the wording “which did you rate higher”. Error bars represent the standard error of the mean (SE).</w:t>
      </w:r>
    </w:p>
    <w:p w14:paraId="009B05B8" w14:textId="77777777" w:rsidR="00AA0A39" w:rsidRPr="00AA0A39" w:rsidRDefault="00AA0A39" w:rsidP="002A3B81">
      <w:pPr>
        <w:pStyle w:val="NoSpacing"/>
        <w:spacing w:line="480" w:lineRule="auto"/>
        <w:rPr>
          <w:rFonts w:asciiTheme="majorBidi" w:hAnsiTheme="majorBidi" w:cstheme="majorBidi"/>
        </w:rPr>
      </w:pPr>
    </w:p>
    <w:p w14:paraId="56371718" w14:textId="77777777" w:rsidR="00AA0A39" w:rsidRPr="00AA0A39"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t>Correlational analyses</w:t>
      </w:r>
    </w:p>
    <w:p w14:paraId="1A7DD6DA" w14:textId="4F3840A8" w:rsidR="00AA0A39" w:rsidRPr="00AA0A39" w:rsidRDefault="00AA0A39" w:rsidP="002A3B81">
      <w:pPr>
        <w:pStyle w:val="NoSpacing"/>
        <w:spacing w:line="480" w:lineRule="auto"/>
        <w:rPr>
          <w:rFonts w:asciiTheme="majorBidi" w:hAnsiTheme="majorBidi" w:cstheme="majorBidi"/>
        </w:rPr>
      </w:pPr>
      <w:r w:rsidRPr="00AA0A39">
        <w:rPr>
          <w:rFonts w:asciiTheme="majorBidi" w:hAnsiTheme="majorBidi" w:cstheme="majorBidi"/>
        </w:rPr>
        <w:t>As shown in Figure S3.</w:t>
      </w:r>
      <w:r w:rsidR="002A3B81" w:rsidRPr="002A3B81">
        <w:rPr>
          <w:rFonts w:asciiTheme="majorBidi" w:hAnsiTheme="majorBidi" w:cstheme="majorBidi"/>
        </w:rPr>
        <w:t>4</w:t>
      </w:r>
      <w:r w:rsidRPr="00AA0A39">
        <w:rPr>
          <w:rFonts w:asciiTheme="majorBidi" w:hAnsiTheme="majorBidi" w:cstheme="majorBidi"/>
        </w:rPr>
        <w:t xml:space="preserve">, correlational analyses revealed highly significant positive correlations between non-decision time in all three blocks (all </w:t>
      </w:r>
      <w:proofErr w:type="spellStart"/>
      <w:r w:rsidRPr="00AA0A39">
        <w:rPr>
          <w:rFonts w:asciiTheme="majorBidi" w:hAnsiTheme="majorBidi" w:cstheme="majorBidi"/>
          <w:i/>
          <w:iCs/>
        </w:rPr>
        <w:t>p</w:t>
      </w:r>
      <w:r w:rsidRPr="00AA0A39">
        <w:rPr>
          <w:rFonts w:asciiTheme="majorBidi" w:hAnsiTheme="majorBidi" w:cstheme="majorBidi"/>
        </w:rPr>
        <w:t>s</w:t>
      </w:r>
      <w:proofErr w:type="spellEnd"/>
      <w:r w:rsidRPr="00AA0A39">
        <w:rPr>
          <w:rFonts w:asciiTheme="majorBidi" w:hAnsiTheme="majorBidi" w:cstheme="majorBidi"/>
        </w:rPr>
        <w:t xml:space="preserve"> &lt; .001; consume wording and recall wording </w:t>
      </w:r>
      <w:proofErr w:type="gramStart"/>
      <w:r w:rsidRPr="00AA0A39">
        <w:rPr>
          <w:rFonts w:asciiTheme="majorBidi" w:hAnsiTheme="majorBidi" w:cstheme="majorBidi"/>
          <w:i/>
          <w:iCs/>
        </w:rPr>
        <w:t>r</w:t>
      </w:r>
      <w:r w:rsidRPr="00AA0A39">
        <w:rPr>
          <w:rFonts w:asciiTheme="majorBidi" w:hAnsiTheme="majorBidi" w:cstheme="majorBidi"/>
        </w:rPr>
        <w:t>(</w:t>
      </w:r>
      <w:proofErr w:type="gramEnd"/>
      <w:r w:rsidRPr="00AA0A39">
        <w:rPr>
          <w:rFonts w:asciiTheme="majorBidi" w:hAnsiTheme="majorBidi" w:cstheme="majorBidi"/>
        </w:rPr>
        <w:t xml:space="preserve">57) = .67, </w:t>
      </w:r>
      <w:r w:rsidRPr="00AA0A39">
        <w:rPr>
          <w:rFonts w:asciiTheme="majorBidi" w:hAnsiTheme="majorBidi" w:cstheme="majorBidi"/>
          <w:i/>
          <w:iCs/>
        </w:rPr>
        <w:t>p</w:t>
      </w:r>
      <w:r w:rsidRPr="00AA0A39">
        <w:rPr>
          <w:rFonts w:asciiTheme="majorBidi" w:hAnsiTheme="majorBidi" w:cstheme="majorBidi"/>
        </w:rPr>
        <w:t xml:space="preserve"> &lt; .001; recall wording and like wording </w:t>
      </w:r>
      <w:r w:rsidRPr="00AA0A39">
        <w:rPr>
          <w:rFonts w:asciiTheme="majorBidi" w:hAnsiTheme="majorBidi" w:cstheme="majorBidi"/>
          <w:i/>
          <w:iCs/>
        </w:rPr>
        <w:t>r</w:t>
      </w:r>
      <w:r w:rsidRPr="00AA0A39">
        <w:rPr>
          <w:rFonts w:asciiTheme="majorBidi" w:hAnsiTheme="majorBidi" w:cstheme="majorBidi"/>
        </w:rPr>
        <w:t xml:space="preserve">(57) = .63, </w:t>
      </w:r>
      <w:r w:rsidRPr="00AA0A39">
        <w:rPr>
          <w:rFonts w:asciiTheme="majorBidi" w:hAnsiTheme="majorBidi" w:cstheme="majorBidi"/>
          <w:i/>
          <w:iCs/>
        </w:rPr>
        <w:t>p</w:t>
      </w:r>
      <w:r w:rsidRPr="00AA0A39">
        <w:rPr>
          <w:rFonts w:asciiTheme="majorBidi" w:hAnsiTheme="majorBidi" w:cstheme="majorBidi"/>
        </w:rPr>
        <w:t xml:space="preserve"> &lt; .001; consume wording and like wording </w:t>
      </w:r>
      <w:r w:rsidRPr="00AA0A39">
        <w:rPr>
          <w:rFonts w:asciiTheme="majorBidi" w:hAnsiTheme="majorBidi" w:cstheme="majorBidi"/>
          <w:i/>
          <w:iCs/>
        </w:rPr>
        <w:t>r</w:t>
      </w:r>
      <w:r w:rsidRPr="00AA0A39">
        <w:rPr>
          <w:rFonts w:asciiTheme="majorBidi" w:hAnsiTheme="majorBidi" w:cstheme="majorBidi"/>
        </w:rPr>
        <w:t xml:space="preserve">(57) = .72, </w:t>
      </w:r>
      <w:r w:rsidRPr="00AA0A39">
        <w:rPr>
          <w:rFonts w:asciiTheme="majorBidi" w:hAnsiTheme="majorBidi" w:cstheme="majorBidi"/>
          <w:i/>
          <w:iCs/>
        </w:rPr>
        <w:t>p</w:t>
      </w:r>
      <w:r w:rsidRPr="00AA0A39">
        <w:rPr>
          <w:rFonts w:asciiTheme="majorBidi" w:hAnsiTheme="majorBidi" w:cstheme="majorBidi"/>
        </w:rPr>
        <w:t xml:space="preserve"> &lt; .001).</w:t>
      </w:r>
    </w:p>
    <w:p w14:paraId="68A8340C" w14:textId="77777777" w:rsidR="00AA0A39" w:rsidRPr="00AA0A39" w:rsidRDefault="00AA0A39" w:rsidP="002A3B81">
      <w:pPr>
        <w:pStyle w:val="NoSpacing"/>
        <w:spacing w:line="480" w:lineRule="auto"/>
        <w:rPr>
          <w:rFonts w:asciiTheme="majorBidi" w:hAnsiTheme="majorBidi" w:cstheme="majorBidi"/>
        </w:rPr>
      </w:pPr>
    </w:p>
    <w:p w14:paraId="2D08063C" w14:textId="77777777" w:rsidR="002A3B81" w:rsidRPr="002A3B81" w:rsidRDefault="00AA0A39" w:rsidP="002A3B81">
      <w:pPr>
        <w:pStyle w:val="NoSpacing"/>
        <w:spacing w:line="480" w:lineRule="auto"/>
        <w:rPr>
          <w:rFonts w:asciiTheme="majorBidi" w:hAnsiTheme="majorBidi" w:cstheme="majorBidi"/>
          <w:b/>
          <w:bCs/>
        </w:rPr>
      </w:pPr>
      <w:r w:rsidRPr="00AA0A39">
        <w:rPr>
          <w:rFonts w:asciiTheme="majorBidi" w:hAnsiTheme="majorBidi" w:cstheme="majorBidi"/>
          <w:b/>
          <w:bCs/>
        </w:rPr>
        <w:lastRenderedPageBreak/>
        <w:t>Figure S3.</w:t>
      </w:r>
      <w:r w:rsidR="002A3B81" w:rsidRPr="002A3B81">
        <w:rPr>
          <w:rFonts w:asciiTheme="majorBidi" w:hAnsiTheme="majorBidi" w:cstheme="majorBidi"/>
          <w:b/>
          <w:bCs/>
        </w:rPr>
        <w:t>4</w:t>
      </w:r>
    </w:p>
    <w:p w14:paraId="17E19BCF" w14:textId="27E3F527" w:rsidR="00AA0A39" w:rsidRPr="00AA0A39" w:rsidRDefault="00AA0A39" w:rsidP="002A3B81">
      <w:pPr>
        <w:pStyle w:val="NoSpacing"/>
        <w:spacing w:line="480" w:lineRule="auto"/>
        <w:rPr>
          <w:rFonts w:asciiTheme="majorBidi" w:hAnsiTheme="majorBidi" w:cstheme="majorBidi"/>
          <w:i/>
          <w:iCs/>
        </w:rPr>
      </w:pPr>
      <w:r w:rsidRPr="00AA0A39">
        <w:rPr>
          <w:rFonts w:asciiTheme="majorBidi" w:hAnsiTheme="majorBidi" w:cstheme="majorBidi"/>
          <w:i/>
          <w:iCs/>
        </w:rPr>
        <w:t>Scatterplots to show correlations between non-decision time during the three blocks of trials</w:t>
      </w:r>
    </w:p>
    <w:p w14:paraId="452319CF" w14:textId="77777777" w:rsidR="00AA0A39" w:rsidRPr="00AA0A39" w:rsidRDefault="00AA0A39" w:rsidP="002A3B81">
      <w:pPr>
        <w:pStyle w:val="NoSpacing"/>
      </w:pPr>
      <w:r w:rsidRPr="00AA0A39">
        <w:rPr>
          <w:noProof/>
        </w:rPr>
        <w:drawing>
          <wp:inline distT="0" distB="0" distL="0" distR="0" wp14:anchorId="274266DE" wp14:editId="39710A3F">
            <wp:extent cx="5731510" cy="1628775"/>
            <wp:effectExtent l="0" t="0" r="0" b="0"/>
            <wp:docPr id="48" name="Picture 1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5" descr="Chart, scatter chart&#10;&#10;Description automatically generated"/>
                    <pic:cNvPicPr>
                      <a:picLocks noChangeAspect="1" noChangeArrowheads="1"/>
                    </pic:cNvPicPr>
                  </pic:nvPicPr>
                  <pic:blipFill>
                    <a:blip r:embed="rId88"/>
                    <a:srcRect b="50612"/>
                    <a:stretch>
                      <a:fillRect/>
                    </a:stretch>
                  </pic:blipFill>
                  <pic:spPr bwMode="auto">
                    <a:xfrm>
                      <a:off x="0" y="0"/>
                      <a:ext cx="5731510" cy="1628775"/>
                    </a:xfrm>
                    <a:prstGeom prst="rect">
                      <a:avLst/>
                    </a:prstGeom>
                  </pic:spPr>
                </pic:pic>
              </a:graphicData>
            </a:graphic>
          </wp:inline>
        </w:drawing>
      </w:r>
    </w:p>
    <w:p w14:paraId="6EA1EA38" w14:textId="6264712C" w:rsidR="00AA0A39" w:rsidRDefault="00AA0A39" w:rsidP="002A3B81">
      <w:pPr>
        <w:pStyle w:val="NoSpacing"/>
        <w:spacing w:line="480" w:lineRule="auto"/>
        <w:rPr>
          <w:rFonts w:asciiTheme="majorBidi" w:hAnsiTheme="majorBidi" w:cstheme="majorBidi"/>
        </w:rPr>
      </w:pPr>
      <w:r w:rsidRPr="002A3B81">
        <w:rPr>
          <w:rFonts w:asciiTheme="majorBidi" w:hAnsiTheme="majorBidi" w:cstheme="majorBidi"/>
          <w:i/>
          <w:iCs/>
        </w:rPr>
        <w:t>Note.</w:t>
      </w:r>
      <w:r w:rsidRPr="002A3B81">
        <w:rPr>
          <w:rFonts w:asciiTheme="majorBidi" w:hAnsiTheme="majorBidi" w:cstheme="majorBidi"/>
        </w:rPr>
        <w:t xml:space="preserve"> On the left is the correlation between non-decision time during the block of trials with “which would you rather consume” and the block of trials with “which did you rate higher”. In the middle is the correlation between non-decision time during the block of trials with “which would you rather consume” and the block of trials with “which do you like more”. On the right is the correlation between non-decision time during the block of trials with “which did you rate higher” and the block of trials with “which do you like more”.  The grey dashed line represents the line of equality. Shaded areas represent the 95% confidence interval.</w:t>
      </w:r>
    </w:p>
    <w:p w14:paraId="4256839E" w14:textId="0C042E0D" w:rsidR="002A3B81" w:rsidRDefault="002A3B81" w:rsidP="002A3B81">
      <w:pPr>
        <w:pStyle w:val="NoSpacing"/>
        <w:spacing w:line="480" w:lineRule="auto"/>
        <w:rPr>
          <w:rFonts w:asciiTheme="majorBidi" w:hAnsiTheme="majorBidi" w:cstheme="majorBidi"/>
        </w:rPr>
      </w:pPr>
    </w:p>
    <w:p w14:paraId="1767608C" w14:textId="73EF9AB2" w:rsidR="002A3B81" w:rsidRDefault="002A3B81" w:rsidP="002A3B81">
      <w:pPr>
        <w:pStyle w:val="NoSpacing"/>
        <w:spacing w:line="480" w:lineRule="auto"/>
        <w:rPr>
          <w:rFonts w:asciiTheme="majorBidi" w:hAnsiTheme="majorBidi" w:cstheme="majorBidi"/>
        </w:rPr>
      </w:pPr>
    </w:p>
    <w:p w14:paraId="4A0E9593" w14:textId="2C8D0C6F" w:rsidR="002A3B81" w:rsidRDefault="002A3B81" w:rsidP="002A3B81">
      <w:pPr>
        <w:pStyle w:val="NoSpacing"/>
        <w:spacing w:line="480" w:lineRule="auto"/>
        <w:rPr>
          <w:rFonts w:asciiTheme="majorBidi" w:hAnsiTheme="majorBidi" w:cstheme="majorBidi"/>
        </w:rPr>
      </w:pPr>
    </w:p>
    <w:p w14:paraId="3A22C49C" w14:textId="62DD56AF" w:rsidR="002A3B81" w:rsidRDefault="002A3B81" w:rsidP="002A3B81">
      <w:pPr>
        <w:pStyle w:val="NoSpacing"/>
        <w:spacing w:line="480" w:lineRule="auto"/>
        <w:rPr>
          <w:rFonts w:asciiTheme="majorBidi" w:hAnsiTheme="majorBidi" w:cstheme="majorBidi"/>
        </w:rPr>
      </w:pPr>
    </w:p>
    <w:p w14:paraId="60535263" w14:textId="778C7F7F" w:rsidR="002A3B81" w:rsidRDefault="002A3B81" w:rsidP="002A3B81">
      <w:pPr>
        <w:pStyle w:val="NoSpacing"/>
        <w:spacing w:line="480" w:lineRule="auto"/>
        <w:rPr>
          <w:rFonts w:asciiTheme="majorBidi" w:hAnsiTheme="majorBidi" w:cstheme="majorBidi"/>
        </w:rPr>
      </w:pPr>
    </w:p>
    <w:p w14:paraId="64041BAD" w14:textId="0CA6B576" w:rsidR="002A3B81" w:rsidRDefault="002A3B81" w:rsidP="002A3B81">
      <w:pPr>
        <w:pStyle w:val="NoSpacing"/>
        <w:spacing w:line="480" w:lineRule="auto"/>
        <w:rPr>
          <w:rFonts w:asciiTheme="majorBidi" w:hAnsiTheme="majorBidi" w:cstheme="majorBidi"/>
        </w:rPr>
      </w:pPr>
    </w:p>
    <w:p w14:paraId="728C1BC6" w14:textId="041265B5" w:rsidR="002A3B81" w:rsidRDefault="002A3B81" w:rsidP="002A3B81">
      <w:pPr>
        <w:pStyle w:val="NoSpacing"/>
        <w:spacing w:line="480" w:lineRule="auto"/>
        <w:rPr>
          <w:rFonts w:asciiTheme="majorBidi" w:hAnsiTheme="majorBidi" w:cstheme="majorBidi"/>
        </w:rPr>
      </w:pPr>
    </w:p>
    <w:p w14:paraId="50D47E16" w14:textId="02F5E7B7" w:rsidR="002A3B81" w:rsidRDefault="002A3B81" w:rsidP="002A3B81">
      <w:pPr>
        <w:pStyle w:val="NoSpacing"/>
        <w:spacing w:line="480" w:lineRule="auto"/>
        <w:rPr>
          <w:rFonts w:asciiTheme="majorBidi" w:hAnsiTheme="majorBidi" w:cstheme="majorBidi"/>
        </w:rPr>
      </w:pPr>
    </w:p>
    <w:p w14:paraId="2EC7032A" w14:textId="23D13821" w:rsidR="002A3B81" w:rsidRDefault="002A3B81" w:rsidP="002A3B81">
      <w:pPr>
        <w:pStyle w:val="NoSpacing"/>
        <w:spacing w:line="480" w:lineRule="auto"/>
        <w:rPr>
          <w:rFonts w:asciiTheme="majorBidi" w:hAnsiTheme="majorBidi" w:cstheme="majorBidi"/>
        </w:rPr>
      </w:pPr>
    </w:p>
    <w:p w14:paraId="55ED2021" w14:textId="04F67E90" w:rsidR="002A3B81" w:rsidRDefault="002A3B81" w:rsidP="002A3B81">
      <w:pPr>
        <w:pStyle w:val="NoSpacing"/>
        <w:spacing w:line="480" w:lineRule="auto"/>
        <w:rPr>
          <w:rFonts w:asciiTheme="majorBidi" w:hAnsiTheme="majorBidi" w:cstheme="majorBidi"/>
        </w:rPr>
      </w:pPr>
    </w:p>
    <w:p w14:paraId="7F62155A" w14:textId="70DA22FD" w:rsidR="002A3B81" w:rsidRDefault="002A3B81" w:rsidP="002A3B81">
      <w:pPr>
        <w:pStyle w:val="NoSpacing"/>
        <w:spacing w:line="480" w:lineRule="auto"/>
        <w:rPr>
          <w:rFonts w:asciiTheme="majorBidi" w:hAnsiTheme="majorBidi" w:cstheme="majorBidi"/>
        </w:rPr>
      </w:pPr>
    </w:p>
    <w:p w14:paraId="1079D4F9" w14:textId="77777777" w:rsidR="002A3B81" w:rsidRPr="002A3B81" w:rsidRDefault="002A3B81" w:rsidP="00FD2616">
      <w:pPr>
        <w:pStyle w:val="NoSpacing"/>
        <w:spacing w:line="480" w:lineRule="auto"/>
        <w:rPr>
          <w:rFonts w:asciiTheme="majorBidi" w:hAnsiTheme="majorBidi" w:cstheme="majorBidi"/>
          <w:b/>
          <w:bCs/>
        </w:rPr>
      </w:pPr>
      <w:r w:rsidRPr="002A3B81">
        <w:rPr>
          <w:rFonts w:asciiTheme="majorBidi" w:hAnsiTheme="majorBidi" w:cstheme="majorBidi"/>
          <w:b/>
          <w:bCs/>
        </w:rPr>
        <w:lastRenderedPageBreak/>
        <w:t>10. Discussion: Additional analyses on response thresholds and non-decision time.</w:t>
      </w:r>
    </w:p>
    <w:p w14:paraId="2CEC18B8" w14:textId="73857346" w:rsidR="002A3B81" w:rsidRPr="002A3B81" w:rsidRDefault="002A3B81" w:rsidP="00FD2616">
      <w:pPr>
        <w:pStyle w:val="NoSpacing"/>
        <w:spacing w:line="480" w:lineRule="auto"/>
        <w:rPr>
          <w:rFonts w:asciiTheme="majorBidi" w:hAnsiTheme="majorBidi" w:cstheme="majorBidi"/>
        </w:rPr>
      </w:pPr>
      <w:r w:rsidRPr="002A3B81">
        <w:rPr>
          <w:rFonts w:asciiTheme="majorBidi" w:hAnsiTheme="majorBidi" w:cstheme="majorBidi"/>
        </w:rPr>
        <w:t xml:space="preserve">Of primary interest in the manuscript were EA rates because these are hypothesised to represent value (Field et al., 2020) and the key theoretical question being explored in </w:t>
      </w:r>
      <w:r w:rsidR="00FD2616">
        <w:rPr>
          <w:rFonts w:asciiTheme="majorBidi" w:hAnsiTheme="majorBidi" w:cstheme="majorBidi"/>
        </w:rPr>
        <w:t>Chapter 3</w:t>
      </w:r>
      <w:r w:rsidRPr="002A3B81">
        <w:rPr>
          <w:rFonts w:asciiTheme="majorBidi" w:hAnsiTheme="majorBidi" w:cstheme="majorBidi"/>
        </w:rPr>
        <w:t xml:space="preserve"> was whether variations of preference wording capture some common construct of value. However, we acknowledge that the EZ-DDM yields other parameters, namely response thresholds which are often interpreted to be a measure of decision caution, and non-decision time which reflects stimulus encoding and motor execution processes. Above we conducted and reported the results of the main analyses repeated on each of the additional parameters (response thresholds and non-decision time) and below we discuss these findings in more detail.</w:t>
      </w:r>
    </w:p>
    <w:p w14:paraId="787D1086" w14:textId="77777777" w:rsidR="002A3B81" w:rsidRPr="002A3B81" w:rsidRDefault="002A3B81" w:rsidP="00FD2616">
      <w:pPr>
        <w:pStyle w:val="NoSpacing"/>
        <w:spacing w:line="480" w:lineRule="auto"/>
        <w:rPr>
          <w:rFonts w:asciiTheme="majorBidi" w:hAnsiTheme="majorBidi" w:cstheme="majorBidi"/>
        </w:rPr>
      </w:pPr>
    </w:p>
    <w:p w14:paraId="70EFE208" w14:textId="77777777" w:rsidR="002A3B81" w:rsidRPr="002A3B81" w:rsidRDefault="002A3B81" w:rsidP="00FD2616">
      <w:pPr>
        <w:pStyle w:val="NoSpacing"/>
        <w:spacing w:line="480" w:lineRule="auto"/>
        <w:rPr>
          <w:rFonts w:asciiTheme="majorBidi" w:hAnsiTheme="majorBidi" w:cstheme="majorBidi"/>
        </w:rPr>
      </w:pPr>
      <w:r w:rsidRPr="002A3B81">
        <w:rPr>
          <w:rFonts w:asciiTheme="majorBidi" w:hAnsiTheme="majorBidi" w:cstheme="majorBidi"/>
        </w:rPr>
        <w:t xml:space="preserve">The findings from the analyses on response thresholds demonstrate that there was a significant main effect of trial wording, with response thresholds in the “recall” condition being significantly higher than in the “consume” and “like” conditions. This is perhaps unsurprising given that in the recall condition participants were explicitly instructed to try and remember their previous value ratings, which might in turn correspond to participants being more cautious. There was also a main effect of difficulty, with response thresholds in medium difficulty trials being significantly higher than in the easy and hard trials. Although response thresholds are not anticipated to change across difficulty levels, we note that similar findings have been observed in other studies (e.g., </w:t>
      </w:r>
      <w:proofErr w:type="spellStart"/>
      <w:r w:rsidRPr="002A3B81">
        <w:rPr>
          <w:rFonts w:asciiTheme="majorBidi" w:hAnsiTheme="majorBidi" w:cstheme="majorBidi"/>
        </w:rPr>
        <w:t>Pirrone</w:t>
      </w:r>
      <w:proofErr w:type="spellEnd"/>
      <w:r w:rsidRPr="002A3B81">
        <w:rPr>
          <w:rFonts w:asciiTheme="majorBidi" w:hAnsiTheme="majorBidi" w:cstheme="majorBidi"/>
        </w:rPr>
        <w:t xml:space="preserve"> et al., 2017; Dix &amp; Li, 2020). Finally, there was a significant interaction between trial wording and trial difficulty. Exploring this interaction further revealed that on hard trials only, response thresholds in the “recall” condition were significantly higher compared to response thresholds in the “like” condition (which similarly may correspond to participants actively trying to remember their </w:t>
      </w:r>
      <w:r w:rsidRPr="002A3B81">
        <w:rPr>
          <w:rFonts w:asciiTheme="majorBidi" w:hAnsiTheme="majorBidi" w:cstheme="majorBidi"/>
        </w:rPr>
        <w:lastRenderedPageBreak/>
        <w:t xml:space="preserve">previous value ratings), but there were no significant differences in response thresholds across trial wording conditions on the medium or easy trials. </w:t>
      </w:r>
    </w:p>
    <w:p w14:paraId="3DBF48C3" w14:textId="77777777" w:rsidR="002A3B81" w:rsidRPr="002A3B81" w:rsidRDefault="002A3B81" w:rsidP="00FD2616">
      <w:pPr>
        <w:pStyle w:val="NoSpacing"/>
        <w:spacing w:line="480" w:lineRule="auto"/>
        <w:rPr>
          <w:rFonts w:asciiTheme="majorBidi" w:hAnsiTheme="majorBidi" w:cstheme="majorBidi"/>
        </w:rPr>
      </w:pPr>
    </w:p>
    <w:p w14:paraId="6E57446B" w14:textId="77777777" w:rsidR="002A3B81" w:rsidRPr="002A3B81" w:rsidRDefault="002A3B81" w:rsidP="00FD2616">
      <w:pPr>
        <w:pStyle w:val="NoSpacing"/>
        <w:spacing w:line="480" w:lineRule="auto"/>
        <w:rPr>
          <w:rFonts w:asciiTheme="majorBidi" w:hAnsiTheme="majorBidi" w:cstheme="majorBidi"/>
        </w:rPr>
      </w:pPr>
      <w:r w:rsidRPr="002A3B81">
        <w:rPr>
          <w:rFonts w:asciiTheme="majorBidi" w:hAnsiTheme="majorBidi" w:cstheme="majorBidi"/>
        </w:rPr>
        <w:t xml:space="preserve">It may be that there is an important distinction between the different wording blocks, with “recall” being primarily a memory task, while “consume” and “like” are subjective valuation tasks. However, we emphasise that even if the “recall” block places more demands on participants’ memory than the other blocks, the distinction between this block and other blocks is perhaps not so large, partially because participants are actively trying to remember their own value ratings (rather than some other general category that requires a memory component). An implication of these findings is that if researchers are exploring response thresholds in future research, they should acknowledge that the “recall” wording may inadvertently affect participants decision caution and particularly on trials that are difficult. </w:t>
      </w:r>
    </w:p>
    <w:p w14:paraId="24E8A613" w14:textId="77777777" w:rsidR="002A3B81" w:rsidRPr="002A3B81" w:rsidRDefault="002A3B81" w:rsidP="00FD2616">
      <w:pPr>
        <w:pStyle w:val="NoSpacing"/>
        <w:spacing w:line="480" w:lineRule="auto"/>
        <w:rPr>
          <w:rFonts w:asciiTheme="majorBidi" w:hAnsiTheme="majorBidi" w:cstheme="majorBidi"/>
        </w:rPr>
      </w:pPr>
    </w:p>
    <w:p w14:paraId="0C37DB48" w14:textId="77777777" w:rsidR="002A3B81" w:rsidRPr="002A3B81" w:rsidRDefault="002A3B81" w:rsidP="00FD2616">
      <w:pPr>
        <w:pStyle w:val="NoSpacing"/>
        <w:spacing w:line="480" w:lineRule="auto"/>
        <w:rPr>
          <w:rFonts w:asciiTheme="majorBidi" w:hAnsiTheme="majorBidi" w:cstheme="majorBidi"/>
        </w:rPr>
      </w:pPr>
      <w:r w:rsidRPr="002A3B81">
        <w:rPr>
          <w:rFonts w:asciiTheme="majorBidi" w:hAnsiTheme="majorBidi" w:cstheme="majorBidi"/>
        </w:rPr>
        <w:t xml:space="preserve">The findings from the analyses comprising non-decision time demonstrate that there was a significant main effect of difficulty, with non-decision time increased on hard trials compared to medium and easy trials. Higher non-decision time values alongside increasing trial difficulty level have also been observed in other research that used the DDM (e.g., Dix &amp; Li, 2020; </w:t>
      </w:r>
      <w:proofErr w:type="spellStart"/>
      <w:r w:rsidRPr="002A3B81">
        <w:rPr>
          <w:rFonts w:asciiTheme="majorBidi" w:hAnsiTheme="majorBidi" w:cstheme="majorBidi"/>
        </w:rPr>
        <w:t>Berberyan</w:t>
      </w:r>
      <w:proofErr w:type="spellEnd"/>
      <w:r w:rsidRPr="002A3B81">
        <w:rPr>
          <w:rFonts w:asciiTheme="majorBidi" w:hAnsiTheme="majorBidi" w:cstheme="majorBidi"/>
        </w:rPr>
        <w:t xml:space="preserve"> et al., 2021). There was no main effect of trial wording or interaction between trial wording and trial difficulty. This demonstrates there were no differences in non-decision time across trial wording and trial difficulty level. </w:t>
      </w:r>
    </w:p>
    <w:p w14:paraId="55E40B5B" w14:textId="77777777" w:rsidR="002A3B81" w:rsidRPr="002A3B81" w:rsidRDefault="002A3B81" w:rsidP="00FD2616">
      <w:pPr>
        <w:pStyle w:val="NoSpacing"/>
        <w:spacing w:line="480" w:lineRule="auto"/>
        <w:rPr>
          <w:rFonts w:asciiTheme="majorBidi" w:hAnsiTheme="majorBidi" w:cstheme="majorBidi"/>
        </w:rPr>
      </w:pPr>
    </w:p>
    <w:p w14:paraId="289496B9" w14:textId="61A445AE" w:rsidR="002A3B81" w:rsidRDefault="002A3B81" w:rsidP="002A3B81">
      <w:pPr>
        <w:pStyle w:val="NoSpacing"/>
        <w:rPr>
          <w:rFonts w:asciiTheme="majorBidi" w:hAnsiTheme="majorBidi" w:cstheme="majorBidi"/>
        </w:rPr>
      </w:pPr>
    </w:p>
    <w:p w14:paraId="76120AC9" w14:textId="2D34B469" w:rsidR="00FD2616" w:rsidRDefault="00FD2616" w:rsidP="002A3B81">
      <w:pPr>
        <w:pStyle w:val="NoSpacing"/>
        <w:rPr>
          <w:rFonts w:asciiTheme="majorBidi" w:hAnsiTheme="majorBidi" w:cstheme="majorBidi"/>
        </w:rPr>
      </w:pPr>
    </w:p>
    <w:p w14:paraId="59F9EF7E" w14:textId="64659C53" w:rsidR="00FD2616" w:rsidRDefault="00FD2616" w:rsidP="002A3B81">
      <w:pPr>
        <w:pStyle w:val="NoSpacing"/>
        <w:rPr>
          <w:rFonts w:asciiTheme="majorBidi" w:hAnsiTheme="majorBidi" w:cstheme="majorBidi"/>
        </w:rPr>
      </w:pPr>
    </w:p>
    <w:p w14:paraId="292AF70B" w14:textId="77777777" w:rsidR="00FD2616" w:rsidRPr="002A3B81" w:rsidRDefault="00FD2616" w:rsidP="002A3B81">
      <w:pPr>
        <w:pStyle w:val="NoSpacing"/>
        <w:rPr>
          <w:rFonts w:asciiTheme="majorBidi" w:hAnsiTheme="majorBidi" w:cstheme="majorBidi"/>
        </w:rPr>
      </w:pPr>
    </w:p>
    <w:p w14:paraId="676709ED" w14:textId="77777777" w:rsidR="002A3B81" w:rsidRPr="002A3B81" w:rsidRDefault="002A3B81" w:rsidP="002A3B81">
      <w:pPr>
        <w:pStyle w:val="NoSpacing"/>
        <w:rPr>
          <w:rFonts w:asciiTheme="majorBidi" w:hAnsiTheme="majorBidi" w:cstheme="majorBidi"/>
        </w:rPr>
      </w:pPr>
    </w:p>
    <w:p w14:paraId="76F4B750" w14:textId="77777777" w:rsidR="002A3B81" w:rsidRPr="002A3B81" w:rsidRDefault="002A3B81" w:rsidP="002A3B81">
      <w:pPr>
        <w:pStyle w:val="NoSpacing"/>
        <w:rPr>
          <w:rFonts w:asciiTheme="majorBidi" w:hAnsiTheme="majorBidi" w:cstheme="majorBidi"/>
        </w:rPr>
      </w:pPr>
    </w:p>
    <w:p w14:paraId="25297FAF" w14:textId="77777777" w:rsidR="002A3B81" w:rsidRPr="002A3B81" w:rsidRDefault="002A3B81" w:rsidP="002A3B81">
      <w:pPr>
        <w:pStyle w:val="NoSpacing"/>
        <w:rPr>
          <w:rFonts w:asciiTheme="majorBidi" w:hAnsiTheme="majorBidi" w:cstheme="majorBidi"/>
        </w:rPr>
      </w:pPr>
    </w:p>
    <w:p w14:paraId="44142DB9" w14:textId="77777777" w:rsidR="002A3B81" w:rsidRPr="002A3B81" w:rsidRDefault="002A3B81" w:rsidP="002A3B81">
      <w:pPr>
        <w:pStyle w:val="NoSpacing"/>
        <w:spacing w:line="480" w:lineRule="auto"/>
        <w:rPr>
          <w:rFonts w:asciiTheme="majorBidi" w:hAnsiTheme="majorBidi" w:cstheme="majorBidi"/>
          <w:b/>
          <w:bCs/>
        </w:rPr>
      </w:pPr>
      <w:r w:rsidRPr="002A3B81">
        <w:rPr>
          <w:rFonts w:asciiTheme="majorBidi" w:hAnsiTheme="majorBidi" w:cstheme="majorBidi"/>
          <w:b/>
          <w:bCs/>
        </w:rPr>
        <w:lastRenderedPageBreak/>
        <w:t xml:space="preserve">11. Supplementary: Core analyses repeated on parameters derived from the </w:t>
      </w:r>
      <w:r w:rsidRPr="002A3B81">
        <w:rPr>
          <w:rFonts w:asciiTheme="majorBidi" w:hAnsiTheme="majorBidi" w:cstheme="majorBidi"/>
          <w:b/>
          <w:bCs/>
          <w:i/>
          <w:iCs/>
        </w:rPr>
        <w:t>fast-</w:t>
      </w:r>
      <w:r w:rsidRPr="002A3B81">
        <w:rPr>
          <w:rFonts w:asciiTheme="majorBidi" w:hAnsiTheme="majorBidi" w:cstheme="majorBidi"/>
          <w:b/>
          <w:bCs/>
        </w:rPr>
        <w:t>dm-30.</w:t>
      </w:r>
    </w:p>
    <w:p w14:paraId="552AE12E"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 xml:space="preserve">Here we repeat the core analyses with the </w:t>
      </w:r>
      <w:r w:rsidRPr="002A3B81">
        <w:rPr>
          <w:rFonts w:asciiTheme="majorBidi" w:hAnsiTheme="majorBidi" w:cstheme="majorBidi"/>
          <w:i/>
          <w:iCs/>
        </w:rPr>
        <w:t>fast</w:t>
      </w:r>
      <w:r w:rsidRPr="002A3B81">
        <w:rPr>
          <w:rFonts w:asciiTheme="majorBidi" w:hAnsiTheme="majorBidi" w:cstheme="majorBidi"/>
        </w:rPr>
        <w:t xml:space="preserve">-dm given that it is not possible to fix parameters across different conditions when using the EZ-DDM. The maximum likelihood procedure as implemented in </w:t>
      </w:r>
      <w:r w:rsidRPr="002A3B81">
        <w:rPr>
          <w:rFonts w:asciiTheme="majorBidi" w:hAnsiTheme="majorBidi" w:cstheme="majorBidi"/>
          <w:i/>
          <w:iCs/>
        </w:rPr>
        <w:t>fast</w:t>
      </w:r>
      <w:r w:rsidRPr="002A3B81">
        <w:rPr>
          <w:rFonts w:asciiTheme="majorBidi" w:hAnsiTheme="majorBidi" w:cstheme="majorBidi"/>
        </w:rPr>
        <w:t>-dm-30 (Voss et al., 2015) was used to estimate decision parameters with precision set at 5. The drift rate parameter was left free to vary in the fitting procedure, while the response threshold and non-decision time parameters were fixed</w:t>
      </w:r>
      <w:r w:rsidRPr="002A3B81">
        <w:rPr>
          <w:rFonts w:asciiTheme="majorBidi" w:hAnsiTheme="majorBidi" w:cstheme="majorBidi"/>
          <w:vertAlign w:val="superscript"/>
        </w:rPr>
        <w:footnoteReference w:id="25"/>
      </w:r>
      <w:r w:rsidRPr="002A3B81">
        <w:rPr>
          <w:rFonts w:asciiTheme="majorBidi" w:hAnsiTheme="majorBidi" w:cstheme="majorBidi"/>
        </w:rPr>
        <w:t>. More specifically, response thresholds were fixed across trial difficulty level, while non-decision times were fixed across trial difficulty level and trial wording condition. As responses are coded as correct and incorrect, starting point was fixed at 0.5. All other parameters in the model were fixed to 0 (Voss et al., 2015).</w:t>
      </w:r>
    </w:p>
    <w:p w14:paraId="690D8CC8" w14:textId="77777777" w:rsidR="002A3B81" w:rsidRPr="002A3B81" w:rsidRDefault="002A3B81" w:rsidP="002A3B81">
      <w:pPr>
        <w:pStyle w:val="NoSpacing"/>
        <w:spacing w:line="480" w:lineRule="auto"/>
        <w:rPr>
          <w:rFonts w:asciiTheme="majorBidi" w:hAnsiTheme="majorBidi" w:cstheme="majorBidi"/>
        </w:rPr>
      </w:pPr>
    </w:p>
    <w:p w14:paraId="47DEC426" w14:textId="77777777" w:rsidR="002A3B81" w:rsidRPr="002A3B81" w:rsidRDefault="002A3B81" w:rsidP="002A3B81">
      <w:pPr>
        <w:pStyle w:val="NoSpacing"/>
        <w:spacing w:line="480" w:lineRule="auto"/>
        <w:rPr>
          <w:rFonts w:asciiTheme="majorBidi" w:hAnsiTheme="majorBidi" w:cstheme="majorBidi"/>
          <w:u w:val="single"/>
        </w:rPr>
      </w:pPr>
      <w:r w:rsidRPr="002A3B81">
        <w:rPr>
          <w:rFonts w:asciiTheme="majorBidi" w:hAnsiTheme="majorBidi" w:cstheme="majorBidi"/>
          <w:u w:val="single"/>
        </w:rPr>
        <w:t>Core analyses</w:t>
      </w:r>
    </w:p>
    <w:p w14:paraId="4817CA6F"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EA rates were analysed using a two-way repeated measures ANOVA with trial wording (3: “consume”; “like”; “recall”) and trial difficulty (3: easy; medium, hard) as within-subject variables. There were significant main effects of difficulty, (</w:t>
      </w:r>
      <w:proofErr w:type="gramStart"/>
      <w:r w:rsidRPr="002A3B81">
        <w:rPr>
          <w:rFonts w:asciiTheme="majorBidi" w:hAnsiTheme="majorBidi" w:cstheme="majorBidi"/>
          <w:i/>
          <w:iCs/>
        </w:rPr>
        <w:t>F</w:t>
      </w:r>
      <w:r w:rsidRPr="002A3B81">
        <w:rPr>
          <w:rFonts w:asciiTheme="majorBidi" w:hAnsiTheme="majorBidi" w:cstheme="majorBidi"/>
        </w:rPr>
        <w:t>(</w:t>
      </w:r>
      <w:proofErr w:type="gramEnd"/>
      <w:r w:rsidRPr="002A3B81">
        <w:rPr>
          <w:rFonts w:asciiTheme="majorBidi" w:hAnsiTheme="majorBidi" w:cstheme="majorBidi"/>
        </w:rPr>
        <w:t xml:space="preserve">2, 116) = 507.15, </w:t>
      </w:r>
      <w:r w:rsidRPr="002A3B81">
        <w:rPr>
          <w:rFonts w:asciiTheme="majorBidi" w:hAnsiTheme="majorBidi" w:cstheme="majorBidi"/>
          <w:i/>
          <w:iCs/>
        </w:rPr>
        <w:t>p</w:t>
      </w:r>
      <w:r w:rsidRPr="002A3B81">
        <w:rPr>
          <w:rFonts w:asciiTheme="majorBidi" w:hAnsiTheme="majorBidi" w:cstheme="majorBidi"/>
        </w:rPr>
        <w:t xml:space="preserve"> &lt; .001, η</w:t>
      </w:r>
      <w:r w:rsidRPr="002A3B81">
        <w:rPr>
          <w:rFonts w:asciiTheme="majorBidi" w:hAnsiTheme="majorBidi" w:cstheme="majorBidi"/>
          <w:vertAlign w:val="subscript"/>
        </w:rPr>
        <w:t>p</w:t>
      </w:r>
      <w:r w:rsidRPr="002A3B81">
        <w:rPr>
          <w:rFonts w:asciiTheme="majorBidi" w:hAnsiTheme="majorBidi" w:cstheme="majorBidi"/>
          <w:vertAlign w:val="superscript"/>
        </w:rPr>
        <w:t>2</w:t>
      </w:r>
      <w:r w:rsidRPr="002A3B81">
        <w:rPr>
          <w:rFonts w:asciiTheme="majorBidi" w:hAnsiTheme="majorBidi" w:cstheme="majorBidi"/>
        </w:rPr>
        <w:t xml:space="preserve"> = .90, with the Bayes factor indicating extreme evidence in favour of the experimental hypothesis (BF</w:t>
      </w:r>
      <w:r w:rsidRPr="002A3B81">
        <w:rPr>
          <w:rFonts w:asciiTheme="majorBidi" w:hAnsiTheme="majorBidi" w:cstheme="majorBidi"/>
          <w:vertAlign w:val="subscript"/>
        </w:rPr>
        <w:t>10</w:t>
      </w:r>
      <w:r w:rsidRPr="002A3B81">
        <w:rPr>
          <w:rFonts w:asciiTheme="majorBidi" w:hAnsiTheme="majorBidi" w:cstheme="majorBidi"/>
        </w:rPr>
        <w:t xml:space="preserve"> &gt; 100), and of trial wording, </w:t>
      </w:r>
      <w:r w:rsidRPr="002A3B81">
        <w:rPr>
          <w:rFonts w:asciiTheme="majorBidi" w:hAnsiTheme="majorBidi" w:cstheme="majorBidi"/>
          <w:i/>
          <w:iCs/>
        </w:rPr>
        <w:t>F</w:t>
      </w:r>
      <w:r w:rsidRPr="002A3B81">
        <w:rPr>
          <w:rFonts w:asciiTheme="majorBidi" w:hAnsiTheme="majorBidi" w:cstheme="majorBidi"/>
        </w:rPr>
        <w:t xml:space="preserve">(1.82, 105.39) = 6.94, </w:t>
      </w:r>
      <w:r w:rsidRPr="002A3B81">
        <w:rPr>
          <w:rFonts w:asciiTheme="majorBidi" w:hAnsiTheme="majorBidi" w:cstheme="majorBidi"/>
          <w:i/>
          <w:iCs/>
        </w:rPr>
        <w:t>p</w:t>
      </w:r>
      <w:r w:rsidRPr="002A3B81">
        <w:rPr>
          <w:rFonts w:asciiTheme="majorBidi" w:hAnsiTheme="majorBidi" w:cstheme="majorBidi"/>
        </w:rPr>
        <w:t xml:space="preserve"> &lt; .01, η</w:t>
      </w:r>
      <w:r w:rsidRPr="002A3B81">
        <w:rPr>
          <w:rFonts w:asciiTheme="majorBidi" w:hAnsiTheme="majorBidi" w:cstheme="majorBidi"/>
          <w:vertAlign w:val="subscript"/>
        </w:rPr>
        <w:t>p</w:t>
      </w:r>
      <w:r w:rsidRPr="002A3B81">
        <w:rPr>
          <w:rFonts w:asciiTheme="majorBidi" w:hAnsiTheme="majorBidi" w:cstheme="majorBidi"/>
          <w:vertAlign w:val="superscript"/>
        </w:rPr>
        <w:t>2</w:t>
      </w:r>
      <w:r w:rsidRPr="002A3B81">
        <w:rPr>
          <w:rFonts w:asciiTheme="majorBidi" w:hAnsiTheme="majorBidi" w:cstheme="majorBidi"/>
        </w:rPr>
        <w:t xml:space="preserve"> = .11, with the Bayes factor indicating moderate evidence in favour of the experimental hypothesis (BF</w:t>
      </w:r>
      <w:r w:rsidRPr="002A3B81">
        <w:rPr>
          <w:rFonts w:asciiTheme="majorBidi" w:hAnsiTheme="majorBidi" w:cstheme="majorBidi"/>
          <w:vertAlign w:val="subscript"/>
        </w:rPr>
        <w:t>10</w:t>
      </w:r>
      <w:r w:rsidRPr="002A3B81">
        <w:rPr>
          <w:rFonts w:asciiTheme="majorBidi" w:hAnsiTheme="majorBidi" w:cstheme="majorBidi"/>
        </w:rPr>
        <w:t xml:space="preserve"> = 4.18). There was no significant interaction between trial wording and trial difficulty, </w:t>
      </w:r>
      <w:proofErr w:type="gramStart"/>
      <w:r w:rsidRPr="002A3B81">
        <w:rPr>
          <w:rFonts w:asciiTheme="majorBidi" w:hAnsiTheme="majorBidi" w:cstheme="majorBidi"/>
          <w:i/>
          <w:iCs/>
        </w:rPr>
        <w:t>F</w:t>
      </w:r>
      <w:r w:rsidRPr="002A3B81">
        <w:rPr>
          <w:rFonts w:asciiTheme="majorBidi" w:hAnsiTheme="majorBidi" w:cstheme="majorBidi"/>
        </w:rPr>
        <w:t>(</w:t>
      </w:r>
      <w:proofErr w:type="gramEnd"/>
      <w:r w:rsidRPr="002A3B81">
        <w:rPr>
          <w:rFonts w:asciiTheme="majorBidi" w:hAnsiTheme="majorBidi" w:cstheme="majorBidi"/>
        </w:rPr>
        <w:t xml:space="preserve">3.04, 176.53) = 1.15, </w:t>
      </w:r>
      <w:r w:rsidRPr="002A3B81">
        <w:rPr>
          <w:rFonts w:asciiTheme="majorBidi" w:hAnsiTheme="majorBidi" w:cstheme="majorBidi"/>
          <w:i/>
          <w:iCs/>
        </w:rPr>
        <w:t>p</w:t>
      </w:r>
      <w:r w:rsidRPr="002A3B81">
        <w:rPr>
          <w:rFonts w:asciiTheme="majorBidi" w:hAnsiTheme="majorBidi" w:cstheme="majorBidi"/>
        </w:rPr>
        <w:t xml:space="preserve"> = .33, η</w:t>
      </w:r>
      <w:r w:rsidRPr="002A3B81">
        <w:rPr>
          <w:rFonts w:asciiTheme="majorBidi" w:hAnsiTheme="majorBidi" w:cstheme="majorBidi"/>
          <w:vertAlign w:val="subscript"/>
        </w:rPr>
        <w:t>p</w:t>
      </w:r>
      <w:r w:rsidRPr="002A3B81">
        <w:rPr>
          <w:rFonts w:asciiTheme="majorBidi" w:hAnsiTheme="majorBidi" w:cstheme="majorBidi"/>
          <w:vertAlign w:val="superscript"/>
        </w:rPr>
        <w:t>2</w:t>
      </w:r>
      <w:r w:rsidRPr="002A3B81">
        <w:rPr>
          <w:rFonts w:asciiTheme="majorBidi" w:hAnsiTheme="majorBidi" w:cstheme="majorBidi"/>
        </w:rPr>
        <w:t xml:space="preserve"> = .02, with the Bayes factor indicating strong evidence in favour of the null hypothesis (BF</w:t>
      </w:r>
      <w:r w:rsidRPr="002A3B81">
        <w:rPr>
          <w:rFonts w:asciiTheme="majorBidi" w:hAnsiTheme="majorBidi" w:cstheme="majorBidi"/>
          <w:vertAlign w:val="subscript"/>
        </w:rPr>
        <w:t>10</w:t>
      </w:r>
      <w:r w:rsidRPr="002A3B81">
        <w:rPr>
          <w:rFonts w:asciiTheme="majorBidi" w:hAnsiTheme="majorBidi" w:cstheme="majorBidi"/>
        </w:rPr>
        <w:t xml:space="preserve"> = .02).</w:t>
      </w:r>
    </w:p>
    <w:p w14:paraId="53BDDBFD" w14:textId="77777777" w:rsidR="002A3B81" w:rsidRPr="002A3B81" w:rsidRDefault="002A3B81" w:rsidP="002A3B81">
      <w:pPr>
        <w:pStyle w:val="NoSpacing"/>
        <w:spacing w:line="480" w:lineRule="auto"/>
        <w:rPr>
          <w:rFonts w:asciiTheme="majorBidi" w:hAnsiTheme="majorBidi" w:cstheme="majorBidi"/>
        </w:rPr>
      </w:pPr>
    </w:p>
    <w:p w14:paraId="0D8B7075" w14:textId="26F9B560" w:rsidR="00FD2616" w:rsidRDefault="002A3B81" w:rsidP="002A3B81">
      <w:pPr>
        <w:pStyle w:val="NoSpacing"/>
        <w:spacing w:line="480" w:lineRule="auto"/>
        <w:rPr>
          <w:rFonts w:asciiTheme="majorBidi" w:hAnsiTheme="majorBidi" w:cstheme="majorBidi"/>
          <w:b/>
          <w:bCs/>
        </w:rPr>
      </w:pPr>
      <w:r w:rsidRPr="002A3B81">
        <w:rPr>
          <w:rFonts w:asciiTheme="majorBidi" w:hAnsiTheme="majorBidi" w:cstheme="majorBidi"/>
          <w:b/>
          <w:bCs/>
        </w:rPr>
        <w:lastRenderedPageBreak/>
        <w:t>Figure S3.</w:t>
      </w:r>
      <w:r w:rsidR="00FD2616">
        <w:rPr>
          <w:rFonts w:asciiTheme="majorBidi" w:hAnsiTheme="majorBidi" w:cstheme="majorBidi"/>
          <w:b/>
          <w:bCs/>
        </w:rPr>
        <w:t>5</w:t>
      </w:r>
    </w:p>
    <w:p w14:paraId="35AD66AE" w14:textId="3965F499" w:rsidR="002A3B81" w:rsidRPr="002A3B81" w:rsidRDefault="002A3B81" w:rsidP="002A3B81">
      <w:pPr>
        <w:pStyle w:val="NoSpacing"/>
        <w:spacing w:line="480" w:lineRule="auto"/>
        <w:rPr>
          <w:rFonts w:asciiTheme="majorBidi" w:hAnsiTheme="majorBidi" w:cstheme="majorBidi"/>
          <w:i/>
          <w:iCs/>
        </w:rPr>
      </w:pPr>
      <w:r w:rsidRPr="002A3B81">
        <w:rPr>
          <w:rFonts w:asciiTheme="majorBidi" w:hAnsiTheme="majorBidi" w:cstheme="majorBidi"/>
          <w:i/>
          <w:iCs/>
        </w:rPr>
        <w:t>Mean evidence accumulation (EA) rates split by trial difficulty and trial wording</w:t>
      </w:r>
    </w:p>
    <w:p w14:paraId="5848FF05"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noProof/>
        </w:rPr>
        <w:drawing>
          <wp:anchor distT="0" distB="0" distL="114300" distR="114300" simplePos="0" relativeHeight="251661312" behindDoc="0" locked="0" layoutInCell="1" allowOverlap="1" wp14:anchorId="4B23C620" wp14:editId="367498C9">
            <wp:simplePos x="0" y="0"/>
            <wp:positionH relativeFrom="column">
              <wp:posOffset>352425</wp:posOffset>
            </wp:positionH>
            <wp:positionV relativeFrom="paragraph">
              <wp:posOffset>635</wp:posOffset>
            </wp:positionV>
            <wp:extent cx="5029835" cy="3200400"/>
            <wp:effectExtent l="0" t="0" r="0" b="0"/>
            <wp:wrapSquare wrapText="bothSides"/>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89"/>
                    <a:stretch>
                      <a:fillRect/>
                    </a:stretch>
                  </pic:blipFill>
                  <pic:spPr bwMode="auto">
                    <a:xfrm>
                      <a:off x="0" y="0"/>
                      <a:ext cx="5029835" cy="3200400"/>
                    </a:xfrm>
                    <a:prstGeom prst="rect">
                      <a:avLst/>
                    </a:prstGeom>
                  </pic:spPr>
                </pic:pic>
              </a:graphicData>
            </a:graphic>
          </wp:anchor>
        </w:drawing>
      </w:r>
    </w:p>
    <w:p w14:paraId="036C4C8B" w14:textId="77777777" w:rsidR="002A3B81" w:rsidRPr="002A3B81" w:rsidRDefault="002A3B81" w:rsidP="002A3B81">
      <w:pPr>
        <w:pStyle w:val="NoSpacing"/>
        <w:spacing w:line="480" w:lineRule="auto"/>
        <w:rPr>
          <w:rFonts w:asciiTheme="majorBidi" w:hAnsiTheme="majorBidi" w:cstheme="majorBidi"/>
        </w:rPr>
      </w:pPr>
    </w:p>
    <w:p w14:paraId="6CC12F49" w14:textId="77777777" w:rsidR="002A3B81" w:rsidRPr="002A3B81" w:rsidRDefault="002A3B81" w:rsidP="002A3B81">
      <w:pPr>
        <w:pStyle w:val="NoSpacing"/>
        <w:spacing w:line="480" w:lineRule="auto"/>
        <w:rPr>
          <w:rFonts w:asciiTheme="majorBidi" w:hAnsiTheme="majorBidi" w:cstheme="majorBidi"/>
        </w:rPr>
      </w:pPr>
    </w:p>
    <w:p w14:paraId="4A3FE59A" w14:textId="77777777" w:rsidR="002A3B81" w:rsidRPr="002A3B81" w:rsidRDefault="002A3B81" w:rsidP="002A3B81">
      <w:pPr>
        <w:pStyle w:val="NoSpacing"/>
        <w:spacing w:line="480" w:lineRule="auto"/>
        <w:rPr>
          <w:rFonts w:asciiTheme="majorBidi" w:hAnsiTheme="majorBidi" w:cstheme="majorBidi"/>
        </w:rPr>
      </w:pPr>
    </w:p>
    <w:p w14:paraId="105815F2" w14:textId="77777777" w:rsidR="002A3B81" w:rsidRPr="002A3B81" w:rsidRDefault="002A3B81" w:rsidP="002A3B81">
      <w:pPr>
        <w:pStyle w:val="NoSpacing"/>
        <w:spacing w:line="480" w:lineRule="auto"/>
        <w:rPr>
          <w:rFonts w:asciiTheme="majorBidi" w:hAnsiTheme="majorBidi" w:cstheme="majorBidi"/>
        </w:rPr>
      </w:pPr>
    </w:p>
    <w:p w14:paraId="1E4EA5F4" w14:textId="77777777" w:rsidR="002A3B81" w:rsidRPr="002A3B81" w:rsidRDefault="002A3B81" w:rsidP="002A3B81">
      <w:pPr>
        <w:pStyle w:val="NoSpacing"/>
        <w:spacing w:line="480" w:lineRule="auto"/>
        <w:rPr>
          <w:rFonts w:asciiTheme="majorBidi" w:hAnsiTheme="majorBidi" w:cstheme="majorBidi"/>
        </w:rPr>
      </w:pPr>
    </w:p>
    <w:p w14:paraId="4A414E97" w14:textId="77777777" w:rsidR="002A3B81" w:rsidRPr="002A3B81" w:rsidRDefault="002A3B81" w:rsidP="002A3B81">
      <w:pPr>
        <w:pStyle w:val="NoSpacing"/>
        <w:spacing w:line="480" w:lineRule="auto"/>
        <w:rPr>
          <w:rFonts w:asciiTheme="majorBidi" w:hAnsiTheme="majorBidi" w:cstheme="majorBidi"/>
        </w:rPr>
      </w:pPr>
    </w:p>
    <w:p w14:paraId="4670E599" w14:textId="77777777" w:rsidR="002A3B81" w:rsidRPr="002A3B81" w:rsidRDefault="002A3B81" w:rsidP="002A3B81">
      <w:pPr>
        <w:pStyle w:val="NoSpacing"/>
        <w:spacing w:line="480" w:lineRule="auto"/>
        <w:rPr>
          <w:rFonts w:asciiTheme="majorBidi" w:hAnsiTheme="majorBidi" w:cstheme="majorBidi"/>
        </w:rPr>
      </w:pPr>
    </w:p>
    <w:p w14:paraId="74250A40" w14:textId="77777777" w:rsidR="002A3B81" w:rsidRPr="002A3B81" w:rsidRDefault="002A3B81" w:rsidP="002A3B81">
      <w:pPr>
        <w:pStyle w:val="NoSpacing"/>
        <w:spacing w:line="480" w:lineRule="auto"/>
        <w:rPr>
          <w:rFonts w:asciiTheme="majorBidi" w:hAnsiTheme="majorBidi" w:cstheme="majorBidi"/>
        </w:rPr>
      </w:pPr>
    </w:p>
    <w:p w14:paraId="4C073A20"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i/>
          <w:iCs/>
        </w:rPr>
        <w:t>Note.</w:t>
      </w:r>
      <w:r w:rsidRPr="002A3B81">
        <w:rPr>
          <w:rFonts w:asciiTheme="majorBidi" w:hAnsiTheme="majorBidi" w:cstheme="majorBidi"/>
        </w:rPr>
        <w:t xml:space="preserve"> Light blue (circle) represents EA rates with the wording “which would you rather consume”, orange (triangle) represents EA rates with the wording “which do you like more”, and dark blue (square) represents EA rates with the wording “which did you rate higher”. Error bars represent the standard error of the mean (SE).</w:t>
      </w:r>
    </w:p>
    <w:p w14:paraId="4C4DC7A6" w14:textId="77777777" w:rsidR="002A3B81" w:rsidRPr="002A3B81" w:rsidRDefault="002A3B81" w:rsidP="002A3B81">
      <w:pPr>
        <w:pStyle w:val="NoSpacing"/>
        <w:spacing w:line="480" w:lineRule="auto"/>
        <w:rPr>
          <w:rFonts w:asciiTheme="majorBidi" w:hAnsiTheme="majorBidi" w:cstheme="majorBidi"/>
        </w:rPr>
      </w:pPr>
    </w:p>
    <w:p w14:paraId="5EF105F7"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Post-hoc tests for the significant main effect of difficulty (applying the Holm-Bonferroni correction to</w:t>
      </w:r>
      <w:r w:rsidRPr="002A3B81">
        <w:rPr>
          <w:rFonts w:asciiTheme="majorBidi" w:hAnsiTheme="majorBidi" w:cstheme="majorBidi"/>
          <w:i/>
          <w:iCs/>
        </w:rPr>
        <w:t xml:space="preserve"> p</w:t>
      </w:r>
      <w:r w:rsidRPr="002A3B81">
        <w:rPr>
          <w:rFonts w:asciiTheme="majorBidi" w:hAnsiTheme="majorBidi" w:cstheme="majorBidi"/>
        </w:rPr>
        <w:t xml:space="preserve">-values for multiple comparison) revealed that EA rates were significantly increased in easy (M = 2.66, SD = .89) compared to medium (M = 1.97, SD = .74; </w:t>
      </w:r>
      <w:r w:rsidRPr="002A3B81">
        <w:rPr>
          <w:rFonts w:asciiTheme="majorBidi" w:hAnsiTheme="majorBidi" w:cstheme="majorBidi"/>
          <w:i/>
          <w:iCs/>
        </w:rPr>
        <w:t>p</w:t>
      </w:r>
      <w:r w:rsidRPr="002A3B81">
        <w:rPr>
          <w:rFonts w:asciiTheme="majorBidi" w:hAnsiTheme="majorBidi" w:cstheme="majorBidi"/>
        </w:rPr>
        <w:t xml:space="preserve"> &lt; .001) and difficult (M = 1.18, SD = .52; </w:t>
      </w:r>
      <w:r w:rsidRPr="002A3B81">
        <w:rPr>
          <w:rFonts w:asciiTheme="majorBidi" w:hAnsiTheme="majorBidi" w:cstheme="majorBidi"/>
          <w:i/>
          <w:iCs/>
        </w:rPr>
        <w:t>p</w:t>
      </w:r>
      <w:r w:rsidRPr="002A3B81">
        <w:rPr>
          <w:rFonts w:asciiTheme="majorBidi" w:hAnsiTheme="majorBidi" w:cstheme="majorBidi"/>
        </w:rPr>
        <w:t xml:space="preserve"> &lt; .001) trials. EA rates on medium trials were significantly increased compared to difficult trials (</w:t>
      </w:r>
      <w:r w:rsidRPr="002A3B81">
        <w:rPr>
          <w:rFonts w:asciiTheme="majorBidi" w:hAnsiTheme="majorBidi" w:cstheme="majorBidi"/>
          <w:i/>
          <w:iCs/>
        </w:rPr>
        <w:t>p</w:t>
      </w:r>
      <w:r w:rsidRPr="002A3B81">
        <w:rPr>
          <w:rFonts w:asciiTheme="majorBidi" w:hAnsiTheme="majorBidi" w:cstheme="majorBidi"/>
        </w:rPr>
        <w:t xml:space="preserve"> &lt; .001). Post-hoc tests for the significant main effect of trial wording revealed that EA rates were significantly decreased in the “like” wording condition (M = 1.78, SD = .95) compared to in the “consume” wording condition (M = 1.98, SD = .98; </w:t>
      </w:r>
      <w:r w:rsidRPr="002A3B81">
        <w:rPr>
          <w:rFonts w:asciiTheme="majorBidi" w:hAnsiTheme="majorBidi" w:cstheme="majorBidi"/>
          <w:i/>
          <w:iCs/>
        </w:rPr>
        <w:t>p</w:t>
      </w:r>
      <w:r w:rsidRPr="002A3B81">
        <w:rPr>
          <w:rFonts w:asciiTheme="majorBidi" w:hAnsiTheme="majorBidi" w:cstheme="majorBidi"/>
        </w:rPr>
        <w:t xml:space="preserve"> = .02) and in the “recall” wording condition (M = 2.06, SD = .91;</w:t>
      </w:r>
      <w:r w:rsidRPr="002A3B81">
        <w:rPr>
          <w:rFonts w:asciiTheme="majorBidi" w:hAnsiTheme="majorBidi" w:cstheme="majorBidi"/>
          <w:i/>
          <w:iCs/>
        </w:rPr>
        <w:t xml:space="preserve"> p</w:t>
      </w:r>
      <w:r w:rsidRPr="002A3B81">
        <w:rPr>
          <w:rFonts w:asciiTheme="majorBidi" w:hAnsiTheme="majorBidi" w:cstheme="majorBidi"/>
        </w:rPr>
        <w:t xml:space="preserve"> = </w:t>
      </w:r>
      <w:r w:rsidRPr="002A3B81">
        <w:rPr>
          <w:rFonts w:asciiTheme="majorBidi" w:hAnsiTheme="majorBidi" w:cstheme="majorBidi"/>
        </w:rPr>
        <w:lastRenderedPageBreak/>
        <w:t>.001).  There were no differences between EA rates in the “consume” and “recall” wording conditions (</w:t>
      </w:r>
      <w:r w:rsidRPr="002A3B81">
        <w:rPr>
          <w:rFonts w:asciiTheme="majorBidi" w:hAnsiTheme="majorBidi" w:cstheme="majorBidi"/>
          <w:i/>
          <w:iCs/>
        </w:rPr>
        <w:t xml:space="preserve">p </w:t>
      </w:r>
      <w:r w:rsidRPr="002A3B81">
        <w:rPr>
          <w:rFonts w:asciiTheme="majorBidi" w:hAnsiTheme="majorBidi" w:cstheme="majorBidi"/>
        </w:rPr>
        <w:t>= .30).</w:t>
      </w:r>
    </w:p>
    <w:p w14:paraId="5F7ECCB0" w14:textId="77777777" w:rsidR="002A3B81" w:rsidRPr="002A3B81" w:rsidRDefault="002A3B81" w:rsidP="002A3B81">
      <w:pPr>
        <w:pStyle w:val="NoSpacing"/>
        <w:spacing w:line="480" w:lineRule="auto"/>
        <w:rPr>
          <w:rFonts w:asciiTheme="majorBidi" w:hAnsiTheme="majorBidi" w:cstheme="majorBidi"/>
        </w:rPr>
      </w:pPr>
    </w:p>
    <w:p w14:paraId="1E7F74B9"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 xml:space="preserve">We conducted Pearson's correlation coefficient analyses to explore the direction, strength, and significance of the relationships between EA rates across the different trial wording blocks. There were highly significant positive correlations between EA rates in all three blocks (all </w:t>
      </w:r>
      <w:proofErr w:type="spellStart"/>
      <w:r w:rsidRPr="002A3B81">
        <w:rPr>
          <w:rFonts w:asciiTheme="majorBidi" w:hAnsiTheme="majorBidi" w:cstheme="majorBidi"/>
          <w:i/>
          <w:iCs/>
        </w:rPr>
        <w:t>p</w:t>
      </w:r>
      <w:r w:rsidRPr="002A3B81">
        <w:rPr>
          <w:rFonts w:asciiTheme="majorBidi" w:hAnsiTheme="majorBidi" w:cstheme="majorBidi"/>
        </w:rPr>
        <w:t>s</w:t>
      </w:r>
      <w:proofErr w:type="spellEnd"/>
      <w:r w:rsidRPr="002A3B81">
        <w:rPr>
          <w:rFonts w:asciiTheme="majorBidi" w:hAnsiTheme="majorBidi" w:cstheme="majorBidi"/>
        </w:rPr>
        <w:t xml:space="preserve"> &lt; .001; consume and recall wording, </w:t>
      </w:r>
      <w:proofErr w:type="gramStart"/>
      <w:r w:rsidRPr="002A3B81">
        <w:rPr>
          <w:rFonts w:asciiTheme="majorBidi" w:hAnsiTheme="majorBidi" w:cstheme="majorBidi"/>
          <w:i/>
          <w:iCs/>
        </w:rPr>
        <w:t>r</w:t>
      </w:r>
      <w:r w:rsidRPr="002A3B81">
        <w:rPr>
          <w:rFonts w:asciiTheme="majorBidi" w:hAnsiTheme="majorBidi" w:cstheme="majorBidi"/>
        </w:rPr>
        <w:t>(</w:t>
      </w:r>
      <w:proofErr w:type="gramEnd"/>
      <w:r w:rsidRPr="002A3B81">
        <w:rPr>
          <w:rFonts w:asciiTheme="majorBidi" w:hAnsiTheme="majorBidi" w:cstheme="majorBidi"/>
        </w:rPr>
        <w:t xml:space="preserve">57) = .73, </w:t>
      </w:r>
      <w:r w:rsidRPr="002A3B81">
        <w:rPr>
          <w:rFonts w:asciiTheme="majorBidi" w:hAnsiTheme="majorBidi" w:cstheme="majorBidi"/>
          <w:i/>
          <w:iCs/>
        </w:rPr>
        <w:t>p</w:t>
      </w:r>
      <w:r w:rsidRPr="002A3B81">
        <w:rPr>
          <w:rFonts w:asciiTheme="majorBidi" w:hAnsiTheme="majorBidi" w:cstheme="majorBidi"/>
        </w:rPr>
        <w:t xml:space="preserve"> &lt; .001; consume and like wording, </w:t>
      </w:r>
      <w:r w:rsidRPr="002A3B81">
        <w:rPr>
          <w:rFonts w:asciiTheme="majorBidi" w:hAnsiTheme="majorBidi" w:cstheme="majorBidi"/>
          <w:i/>
          <w:iCs/>
        </w:rPr>
        <w:t>r</w:t>
      </w:r>
      <w:r w:rsidRPr="002A3B81">
        <w:rPr>
          <w:rFonts w:asciiTheme="majorBidi" w:hAnsiTheme="majorBidi" w:cstheme="majorBidi"/>
        </w:rPr>
        <w:t xml:space="preserve">(57) = .49, </w:t>
      </w:r>
      <w:r w:rsidRPr="002A3B81">
        <w:rPr>
          <w:rFonts w:asciiTheme="majorBidi" w:hAnsiTheme="majorBidi" w:cstheme="majorBidi"/>
          <w:i/>
          <w:iCs/>
        </w:rPr>
        <w:t>p</w:t>
      </w:r>
      <w:r w:rsidRPr="002A3B81">
        <w:rPr>
          <w:rFonts w:asciiTheme="majorBidi" w:hAnsiTheme="majorBidi" w:cstheme="majorBidi"/>
        </w:rPr>
        <w:t xml:space="preserve"> &lt; .001; recall and like wording, </w:t>
      </w:r>
      <w:r w:rsidRPr="002A3B81">
        <w:rPr>
          <w:rFonts w:asciiTheme="majorBidi" w:hAnsiTheme="majorBidi" w:cstheme="majorBidi"/>
          <w:i/>
          <w:iCs/>
        </w:rPr>
        <w:t>r</w:t>
      </w:r>
      <w:r w:rsidRPr="002A3B81">
        <w:rPr>
          <w:rFonts w:asciiTheme="majorBidi" w:hAnsiTheme="majorBidi" w:cstheme="majorBidi"/>
        </w:rPr>
        <w:t xml:space="preserve">(57) = .58, </w:t>
      </w:r>
      <w:r w:rsidRPr="002A3B81">
        <w:rPr>
          <w:rFonts w:asciiTheme="majorBidi" w:hAnsiTheme="majorBidi" w:cstheme="majorBidi"/>
          <w:i/>
          <w:iCs/>
        </w:rPr>
        <w:t>p</w:t>
      </w:r>
      <w:r w:rsidRPr="002A3B81">
        <w:rPr>
          <w:rFonts w:asciiTheme="majorBidi" w:hAnsiTheme="majorBidi" w:cstheme="majorBidi"/>
        </w:rPr>
        <w:t xml:space="preserve"> &lt; .001).</w:t>
      </w:r>
    </w:p>
    <w:p w14:paraId="1AADAF8E" w14:textId="77777777" w:rsidR="002A3B81" w:rsidRPr="002A3B81" w:rsidRDefault="002A3B81" w:rsidP="002A3B81">
      <w:pPr>
        <w:pStyle w:val="NoSpacing"/>
        <w:spacing w:line="480" w:lineRule="auto"/>
        <w:rPr>
          <w:rFonts w:asciiTheme="majorBidi" w:hAnsiTheme="majorBidi" w:cstheme="majorBidi"/>
        </w:rPr>
      </w:pPr>
    </w:p>
    <w:p w14:paraId="558779DE" w14:textId="77777777" w:rsidR="00FD2616" w:rsidRDefault="002A3B81" w:rsidP="002A3B81">
      <w:pPr>
        <w:pStyle w:val="NoSpacing"/>
        <w:spacing w:line="480" w:lineRule="auto"/>
        <w:rPr>
          <w:rFonts w:asciiTheme="majorBidi" w:hAnsiTheme="majorBidi" w:cstheme="majorBidi"/>
          <w:b/>
          <w:bCs/>
        </w:rPr>
      </w:pPr>
      <w:r w:rsidRPr="002A3B81">
        <w:rPr>
          <w:rFonts w:asciiTheme="majorBidi" w:hAnsiTheme="majorBidi" w:cstheme="majorBidi"/>
          <w:b/>
          <w:bCs/>
        </w:rPr>
        <w:t>Figure S3.</w:t>
      </w:r>
      <w:r w:rsidR="00FD2616">
        <w:rPr>
          <w:rFonts w:asciiTheme="majorBidi" w:hAnsiTheme="majorBidi" w:cstheme="majorBidi"/>
          <w:b/>
          <w:bCs/>
        </w:rPr>
        <w:t>6</w:t>
      </w:r>
    </w:p>
    <w:p w14:paraId="1434A5F8" w14:textId="495B0AF2" w:rsidR="002A3B81" w:rsidRPr="002A3B81" w:rsidRDefault="002A3B81" w:rsidP="002A3B81">
      <w:pPr>
        <w:pStyle w:val="NoSpacing"/>
        <w:spacing w:line="480" w:lineRule="auto"/>
        <w:rPr>
          <w:rFonts w:asciiTheme="majorBidi" w:hAnsiTheme="majorBidi" w:cstheme="majorBidi"/>
          <w:i/>
          <w:iCs/>
        </w:rPr>
      </w:pPr>
      <w:r w:rsidRPr="002A3B81">
        <w:rPr>
          <w:rFonts w:asciiTheme="majorBidi" w:hAnsiTheme="majorBidi" w:cstheme="majorBidi"/>
          <w:i/>
          <w:iCs/>
        </w:rPr>
        <w:t>Scatterplots to show correlations between EA rates during the three blocks of trials</w:t>
      </w:r>
    </w:p>
    <w:p w14:paraId="42CFC43B" w14:textId="77777777" w:rsidR="002A3B81" w:rsidRPr="002A3B81" w:rsidRDefault="002A3B81" w:rsidP="00FD2616">
      <w:pPr>
        <w:pStyle w:val="NoSpacing"/>
        <w:spacing w:line="480" w:lineRule="auto"/>
        <w:jc w:val="center"/>
        <w:rPr>
          <w:rFonts w:asciiTheme="majorBidi" w:hAnsiTheme="majorBidi" w:cstheme="majorBidi"/>
        </w:rPr>
      </w:pPr>
      <w:r w:rsidRPr="002A3B81">
        <w:rPr>
          <w:rFonts w:asciiTheme="majorBidi" w:hAnsiTheme="majorBidi" w:cstheme="majorBidi"/>
          <w:noProof/>
        </w:rPr>
        <w:drawing>
          <wp:inline distT="0" distB="0" distL="0" distR="0" wp14:anchorId="321624B9" wp14:editId="168B8E8C">
            <wp:extent cx="5731510" cy="1895475"/>
            <wp:effectExtent l="0" t="0" r="0" b="0"/>
            <wp:docPr id="50"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Chart, scatter chart&#10;&#10;Description automatically generated"/>
                    <pic:cNvPicPr>
                      <a:picLocks noChangeAspect="1" noChangeArrowheads="1"/>
                    </pic:cNvPicPr>
                  </pic:nvPicPr>
                  <pic:blipFill>
                    <a:blip r:embed="rId90"/>
                    <a:srcRect b="51643"/>
                    <a:stretch>
                      <a:fillRect/>
                    </a:stretch>
                  </pic:blipFill>
                  <pic:spPr bwMode="auto">
                    <a:xfrm>
                      <a:off x="0" y="0"/>
                      <a:ext cx="5731510" cy="1895475"/>
                    </a:xfrm>
                    <a:prstGeom prst="rect">
                      <a:avLst/>
                    </a:prstGeom>
                  </pic:spPr>
                </pic:pic>
              </a:graphicData>
            </a:graphic>
          </wp:inline>
        </w:drawing>
      </w:r>
    </w:p>
    <w:p w14:paraId="37A7DA8F"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i/>
          <w:iCs/>
        </w:rPr>
        <w:t>Note.</w:t>
      </w:r>
      <w:r w:rsidRPr="002A3B81">
        <w:rPr>
          <w:rFonts w:asciiTheme="majorBidi" w:hAnsiTheme="majorBidi" w:cstheme="majorBidi"/>
        </w:rPr>
        <w:t xml:space="preserve"> On the left is the correlation between EA rates during the block of trials with “which would you rather consume” and the block of trials with “which did you rate higher”. In the middle is the correlation between EA rates during the block of trials with “which would you rather consume” and the block of trials with “which do you like more”. On the right is the correlation between EA rates during the block of trials with “which did you rate higher” and the block of trials with “which do you like more”.  The grey dashed line represents the line of equality. Shaded areas represent the 95% confidence interval.</w:t>
      </w:r>
    </w:p>
    <w:p w14:paraId="3D787298" w14:textId="77777777" w:rsidR="002A3B81" w:rsidRPr="002A3B81" w:rsidRDefault="002A3B81" w:rsidP="002A3B81">
      <w:pPr>
        <w:pStyle w:val="NoSpacing"/>
        <w:spacing w:line="480" w:lineRule="auto"/>
        <w:rPr>
          <w:rFonts w:asciiTheme="majorBidi" w:hAnsiTheme="majorBidi" w:cstheme="majorBidi"/>
        </w:rPr>
      </w:pPr>
    </w:p>
    <w:p w14:paraId="50D11878"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lastRenderedPageBreak/>
        <w:t xml:space="preserve">Overall, the only difference from the analysis presented in the manuscript and the analysis presented here is that the non-significant (albeit marginal at </w:t>
      </w:r>
      <w:r w:rsidRPr="002A3B81">
        <w:rPr>
          <w:rFonts w:asciiTheme="majorBidi" w:hAnsiTheme="majorBidi" w:cstheme="majorBidi"/>
          <w:i/>
          <w:iCs/>
        </w:rPr>
        <w:t>p</w:t>
      </w:r>
      <w:r w:rsidRPr="002A3B81">
        <w:rPr>
          <w:rFonts w:asciiTheme="majorBidi" w:hAnsiTheme="majorBidi" w:cstheme="majorBidi"/>
        </w:rPr>
        <w:t xml:space="preserve"> = .06) main effect of trial wording on EA rates is now statistically significant. This difference supports the conclusion that the variations of trial wordings are viable alternatives, but not that they are identical substitutes. The core reason for this is that differences in drift due to condition are equivalent across variations in trial wording (as reflected by the non-significant interaction effect). The implication of these findings is that although variations of trial wording are not necessarily identical, they are still valid and sensitive alternatives for capturing value-based choice in instances whereby it is necessary to alter trial wording.</w:t>
      </w:r>
    </w:p>
    <w:p w14:paraId="00A498FA" w14:textId="77777777" w:rsidR="002A3B81" w:rsidRPr="002A3B81" w:rsidRDefault="002A3B81" w:rsidP="002A3B81">
      <w:pPr>
        <w:pStyle w:val="NoSpacing"/>
        <w:spacing w:line="480" w:lineRule="auto"/>
        <w:rPr>
          <w:rFonts w:asciiTheme="majorBidi" w:hAnsiTheme="majorBidi" w:cstheme="majorBidi"/>
        </w:rPr>
      </w:pPr>
    </w:p>
    <w:p w14:paraId="458D5914" w14:textId="77777777" w:rsidR="002A3B81" w:rsidRPr="002A3B81" w:rsidRDefault="002A3B81" w:rsidP="002A3B81">
      <w:pPr>
        <w:pStyle w:val="NoSpacing"/>
        <w:spacing w:line="480" w:lineRule="auto"/>
        <w:rPr>
          <w:rFonts w:asciiTheme="majorBidi" w:hAnsiTheme="majorBidi" w:cstheme="majorBidi"/>
          <w:u w:val="single"/>
        </w:rPr>
      </w:pPr>
      <w:r w:rsidRPr="002A3B81">
        <w:rPr>
          <w:rFonts w:asciiTheme="majorBidi" w:hAnsiTheme="majorBidi" w:cstheme="majorBidi"/>
          <w:u w:val="single"/>
        </w:rPr>
        <w:t>Response thresholds (analyses not pre-registered)</w:t>
      </w:r>
    </w:p>
    <w:p w14:paraId="5A9F3F30"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As response thresholds are fixed across trial difficulty level, a one-way repeated measures ANOVA was conducted to explore whether there are any differences across trial wording conditions. There was a main effect of trial wording condition on response thresholds (</w:t>
      </w:r>
      <w:proofErr w:type="gramStart"/>
      <w:r w:rsidRPr="002A3B81">
        <w:rPr>
          <w:rFonts w:asciiTheme="majorBidi" w:hAnsiTheme="majorBidi" w:cstheme="majorBidi"/>
          <w:i/>
          <w:iCs/>
        </w:rPr>
        <w:t>F</w:t>
      </w:r>
      <w:r w:rsidRPr="002A3B81">
        <w:rPr>
          <w:rFonts w:asciiTheme="majorBidi" w:hAnsiTheme="majorBidi" w:cstheme="majorBidi"/>
        </w:rPr>
        <w:t>(</w:t>
      </w:r>
      <w:proofErr w:type="gramEnd"/>
      <w:r w:rsidRPr="002A3B81">
        <w:rPr>
          <w:rFonts w:asciiTheme="majorBidi" w:hAnsiTheme="majorBidi" w:cstheme="majorBidi"/>
        </w:rPr>
        <w:t xml:space="preserve">2, 116) = 7.21, </w:t>
      </w:r>
      <w:r w:rsidRPr="002A3B81">
        <w:rPr>
          <w:rFonts w:asciiTheme="majorBidi" w:hAnsiTheme="majorBidi" w:cstheme="majorBidi"/>
          <w:i/>
          <w:iCs/>
        </w:rPr>
        <w:t>p</w:t>
      </w:r>
      <w:r w:rsidRPr="002A3B81">
        <w:rPr>
          <w:rFonts w:asciiTheme="majorBidi" w:hAnsiTheme="majorBidi" w:cstheme="majorBidi"/>
        </w:rPr>
        <w:t xml:space="preserve"> = .001, η</w:t>
      </w:r>
      <w:r w:rsidRPr="002A3B81">
        <w:rPr>
          <w:rFonts w:asciiTheme="majorBidi" w:hAnsiTheme="majorBidi" w:cstheme="majorBidi"/>
          <w:vertAlign w:val="subscript"/>
        </w:rPr>
        <w:t>p</w:t>
      </w:r>
      <w:r w:rsidRPr="002A3B81">
        <w:rPr>
          <w:rFonts w:asciiTheme="majorBidi" w:hAnsiTheme="majorBidi" w:cstheme="majorBidi"/>
          <w:vertAlign w:val="superscript"/>
        </w:rPr>
        <w:t>2</w:t>
      </w:r>
      <w:r w:rsidRPr="002A3B81">
        <w:rPr>
          <w:rFonts w:asciiTheme="majorBidi" w:hAnsiTheme="majorBidi" w:cstheme="majorBidi"/>
        </w:rPr>
        <w:t xml:space="preserve"> = .11) with the Bayes factor indicating </w:t>
      </w:r>
      <w:r w:rsidRPr="002A3B81">
        <w:rPr>
          <w:rFonts w:asciiTheme="majorBidi" w:hAnsiTheme="majorBidi" w:cstheme="majorBidi"/>
          <w:i/>
          <w:iCs/>
        </w:rPr>
        <w:t xml:space="preserve">strong </w:t>
      </w:r>
      <w:r w:rsidRPr="002A3B81">
        <w:rPr>
          <w:rFonts w:asciiTheme="majorBidi" w:hAnsiTheme="majorBidi" w:cstheme="majorBidi"/>
        </w:rPr>
        <w:t>evidence in favour of the experimental hypothesis (BF</w:t>
      </w:r>
      <w:r w:rsidRPr="002A3B81">
        <w:rPr>
          <w:rFonts w:asciiTheme="majorBidi" w:hAnsiTheme="majorBidi" w:cstheme="majorBidi"/>
          <w:vertAlign w:val="subscript"/>
        </w:rPr>
        <w:t xml:space="preserve">10 </w:t>
      </w:r>
      <w:r w:rsidRPr="002A3B81">
        <w:rPr>
          <w:rFonts w:asciiTheme="majorBidi" w:hAnsiTheme="majorBidi" w:cstheme="majorBidi"/>
        </w:rPr>
        <w:t xml:space="preserve">= 23.54). </w:t>
      </w:r>
    </w:p>
    <w:p w14:paraId="2A480176" w14:textId="77777777" w:rsidR="002A3B81" w:rsidRPr="002A3B81" w:rsidRDefault="002A3B81" w:rsidP="002A3B81">
      <w:pPr>
        <w:pStyle w:val="NoSpacing"/>
        <w:spacing w:line="480" w:lineRule="auto"/>
        <w:rPr>
          <w:rFonts w:asciiTheme="majorBidi" w:hAnsiTheme="majorBidi" w:cstheme="majorBidi"/>
        </w:rPr>
      </w:pPr>
    </w:p>
    <w:p w14:paraId="276CCA5C"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t xml:space="preserve">Post-hoc tests for the significant main effect of trial wording revealed that response thresholds in the “recall” wording condition (M = 1.90, SD = .42) were significantly higher than in the “like” wording condition (M = 1.71, SD = .35; </w:t>
      </w:r>
      <w:r w:rsidRPr="002A3B81">
        <w:rPr>
          <w:rFonts w:asciiTheme="majorBidi" w:hAnsiTheme="majorBidi" w:cstheme="majorBidi"/>
          <w:i/>
          <w:iCs/>
        </w:rPr>
        <w:t>p</w:t>
      </w:r>
      <w:r w:rsidRPr="002A3B81">
        <w:rPr>
          <w:rFonts w:asciiTheme="majorBidi" w:hAnsiTheme="majorBidi" w:cstheme="majorBidi"/>
        </w:rPr>
        <w:t xml:space="preserve"> &lt; .001). However, there were no significant differences in response thresholds in the “recall” wording compared to in the “consume” wording condition (M = 1.82, SD = .45; </w:t>
      </w:r>
      <w:r w:rsidRPr="002A3B81">
        <w:rPr>
          <w:rFonts w:asciiTheme="majorBidi" w:hAnsiTheme="majorBidi" w:cstheme="majorBidi"/>
          <w:i/>
          <w:iCs/>
        </w:rPr>
        <w:t>p</w:t>
      </w:r>
      <w:r w:rsidRPr="002A3B81">
        <w:rPr>
          <w:rFonts w:asciiTheme="majorBidi" w:hAnsiTheme="majorBidi" w:cstheme="majorBidi"/>
        </w:rPr>
        <w:t xml:space="preserve"> = .10), or in “consume” wording compared to the “like” wording condition (</w:t>
      </w:r>
      <w:r w:rsidRPr="002A3B81">
        <w:rPr>
          <w:rFonts w:asciiTheme="majorBidi" w:hAnsiTheme="majorBidi" w:cstheme="majorBidi"/>
          <w:i/>
          <w:iCs/>
        </w:rPr>
        <w:t>p</w:t>
      </w:r>
      <w:r w:rsidRPr="002A3B81">
        <w:rPr>
          <w:rFonts w:asciiTheme="majorBidi" w:hAnsiTheme="majorBidi" w:cstheme="majorBidi"/>
        </w:rPr>
        <w:t xml:space="preserve"> = .07)</w:t>
      </w:r>
    </w:p>
    <w:p w14:paraId="139BF1A2" w14:textId="77777777" w:rsidR="002A3B81" w:rsidRPr="002A3B81" w:rsidRDefault="002A3B81" w:rsidP="002A3B81">
      <w:pPr>
        <w:pStyle w:val="NoSpacing"/>
        <w:spacing w:line="480" w:lineRule="auto"/>
        <w:rPr>
          <w:rFonts w:asciiTheme="majorBidi" w:hAnsiTheme="majorBidi" w:cstheme="majorBidi"/>
        </w:rPr>
      </w:pPr>
    </w:p>
    <w:p w14:paraId="60918EE5" w14:textId="77777777" w:rsidR="002A3B81" w:rsidRPr="002A3B81" w:rsidRDefault="002A3B81" w:rsidP="002A3B81">
      <w:pPr>
        <w:pStyle w:val="NoSpacing"/>
        <w:spacing w:line="480" w:lineRule="auto"/>
        <w:rPr>
          <w:rFonts w:asciiTheme="majorBidi" w:hAnsiTheme="majorBidi" w:cstheme="majorBidi"/>
        </w:rPr>
      </w:pPr>
      <w:r w:rsidRPr="002A3B81">
        <w:rPr>
          <w:rFonts w:asciiTheme="majorBidi" w:hAnsiTheme="majorBidi" w:cstheme="majorBidi"/>
        </w:rPr>
        <w:lastRenderedPageBreak/>
        <w:t>This analysis reiterates that researchers should acknowledge that “recall” wording may inadvertently affect participants decision caution. However, compared to the EZ-DDM, this analysis suggests that response thresholds may be more robust to variations in trial wording because only the contrast between “recall” and “like” wording conditions was statistically significant.</w:t>
      </w:r>
    </w:p>
    <w:p w14:paraId="7B7D4981" w14:textId="77777777" w:rsidR="002A3B81" w:rsidRPr="002A3B81" w:rsidRDefault="002A3B81" w:rsidP="002A3B81">
      <w:pPr>
        <w:pStyle w:val="NoSpacing"/>
        <w:spacing w:line="480" w:lineRule="auto"/>
        <w:rPr>
          <w:rFonts w:asciiTheme="majorBidi" w:hAnsiTheme="majorBidi" w:cstheme="majorBidi"/>
        </w:rPr>
      </w:pPr>
    </w:p>
    <w:p w14:paraId="54A3663F" w14:textId="4C17F183" w:rsidR="00AA0A39" w:rsidRDefault="00AA0A39" w:rsidP="002A3B81">
      <w:pPr>
        <w:pStyle w:val="NoSpacing"/>
        <w:spacing w:line="480" w:lineRule="auto"/>
        <w:rPr>
          <w:rFonts w:asciiTheme="majorBidi" w:hAnsiTheme="majorBidi" w:cstheme="majorBidi"/>
        </w:rPr>
      </w:pPr>
    </w:p>
    <w:p w14:paraId="4D991491" w14:textId="04B6E0B0" w:rsidR="00FD2616" w:rsidRDefault="00FD2616" w:rsidP="002A3B81">
      <w:pPr>
        <w:pStyle w:val="NoSpacing"/>
        <w:spacing w:line="480" w:lineRule="auto"/>
        <w:rPr>
          <w:rFonts w:asciiTheme="majorBidi" w:hAnsiTheme="majorBidi" w:cstheme="majorBidi"/>
        </w:rPr>
      </w:pPr>
    </w:p>
    <w:p w14:paraId="76D66387" w14:textId="19B51699" w:rsidR="00FD2616" w:rsidRDefault="00FD2616" w:rsidP="002A3B81">
      <w:pPr>
        <w:pStyle w:val="NoSpacing"/>
        <w:spacing w:line="480" w:lineRule="auto"/>
        <w:rPr>
          <w:rFonts w:asciiTheme="majorBidi" w:hAnsiTheme="majorBidi" w:cstheme="majorBidi"/>
        </w:rPr>
      </w:pPr>
    </w:p>
    <w:p w14:paraId="5330BC6E" w14:textId="0FB9A16E" w:rsidR="00FD2616" w:rsidRDefault="00FD2616" w:rsidP="002A3B81">
      <w:pPr>
        <w:pStyle w:val="NoSpacing"/>
        <w:spacing w:line="480" w:lineRule="auto"/>
        <w:rPr>
          <w:rFonts w:asciiTheme="majorBidi" w:hAnsiTheme="majorBidi" w:cstheme="majorBidi"/>
        </w:rPr>
      </w:pPr>
    </w:p>
    <w:p w14:paraId="5F72A7CA" w14:textId="4C9BDE61" w:rsidR="00FD2616" w:rsidRDefault="00FD2616" w:rsidP="002A3B81">
      <w:pPr>
        <w:pStyle w:val="NoSpacing"/>
        <w:spacing w:line="480" w:lineRule="auto"/>
        <w:rPr>
          <w:rFonts w:asciiTheme="majorBidi" w:hAnsiTheme="majorBidi" w:cstheme="majorBidi"/>
        </w:rPr>
      </w:pPr>
    </w:p>
    <w:p w14:paraId="12AEFB98" w14:textId="5DF6AD37" w:rsidR="00FD2616" w:rsidRDefault="00FD2616" w:rsidP="002A3B81">
      <w:pPr>
        <w:pStyle w:val="NoSpacing"/>
        <w:spacing w:line="480" w:lineRule="auto"/>
        <w:rPr>
          <w:rFonts w:asciiTheme="majorBidi" w:hAnsiTheme="majorBidi" w:cstheme="majorBidi"/>
        </w:rPr>
      </w:pPr>
    </w:p>
    <w:p w14:paraId="5B5FFD42" w14:textId="0C83A47F" w:rsidR="00FD2616" w:rsidRDefault="00FD2616" w:rsidP="002A3B81">
      <w:pPr>
        <w:pStyle w:val="NoSpacing"/>
        <w:spacing w:line="480" w:lineRule="auto"/>
        <w:rPr>
          <w:rFonts w:asciiTheme="majorBidi" w:hAnsiTheme="majorBidi" w:cstheme="majorBidi"/>
        </w:rPr>
      </w:pPr>
    </w:p>
    <w:p w14:paraId="314A559C" w14:textId="0BC3015D" w:rsidR="00FD2616" w:rsidRDefault="00FD2616" w:rsidP="002A3B81">
      <w:pPr>
        <w:pStyle w:val="NoSpacing"/>
        <w:spacing w:line="480" w:lineRule="auto"/>
        <w:rPr>
          <w:rFonts w:asciiTheme="majorBidi" w:hAnsiTheme="majorBidi" w:cstheme="majorBidi"/>
        </w:rPr>
      </w:pPr>
    </w:p>
    <w:p w14:paraId="53180F65" w14:textId="5D1381E3" w:rsidR="00FD2616" w:rsidRDefault="00FD2616" w:rsidP="002A3B81">
      <w:pPr>
        <w:pStyle w:val="NoSpacing"/>
        <w:spacing w:line="480" w:lineRule="auto"/>
        <w:rPr>
          <w:rFonts w:asciiTheme="majorBidi" w:hAnsiTheme="majorBidi" w:cstheme="majorBidi"/>
        </w:rPr>
      </w:pPr>
    </w:p>
    <w:p w14:paraId="506AC664" w14:textId="2B49DDDE" w:rsidR="00FD2616" w:rsidRDefault="00FD2616" w:rsidP="002A3B81">
      <w:pPr>
        <w:pStyle w:val="NoSpacing"/>
        <w:spacing w:line="480" w:lineRule="auto"/>
        <w:rPr>
          <w:rFonts w:asciiTheme="majorBidi" w:hAnsiTheme="majorBidi" w:cstheme="majorBidi"/>
        </w:rPr>
      </w:pPr>
    </w:p>
    <w:p w14:paraId="4BD16AEF" w14:textId="3C003222" w:rsidR="00FD2616" w:rsidRDefault="00FD2616" w:rsidP="002A3B81">
      <w:pPr>
        <w:pStyle w:val="NoSpacing"/>
        <w:spacing w:line="480" w:lineRule="auto"/>
        <w:rPr>
          <w:rFonts w:asciiTheme="majorBidi" w:hAnsiTheme="majorBidi" w:cstheme="majorBidi"/>
        </w:rPr>
      </w:pPr>
    </w:p>
    <w:p w14:paraId="6E901DFD" w14:textId="29DB525F" w:rsidR="00FD2616" w:rsidRDefault="00FD2616" w:rsidP="002A3B81">
      <w:pPr>
        <w:pStyle w:val="NoSpacing"/>
        <w:spacing w:line="480" w:lineRule="auto"/>
        <w:rPr>
          <w:rFonts w:asciiTheme="majorBidi" w:hAnsiTheme="majorBidi" w:cstheme="majorBidi"/>
        </w:rPr>
      </w:pPr>
    </w:p>
    <w:p w14:paraId="5DF3C9DF" w14:textId="6C94552A" w:rsidR="00FD2616" w:rsidRDefault="00FD2616" w:rsidP="002A3B81">
      <w:pPr>
        <w:pStyle w:val="NoSpacing"/>
        <w:spacing w:line="480" w:lineRule="auto"/>
        <w:rPr>
          <w:rFonts w:asciiTheme="majorBidi" w:hAnsiTheme="majorBidi" w:cstheme="majorBidi"/>
        </w:rPr>
      </w:pPr>
    </w:p>
    <w:p w14:paraId="11940E58" w14:textId="77F6F09A" w:rsidR="00FD2616" w:rsidRDefault="00FD2616" w:rsidP="002A3B81">
      <w:pPr>
        <w:pStyle w:val="NoSpacing"/>
        <w:spacing w:line="480" w:lineRule="auto"/>
        <w:rPr>
          <w:rFonts w:asciiTheme="majorBidi" w:hAnsiTheme="majorBidi" w:cstheme="majorBidi"/>
        </w:rPr>
      </w:pPr>
    </w:p>
    <w:p w14:paraId="57792B58" w14:textId="5E80C248" w:rsidR="00FD2616" w:rsidRDefault="00FD2616" w:rsidP="002A3B81">
      <w:pPr>
        <w:pStyle w:val="NoSpacing"/>
        <w:spacing w:line="480" w:lineRule="auto"/>
        <w:rPr>
          <w:rFonts w:asciiTheme="majorBidi" w:hAnsiTheme="majorBidi" w:cstheme="majorBidi"/>
        </w:rPr>
      </w:pPr>
    </w:p>
    <w:p w14:paraId="0CAA32E7" w14:textId="786F8D39" w:rsidR="00FD2616" w:rsidRDefault="00FD2616" w:rsidP="002A3B81">
      <w:pPr>
        <w:pStyle w:val="NoSpacing"/>
        <w:spacing w:line="480" w:lineRule="auto"/>
        <w:rPr>
          <w:rFonts w:asciiTheme="majorBidi" w:hAnsiTheme="majorBidi" w:cstheme="majorBidi"/>
        </w:rPr>
      </w:pPr>
    </w:p>
    <w:p w14:paraId="6A89C495" w14:textId="42477227" w:rsidR="00FD2616" w:rsidRDefault="00FD2616" w:rsidP="002A3B81">
      <w:pPr>
        <w:pStyle w:val="NoSpacing"/>
        <w:spacing w:line="480" w:lineRule="auto"/>
        <w:rPr>
          <w:rFonts w:asciiTheme="majorBidi" w:hAnsiTheme="majorBidi" w:cstheme="majorBidi"/>
        </w:rPr>
      </w:pPr>
    </w:p>
    <w:p w14:paraId="49F31CD5" w14:textId="0EA5E8FB" w:rsidR="00FD2616" w:rsidRDefault="00FD2616" w:rsidP="002A3B81">
      <w:pPr>
        <w:pStyle w:val="NoSpacing"/>
        <w:spacing w:line="480" w:lineRule="auto"/>
        <w:rPr>
          <w:rFonts w:asciiTheme="majorBidi" w:hAnsiTheme="majorBidi" w:cstheme="majorBidi"/>
        </w:rPr>
      </w:pPr>
    </w:p>
    <w:p w14:paraId="0DE7913F" w14:textId="07BBC9E0" w:rsidR="00FD2616" w:rsidRDefault="00FD2616" w:rsidP="002A3B81">
      <w:pPr>
        <w:pStyle w:val="NoSpacing"/>
        <w:spacing w:line="480" w:lineRule="auto"/>
        <w:rPr>
          <w:rFonts w:asciiTheme="majorBidi" w:hAnsiTheme="majorBidi" w:cstheme="majorBidi"/>
        </w:rPr>
      </w:pPr>
    </w:p>
    <w:p w14:paraId="5A40A623" w14:textId="1618AE8A" w:rsidR="00FD2616" w:rsidRPr="00FD2616" w:rsidRDefault="00FD2616" w:rsidP="00BF475C">
      <w:pPr>
        <w:pStyle w:val="NoSpacing"/>
        <w:spacing w:line="480" w:lineRule="auto"/>
        <w:rPr>
          <w:rFonts w:asciiTheme="majorBidi" w:hAnsiTheme="majorBidi" w:cstheme="majorBidi"/>
          <w:b/>
          <w:bCs/>
        </w:rPr>
      </w:pPr>
      <w:r w:rsidRPr="00FD2616">
        <w:rPr>
          <w:rFonts w:asciiTheme="majorBidi" w:hAnsiTheme="majorBidi" w:cstheme="majorBidi"/>
          <w:b/>
          <w:bCs/>
        </w:rPr>
        <w:lastRenderedPageBreak/>
        <w:t>13. Supplementary: Reaction time (RT) and accuracy summary statistics (Table S3.3).</w:t>
      </w:r>
    </w:p>
    <w:p w14:paraId="218552CF" w14:textId="77777777" w:rsid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Table S3.3</w:t>
      </w:r>
    </w:p>
    <w:p w14:paraId="7D3285B8" w14:textId="12C69543"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i/>
          <w:iCs/>
        </w:rPr>
        <w:t>Summary statistics for reaction time and accuracy split by trial wording condition and trial difficulty level (values are means and standard deviations)</w:t>
      </w:r>
    </w:p>
    <w:tbl>
      <w:tblPr>
        <w:tblW w:w="9087" w:type="dxa"/>
        <w:tblLook w:val="04A0" w:firstRow="1" w:lastRow="0" w:firstColumn="1" w:lastColumn="0" w:noHBand="0" w:noVBand="1"/>
      </w:tblPr>
      <w:tblGrid>
        <w:gridCol w:w="2262"/>
        <w:gridCol w:w="1701"/>
        <w:gridCol w:w="1560"/>
        <w:gridCol w:w="1744"/>
        <w:gridCol w:w="1820"/>
      </w:tblGrid>
      <w:tr w:rsidR="00FD2616" w:rsidRPr="00FD2616" w14:paraId="57D25B1B" w14:textId="77777777" w:rsidTr="00BF475C">
        <w:trPr>
          <w:trHeight w:val="686"/>
        </w:trPr>
        <w:tc>
          <w:tcPr>
            <w:tcW w:w="2262" w:type="dxa"/>
            <w:tcBorders>
              <w:top w:val="single" w:sz="18" w:space="0" w:color="auto"/>
              <w:left w:val="nil"/>
              <w:bottom w:val="single" w:sz="12" w:space="0" w:color="auto"/>
              <w:right w:val="nil"/>
            </w:tcBorders>
          </w:tcPr>
          <w:p w14:paraId="1640F176" w14:textId="77777777" w:rsidR="00FD2616" w:rsidRP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Trial wording condition</w:t>
            </w:r>
          </w:p>
        </w:tc>
        <w:tc>
          <w:tcPr>
            <w:tcW w:w="1701" w:type="dxa"/>
            <w:tcBorders>
              <w:top w:val="single" w:sz="18" w:space="0" w:color="auto"/>
              <w:left w:val="nil"/>
              <w:bottom w:val="single" w:sz="12" w:space="0" w:color="auto"/>
              <w:right w:val="nil"/>
            </w:tcBorders>
          </w:tcPr>
          <w:p w14:paraId="547BFB08" w14:textId="77777777" w:rsidR="00FD2616" w:rsidRP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Easy trials</w:t>
            </w:r>
          </w:p>
        </w:tc>
        <w:tc>
          <w:tcPr>
            <w:tcW w:w="1560" w:type="dxa"/>
            <w:tcBorders>
              <w:top w:val="single" w:sz="18" w:space="0" w:color="auto"/>
              <w:left w:val="nil"/>
              <w:bottom w:val="single" w:sz="12" w:space="0" w:color="auto"/>
              <w:right w:val="nil"/>
            </w:tcBorders>
          </w:tcPr>
          <w:p w14:paraId="335A4078" w14:textId="77777777" w:rsidR="00FD2616" w:rsidRP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Medium trials</w:t>
            </w:r>
          </w:p>
        </w:tc>
        <w:tc>
          <w:tcPr>
            <w:tcW w:w="1744" w:type="dxa"/>
            <w:tcBorders>
              <w:top w:val="single" w:sz="18" w:space="0" w:color="auto"/>
              <w:left w:val="nil"/>
              <w:bottom w:val="single" w:sz="12" w:space="0" w:color="auto"/>
              <w:right w:val="nil"/>
            </w:tcBorders>
          </w:tcPr>
          <w:p w14:paraId="2867F7EA" w14:textId="77777777" w:rsidR="00FD2616" w:rsidRP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Difficult trials</w:t>
            </w:r>
          </w:p>
        </w:tc>
        <w:tc>
          <w:tcPr>
            <w:tcW w:w="1820" w:type="dxa"/>
            <w:tcBorders>
              <w:top w:val="single" w:sz="18" w:space="0" w:color="auto"/>
              <w:left w:val="nil"/>
              <w:bottom w:val="single" w:sz="12" w:space="0" w:color="auto"/>
              <w:right w:val="nil"/>
            </w:tcBorders>
          </w:tcPr>
          <w:p w14:paraId="379E87F4" w14:textId="77777777" w:rsidR="00FD2616" w:rsidRPr="00FD2616" w:rsidRDefault="00FD2616" w:rsidP="00FD2616">
            <w:pPr>
              <w:pStyle w:val="NoSpacing"/>
              <w:spacing w:line="480" w:lineRule="auto"/>
              <w:rPr>
                <w:rFonts w:asciiTheme="majorBidi" w:hAnsiTheme="majorBidi" w:cstheme="majorBidi"/>
                <w:b/>
                <w:bCs/>
              </w:rPr>
            </w:pPr>
            <w:r w:rsidRPr="00FD2616">
              <w:rPr>
                <w:rFonts w:asciiTheme="majorBidi" w:hAnsiTheme="majorBidi" w:cstheme="majorBidi"/>
                <w:b/>
                <w:bCs/>
              </w:rPr>
              <w:t>Difficulty levels averaged</w:t>
            </w:r>
          </w:p>
        </w:tc>
      </w:tr>
      <w:tr w:rsidR="00FD2616" w:rsidRPr="00FD2616" w14:paraId="0F333AE4" w14:textId="77777777" w:rsidTr="00BF475C">
        <w:trPr>
          <w:trHeight w:val="321"/>
        </w:trPr>
        <w:tc>
          <w:tcPr>
            <w:tcW w:w="2262" w:type="dxa"/>
            <w:tcBorders>
              <w:top w:val="single" w:sz="12" w:space="0" w:color="auto"/>
              <w:left w:val="nil"/>
              <w:bottom w:val="nil"/>
              <w:right w:val="nil"/>
            </w:tcBorders>
          </w:tcPr>
          <w:p w14:paraId="3BFDEEE1" w14:textId="77777777" w:rsidR="00FD2616" w:rsidRPr="00FD2616" w:rsidRDefault="00FD2616" w:rsidP="00FD2616">
            <w:pPr>
              <w:pStyle w:val="NoSpacing"/>
              <w:spacing w:line="480" w:lineRule="auto"/>
              <w:rPr>
                <w:rFonts w:asciiTheme="majorBidi" w:hAnsiTheme="majorBidi" w:cstheme="majorBidi"/>
                <w:u w:val="single"/>
              </w:rPr>
            </w:pPr>
            <w:r w:rsidRPr="00FD2616">
              <w:rPr>
                <w:rFonts w:asciiTheme="majorBidi" w:hAnsiTheme="majorBidi" w:cstheme="majorBidi"/>
                <w:u w:val="single"/>
              </w:rPr>
              <w:t>“like” condition</w:t>
            </w:r>
          </w:p>
        </w:tc>
        <w:tc>
          <w:tcPr>
            <w:tcW w:w="1701" w:type="dxa"/>
            <w:tcBorders>
              <w:top w:val="single" w:sz="12" w:space="0" w:color="auto"/>
              <w:left w:val="nil"/>
              <w:bottom w:val="nil"/>
              <w:right w:val="nil"/>
            </w:tcBorders>
          </w:tcPr>
          <w:p w14:paraId="17C1FFF0" w14:textId="77777777" w:rsidR="00FD2616" w:rsidRPr="00FD2616" w:rsidRDefault="00FD2616" w:rsidP="00FD2616">
            <w:pPr>
              <w:pStyle w:val="NoSpacing"/>
              <w:spacing w:line="480" w:lineRule="auto"/>
              <w:rPr>
                <w:rFonts w:asciiTheme="majorBidi" w:hAnsiTheme="majorBidi" w:cstheme="majorBidi"/>
              </w:rPr>
            </w:pPr>
          </w:p>
        </w:tc>
        <w:tc>
          <w:tcPr>
            <w:tcW w:w="1560" w:type="dxa"/>
            <w:tcBorders>
              <w:top w:val="single" w:sz="12" w:space="0" w:color="auto"/>
              <w:left w:val="nil"/>
              <w:bottom w:val="nil"/>
              <w:right w:val="nil"/>
            </w:tcBorders>
          </w:tcPr>
          <w:p w14:paraId="088457A2" w14:textId="77777777" w:rsidR="00FD2616" w:rsidRPr="00FD2616" w:rsidRDefault="00FD2616" w:rsidP="00FD2616">
            <w:pPr>
              <w:pStyle w:val="NoSpacing"/>
              <w:spacing w:line="480" w:lineRule="auto"/>
              <w:rPr>
                <w:rFonts w:asciiTheme="majorBidi" w:hAnsiTheme="majorBidi" w:cstheme="majorBidi"/>
              </w:rPr>
            </w:pPr>
          </w:p>
        </w:tc>
        <w:tc>
          <w:tcPr>
            <w:tcW w:w="1744" w:type="dxa"/>
            <w:tcBorders>
              <w:top w:val="single" w:sz="12" w:space="0" w:color="auto"/>
              <w:left w:val="nil"/>
              <w:bottom w:val="nil"/>
              <w:right w:val="nil"/>
            </w:tcBorders>
          </w:tcPr>
          <w:p w14:paraId="5822933A" w14:textId="77777777" w:rsidR="00FD2616" w:rsidRPr="00FD2616" w:rsidRDefault="00FD2616" w:rsidP="00FD2616">
            <w:pPr>
              <w:pStyle w:val="NoSpacing"/>
              <w:spacing w:line="480" w:lineRule="auto"/>
              <w:rPr>
                <w:rFonts w:asciiTheme="majorBidi" w:hAnsiTheme="majorBidi" w:cstheme="majorBidi"/>
              </w:rPr>
            </w:pPr>
          </w:p>
        </w:tc>
        <w:tc>
          <w:tcPr>
            <w:tcW w:w="1820" w:type="dxa"/>
            <w:tcBorders>
              <w:top w:val="single" w:sz="12" w:space="0" w:color="auto"/>
              <w:left w:val="nil"/>
              <w:bottom w:val="nil"/>
              <w:right w:val="nil"/>
            </w:tcBorders>
          </w:tcPr>
          <w:p w14:paraId="41770CCF" w14:textId="77777777" w:rsidR="00FD2616" w:rsidRPr="00FD2616" w:rsidRDefault="00FD2616" w:rsidP="00FD2616">
            <w:pPr>
              <w:pStyle w:val="NoSpacing"/>
              <w:spacing w:line="480" w:lineRule="auto"/>
              <w:rPr>
                <w:rFonts w:asciiTheme="majorBidi" w:hAnsiTheme="majorBidi" w:cstheme="majorBidi"/>
              </w:rPr>
            </w:pPr>
          </w:p>
        </w:tc>
      </w:tr>
      <w:tr w:rsidR="00FD2616" w:rsidRPr="00FD2616" w14:paraId="52613FD8" w14:textId="77777777" w:rsidTr="00BF475C">
        <w:trPr>
          <w:trHeight w:val="466"/>
        </w:trPr>
        <w:tc>
          <w:tcPr>
            <w:tcW w:w="2262" w:type="dxa"/>
            <w:tcBorders>
              <w:top w:val="nil"/>
              <w:left w:val="nil"/>
              <w:bottom w:val="nil"/>
              <w:right w:val="nil"/>
            </w:tcBorders>
          </w:tcPr>
          <w:p w14:paraId="3B670090"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Reaction time (s)</w:t>
            </w:r>
          </w:p>
        </w:tc>
        <w:tc>
          <w:tcPr>
            <w:tcW w:w="1701" w:type="dxa"/>
            <w:tcBorders>
              <w:top w:val="nil"/>
              <w:left w:val="nil"/>
              <w:bottom w:val="nil"/>
              <w:right w:val="nil"/>
            </w:tcBorders>
          </w:tcPr>
          <w:p w14:paraId="798D75F1"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.80 (.17)</w:t>
            </w:r>
          </w:p>
        </w:tc>
        <w:tc>
          <w:tcPr>
            <w:tcW w:w="1560" w:type="dxa"/>
            <w:tcBorders>
              <w:top w:val="nil"/>
              <w:left w:val="nil"/>
              <w:bottom w:val="nil"/>
              <w:right w:val="nil"/>
            </w:tcBorders>
          </w:tcPr>
          <w:p w14:paraId="42F29264"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.87 (.17)</w:t>
            </w:r>
          </w:p>
        </w:tc>
        <w:tc>
          <w:tcPr>
            <w:tcW w:w="1744" w:type="dxa"/>
            <w:tcBorders>
              <w:top w:val="nil"/>
              <w:left w:val="nil"/>
              <w:bottom w:val="nil"/>
              <w:right w:val="nil"/>
            </w:tcBorders>
          </w:tcPr>
          <w:p w14:paraId="6EE6D945"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.94 (.19)</w:t>
            </w:r>
          </w:p>
        </w:tc>
        <w:tc>
          <w:tcPr>
            <w:tcW w:w="1820" w:type="dxa"/>
            <w:tcBorders>
              <w:top w:val="nil"/>
              <w:left w:val="nil"/>
              <w:bottom w:val="nil"/>
              <w:right w:val="nil"/>
            </w:tcBorders>
          </w:tcPr>
          <w:p w14:paraId="292A2F31"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.87 (.17)</w:t>
            </w:r>
          </w:p>
        </w:tc>
      </w:tr>
      <w:tr w:rsidR="00FD2616" w:rsidRPr="00FD2616" w14:paraId="56684294" w14:textId="77777777" w:rsidTr="00BF475C">
        <w:trPr>
          <w:trHeight w:val="462"/>
        </w:trPr>
        <w:tc>
          <w:tcPr>
            <w:tcW w:w="2262" w:type="dxa"/>
            <w:tcBorders>
              <w:top w:val="nil"/>
              <w:left w:val="nil"/>
              <w:bottom w:val="nil"/>
              <w:right w:val="nil"/>
            </w:tcBorders>
          </w:tcPr>
          <w:p w14:paraId="77DB2186"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Accuracy (%)</w:t>
            </w:r>
          </w:p>
        </w:tc>
        <w:tc>
          <w:tcPr>
            <w:tcW w:w="1701" w:type="dxa"/>
            <w:tcBorders>
              <w:top w:val="nil"/>
              <w:left w:val="nil"/>
              <w:bottom w:val="nil"/>
              <w:right w:val="nil"/>
            </w:tcBorders>
          </w:tcPr>
          <w:p w14:paraId="2CA20CA3"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.97 (.06)</w:t>
            </w:r>
          </w:p>
        </w:tc>
        <w:tc>
          <w:tcPr>
            <w:tcW w:w="1560" w:type="dxa"/>
            <w:tcBorders>
              <w:top w:val="nil"/>
              <w:left w:val="nil"/>
              <w:bottom w:val="nil"/>
              <w:right w:val="nil"/>
            </w:tcBorders>
          </w:tcPr>
          <w:p w14:paraId="5FCBA5E6"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.91 (.11)</w:t>
            </w:r>
          </w:p>
        </w:tc>
        <w:tc>
          <w:tcPr>
            <w:tcW w:w="1744" w:type="dxa"/>
            <w:tcBorders>
              <w:top w:val="nil"/>
              <w:left w:val="nil"/>
              <w:bottom w:val="nil"/>
              <w:right w:val="nil"/>
            </w:tcBorders>
          </w:tcPr>
          <w:p w14:paraId="22A85CD8"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.80 (.11)</w:t>
            </w:r>
          </w:p>
        </w:tc>
        <w:tc>
          <w:tcPr>
            <w:tcW w:w="1820" w:type="dxa"/>
            <w:tcBorders>
              <w:top w:val="nil"/>
              <w:left w:val="nil"/>
              <w:bottom w:val="nil"/>
              <w:right w:val="nil"/>
            </w:tcBorders>
          </w:tcPr>
          <w:p w14:paraId="2FFEA0B6"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.89 (.08)</w:t>
            </w:r>
          </w:p>
        </w:tc>
      </w:tr>
      <w:tr w:rsidR="00FD2616" w:rsidRPr="00FD2616" w14:paraId="1A179CA8" w14:textId="77777777" w:rsidTr="00BF475C">
        <w:trPr>
          <w:trHeight w:val="337"/>
        </w:trPr>
        <w:tc>
          <w:tcPr>
            <w:tcW w:w="2262" w:type="dxa"/>
            <w:tcBorders>
              <w:top w:val="nil"/>
              <w:left w:val="nil"/>
              <w:bottom w:val="nil"/>
              <w:right w:val="nil"/>
            </w:tcBorders>
          </w:tcPr>
          <w:p w14:paraId="78CF0725" w14:textId="77777777" w:rsidR="00FD2616" w:rsidRPr="00FD2616" w:rsidRDefault="00FD2616" w:rsidP="00FD2616">
            <w:pPr>
              <w:pStyle w:val="NoSpacing"/>
              <w:spacing w:line="480" w:lineRule="auto"/>
              <w:rPr>
                <w:rFonts w:asciiTheme="majorBidi" w:hAnsiTheme="majorBidi" w:cstheme="majorBidi"/>
                <w:u w:val="single"/>
              </w:rPr>
            </w:pPr>
            <w:r w:rsidRPr="00FD2616">
              <w:rPr>
                <w:rFonts w:asciiTheme="majorBidi" w:hAnsiTheme="majorBidi" w:cstheme="majorBidi"/>
                <w:u w:val="single"/>
              </w:rPr>
              <w:t>“consume” condition</w:t>
            </w:r>
          </w:p>
        </w:tc>
        <w:tc>
          <w:tcPr>
            <w:tcW w:w="1701" w:type="dxa"/>
            <w:tcBorders>
              <w:top w:val="nil"/>
              <w:left w:val="nil"/>
              <w:bottom w:val="nil"/>
              <w:right w:val="nil"/>
            </w:tcBorders>
          </w:tcPr>
          <w:p w14:paraId="39521F69" w14:textId="77777777" w:rsidR="00FD2616" w:rsidRPr="00FD2616" w:rsidRDefault="00FD2616" w:rsidP="00FD2616">
            <w:pPr>
              <w:pStyle w:val="NoSpacing"/>
              <w:spacing w:line="480" w:lineRule="auto"/>
              <w:rPr>
                <w:rFonts w:asciiTheme="majorBidi" w:hAnsiTheme="majorBidi" w:cstheme="majorBidi"/>
              </w:rPr>
            </w:pPr>
          </w:p>
        </w:tc>
        <w:tc>
          <w:tcPr>
            <w:tcW w:w="1560" w:type="dxa"/>
            <w:tcBorders>
              <w:top w:val="nil"/>
              <w:left w:val="nil"/>
              <w:bottom w:val="nil"/>
              <w:right w:val="nil"/>
            </w:tcBorders>
          </w:tcPr>
          <w:p w14:paraId="1E8BDA7C" w14:textId="77777777" w:rsidR="00FD2616" w:rsidRPr="00FD2616" w:rsidRDefault="00FD2616" w:rsidP="00FD2616">
            <w:pPr>
              <w:pStyle w:val="NoSpacing"/>
              <w:spacing w:line="480" w:lineRule="auto"/>
              <w:rPr>
                <w:rFonts w:asciiTheme="majorBidi" w:hAnsiTheme="majorBidi" w:cstheme="majorBidi"/>
              </w:rPr>
            </w:pPr>
          </w:p>
        </w:tc>
        <w:tc>
          <w:tcPr>
            <w:tcW w:w="1744" w:type="dxa"/>
            <w:tcBorders>
              <w:top w:val="nil"/>
              <w:left w:val="nil"/>
              <w:bottom w:val="nil"/>
              <w:right w:val="nil"/>
            </w:tcBorders>
          </w:tcPr>
          <w:p w14:paraId="76498AA1" w14:textId="77777777" w:rsidR="00FD2616" w:rsidRPr="00FD2616" w:rsidRDefault="00FD2616" w:rsidP="00FD2616">
            <w:pPr>
              <w:pStyle w:val="NoSpacing"/>
              <w:spacing w:line="480" w:lineRule="auto"/>
              <w:rPr>
                <w:rFonts w:asciiTheme="majorBidi" w:hAnsiTheme="majorBidi" w:cstheme="majorBidi"/>
              </w:rPr>
            </w:pPr>
          </w:p>
        </w:tc>
        <w:tc>
          <w:tcPr>
            <w:tcW w:w="1820" w:type="dxa"/>
            <w:tcBorders>
              <w:top w:val="nil"/>
              <w:left w:val="nil"/>
              <w:bottom w:val="nil"/>
              <w:right w:val="nil"/>
            </w:tcBorders>
          </w:tcPr>
          <w:p w14:paraId="7E583C8B" w14:textId="77777777" w:rsidR="00FD2616" w:rsidRPr="00FD2616" w:rsidRDefault="00FD2616" w:rsidP="00FD2616">
            <w:pPr>
              <w:pStyle w:val="NoSpacing"/>
              <w:spacing w:line="480" w:lineRule="auto"/>
              <w:rPr>
                <w:rFonts w:asciiTheme="majorBidi" w:hAnsiTheme="majorBidi" w:cstheme="majorBidi"/>
              </w:rPr>
            </w:pPr>
          </w:p>
        </w:tc>
      </w:tr>
      <w:tr w:rsidR="00FD2616" w:rsidRPr="00FD2616" w14:paraId="5DB7E44A" w14:textId="77777777" w:rsidTr="00BF475C">
        <w:trPr>
          <w:trHeight w:val="461"/>
        </w:trPr>
        <w:tc>
          <w:tcPr>
            <w:tcW w:w="2262" w:type="dxa"/>
            <w:tcBorders>
              <w:top w:val="nil"/>
              <w:left w:val="nil"/>
              <w:bottom w:val="nil"/>
              <w:right w:val="nil"/>
            </w:tcBorders>
          </w:tcPr>
          <w:p w14:paraId="16E18BC3"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Reaction time (s)</w:t>
            </w:r>
          </w:p>
        </w:tc>
        <w:tc>
          <w:tcPr>
            <w:tcW w:w="1701" w:type="dxa"/>
            <w:tcBorders>
              <w:top w:val="nil"/>
              <w:left w:val="nil"/>
              <w:bottom w:val="nil"/>
              <w:right w:val="nil"/>
            </w:tcBorders>
          </w:tcPr>
          <w:p w14:paraId="65BB6A31"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.78 (.14)</w:t>
            </w:r>
          </w:p>
        </w:tc>
        <w:tc>
          <w:tcPr>
            <w:tcW w:w="1560" w:type="dxa"/>
            <w:tcBorders>
              <w:top w:val="nil"/>
              <w:left w:val="nil"/>
              <w:bottom w:val="nil"/>
              <w:right w:val="nil"/>
            </w:tcBorders>
          </w:tcPr>
          <w:p w14:paraId="61E5B609"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.86 (.17)</w:t>
            </w:r>
          </w:p>
        </w:tc>
        <w:tc>
          <w:tcPr>
            <w:tcW w:w="1744" w:type="dxa"/>
            <w:tcBorders>
              <w:top w:val="nil"/>
              <w:left w:val="nil"/>
              <w:bottom w:val="nil"/>
              <w:right w:val="nil"/>
            </w:tcBorders>
          </w:tcPr>
          <w:p w14:paraId="4485681D"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.97 (.21)</w:t>
            </w:r>
          </w:p>
        </w:tc>
        <w:tc>
          <w:tcPr>
            <w:tcW w:w="1820" w:type="dxa"/>
            <w:tcBorders>
              <w:top w:val="nil"/>
              <w:left w:val="nil"/>
              <w:bottom w:val="nil"/>
              <w:right w:val="nil"/>
            </w:tcBorders>
          </w:tcPr>
          <w:p w14:paraId="4CF7E924"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.87 (.17)</w:t>
            </w:r>
          </w:p>
        </w:tc>
      </w:tr>
      <w:tr w:rsidR="00FD2616" w:rsidRPr="00FD2616" w14:paraId="45550543" w14:textId="77777777" w:rsidTr="00BF475C">
        <w:trPr>
          <w:trHeight w:val="456"/>
        </w:trPr>
        <w:tc>
          <w:tcPr>
            <w:tcW w:w="2262" w:type="dxa"/>
            <w:tcBorders>
              <w:top w:val="nil"/>
              <w:left w:val="nil"/>
              <w:bottom w:val="nil"/>
              <w:right w:val="nil"/>
            </w:tcBorders>
          </w:tcPr>
          <w:p w14:paraId="72BDDF65"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Accuracy (%)</w:t>
            </w:r>
          </w:p>
        </w:tc>
        <w:tc>
          <w:tcPr>
            <w:tcW w:w="1701" w:type="dxa"/>
            <w:tcBorders>
              <w:top w:val="nil"/>
              <w:left w:val="nil"/>
              <w:bottom w:val="nil"/>
              <w:right w:val="nil"/>
            </w:tcBorders>
          </w:tcPr>
          <w:p w14:paraId="793010D6"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.97 (.09)</w:t>
            </w:r>
          </w:p>
        </w:tc>
        <w:tc>
          <w:tcPr>
            <w:tcW w:w="1560" w:type="dxa"/>
            <w:tcBorders>
              <w:top w:val="nil"/>
              <w:left w:val="nil"/>
              <w:bottom w:val="nil"/>
              <w:right w:val="nil"/>
            </w:tcBorders>
          </w:tcPr>
          <w:p w14:paraId="4402D85B"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.94 (.10)</w:t>
            </w:r>
          </w:p>
        </w:tc>
        <w:tc>
          <w:tcPr>
            <w:tcW w:w="1744" w:type="dxa"/>
            <w:tcBorders>
              <w:top w:val="nil"/>
              <w:left w:val="nil"/>
              <w:bottom w:val="nil"/>
              <w:right w:val="nil"/>
            </w:tcBorders>
          </w:tcPr>
          <w:p w14:paraId="3C32E337"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.84 (.11)</w:t>
            </w:r>
          </w:p>
        </w:tc>
        <w:tc>
          <w:tcPr>
            <w:tcW w:w="1820" w:type="dxa"/>
            <w:tcBorders>
              <w:top w:val="nil"/>
              <w:left w:val="nil"/>
              <w:bottom w:val="nil"/>
              <w:right w:val="nil"/>
            </w:tcBorders>
          </w:tcPr>
          <w:p w14:paraId="07438BC0"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.92 (.09)</w:t>
            </w:r>
          </w:p>
        </w:tc>
      </w:tr>
      <w:tr w:rsidR="00FD2616" w:rsidRPr="00FD2616" w14:paraId="510B00C9" w14:textId="77777777" w:rsidTr="00BF475C">
        <w:trPr>
          <w:trHeight w:val="344"/>
        </w:trPr>
        <w:tc>
          <w:tcPr>
            <w:tcW w:w="2262" w:type="dxa"/>
            <w:tcBorders>
              <w:top w:val="nil"/>
              <w:left w:val="nil"/>
              <w:bottom w:val="nil"/>
              <w:right w:val="nil"/>
            </w:tcBorders>
          </w:tcPr>
          <w:p w14:paraId="69B7C43D" w14:textId="77777777" w:rsidR="00FD2616" w:rsidRPr="00FD2616" w:rsidRDefault="00FD2616" w:rsidP="00FD2616">
            <w:pPr>
              <w:pStyle w:val="NoSpacing"/>
              <w:spacing w:line="480" w:lineRule="auto"/>
              <w:rPr>
                <w:rFonts w:asciiTheme="majorBidi" w:hAnsiTheme="majorBidi" w:cstheme="majorBidi"/>
                <w:u w:val="single"/>
              </w:rPr>
            </w:pPr>
            <w:r w:rsidRPr="00FD2616">
              <w:rPr>
                <w:rFonts w:asciiTheme="majorBidi" w:hAnsiTheme="majorBidi" w:cstheme="majorBidi"/>
                <w:u w:val="single"/>
              </w:rPr>
              <w:t>“recall” condition</w:t>
            </w:r>
          </w:p>
        </w:tc>
        <w:tc>
          <w:tcPr>
            <w:tcW w:w="1701" w:type="dxa"/>
            <w:tcBorders>
              <w:top w:val="nil"/>
              <w:left w:val="nil"/>
              <w:bottom w:val="nil"/>
              <w:right w:val="nil"/>
            </w:tcBorders>
          </w:tcPr>
          <w:p w14:paraId="49F03D63" w14:textId="77777777" w:rsidR="00FD2616" w:rsidRPr="00FD2616" w:rsidRDefault="00FD2616" w:rsidP="00FD2616">
            <w:pPr>
              <w:pStyle w:val="NoSpacing"/>
              <w:spacing w:line="480" w:lineRule="auto"/>
              <w:rPr>
                <w:rFonts w:asciiTheme="majorBidi" w:hAnsiTheme="majorBidi" w:cstheme="majorBidi"/>
              </w:rPr>
            </w:pPr>
          </w:p>
        </w:tc>
        <w:tc>
          <w:tcPr>
            <w:tcW w:w="1560" w:type="dxa"/>
            <w:tcBorders>
              <w:top w:val="nil"/>
              <w:left w:val="nil"/>
              <w:bottom w:val="nil"/>
              <w:right w:val="nil"/>
            </w:tcBorders>
          </w:tcPr>
          <w:p w14:paraId="206FE804" w14:textId="77777777" w:rsidR="00FD2616" w:rsidRPr="00FD2616" w:rsidRDefault="00FD2616" w:rsidP="00FD2616">
            <w:pPr>
              <w:pStyle w:val="NoSpacing"/>
              <w:spacing w:line="480" w:lineRule="auto"/>
              <w:rPr>
                <w:rFonts w:asciiTheme="majorBidi" w:hAnsiTheme="majorBidi" w:cstheme="majorBidi"/>
              </w:rPr>
            </w:pPr>
          </w:p>
        </w:tc>
        <w:tc>
          <w:tcPr>
            <w:tcW w:w="1744" w:type="dxa"/>
            <w:tcBorders>
              <w:top w:val="nil"/>
              <w:left w:val="nil"/>
              <w:bottom w:val="nil"/>
              <w:right w:val="nil"/>
            </w:tcBorders>
          </w:tcPr>
          <w:p w14:paraId="0024AE42" w14:textId="77777777" w:rsidR="00FD2616" w:rsidRPr="00FD2616" w:rsidRDefault="00FD2616" w:rsidP="00FD2616">
            <w:pPr>
              <w:pStyle w:val="NoSpacing"/>
              <w:spacing w:line="480" w:lineRule="auto"/>
              <w:rPr>
                <w:rFonts w:asciiTheme="majorBidi" w:hAnsiTheme="majorBidi" w:cstheme="majorBidi"/>
              </w:rPr>
            </w:pPr>
          </w:p>
        </w:tc>
        <w:tc>
          <w:tcPr>
            <w:tcW w:w="1820" w:type="dxa"/>
            <w:tcBorders>
              <w:top w:val="nil"/>
              <w:left w:val="nil"/>
              <w:bottom w:val="nil"/>
              <w:right w:val="nil"/>
            </w:tcBorders>
          </w:tcPr>
          <w:p w14:paraId="1A3DD46C" w14:textId="77777777" w:rsidR="00FD2616" w:rsidRPr="00FD2616" w:rsidRDefault="00FD2616" w:rsidP="00FD2616">
            <w:pPr>
              <w:pStyle w:val="NoSpacing"/>
              <w:spacing w:line="480" w:lineRule="auto"/>
              <w:rPr>
                <w:rFonts w:asciiTheme="majorBidi" w:hAnsiTheme="majorBidi" w:cstheme="majorBidi"/>
              </w:rPr>
            </w:pPr>
          </w:p>
        </w:tc>
      </w:tr>
      <w:tr w:rsidR="00FD2616" w:rsidRPr="00FD2616" w14:paraId="625B78EC" w14:textId="77777777" w:rsidTr="00BF475C">
        <w:trPr>
          <w:trHeight w:val="456"/>
        </w:trPr>
        <w:tc>
          <w:tcPr>
            <w:tcW w:w="2262" w:type="dxa"/>
            <w:tcBorders>
              <w:top w:val="nil"/>
              <w:left w:val="nil"/>
              <w:bottom w:val="nil"/>
              <w:right w:val="nil"/>
            </w:tcBorders>
          </w:tcPr>
          <w:p w14:paraId="2E2A0727"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Reaction time (s)</w:t>
            </w:r>
          </w:p>
        </w:tc>
        <w:tc>
          <w:tcPr>
            <w:tcW w:w="1701" w:type="dxa"/>
            <w:tcBorders>
              <w:top w:val="nil"/>
              <w:left w:val="nil"/>
              <w:bottom w:val="nil"/>
              <w:right w:val="nil"/>
            </w:tcBorders>
          </w:tcPr>
          <w:p w14:paraId="1D6130F2"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.79 (.15)</w:t>
            </w:r>
          </w:p>
        </w:tc>
        <w:tc>
          <w:tcPr>
            <w:tcW w:w="1560" w:type="dxa"/>
            <w:tcBorders>
              <w:top w:val="nil"/>
              <w:left w:val="nil"/>
              <w:bottom w:val="nil"/>
              <w:right w:val="nil"/>
            </w:tcBorders>
          </w:tcPr>
          <w:p w14:paraId="349F7C39"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.87 (.15)</w:t>
            </w:r>
          </w:p>
        </w:tc>
        <w:tc>
          <w:tcPr>
            <w:tcW w:w="1744" w:type="dxa"/>
            <w:tcBorders>
              <w:top w:val="nil"/>
              <w:left w:val="nil"/>
              <w:bottom w:val="nil"/>
              <w:right w:val="nil"/>
            </w:tcBorders>
          </w:tcPr>
          <w:p w14:paraId="656D550C"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.99 (.18)</w:t>
            </w:r>
          </w:p>
        </w:tc>
        <w:tc>
          <w:tcPr>
            <w:tcW w:w="1820" w:type="dxa"/>
            <w:tcBorders>
              <w:top w:val="nil"/>
              <w:left w:val="nil"/>
              <w:bottom w:val="nil"/>
              <w:right w:val="nil"/>
            </w:tcBorders>
          </w:tcPr>
          <w:p w14:paraId="2E648BFF"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.89 (.15)</w:t>
            </w:r>
          </w:p>
        </w:tc>
      </w:tr>
      <w:tr w:rsidR="00FD2616" w:rsidRPr="00FD2616" w14:paraId="2499A690" w14:textId="77777777" w:rsidTr="00BF475C">
        <w:trPr>
          <w:trHeight w:val="456"/>
        </w:trPr>
        <w:tc>
          <w:tcPr>
            <w:tcW w:w="2262" w:type="dxa"/>
            <w:tcBorders>
              <w:top w:val="nil"/>
              <w:left w:val="nil"/>
              <w:bottom w:val="single" w:sz="18" w:space="0" w:color="auto"/>
              <w:right w:val="nil"/>
            </w:tcBorders>
          </w:tcPr>
          <w:p w14:paraId="6A3AD3EB"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Accuracy (%)</w:t>
            </w:r>
          </w:p>
        </w:tc>
        <w:tc>
          <w:tcPr>
            <w:tcW w:w="1701" w:type="dxa"/>
            <w:tcBorders>
              <w:top w:val="nil"/>
              <w:left w:val="nil"/>
              <w:bottom w:val="single" w:sz="18" w:space="0" w:color="auto"/>
              <w:right w:val="nil"/>
            </w:tcBorders>
          </w:tcPr>
          <w:p w14:paraId="6DE0C492"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.99 (.04)</w:t>
            </w:r>
          </w:p>
        </w:tc>
        <w:tc>
          <w:tcPr>
            <w:tcW w:w="1560" w:type="dxa"/>
            <w:tcBorders>
              <w:top w:val="nil"/>
              <w:left w:val="nil"/>
              <w:bottom w:val="single" w:sz="18" w:space="0" w:color="auto"/>
              <w:right w:val="nil"/>
            </w:tcBorders>
          </w:tcPr>
          <w:p w14:paraId="62E20BF3"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.96 (.06)</w:t>
            </w:r>
          </w:p>
        </w:tc>
        <w:tc>
          <w:tcPr>
            <w:tcW w:w="1744" w:type="dxa"/>
            <w:tcBorders>
              <w:top w:val="nil"/>
              <w:left w:val="nil"/>
              <w:bottom w:val="single" w:sz="18" w:space="0" w:color="auto"/>
              <w:right w:val="nil"/>
            </w:tcBorders>
          </w:tcPr>
          <w:p w14:paraId="14F14D4F"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.86 (.09)</w:t>
            </w:r>
          </w:p>
        </w:tc>
        <w:tc>
          <w:tcPr>
            <w:tcW w:w="1820" w:type="dxa"/>
            <w:tcBorders>
              <w:top w:val="nil"/>
              <w:left w:val="nil"/>
              <w:bottom w:val="single" w:sz="18" w:space="0" w:color="auto"/>
              <w:right w:val="nil"/>
            </w:tcBorders>
          </w:tcPr>
          <w:p w14:paraId="082F95FC"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.94 (.06)</w:t>
            </w:r>
          </w:p>
        </w:tc>
      </w:tr>
    </w:tbl>
    <w:p w14:paraId="359796C3" w14:textId="77777777" w:rsidR="00FD2616" w:rsidRPr="00FD2616" w:rsidRDefault="00FD2616" w:rsidP="00FD2616">
      <w:pPr>
        <w:pStyle w:val="NoSpacing"/>
        <w:spacing w:line="480" w:lineRule="auto"/>
        <w:rPr>
          <w:rFonts w:asciiTheme="majorBidi" w:hAnsiTheme="majorBidi" w:cstheme="majorBidi"/>
        </w:rPr>
      </w:pPr>
      <w:r w:rsidRPr="00FD2616">
        <w:rPr>
          <w:rFonts w:asciiTheme="majorBidi" w:hAnsiTheme="majorBidi" w:cstheme="majorBidi"/>
        </w:rPr>
        <w:t xml:space="preserve">Table S3.3 shows that RTs were higher while accuracy was lower relative to increasing trial difficulty level. </w:t>
      </w:r>
    </w:p>
    <w:p w14:paraId="4A3C3B64" w14:textId="77777777" w:rsidR="00FD2616" w:rsidRPr="002A3B81" w:rsidRDefault="00FD2616" w:rsidP="00FD2616">
      <w:pPr>
        <w:pStyle w:val="NoSpacing"/>
        <w:spacing w:line="480" w:lineRule="auto"/>
        <w:rPr>
          <w:rFonts w:asciiTheme="majorBidi" w:hAnsiTheme="majorBidi" w:cstheme="majorBidi"/>
        </w:rPr>
      </w:pPr>
    </w:p>
    <w:p w14:paraId="1B965B20" w14:textId="77777777" w:rsidR="00AA0A39" w:rsidRPr="00AA0A39" w:rsidRDefault="00AA0A39" w:rsidP="00FD2616">
      <w:pPr>
        <w:pStyle w:val="NoSpacing"/>
        <w:spacing w:line="480" w:lineRule="auto"/>
        <w:rPr>
          <w:rFonts w:asciiTheme="majorBidi" w:hAnsiTheme="majorBidi" w:cstheme="majorBidi"/>
          <w:b/>
          <w:bCs/>
        </w:rPr>
      </w:pPr>
    </w:p>
    <w:p w14:paraId="7232A51A" w14:textId="77777777" w:rsidR="00AA0A39" w:rsidRPr="00AA0A39" w:rsidRDefault="00AA0A39" w:rsidP="00FD2616">
      <w:pPr>
        <w:pStyle w:val="NoSpacing"/>
        <w:spacing w:line="480" w:lineRule="auto"/>
        <w:rPr>
          <w:rFonts w:asciiTheme="majorBidi" w:hAnsiTheme="majorBidi" w:cstheme="majorBidi"/>
          <w:b/>
          <w:bCs/>
        </w:rPr>
      </w:pPr>
    </w:p>
    <w:p w14:paraId="1BF4C56B" w14:textId="77777777" w:rsidR="00AA0A39" w:rsidRPr="00AA0A39" w:rsidRDefault="00AA0A39" w:rsidP="00AA0A39">
      <w:pPr>
        <w:pStyle w:val="NoSpacing"/>
        <w:rPr>
          <w:b/>
          <w:bCs/>
        </w:rPr>
      </w:pPr>
    </w:p>
    <w:p w14:paraId="5231EC25" w14:textId="603D209B" w:rsidR="00001812" w:rsidRDefault="00001812" w:rsidP="00001812">
      <w:pPr>
        <w:pStyle w:val="NoSpacing"/>
        <w:rPr>
          <w:b/>
          <w:bCs/>
        </w:rPr>
      </w:pPr>
    </w:p>
    <w:p w14:paraId="2418B9FE" w14:textId="63A41D63" w:rsidR="00001812" w:rsidRDefault="00001812" w:rsidP="00001812">
      <w:pPr>
        <w:pStyle w:val="NoSpacing"/>
        <w:rPr>
          <w:b/>
          <w:bCs/>
        </w:rPr>
      </w:pPr>
    </w:p>
    <w:p w14:paraId="55F06FA8" w14:textId="03F85BAC" w:rsidR="00BF475C" w:rsidRDefault="00BF475C" w:rsidP="00093B56">
      <w:pPr>
        <w:pStyle w:val="NoSpacing"/>
        <w:rPr>
          <w:b/>
          <w:bCs/>
        </w:rPr>
      </w:pPr>
    </w:p>
    <w:p w14:paraId="4631B9D2" w14:textId="77777777" w:rsidR="00BF475C" w:rsidRDefault="00BF475C" w:rsidP="00093B56">
      <w:pPr>
        <w:pStyle w:val="NoSpacing"/>
      </w:pPr>
    </w:p>
    <w:p w14:paraId="1EED7C19" w14:textId="17BE9AE2" w:rsidR="00093B56" w:rsidRDefault="00093B56" w:rsidP="00093B56">
      <w:pPr>
        <w:pStyle w:val="NoSpacing"/>
      </w:pPr>
    </w:p>
    <w:p w14:paraId="064894BD" w14:textId="297ED8D3" w:rsidR="00093B56" w:rsidRDefault="00093B56" w:rsidP="00093B56">
      <w:pPr>
        <w:pStyle w:val="NoSpacing"/>
      </w:pPr>
    </w:p>
    <w:p w14:paraId="78D8EE06" w14:textId="77777777" w:rsidR="00093B56" w:rsidRDefault="00093B56" w:rsidP="00093B56">
      <w:pPr>
        <w:pStyle w:val="NoSpacing"/>
      </w:pPr>
    </w:p>
    <w:p w14:paraId="1CB95D50" w14:textId="56807EFE" w:rsidR="00093B56" w:rsidRDefault="00093B56" w:rsidP="00107EBB">
      <w:pPr>
        <w:pStyle w:val="Heading1"/>
      </w:pPr>
      <w:bookmarkStart w:id="400" w:name="_Toc109911340"/>
      <w:bookmarkStart w:id="401" w:name="_Toc110612755"/>
      <w:bookmarkStart w:id="402" w:name="_Toc110629095"/>
      <w:bookmarkStart w:id="403" w:name="_Toc110871003"/>
      <w:r>
        <w:lastRenderedPageBreak/>
        <w:t>Appendix C</w:t>
      </w:r>
      <w:bookmarkEnd w:id="400"/>
      <w:bookmarkEnd w:id="401"/>
      <w:bookmarkEnd w:id="402"/>
      <w:bookmarkEnd w:id="403"/>
    </w:p>
    <w:p w14:paraId="21B40AC7" w14:textId="77777777" w:rsidR="00BF475C" w:rsidRPr="00BF475C" w:rsidRDefault="00BF475C" w:rsidP="00BF475C">
      <w:pPr>
        <w:pStyle w:val="NoSpacing"/>
        <w:spacing w:line="480" w:lineRule="auto"/>
        <w:jc w:val="center"/>
        <w:rPr>
          <w:rFonts w:ascii="Times New Roman" w:hAnsi="Times New Roman" w:cs="Times New Roman"/>
          <w:b/>
          <w:u w:val="single"/>
        </w:rPr>
      </w:pPr>
      <w:r w:rsidRPr="00BF475C">
        <w:rPr>
          <w:rFonts w:ascii="Times New Roman" w:hAnsi="Times New Roman" w:cs="Times New Roman"/>
          <w:b/>
        </w:rPr>
        <w:t>Supplementary materials for Chapter 4: “Modelling value-based decision-making in regular alcohol consumers after experimental manipulation of the value of alcohol”</w:t>
      </w:r>
    </w:p>
    <w:p w14:paraId="130E358F" w14:textId="77777777" w:rsidR="00BF475C" w:rsidRPr="00BF475C" w:rsidRDefault="00BF475C" w:rsidP="00BF475C">
      <w:pPr>
        <w:pStyle w:val="NoSpacing"/>
        <w:spacing w:line="480" w:lineRule="auto"/>
        <w:rPr>
          <w:rFonts w:ascii="Times New Roman" w:hAnsi="Times New Roman" w:cs="Times New Roman"/>
          <w:b/>
        </w:rPr>
      </w:pPr>
      <w:r w:rsidRPr="00BF475C">
        <w:rPr>
          <w:rFonts w:ascii="Times New Roman" w:hAnsi="Times New Roman" w:cs="Times New Roman"/>
          <w:b/>
        </w:rPr>
        <w:t>Contents:</w:t>
      </w:r>
    </w:p>
    <w:p w14:paraId="23296A72"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bCs/>
        </w:rPr>
        <w:t>Images used in the VBDM task to depict alcohol and soft-drinks (Table S4.1)</w:t>
      </w:r>
    </w:p>
    <w:p w14:paraId="06E5536F"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Further detail on the distraction block in-between priming conditions</w:t>
      </w:r>
    </w:p>
    <w:p w14:paraId="26BE8FC2"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BAAD questionnaire details</w:t>
      </w:r>
    </w:p>
    <w:p w14:paraId="779DD56C"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Core analyses split by difficulty level (Table S4.2)</w:t>
      </w:r>
    </w:p>
    <w:p w14:paraId="7D11892A"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Order of experimental manipulation of alcohol value: does this matter?</w:t>
      </w:r>
    </w:p>
    <w:p w14:paraId="24C8170E"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Order of trial block completion: does this matter?</w:t>
      </w:r>
    </w:p>
    <w:p w14:paraId="2B29453C"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rPr>
        <w:t>Exploratory correlations (Table S4.3)</w:t>
      </w:r>
    </w:p>
    <w:p w14:paraId="6951DDC5" w14:textId="77777777" w:rsidR="00BF475C" w:rsidRPr="00BF475C" w:rsidRDefault="00BF475C" w:rsidP="00BF475C">
      <w:pPr>
        <w:pStyle w:val="NoSpacing"/>
        <w:numPr>
          <w:ilvl w:val="0"/>
          <w:numId w:val="15"/>
        </w:numPr>
        <w:spacing w:line="480" w:lineRule="auto"/>
        <w:rPr>
          <w:rFonts w:ascii="Times New Roman" w:hAnsi="Times New Roman" w:cs="Times New Roman"/>
          <w:bCs/>
        </w:rPr>
      </w:pPr>
      <w:r w:rsidRPr="00BF475C">
        <w:rPr>
          <w:rFonts w:ascii="Times New Roman" w:hAnsi="Times New Roman" w:cs="Times New Roman"/>
          <w:i/>
          <w:iCs/>
        </w:rPr>
        <w:t xml:space="preserve">A priori </w:t>
      </w:r>
      <w:r w:rsidRPr="00BF475C">
        <w:rPr>
          <w:rFonts w:ascii="Times New Roman" w:hAnsi="Times New Roman" w:cs="Times New Roman"/>
        </w:rPr>
        <w:t>power analysis output</w:t>
      </w:r>
    </w:p>
    <w:p w14:paraId="6C4EDC8C" w14:textId="286FCAAA" w:rsidR="00093B56" w:rsidRPr="00BF475C" w:rsidRDefault="00093B56" w:rsidP="00BF475C">
      <w:pPr>
        <w:pStyle w:val="NoSpacing"/>
        <w:spacing w:line="480" w:lineRule="auto"/>
        <w:rPr>
          <w:rFonts w:ascii="Times New Roman" w:hAnsi="Times New Roman" w:cs="Times New Roman"/>
        </w:rPr>
      </w:pPr>
    </w:p>
    <w:p w14:paraId="63BEB37F" w14:textId="25F903E0" w:rsidR="00093B56" w:rsidRPr="00BF475C" w:rsidRDefault="00093B56" w:rsidP="00BF475C">
      <w:pPr>
        <w:pStyle w:val="NoSpacing"/>
        <w:spacing w:line="480" w:lineRule="auto"/>
        <w:rPr>
          <w:rFonts w:ascii="Times New Roman" w:hAnsi="Times New Roman" w:cs="Times New Roman"/>
        </w:rPr>
      </w:pPr>
    </w:p>
    <w:p w14:paraId="5D168210" w14:textId="438889E9" w:rsidR="00093B56" w:rsidRPr="00BF475C" w:rsidRDefault="00093B56" w:rsidP="00BF475C">
      <w:pPr>
        <w:pStyle w:val="NoSpacing"/>
        <w:spacing w:line="480" w:lineRule="auto"/>
        <w:rPr>
          <w:rFonts w:ascii="Times New Roman" w:hAnsi="Times New Roman" w:cs="Times New Roman"/>
        </w:rPr>
      </w:pPr>
    </w:p>
    <w:p w14:paraId="681F9146" w14:textId="1E151E45" w:rsidR="00093B56" w:rsidRDefault="00093B56" w:rsidP="00093B56">
      <w:pPr>
        <w:pStyle w:val="NoSpacing"/>
      </w:pPr>
    </w:p>
    <w:p w14:paraId="2B370FDD" w14:textId="7A68601B" w:rsidR="00093B56" w:rsidRDefault="00093B56" w:rsidP="00093B56">
      <w:pPr>
        <w:pStyle w:val="NoSpacing"/>
      </w:pPr>
    </w:p>
    <w:p w14:paraId="113BEF50" w14:textId="43587B25" w:rsidR="00093B56" w:rsidRDefault="00093B56" w:rsidP="00093B56">
      <w:pPr>
        <w:pStyle w:val="NoSpacing"/>
      </w:pPr>
    </w:p>
    <w:p w14:paraId="3479254A" w14:textId="26986279" w:rsidR="00093B56" w:rsidRDefault="00093B56" w:rsidP="00093B56">
      <w:pPr>
        <w:pStyle w:val="NoSpacing"/>
      </w:pPr>
    </w:p>
    <w:p w14:paraId="3F068696" w14:textId="7865FF08" w:rsidR="00093B56" w:rsidRDefault="00093B56" w:rsidP="00093B56">
      <w:pPr>
        <w:pStyle w:val="NoSpacing"/>
      </w:pPr>
    </w:p>
    <w:p w14:paraId="7BF5CE3D" w14:textId="5CE013D4" w:rsidR="00093B56" w:rsidRDefault="00093B56" w:rsidP="00093B56">
      <w:pPr>
        <w:pStyle w:val="NoSpacing"/>
      </w:pPr>
    </w:p>
    <w:p w14:paraId="1B658C27" w14:textId="21BE695F" w:rsidR="00BF475C" w:rsidRDefault="00BF475C" w:rsidP="00093B56">
      <w:pPr>
        <w:pStyle w:val="NoSpacing"/>
      </w:pPr>
    </w:p>
    <w:p w14:paraId="20DD13A4" w14:textId="5C4741E9" w:rsidR="00BF475C" w:rsidRDefault="00BF475C" w:rsidP="00093B56">
      <w:pPr>
        <w:pStyle w:val="NoSpacing"/>
      </w:pPr>
    </w:p>
    <w:p w14:paraId="34B85E7D" w14:textId="200DA8E5" w:rsidR="00BF475C" w:rsidRDefault="00BF475C" w:rsidP="00093B56">
      <w:pPr>
        <w:pStyle w:val="NoSpacing"/>
      </w:pPr>
    </w:p>
    <w:p w14:paraId="4715179B" w14:textId="0F377AEA" w:rsidR="00BF475C" w:rsidRDefault="00BF475C" w:rsidP="00093B56">
      <w:pPr>
        <w:pStyle w:val="NoSpacing"/>
      </w:pPr>
    </w:p>
    <w:p w14:paraId="5E73222C" w14:textId="01F2D08C" w:rsidR="00BF475C" w:rsidRDefault="00BF475C" w:rsidP="00093B56">
      <w:pPr>
        <w:pStyle w:val="NoSpacing"/>
      </w:pPr>
    </w:p>
    <w:p w14:paraId="5B37472D" w14:textId="72B26BA7" w:rsidR="00BF475C" w:rsidRDefault="00BF475C" w:rsidP="00093B56">
      <w:pPr>
        <w:pStyle w:val="NoSpacing"/>
      </w:pPr>
    </w:p>
    <w:p w14:paraId="41D8E280" w14:textId="387613A7" w:rsidR="00BF475C" w:rsidRDefault="00BF475C" w:rsidP="00093B56">
      <w:pPr>
        <w:pStyle w:val="NoSpacing"/>
      </w:pPr>
    </w:p>
    <w:p w14:paraId="24DCCEA1" w14:textId="45EFAB9D" w:rsidR="00BF475C" w:rsidRDefault="00BF475C" w:rsidP="00093B56">
      <w:pPr>
        <w:pStyle w:val="NoSpacing"/>
      </w:pPr>
    </w:p>
    <w:p w14:paraId="1697778F" w14:textId="4BD27467" w:rsidR="00BF475C" w:rsidRDefault="00BF475C" w:rsidP="00093B56">
      <w:pPr>
        <w:pStyle w:val="NoSpacing"/>
      </w:pPr>
    </w:p>
    <w:p w14:paraId="63C869E2" w14:textId="1A92F478" w:rsidR="00BF475C" w:rsidRDefault="00BF475C" w:rsidP="00093B56">
      <w:pPr>
        <w:pStyle w:val="NoSpacing"/>
      </w:pPr>
    </w:p>
    <w:p w14:paraId="12B9729E" w14:textId="6F6ED4C3" w:rsidR="00BF475C" w:rsidRDefault="00BF475C" w:rsidP="00093B56">
      <w:pPr>
        <w:pStyle w:val="NoSpacing"/>
      </w:pPr>
    </w:p>
    <w:p w14:paraId="09E533FB" w14:textId="3907D078" w:rsidR="00BF475C" w:rsidRDefault="00BF475C" w:rsidP="00093B56">
      <w:pPr>
        <w:pStyle w:val="NoSpacing"/>
      </w:pPr>
    </w:p>
    <w:p w14:paraId="3FFE3A11" w14:textId="77777777" w:rsidR="00BF475C" w:rsidRPr="00BF475C" w:rsidRDefault="00BF475C" w:rsidP="00BF475C">
      <w:pPr>
        <w:pStyle w:val="NoSpacing"/>
        <w:spacing w:line="480" w:lineRule="auto"/>
        <w:rPr>
          <w:rFonts w:ascii="Times New Roman" w:hAnsi="Times New Roman" w:cs="Times New Roman"/>
          <w:b/>
          <w:bCs/>
        </w:rPr>
      </w:pPr>
      <w:r w:rsidRPr="00BF475C">
        <w:rPr>
          <w:rFonts w:ascii="Times New Roman" w:hAnsi="Times New Roman" w:cs="Times New Roman"/>
          <w:b/>
          <w:bCs/>
        </w:rPr>
        <w:lastRenderedPageBreak/>
        <w:t xml:space="preserve">1. </w:t>
      </w:r>
      <w:bookmarkStart w:id="404" w:name="_Hlk108033279"/>
      <w:r w:rsidRPr="00BF475C">
        <w:rPr>
          <w:rFonts w:ascii="Times New Roman" w:hAnsi="Times New Roman" w:cs="Times New Roman"/>
          <w:b/>
          <w:bCs/>
        </w:rPr>
        <w:t>Images used in the VBDM task</w:t>
      </w:r>
      <w:r w:rsidRPr="00BF475C">
        <w:rPr>
          <w:rFonts w:ascii="Times New Roman" w:hAnsi="Times New Roman" w:cs="Times New Roman"/>
        </w:rPr>
        <w:t xml:space="preserve"> </w:t>
      </w:r>
      <w:r w:rsidRPr="00BF475C">
        <w:rPr>
          <w:rFonts w:ascii="Times New Roman" w:hAnsi="Times New Roman" w:cs="Times New Roman"/>
          <w:b/>
          <w:bCs/>
        </w:rPr>
        <w:t xml:space="preserve">to depict alcohol and soft-drinks </w:t>
      </w:r>
      <w:bookmarkEnd w:id="404"/>
      <w:r w:rsidRPr="00BF475C">
        <w:rPr>
          <w:rFonts w:ascii="Times New Roman" w:hAnsi="Times New Roman" w:cs="Times New Roman"/>
          <w:b/>
          <w:bCs/>
        </w:rPr>
        <w:t>(Table S4.1)</w:t>
      </w:r>
    </w:p>
    <w:p w14:paraId="7BD54C7A" w14:textId="7BC1A955" w:rsidR="00BF475C" w:rsidRDefault="00BF475C" w:rsidP="00BF475C">
      <w:pPr>
        <w:pStyle w:val="NoSpacing"/>
        <w:spacing w:line="480" w:lineRule="auto"/>
        <w:rPr>
          <w:rFonts w:ascii="Times New Roman" w:hAnsi="Times New Roman" w:cs="Times New Roman"/>
          <w:bCs/>
        </w:rPr>
      </w:pPr>
      <w:r w:rsidRPr="00BF475C">
        <w:rPr>
          <w:rFonts w:ascii="Times New Roman" w:hAnsi="Times New Roman" w:cs="Times New Roman"/>
          <w:bCs/>
        </w:rPr>
        <w:t>The 35 alcohol and 35 soft-drink images that were used in the task were taken from Amsterdam Beverage Picture Set (ABPS; Pronk et al., 2015) and Google. Ideally, we would have only used images from a validated and open source image set (such as the ABPS), however piloting work where we instructed peers (</w:t>
      </w:r>
      <w:r w:rsidRPr="00BF475C">
        <w:rPr>
          <w:rFonts w:ascii="Times New Roman" w:hAnsi="Times New Roman" w:cs="Times New Roman"/>
          <w:bCs/>
          <w:i/>
          <w:iCs/>
        </w:rPr>
        <w:t>n</w:t>
      </w:r>
      <w:r w:rsidRPr="00BF475C">
        <w:rPr>
          <w:rFonts w:ascii="Times New Roman" w:hAnsi="Times New Roman" w:cs="Times New Roman"/>
          <w:bCs/>
        </w:rPr>
        <w:t xml:space="preserve"> = 6) to list their favourite and least favourite 3 beverages indicated that the range of drink images required to elicit varied evaluations (i.e., want to consume a lot, not want to consume at all) exceeded what was available from the ABPS alone (e.g., having a variety drinks common in England, such as </w:t>
      </w:r>
      <w:proofErr w:type="spellStart"/>
      <w:r w:rsidRPr="00BF475C">
        <w:rPr>
          <w:rFonts w:ascii="Times New Roman" w:hAnsi="Times New Roman" w:cs="Times New Roman"/>
          <w:bCs/>
        </w:rPr>
        <w:t>Irn</w:t>
      </w:r>
      <w:proofErr w:type="spellEnd"/>
      <w:r w:rsidRPr="00BF475C">
        <w:rPr>
          <w:rFonts w:ascii="Times New Roman" w:hAnsi="Times New Roman" w:cs="Times New Roman"/>
          <w:bCs/>
        </w:rPr>
        <w:t xml:space="preserve"> Bru and Baileys). Below we detail the content of the images used so that other researchers can use similar image sets if they wish to replicate this study in the future. Every image depicted a single drink beverage in its packaging with a plain white background. </w:t>
      </w:r>
    </w:p>
    <w:p w14:paraId="4F8A29F3" w14:textId="77777777" w:rsidR="00BF475C" w:rsidRPr="00BF475C" w:rsidRDefault="00BF475C" w:rsidP="00BF475C">
      <w:pPr>
        <w:pStyle w:val="NoSpacing"/>
        <w:spacing w:line="480" w:lineRule="auto"/>
        <w:rPr>
          <w:rFonts w:ascii="Times New Roman" w:hAnsi="Times New Roman" w:cs="Times New Roman"/>
          <w:bCs/>
        </w:rPr>
      </w:pPr>
    </w:p>
    <w:p w14:paraId="5A47A09C" w14:textId="77777777" w:rsidR="00BF475C" w:rsidRDefault="00BF475C" w:rsidP="00BF475C">
      <w:pPr>
        <w:pStyle w:val="NoSpacing"/>
        <w:spacing w:line="480" w:lineRule="auto"/>
        <w:rPr>
          <w:rFonts w:ascii="Times New Roman" w:hAnsi="Times New Roman" w:cs="Times New Roman"/>
          <w:b/>
        </w:rPr>
      </w:pPr>
      <w:r w:rsidRPr="00BF475C">
        <w:rPr>
          <w:rFonts w:ascii="Times New Roman" w:hAnsi="Times New Roman" w:cs="Times New Roman"/>
          <w:b/>
        </w:rPr>
        <w:t>Table S4.1</w:t>
      </w:r>
    </w:p>
    <w:p w14:paraId="05ED426B" w14:textId="55FF3EE1" w:rsidR="00BF475C" w:rsidRPr="00BF475C" w:rsidRDefault="00BF475C" w:rsidP="00BF475C">
      <w:pPr>
        <w:pStyle w:val="NoSpacing"/>
        <w:spacing w:line="480" w:lineRule="auto"/>
        <w:rPr>
          <w:rFonts w:ascii="Times New Roman" w:hAnsi="Times New Roman" w:cs="Times New Roman"/>
          <w:bCs/>
          <w:i/>
          <w:iCs/>
        </w:rPr>
      </w:pPr>
      <w:r w:rsidRPr="00BF475C">
        <w:rPr>
          <w:rFonts w:ascii="Times New Roman" w:hAnsi="Times New Roman" w:cs="Times New Roman"/>
          <w:bCs/>
          <w:i/>
          <w:iCs/>
        </w:rPr>
        <w:t>Description of</w:t>
      </w:r>
      <w:r w:rsidRPr="00BF475C">
        <w:rPr>
          <w:rFonts w:ascii="Times New Roman" w:hAnsi="Times New Roman" w:cs="Times New Roman"/>
          <w:bCs/>
        </w:rPr>
        <w:t xml:space="preserve"> </w:t>
      </w:r>
      <w:r w:rsidRPr="00BF475C">
        <w:rPr>
          <w:rFonts w:ascii="Times New Roman" w:hAnsi="Times New Roman" w:cs="Times New Roman"/>
          <w:bCs/>
          <w:i/>
          <w:iCs/>
        </w:rPr>
        <w:t>the content in the images used in the task to depict alcohol and soft-drinks</w:t>
      </w:r>
    </w:p>
    <w:tbl>
      <w:tblPr>
        <w:tblW w:w="9190" w:type="dxa"/>
        <w:tblLook w:val="04A0" w:firstRow="1" w:lastRow="0" w:firstColumn="1" w:lastColumn="0" w:noHBand="0" w:noVBand="1"/>
      </w:tblPr>
      <w:tblGrid>
        <w:gridCol w:w="4596"/>
        <w:gridCol w:w="4594"/>
      </w:tblGrid>
      <w:tr w:rsidR="00BF475C" w:rsidRPr="00BF475C" w14:paraId="1C7CDDB2" w14:textId="77777777" w:rsidTr="00BF475C">
        <w:trPr>
          <w:trHeight w:val="565"/>
        </w:trPr>
        <w:tc>
          <w:tcPr>
            <w:tcW w:w="4596" w:type="dxa"/>
            <w:tcBorders>
              <w:top w:val="single" w:sz="8" w:space="0" w:color="auto"/>
              <w:left w:val="single" w:sz="4" w:space="0" w:color="auto"/>
              <w:bottom w:val="single" w:sz="8" w:space="0" w:color="auto"/>
              <w:right w:val="single" w:sz="4" w:space="0" w:color="auto"/>
            </w:tcBorders>
          </w:tcPr>
          <w:p w14:paraId="09F1D80C" w14:textId="77777777" w:rsidR="00BF475C" w:rsidRPr="00BF475C" w:rsidRDefault="00BF475C" w:rsidP="00BF475C">
            <w:pPr>
              <w:pStyle w:val="NoSpacing"/>
              <w:jc w:val="center"/>
              <w:rPr>
                <w:rFonts w:ascii="Times New Roman" w:hAnsi="Times New Roman" w:cs="Times New Roman"/>
                <w:b/>
              </w:rPr>
            </w:pPr>
            <w:r w:rsidRPr="00BF475C">
              <w:rPr>
                <w:rFonts w:ascii="Times New Roman" w:hAnsi="Times New Roman" w:cs="Times New Roman"/>
                <w:b/>
              </w:rPr>
              <w:t>Alcohol</w:t>
            </w:r>
          </w:p>
        </w:tc>
        <w:tc>
          <w:tcPr>
            <w:tcW w:w="4594" w:type="dxa"/>
            <w:tcBorders>
              <w:top w:val="single" w:sz="8" w:space="0" w:color="auto"/>
              <w:left w:val="single" w:sz="4" w:space="0" w:color="auto"/>
              <w:bottom w:val="single" w:sz="8" w:space="0" w:color="auto"/>
              <w:right w:val="single" w:sz="4" w:space="0" w:color="auto"/>
            </w:tcBorders>
          </w:tcPr>
          <w:p w14:paraId="1DFA0ACB" w14:textId="77777777" w:rsidR="00BF475C" w:rsidRPr="00BF475C" w:rsidRDefault="00BF475C" w:rsidP="00BF475C">
            <w:pPr>
              <w:pStyle w:val="NoSpacing"/>
              <w:jc w:val="center"/>
              <w:rPr>
                <w:rFonts w:ascii="Times New Roman" w:hAnsi="Times New Roman" w:cs="Times New Roman"/>
                <w:b/>
              </w:rPr>
            </w:pPr>
            <w:r w:rsidRPr="00BF475C">
              <w:rPr>
                <w:rFonts w:ascii="Times New Roman" w:hAnsi="Times New Roman" w:cs="Times New Roman"/>
                <w:b/>
              </w:rPr>
              <w:t>Soft-drinks</w:t>
            </w:r>
          </w:p>
        </w:tc>
      </w:tr>
      <w:tr w:rsidR="00BF475C" w:rsidRPr="00BF475C" w14:paraId="2ED396D7" w14:textId="77777777" w:rsidTr="00BF475C">
        <w:trPr>
          <w:trHeight w:val="478"/>
        </w:trPr>
        <w:tc>
          <w:tcPr>
            <w:tcW w:w="4596" w:type="dxa"/>
            <w:tcBorders>
              <w:top w:val="single" w:sz="8" w:space="0" w:color="auto"/>
              <w:left w:val="single" w:sz="4" w:space="0" w:color="auto"/>
              <w:bottom w:val="single" w:sz="4" w:space="0" w:color="auto"/>
              <w:right w:val="single" w:sz="4" w:space="0" w:color="auto"/>
            </w:tcBorders>
          </w:tcPr>
          <w:p w14:paraId="7D51C83B"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Fosters</w:t>
            </w:r>
          </w:p>
        </w:tc>
        <w:tc>
          <w:tcPr>
            <w:tcW w:w="4594" w:type="dxa"/>
            <w:tcBorders>
              <w:top w:val="single" w:sz="8" w:space="0" w:color="auto"/>
              <w:left w:val="single" w:sz="4" w:space="0" w:color="auto"/>
              <w:bottom w:val="single" w:sz="4" w:space="0" w:color="auto"/>
              <w:right w:val="single" w:sz="4" w:space="0" w:color="auto"/>
            </w:tcBorders>
          </w:tcPr>
          <w:p w14:paraId="457B861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Coke*</w:t>
            </w:r>
          </w:p>
        </w:tc>
      </w:tr>
      <w:tr w:rsidR="00BF475C" w:rsidRPr="00BF475C" w14:paraId="55B6C1B5"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64E8D53"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Budweiser</w:t>
            </w:r>
          </w:p>
        </w:tc>
        <w:tc>
          <w:tcPr>
            <w:tcW w:w="4594" w:type="dxa"/>
            <w:tcBorders>
              <w:top w:val="single" w:sz="4" w:space="0" w:color="auto"/>
              <w:left w:val="single" w:sz="4" w:space="0" w:color="auto"/>
              <w:bottom w:val="single" w:sz="4" w:space="0" w:color="auto"/>
              <w:right w:val="single" w:sz="4" w:space="0" w:color="auto"/>
            </w:tcBorders>
          </w:tcPr>
          <w:p w14:paraId="0E906D1E"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Dr Pepper</w:t>
            </w:r>
          </w:p>
        </w:tc>
      </w:tr>
      <w:tr w:rsidR="00BF475C" w:rsidRPr="00BF475C" w14:paraId="484DCA51"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5F32243A"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Corona</w:t>
            </w:r>
          </w:p>
        </w:tc>
        <w:tc>
          <w:tcPr>
            <w:tcW w:w="4594" w:type="dxa"/>
            <w:tcBorders>
              <w:top w:val="single" w:sz="4" w:space="0" w:color="auto"/>
              <w:left w:val="single" w:sz="4" w:space="0" w:color="auto"/>
              <w:bottom w:val="single" w:sz="4" w:space="0" w:color="auto"/>
              <w:right w:val="single" w:sz="4" w:space="0" w:color="auto"/>
            </w:tcBorders>
          </w:tcPr>
          <w:p w14:paraId="21A4BF5B"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7UP*</w:t>
            </w:r>
          </w:p>
        </w:tc>
      </w:tr>
      <w:tr w:rsidR="00BF475C" w:rsidRPr="00BF475C" w14:paraId="335610C6"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6B577178"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Can of </w:t>
            </w:r>
            <w:proofErr w:type="spellStart"/>
            <w:r w:rsidRPr="00BF475C">
              <w:rPr>
                <w:rFonts w:ascii="Times New Roman" w:hAnsi="Times New Roman" w:cs="Times New Roman"/>
                <w:bCs/>
              </w:rPr>
              <w:t>Brewdog</w:t>
            </w:r>
            <w:proofErr w:type="spellEnd"/>
            <w:r w:rsidRPr="00BF475C">
              <w:rPr>
                <w:rFonts w:ascii="Times New Roman" w:hAnsi="Times New Roman" w:cs="Times New Roman"/>
                <w:bCs/>
              </w:rPr>
              <w:t xml:space="preserve"> Punk IPA</w:t>
            </w:r>
          </w:p>
        </w:tc>
        <w:tc>
          <w:tcPr>
            <w:tcW w:w="4594" w:type="dxa"/>
            <w:tcBorders>
              <w:top w:val="single" w:sz="4" w:space="0" w:color="auto"/>
              <w:left w:val="single" w:sz="4" w:space="0" w:color="auto"/>
              <w:bottom w:val="single" w:sz="4" w:space="0" w:color="auto"/>
              <w:right w:val="single" w:sz="4" w:space="0" w:color="auto"/>
            </w:tcBorders>
          </w:tcPr>
          <w:p w14:paraId="14A905F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Bottle of </w:t>
            </w:r>
            <w:proofErr w:type="spellStart"/>
            <w:r w:rsidRPr="00BF475C">
              <w:rPr>
                <w:rFonts w:ascii="Times New Roman" w:hAnsi="Times New Roman" w:cs="Times New Roman"/>
                <w:bCs/>
              </w:rPr>
              <w:t>Irn</w:t>
            </w:r>
            <w:proofErr w:type="spellEnd"/>
            <w:r w:rsidRPr="00BF475C">
              <w:rPr>
                <w:rFonts w:ascii="Times New Roman" w:hAnsi="Times New Roman" w:cs="Times New Roman"/>
                <w:bCs/>
              </w:rPr>
              <w:t xml:space="preserve"> Bru</w:t>
            </w:r>
          </w:p>
        </w:tc>
      </w:tr>
      <w:tr w:rsidR="00BF475C" w:rsidRPr="00BF475C" w14:paraId="27CAE96D"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7CE3913"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Guinness</w:t>
            </w:r>
          </w:p>
        </w:tc>
        <w:tc>
          <w:tcPr>
            <w:tcW w:w="4594" w:type="dxa"/>
            <w:tcBorders>
              <w:top w:val="single" w:sz="4" w:space="0" w:color="auto"/>
              <w:left w:val="single" w:sz="4" w:space="0" w:color="auto"/>
              <w:bottom w:val="single" w:sz="4" w:space="0" w:color="auto"/>
              <w:right w:val="single" w:sz="4" w:space="0" w:color="auto"/>
            </w:tcBorders>
          </w:tcPr>
          <w:p w14:paraId="0D7049C6"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Bottle of </w:t>
            </w:r>
            <w:proofErr w:type="spellStart"/>
            <w:r w:rsidRPr="00BF475C">
              <w:rPr>
                <w:rFonts w:ascii="Times New Roman" w:hAnsi="Times New Roman" w:cs="Times New Roman"/>
                <w:bCs/>
              </w:rPr>
              <w:t>Orangina</w:t>
            </w:r>
            <w:proofErr w:type="spellEnd"/>
          </w:p>
        </w:tc>
      </w:tr>
      <w:tr w:rsidR="00BF475C" w:rsidRPr="00BF475C" w14:paraId="1E45EF38"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2E69D2CA"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John Smiths Extra Smooth</w:t>
            </w:r>
          </w:p>
        </w:tc>
        <w:tc>
          <w:tcPr>
            <w:tcW w:w="4594" w:type="dxa"/>
            <w:tcBorders>
              <w:top w:val="single" w:sz="4" w:space="0" w:color="auto"/>
              <w:left w:val="single" w:sz="4" w:space="0" w:color="auto"/>
              <w:bottom w:val="single" w:sz="4" w:space="0" w:color="auto"/>
              <w:right w:val="single" w:sz="4" w:space="0" w:color="auto"/>
            </w:tcBorders>
          </w:tcPr>
          <w:p w14:paraId="2CC8613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Lucozade (Original)</w:t>
            </w:r>
          </w:p>
        </w:tc>
      </w:tr>
      <w:tr w:rsidR="00BF475C" w:rsidRPr="00BF475C" w14:paraId="28AE20D4"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7BF6FD53"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Old Speckled Hen</w:t>
            </w:r>
          </w:p>
        </w:tc>
        <w:tc>
          <w:tcPr>
            <w:tcW w:w="4594" w:type="dxa"/>
            <w:tcBorders>
              <w:top w:val="single" w:sz="4" w:space="0" w:color="auto"/>
              <w:left w:val="single" w:sz="4" w:space="0" w:color="auto"/>
              <w:bottom w:val="single" w:sz="4" w:space="0" w:color="auto"/>
              <w:right w:val="single" w:sz="4" w:space="0" w:color="auto"/>
            </w:tcBorders>
          </w:tcPr>
          <w:p w14:paraId="4D614C0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Fanta (Orange)*</w:t>
            </w:r>
          </w:p>
        </w:tc>
      </w:tr>
      <w:tr w:rsidR="00BF475C" w:rsidRPr="00BF475C" w14:paraId="40186F83"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3B2E23A8"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Caribbean Twist (Mixed Mango)</w:t>
            </w:r>
          </w:p>
        </w:tc>
        <w:tc>
          <w:tcPr>
            <w:tcW w:w="4594" w:type="dxa"/>
            <w:tcBorders>
              <w:top w:val="single" w:sz="4" w:space="0" w:color="auto"/>
              <w:left w:val="single" w:sz="4" w:space="0" w:color="auto"/>
              <w:bottom w:val="single" w:sz="4" w:space="0" w:color="auto"/>
              <w:right w:val="single" w:sz="4" w:space="0" w:color="auto"/>
            </w:tcBorders>
          </w:tcPr>
          <w:p w14:paraId="741AB82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San Pellegrino Sparkling Water</w:t>
            </w:r>
          </w:p>
        </w:tc>
      </w:tr>
      <w:tr w:rsidR="00BF475C" w:rsidRPr="00BF475C" w14:paraId="24BAEE7F"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47AD46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Hooch</w:t>
            </w:r>
          </w:p>
        </w:tc>
        <w:tc>
          <w:tcPr>
            <w:tcW w:w="4594" w:type="dxa"/>
            <w:tcBorders>
              <w:top w:val="single" w:sz="4" w:space="0" w:color="auto"/>
              <w:left w:val="single" w:sz="4" w:space="0" w:color="auto"/>
              <w:bottom w:val="single" w:sz="4" w:space="0" w:color="auto"/>
              <w:right w:val="single" w:sz="4" w:space="0" w:color="auto"/>
            </w:tcBorders>
          </w:tcPr>
          <w:p w14:paraId="7734194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Pepsi Max*</w:t>
            </w:r>
          </w:p>
        </w:tc>
      </w:tr>
      <w:tr w:rsidR="00BF475C" w:rsidRPr="00BF475C" w14:paraId="7DA52B3E"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325C440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Archers Schnapps</w:t>
            </w:r>
          </w:p>
        </w:tc>
        <w:tc>
          <w:tcPr>
            <w:tcW w:w="4594" w:type="dxa"/>
            <w:tcBorders>
              <w:top w:val="single" w:sz="4" w:space="0" w:color="auto"/>
              <w:left w:val="single" w:sz="4" w:space="0" w:color="auto"/>
              <w:bottom w:val="single" w:sz="4" w:space="0" w:color="auto"/>
              <w:right w:val="single" w:sz="4" w:space="0" w:color="auto"/>
            </w:tcBorders>
          </w:tcPr>
          <w:p w14:paraId="18AB45E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Monster Energy</w:t>
            </w:r>
          </w:p>
        </w:tc>
      </w:tr>
      <w:tr w:rsidR="00BF475C" w:rsidRPr="00BF475C" w14:paraId="59253A14"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4478ED8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lastRenderedPageBreak/>
              <w:t>Bottle of WKD (blue)</w:t>
            </w:r>
          </w:p>
        </w:tc>
        <w:tc>
          <w:tcPr>
            <w:tcW w:w="4594" w:type="dxa"/>
            <w:tcBorders>
              <w:top w:val="single" w:sz="4" w:space="0" w:color="auto"/>
              <w:left w:val="single" w:sz="4" w:space="0" w:color="auto"/>
              <w:bottom w:val="single" w:sz="4" w:space="0" w:color="auto"/>
              <w:right w:val="single" w:sz="4" w:space="0" w:color="auto"/>
            </w:tcBorders>
          </w:tcPr>
          <w:p w14:paraId="6E3DEFCB"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Can of San Pellegrino </w:t>
            </w:r>
            <w:proofErr w:type="spellStart"/>
            <w:r w:rsidRPr="00BF475C">
              <w:rPr>
                <w:rFonts w:ascii="Times New Roman" w:hAnsi="Times New Roman" w:cs="Times New Roman"/>
                <w:bCs/>
              </w:rPr>
              <w:t>Limonata</w:t>
            </w:r>
            <w:proofErr w:type="spellEnd"/>
          </w:p>
        </w:tc>
      </w:tr>
      <w:tr w:rsidR="00BF475C" w:rsidRPr="00BF475C" w14:paraId="798AC4F2"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431EA82"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Smirnoff Ice*</w:t>
            </w:r>
          </w:p>
        </w:tc>
        <w:tc>
          <w:tcPr>
            <w:tcW w:w="4594" w:type="dxa"/>
            <w:tcBorders>
              <w:top w:val="single" w:sz="4" w:space="0" w:color="auto"/>
              <w:left w:val="single" w:sz="4" w:space="0" w:color="auto"/>
              <w:bottom w:val="single" w:sz="4" w:space="0" w:color="auto"/>
              <w:right w:val="single" w:sz="4" w:space="0" w:color="auto"/>
            </w:tcBorders>
          </w:tcPr>
          <w:p w14:paraId="09FE3D8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San Pellegrino Lemon &amp; Mint</w:t>
            </w:r>
          </w:p>
        </w:tc>
      </w:tr>
      <w:tr w:rsidR="00BF475C" w:rsidRPr="00BF475C" w14:paraId="4C6259C0" w14:textId="77777777" w:rsidTr="002A1E63">
        <w:trPr>
          <w:trHeight w:val="595"/>
        </w:trPr>
        <w:tc>
          <w:tcPr>
            <w:tcW w:w="4596" w:type="dxa"/>
            <w:tcBorders>
              <w:top w:val="single" w:sz="4" w:space="0" w:color="auto"/>
              <w:left w:val="single" w:sz="4" w:space="0" w:color="auto"/>
              <w:bottom w:val="single" w:sz="4" w:space="0" w:color="auto"/>
              <w:right w:val="single" w:sz="4" w:space="0" w:color="auto"/>
            </w:tcBorders>
          </w:tcPr>
          <w:p w14:paraId="5BB26981"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Strongbow (Dark Fruit)</w:t>
            </w:r>
          </w:p>
        </w:tc>
        <w:tc>
          <w:tcPr>
            <w:tcW w:w="4594" w:type="dxa"/>
            <w:tcBorders>
              <w:top w:val="single" w:sz="4" w:space="0" w:color="auto"/>
              <w:left w:val="single" w:sz="4" w:space="0" w:color="auto"/>
              <w:bottom w:val="single" w:sz="4" w:space="0" w:color="auto"/>
              <w:right w:val="single" w:sz="4" w:space="0" w:color="auto"/>
            </w:tcBorders>
          </w:tcPr>
          <w:p w14:paraId="668661C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San Pellegrino Pomegranate &amp; Orange</w:t>
            </w:r>
          </w:p>
        </w:tc>
      </w:tr>
      <w:tr w:rsidR="00BF475C" w:rsidRPr="00BF475C" w14:paraId="6E4A3A05"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7419ECA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Strongbow (Original)</w:t>
            </w:r>
          </w:p>
        </w:tc>
        <w:tc>
          <w:tcPr>
            <w:tcW w:w="4594" w:type="dxa"/>
            <w:tcBorders>
              <w:top w:val="single" w:sz="4" w:space="0" w:color="auto"/>
              <w:left w:val="single" w:sz="4" w:space="0" w:color="auto"/>
              <w:bottom w:val="single" w:sz="4" w:space="0" w:color="auto"/>
              <w:right w:val="single" w:sz="4" w:space="0" w:color="auto"/>
            </w:tcBorders>
          </w:tcPr>
          <w:p w14:paraId="2198643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Bottle of Lipton </w:t>
            </w:r>
            <w:proofErr w:type="gramStart"/>
            <w:r w:rsidRPr="00BF475C">
              <w:rPr>
                <w:rFonts w:ascii="Times New Roman" w:hAnsi="Times New Roman" w:cs="Times New Roman"/>
                <w:bCs/>
              </w:rPr>
              <w:t>Ice Tea</w:t>
            </w:r>
            <w:proofErr w:type="gramEnd"/>
            <w:r w:rsidRPr="00BF475C">
              <w:rPr>
                <w:rFonts w:ascii="Times New Roman" w:hAnsi="Times New Roman" w:cs="Times New Roman"/>
                <w:bCs/>
              </w:rPr>
              <w:t>*</w:t>
            </w:r>
          </w:p>
        </w:tc>
      </w:tr>
      <w:tr w:rsidR="00BF475C" w:rsidRPr="00BF475C" w14:paraId="04525476"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30A0C50F"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Bottle of Stella Artois Apple </w:t>
            </w:r>
            <w:proofErr w:type="spellStart"/>
            <w:r w:rsidRPr="00BF475C">
              <w:rPr>
                <w:rFonts w:ascii="Times New Roman" w:hAnsi="Times New Roman" w:cs="Times New Roman"/>
                <w:bCs/>
              </w:rPr>
              <w:t>Cidre</w:t>
            </w:r>
            <w:proofErr w:type="spellEnd"/>
          </w:p>
        </w:tc>
        <w:tc>
          <w:tcPr>
            <w:tcW w:w="4594" w:type="dxa"/>
            <w:tcBorders>
              <w:top w:val="single" w:sz="4" w:space="0" w:color="auto"/>
              <w:left w:val="single" w:sz="4" w:space="0" w:color="auto"/>
              <w:bottom w:val="single" w:sz="4" w:space="0" w:color="auto"/>
              <w:right w:val="single" w:sz="4" w:space="0" w:color="auto"/>
            </w:tcBorders>
          </w:tcPr>
          <w:p w14:paraId="22B49203"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Tropicana Apple Juice</w:t>
            </w:r>
          </w:p>
        </w:tc>
      </w:tr>
      <w:tr w:rsidR="00BF475C" w:rsidRPr="00BF475C" w14:paraId="2106878F"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657EDE66"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Can of Scrumpy Jack</w:t>
            </w:r>
          </w:p>
        </w:tc>
        <w:tc>
          <w:tcPr>
            <w:tcW w:w="4594" w:type="dxa"/>
            <w:tcBorders>
              <w:top w:val="single" w:sz="4" w:space="0" w:color="auto"/>
              <w:left w:val="single" w:sz="4" w:space="0" w:color="auto"/>
              <w:bottom w:val="single" w:sz="4" w:space="0" w:color="auto"/>
              <w:right w:val="single" w:sz="4" w:space="0" w:color="auto"/>
            </w:tcBorders>
          </w:tcPr>
          <w:p w14:paraId="4F26DD5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Tropicana Orange Juice</w:t>
            </w:r>
          </w:p>
        </w:tc>
      </w:tr>
      <w:tr w:rsidR="00BF475C" w:rsidRPr="00BF475C" w14:paraId="72782063"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128B45D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Kopparberg (Pear)</w:t>
            </w:r>
          </w:p>
        </w:tc>
        <w:tc>
          <w:tcPr>
            <w:tcW w:w="4594" w:type="dxa"/>
            <w:tcBorders>
              <w:top w:val="single" w:sz="4" w:space="0" w:color="auto"/>
              <w:left w:val="single" w:sz="4" w:space="0" w:color="auto"/>
              <w:bottom w:val="single" w:sz="4" w:space="0" w:color="auto"/>
              <w:right w:val="single" w:sz="4" w:space="0" w:color="auto"/>
            </w:tcBorders>
          </w:tcPr>
          <w:p w14:paraId="0402976F"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Tropicana Orange Juice (with bits)</w:t>
            </w:r>
          </w:p>
        </w:tc>
      </w:tr>
      <w:tr w:rsidR="00BF475C" w:rsidRPr="00BF475C" w14:paraId="7B579B11"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57F767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Kopparberg (Strawberry and Lime)</w:t>
            </w:r>
          </w:p>
        </w:tc>
        <w:tc>
          <w:tcPr>
            <w:tcW w:w="4594" w:type="dxa"/>
            <w:tcBorders>
              <w:top w:val="single" w:sz="4" w:space="0" w:color="auto"/>
              <w:left w:val="single" w:sz="4" w:space="0" w:color="auto"/>
              <w:bottom w:val="single" w:sz="4" w:space="0" w:color="auto"/>
              <w:right w:val="single" w:sz="4" w:space="0" w:color="auto"/>
            </w:tcBorders>
          </w:tcPr>
          <w:p w14:paraId="05F0A0DB"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Capri-Sun Orange</w:t>
            </w:r>
          </w:p>
        </w:tc>
      </w:tr>
      <w:tr w:rsidR="00BF475C" w:rsidRPr="00BF475C" w14:paraId="739AB1C0"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6AE4CD2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Kopparberg (Mixed Fruit)</w:t>
            </w:r>
          </w:p>
        </w:tc>
        <w:tc>
          <w:tcPr>
            <w:tcW w:w="4594" w:type="dxa"/>
            <w:tcBorders>
              <w:top w:val="single" w:sz="4" w:space="0" w:color="auto"/>
              <w:left w:val="single" w:sz="4" w:space="0" w:color="auto"/>
              <w:bottom w:val="single" w:sz="4" w:space="0" w:color="auto"/>
              <w:right w:val="single" w:sz="4" w:space="0" w:color="auto"/>
            </w:tcBorders>
          </w:tcPr>
          <w:p w14:paraId="669EC28E"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Capri-Sun Cherry</w:t>
            </w:r>
          </w:p>
        </w:tc>
      </w:tr>
      <w:tr w:rsidR="00BF475C" w:rsidRPr="00BF475C" w14:paraId="6F4BC927"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10A20FB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Smirnoff Vodka*</w:t>
            </w:r>
          </w:p>
        </w:tc>
        <w:tc>
          <w:tcPr>
            <w:tcW w:w="4594" w:type="dxa"/>
            <w:tcBorders>
              <w:top w:val="single" w:sz="4" w:space="0" w:color="auto"/>
              <w:left w:val="single" w:sz="4" w:space="0" w:color="auto"/>
              <w:bottom w:val="single" w:sz="4" w:space="0" w:color="auto"/>
              <w:right w:val="single" w:sz="4" w:space="0" w:color="auto"/>
            </w:tcBorders>
          </w:tcPr>
          <w:p w14:paraId="344251E0"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J20 Orange and Passion Fruit</w:t>
            </w:r>
          </w:p>
        </w:tc>
      </w:tr>
      <w:tr w:rsidR="00BF475C" w:rsidRPr="00BF475C" w14:paraId="760053C9"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4970C1A6"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Baileys (Irish Cream Liqueur)</w:t>
            </w:r>
          </w:p>
        </w:tc>
        <w:tc>
          <w:tcPr>
            <w:tcW w:w="4594" w:type="dxa"/>
            <w:tcBorders>
              <w:top w:val="single" w:sz="4" w:space="0" w:color="auto"/>
              <w:left w:val="single" w:sz="4" w:space="0" w:color="auto"/>
              <w:bottom w:val="single" w:sz="4" w:space="0" w:color="auto"/>
              <w:right w:val="single" w:sz="4" w:space="0" w:color="auto"/>
            </w:tcBorders>
          </w:tcPr>
          <w:p w14:paraId="05C1C71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J20 Apple and Raspberry</w:t>
            </w:r>
          </w:p>
        </w:tc>
      </w:tr>
      <w:tr w:rsidR="00BF475C" w:rsidRPr="00BF475C" w14:paraId="35D3ADD0"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59B455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Gordon’s Gin</w:t>
            </w:r>
          </w:p>
        </w:tc>
        <w:tc>
          <w:tcPr>
            <w:tcW w:w="4594" w:type="dxa"/>
            <w:tcBorders>
              <w:top w:val="single" w:sz="4" w:space="0" w:color="auto"/>
              <w:left w:val="single" w:sz="4" w:space="0" w:color="auto"/>
              <w:bottom w:val="single" w:sz="4" w:space="0" w:color="auto"/>
              <w:right w:val="single" w:sz="4" w:space="0" w:color="auto"/>
            </w:tcBorders>
          </w:tcPr>
          <w:p w14:paraId="30BF4C02"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Ribena Blackcurrant</w:t>
            </w:r>
          </w:p>
        </w:tc>
      </w:tr>
      <w:tr w:rsidR="00BF475C" w:rsidRPr="00BF475C" w14:paraId="6B418843"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14BFCA2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Jack Daniel’s Whiskey</w:t>
            </w:r>
          </w:p>
        </w:tc>
        <w:tc>
          <w:tcPr>
            <w:tcW w:w="4594" w:type="dxa"/>
            <w:tcBorders>
              <w:top w:val="single" w:sz="4" w:space="0" w:color="auto"/>
              <w:left w:val="single" w:sz="4" w:space="0" w:color="auto"/>
              <w:bottom w:val="single" w:sz="4" w:space="0" w:color="auto"/>
              <w:right w:val="single" w:sz="4" w:space="0" w:color="auto"/>
            </w:tcBorders>
          </w:tcPr>
          <w:p w14:paraId="1CBBCA03"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Evian Still Water*</w:t>
            </w:r>
          </w:p>
        </w:tc>
      </w:tr>
      <w:tr w:rsidR="00BF475C" w:rsidRPr="00BF475C" w14:paraId="6F7DAD5C"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4C1574D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Pimm’s</w:t>
            </w:r>
          </w:p>
        </w:tc>
        <w:tc>
          <w:tcPr>
            <w:tcW w:w="4594" w:type="dxa"/>
            <w:tcBorders>
              <w:top w:val="single" w:sz="4" w:space="0" w:color="auto"/>
              <w:left w:val="single" w:sz="4" w:space="0" w:color="auto"/>
              <w:bottom w:val="single" w:sz="4" w:space="0" w:color="auto"/>
              <w:right w:val="single" w:sz="4" w:space="0" w:color="auto"/>
            </w:tcBorders>
          </w:tcPr>
          <w:p w14:paraId="6E312C4E"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Naked Green Machine Smoothie</w:t>
            </w:r>
          </w:p>
        </w:tc>
      </w:tr>
      <w:tr w:rsidR="00BF475C" w:rsidRPr="00BF475C" w14:paraId="6102902D"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43709A88"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 xml:space="preserve">Bottle of Apple </w:t>
            </w:r>
            <w:proofErr w:type="spellStart"/>
            <w:r w:rsidRPr="00BF475C">
              <w:rPr>
                <w:rFonts w:ascii="Times New Roman" w:hAnsi="Times New Roman" w:cs="Times New Roman"/>
                <w:bCs/>
              </w:rPr>
              <w:t>Sourz</w:t>
            </w:r>
            <w:proofErr w:type="spellEnd"/>
          </w:p>
        </w:tc>
        <w:tc>
          <w:tcPr>
            <w:tcW w:w="4594" w:type="dxa"/>
            <w:tcBorders>
              <w:top w:val="single" w:sz="4" w:space="0" w:color="auto"/>
              <w:left w:val="single" w:sz="4" w:space="0" w:color="auto"/>
              <w:bottom w:val="single" w:sz="4" w:space="0" w:color="auto"/>
              <w:right w:val="single" w:sz="4" w:space="0" w:color="auto"/>
            </w:tcBorders>
          </w:tcPr>
          <w:p w14:paraId="51E533D7"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Naked Orange Carrot Smoothie</w:t>
            </w:r>
          </w:p>
        </w:tc>
      </w:tr>
      <w:tr w:rsidR="00BF475C" w:rsidRPr="00BF475C" w14:paraId="284CA09B"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3A61FCB8"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Sierra Tequila</w:t>
            </w:r>
          </w:p>
        </w:tc>
        <w:tc>
          <w:tcPr>
            <w:tcW w:w="4594" w:type="dxa"/>
            <w:tcBorders>
              <w:top w:val="single" w:sz="4" w:space="0" w:color="auto"/>
              <w:left w:val="single" w:sz="4" w:space="0" w:color="auto"/>
              <w:bottom w:val="single" w:sz="4" w:space="0" w:color="auto"/>
              <w:right w:val="single" w:sz="4" w:space="0" w:color="auto"/>
            </w:tcBorders>
          </w:tcPr>
          <w:p w14:paraId="5C28E7A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Naked Blue Machine Smoothie</w:t>
            </w:r>
          </w:p>
        </w:tc>
      </w:tr>
      <w:tr w:rsidR="00BF475C" w:rsidRPr="00BF475C" w14:paraId="4E96C5CE"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1EBA1C1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Captain Morgan’s Spiced Rum</w:t>
            </w:r>
          </w:p>
        </w:tc>
        <w:tc>
          <w:tcPr>
            <w:tcW w:w="4594" w:type="dxa"/>
            <w:tcBorders>
              <w:top w:val="single" w:sz="4" w:space="0" w:color="auto"/>
              <w:left w:val="single" w:sz="4" w:space="0" w:color="auto"/>
              <w:bottom w:val="single" w:sz="4" w:space="0" w:color="auto"/>
              <w:right w:val="single" w:sz="4" w:space="0" w:color="auto"/>
            </w:tcBorders>
          </w:tcPr>
          <w:p w14:paraId="64D4B0FD"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Milk (1 pint; semi-skimmed)</w:t>
            </w:r>
          </w:p>
        </w:tc>
      </w:tr>
      <w:tr w:rsidR="00BF475C" w:rsidRPr="00BF475C" w14:paraId="5DA43F37"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92F5F42"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Aperol</w:t>
            </w:r>
          </w:p>
        </w:tc>
        <w:tc>
          <w:tcPr>
            <w:tcW w:w="4594" w:type="dxa"/>
            <w:tcBorders>
              <w:top w:val="single" w:sz="4" w:space="0" w:color="auto"/>
              <w:left w:val="single" w:sz="4" w:space="0" w:color="auto"/>
              <w:bottom w:val="single" w:sz="4" w:space="0" w:color="auto"/>
              <w:right w:val="single" w:sz="4" w:space="0" w:color="auto"/>
            </w:tcBorders>
          </w:tcPr>
          <w:p w14:paraId="79661E45" w14:textId="77777777" w:rsidR="00BF475C" w:rsidRPr="00BF475C" w:rsidRDefault="00BF475C" w:rsidP="00BF475C">
            <w:pPr>
              <w:pStyle w:val="NoSpacing"/>
              <w:jc w:val="center"/>
              <w:rPr>
                <w:rFonts w:ascii="Times New Roman" w:hAnsi="Times New Roman" w:cs="Times New Roman"/>
                <w:bCs/>
              </w:rPr>
            </w:pPr>
            <w:proofErr w:type="spellStart"/>
            <w:r w:rsidRPr="00BF475C">
              <w:rPr>
                <w:rFonts w:ascii="Times New Roman" w:hAnsi="Times New Roman" w:cs="Times New Roman"/>
                <w:bCs/>
              </w:rPr>
              <w:t>Frijj</w:t>
            </w:r>
            <w:proofErr w:type="spellEnd"/>
            <w:r w:rsidRPr="00BF475C">
              <w:rPr>
                <w:rFonts w:ascii="Times New Roman" w:hAnsi="Times New Roman" w:cs="Times New Roman"/>
                <w:bCs/>
              </w:rPr>
              <w:t xml:space="preserve"> Chocolate Milkshake</w:t>
            </w:r>
          </w:p>
        </w:tc>
      </w:tr>
      <w:tr w:rsidR="00BF475C" w:rsidRPr="00BF475C" w14:paraId="7A25E51C"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011A0E74"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Rosé Wine (Blossom Hill)</w:t>
            </w:r>
          </w:p>
        </w:tc>
        <w:tc>
          <w:tcPr>
            <w:tcW w:w="4594" w:type="dxa"/>
            <w:tcBorders>
              <w:top w:val="single" w:sz="4" w:space="0" w:color="auto"/>
              <w:left w:val="single" w:sz="4" w:space="0" w:color="auto"/>
              <w:bottom w:val="single" w:sz="4" w:space="0" w:color="auto"/>
              <w:right w:val="single" w:sz="4" w:space="0" w:color="auto"/>
            </w:tcBorders>
          </w:tcPr>
          <w:p w14:paraId="5FA93A13" w14:textId="77777777" w:rsidR="00BF475C" w:rsidRPr="00BF475C" w:rsidRDefault="00BF475C" w:rsidP="00BF475C">
            <w:pPr>
              <w:pStyle w:val="NoSpacing"/>
              <w:jc w:val="center"/>
              <w:rPr>
                <w:rFonts w:ascii="Times New Roman" w:hAnsi="Times New Roman" w:cs="Times New Roman"/>
                <w:bCs/>
              </w:rPr>
            </w:pPr>
            <w:proofErr w:type="spellStart"/>
            <w:r w:rsidRPr="00BF475C">
              <w:rPr>
                <w:rFonts w:ascii="Times New Roman" w:hAnsi="Times New Roman" w:cs="Times New Roman"/>
                <w:bCs/>
              </w:rPr>
              <w:t>Frijj</w:t>
            </w:r>
            <w:proofErr w:type="spellEnd"/>
            <w:r w:rsidRPr="00BF475C">
              <w:rPr>
                <w:rFonts w:ascii="Times New Roman" w:hAnsi="Times New Roman" w:cs="Times New Roman"/>
                <w:bCs/>
              </w:rPr>
              <w:t xml:space="preserve"> Strawberry Milkshake</w:t>
            </w:r>
          </w:p>
        </w:tc>
      </w:tr>
      <w:tr w:rsidR="00BF475C" w:rsidRPr="00BF475C" w14:paraId="4418040C" w14:textId="77777777" w:rsidTr="002A1E63">
        <w:trPr>
          <w:trHeight w:val="604"/>
        </w:trPr>
        <w:tc>
          <w:tcPr>
            <w:tcW w:w="4596" w:type="dxa"/>
            <w:tcBorders>
              <w:top w:val="single" w:sz="4" w:space="0" w:color="auto"/>
              <w:left w:val="single" w:sz="4" w:space="0" w:color="auto"/>
              <w:bottom w:val="single" w:sz="4" w:space="0" w:color="auto"/>
              <w:right w:val="single" w:sz="4" w:space="0" w:color="auto"/>
            </w:tcBorders>
          </w:tcPr>
          <w:p w14:paraId="1AD3524B"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Rosé Wine (White Zinfandel; Gallo Family)</w:t>
            </w:r>
          </w:p>
        </w:tc>
        <w:tc>
          <w:tcPr>
            <w:tcW w:w="4594" w:type="dxa"/>
            <w:tcBorders>
              <w:top w:val="single" w:sz="4" w:space="0" w:color="auto"/>
              <w:left w:val="single" w:sz="4" w:space="0" w:color="auto"/>
              <w:bottom w:val="single" w:sz="4" w:space="0" w:color="auto"/>
              <w:right w:val="single" w:sz="4" w:space="0" w:color="auto"/>
            </w:tcBorders>
          </w:tcPr>
          <w:p w14:paraId="3808C91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Lipton Green Tea</w:t>
            </w:r>
          </w:p>
        </w:tc>
      </w:tr>
      <w:tr w:rsidR="00BF475C" w:rsidRPr="00BF475C" w14:paraId="66D6B594"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68602822"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White Wine (Blossom Hill)</w:t>
            </w:r>
          </w:p>
        </w:tc>
        <w:tc>
          <w:tcPr>
            <w:tcW w:w="4594" w:type="dxa"/>
            <w:tcBorders>
              <w:top w:val="single" w:sz="4" w:space="0" w:color="auto"/>
              <w:left w:val="single" w:sz="4" w:space="0" w:color="auto"/>
              <w:bottom w:val="single" w:sz="4" w:space="0" w:color="auto"/>
              <w:right w:val="single" w:sz="4" w:space="0" w:color="auto"/>
            </w:tcBorders>
          </w:tcPr>
          <w:p w14:paraId="4BF09025" w14:textId="77777777" w:rsidR="00BF475C" w:rsidRPr="00BF475C" w:rsidRDefault="00BF475C" w:rsidP="00BF475C">
            <w:pPr>
              <w:pStyle w:val="NoSpacing"/>
              <w:jc w:val="center"/>
              <w:rPr>
                <w:rFonts w:ascii="Times New Roman" w:hAnsi="Times New Roman" w:cs="Times New Roman"/>
                <w:bCs/>
              </w:rPr>
            </w:pPr>
            <w:proofErr w:type="spellStart"/>
            <w:r w:rsidRPr="00BF475C">
              <w:rPr>
                <w:rFonts w:ascii="Times New Roman" w:hAnsi="Times New Roman" w:cs="Times New Roman"/>
                <w:bCs/>
              </w:rPr>
              <w:t>Twinings</w:t>
            </w:r>
            <w:proofErr w:type="spellEnd"/>
            <w:r w:rsidRPr="00BF475C">
              <w:rPr>
                <w:rFonts w:ascii="Times New Roman" w:hAnsi="Times New Roman" w:cs="Times New Roman"/>
                <w:bCs/>
              </w:rPr>
              <w:t xml:space="preserve"> Earl Grey Tea</w:t>
            </w:r>
          </w:p>
        </w:tc>
      </w:tr>
      <w:tr w:rsidR="00BF475C" w:rsidRPr="00BF475C" w14:paraId="6D8846D1" w14:textId="77777777" w:rsidTr="002A1E63">
        <w:trPr>
          <w:trHeight w:val="673"/>
        </w:trPr>
        <w:tc>
          <w:tcPr>
            <w:tcW w:w="4596" w:type="dxa"/>
            <w:tcBorders>
              <w:top w:val="single" w:sz="4" w:space="0" w:color="auto"/>
              <w:left w:val="single" w:sz="4" w:space="0" w:color="auto"/>
              <w:bottom w:val="single" w:sz="4" w:space="0" w:color="auto"/>
              <w:right w:val="single" w:sz="4" w:space="0" w:color="auto"/>
            </w:tcBorders>
          </w:tcPr>
          <w:p w14:paraId="5600DC4F"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White Wine (Pinot Grigio; Gallo Family)</w:t>
            </w:r>
          </w:p>
        </w:tc>
        <w:tc>
          <w:tcPr>
            <w:tcW w:w="4594" w:type="dxa"/>
            <w:tcBorders>
              <w:top w:val="single" w:sz="4" w:space="0" w:color="auto"/>
              <w:left w:val="single" w:sz="4" w:space="0" w:color="auto"/>
              <w:bottom w:val="single" w:sz="4" w:space="0" w:color="auto"/>
              <w:right w:val="single" w:sz="4" w:space="0" w:color="auto"/>
            </w:tcBorders>
          </w:tcPr>
          <w:p w14:paraId="7A10B1F7"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Breakfast Tea*</w:t>
            </w:r>
          </w:p>
        </w:tc>
      </w:tr>
      <w:tr w:rsidR="00BF475C" w:rsidRPr="00BF475C" w14:paraId="24D31CC4"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2011A3F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Red Wine (Blossom Hill)</w:t>
            </w:r>
          </w:p>
        </w:tc>
        <w:tc>
          <w:tcPr>
            <w:tcW w:w="4594" w:type="dxa"/>
            <w:tcBorders>
              <w:top w:val="single" w:sz="4" w:space="0" w:color="auto"/>
              <w:left w:val="single" w:sz="4" w:space="0" w:color="auto"/>
              <w:bottom w:val="single" w:sz="4" w:space="0" w:color="auto"/>
              <w:right w:val="single" w:sz="4" w:space="0" w:color="auto"/>
            </w:tcBorders>
          </w:tcPr>
          <w:p w14:paraId="5FCBB45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Latte</w:t>
            </w:r>
          </w:p>
        </w:tc>
      </w:tr>
      <w:tr w:rsidR="00BF475C" w:rsidRPr="00BF475C" w14:paraId="3EBFA21A" w14:textId="77777777" w:rsidTr="002A1E63">
        <w:trPr>
          <w:trHeight w:val="619"/>
        </w:trPr>
        <w:tc>
          <w:tcPr>
            <w:tcW w:w="4596" w:type="dxa"/>
            <w:tcBorders>
              <w:top w:val="single" w:sz="4" w:space="0" w:color="auto"/>
              <w:left w:val="single" w:sz="4" w:space="0" w:color="auto"/>
              <w:bottom w:val="single" w:sz="4" w:space="0" w:color="auto"/>
              <w:right w:val="single" w:sz="4" w:space="0" w:color="auto"/>
            </w:tcBorders>
          </w:tcPr>
          <w:p w14:paraId="520361E5"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Red Wine (Cabernet Sauvignon; Gallo Family)</w:t>
            </w:r>
          </w:p>
        </w:tc>
        <w:tc>
          <w:tcPr>
            <w:tcW w:w="4594" w:type="dxa"/>
            <w:tcBorders>
              <w:top w:val="single" w:sz="4" w:space="0" w:color="auto"/>
              <w:left w:val="single" w:sz="4" w:space="0" w:color="auto"/>
              <w:bottom w:val="single" w:sz="4" w:space="0" w:color="auto"/>
              <w:right w:val="single" w:sz="4" w:space="0" w:color="auto"/>
            </w:tcBorders>
          </w:tcPr>
          <w:p w14:paraId="66CF6E19"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Americano</w:t>
            </w:r>
          </w:p>
        </w:tc>
      </w:tr>
      <w:tr w:rsidR="00BF475C" w:rsidRPr="00BF475C" w14:paraId="60679A1E" w14:textId="77777777" w:rsidTr="002A1E63">
        <w:trPr>
          <w:trHeight w:val="478"/>
        </w:trPr>
        <w:tc>
          <w:tcPr>
            <w:tcW w:w="4596" w:type="dxa"/>
            <w:tcBorders>
              <w:top w:val="single" w:sz="4" w:space="0" w:color="auto"/>
              <w:left w:val="single" w:sz="4" w:space="0" w:color="auto"/>
              <w:bottom w:val="single" w:sz="4" w:space="0" w:color="auto"/>
              <w:right w:val="single" w:sz="4" w:space="0" w:color="auto"/>
            </w:tcBorders>
          </w:tcPr>
          <w:p w14:paraId="58BAA44C"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Bottle of Prosecco*</w:t>
            </w:r>
          </w:p>
        </w:tc>
        <w:tc>
          <w:tcPr>
            <w:tcW w:w="4594" w:type="dxa"/>
            <w:tcBorders>
              <w:top w:val="single" w:sz="4" w:space="0" w:color="auto"/>
              <w:left w:val="single" w:sz="4" w:space="0" w:color="auto"/>
              <w:bottom w:val="single" w:sz="4" w:space="0" w:color="auto"/>
              <w:right w:val="single" w:sz="4" w:space="0" w:color="auto"/>
            </w:tcBorders>
          </w:tcPr>
          <w:p w14:paraId="0B3DE42F" w14:textId="77777777" w:rsidR="00BF475C" w:rsidRPr="00BF475C" w:rsidRDefault="00BF475C" w:rsidP="00BF475C">
            <w:pPr>
              <w:pStyle w:val="NoSpacing"/>
              <w:jc w:val="center"/>
              <w:rPr>
                <w:rFonts w:ascii="Times New Roman" w:hAnsi="Times New Roman" w:cs="Times New Roman"/>
                <w:bCs/>
              </w:rPr>
            </w:pPr>
            <w:r w:rsidRPr="00BF475C">
              <w:rPr>
                <w:rFonts w:ascii="Times New Roman" w:hAnsi="Times New Roman" w:cs="Times New Roman"/>
                <w:bCs/>
              </w:rPr>
              <w:t>Iced Coffee</w:t>
            </w:r>
          </w:p>
        </w:tc>
      </w:tr>
    </w:tbl>
    <w:p w14:paraId="01904FD6" w14:textId="77777777" w:rsidR="00BF475C" w:rsidRPr="00BF475C" w:rsidRDefault="00BF475C" w:rsidP="00BF475C">
      <w:pPr>
        <w:pStyle w:val="NoSpacing"/>
        <w:rPr>
          <w:rFonts w:ascii="Times New Roman" w:hAnsi="Times New Roman" w:cs="Times New Roman"/>
          <w:bCs/>
        </w:rPr>
      </w:pPr>
      <w:r w:rsidRPr="00BF475C">
        <w:rPr>
          <w:rFonts w:ascii="Times New Roman" w:hAnsi="Times New Roman" w:cs="Times New Roman"/>
          <w:bCs/>
          <w:i/>
          <w:iCs/>
        </w:rPr>
        <w:t>Note.</w:t>
      </w:r>
      <w:r w:rsidRPr="00BF475C">
        <w:rPr>
          <w:rFonts w:ascii="Times New Roman" w:hAnsi="Times New Roman" w:cs="Times New Roman"/>
          <w:bCs/>
        </w:rPr>
        <w:t xml:space="preserve"> Images from the ABPS are denoted by *. </w:t>
      </w:r>
    </w:p>
    <w:p w14:paraId="18537D8A" w14:textId="31133EE8" w:rsidR="00BF475C" w:rsidRDefault="00BF475C" w:rsidP="00BF475C">
      <w:pPr>
        <w:pStyle w:val="NoSpacing"/>
        <w:rPr>
          <w:rFonts w:ascii="Times New Roman" w:hAnsi="Times New Roman" w:cs="Times New Roman"/>
          <w:bCs/>
        </w:rPr>
      </w:pPr>
    </w:p>
    <w:p w14:paraId="366F5E63" w14:textId="77777777" w:rsidR="00BF475C" w:rsidRPr="00BF475C" w:rsidRDefault="00BF475C" w:rsidP="00BF475C">
      <w:pPr>
        <w:pStyle w:val="NoSpacing"/>
        <w:spacing w:line="480" w:lineRule="auto"/>
        <w:rPr>
          <w:rFonts w:ascii="Times New Roman" w:hAnsi="Times New Roman" w:cs="Times New Roman"/>
          <w:b/>
          <w:bCs/>
        </w:rPr>
      </w:pPr>
      <w:r w:rsidRPr="00BF475C">
        <w:rPr>
          <w:rFonts w:ascii="Times New Roman" w:hAnsi="Times New Roman" w:cs="Times New Roman"/>
          <w:b/>
          <w:bCs/>
        </w:rPr>
        <w:lastRenderedPageBreak/>
        <w:t>2. Distraction block in-between experimental conditions</w:t>
      </w:r>
    </w:p>
    <w:p w14:paraId="6984D9B3" w14:textId="77777777" w:rsidR="00BF475C" w:rsidRPr="00BF475C" w:rsidRDefault="00BF475C" w:rsidP="00BF475C">
      <w:pPr>
        <w:pStyle w:val="NoSpacing"/>
        <w:spacing w:line="480" w:lineRule="auto"/>
        <w:rPr>
          <w:rFonts w:ascii="Times New Roman" w:hAnsi="Times New Roman" w:cs="Times New Roman"/>
          <w:bCs/>
        </w:rPr>
      </w:pPr>
      <w:r w:rsidRPr="00BF475C">
        <w:rPr>
          <w:rFonts w:ascii="Times New Roman" w:hAnsi="Times New Roman" w:cs="Times New Roman"/>
          <w:bCs/>
        </w:rPr>
        <w:t>In-between the alcohol value and alcohol devalue conditions, we included a “washout” phase to minimise any carry-over effects from the previously viewed video. This comprised a distraction task by presenting participants with random facts about Sheffield and then asking them to recall these facts.</w:t>
      </w:r>
    </w:p>
    <w:p w14:paraId="28A08AC9" w14:textId="77777777" w:rsidR="00BF475C" w:rsidRPr="00BF475C" w:rsidRDefault="00BF475C" w:rsidP="00BF475C">
      <w:pPr>
        <w:pStyle w:val="NoSpacing"/>
        <w:spacing w:line="480" w:lineRule="auto"/>
        <w:rPr>
          <w:rFonts w:ascii="Times New Roman" w:hAnsi="Times New Roman" w:cs="Times New Roman"/>
          <w:b/>
          <w:bCs/>
        </w:rPr>
      </w:pPr>
    </w:p>
    <w:p w14:paraId="31F903EF" w14:textId="77777777" w:rsidR="00BF475C" w:rsidRPr="00BF475C" w:rsidRDefault="00BF475C" w:rsidP="00BF475C">
      <w:pPr>
        <w:pStyle w:val="NoSpacing"/>
        <w:spacing w:line="480" w:lineRule="auto"/>
        <w:rPr>
          <w:rFonts w:ascii="Times New Roman" w:hAnsi="Times New Roman" w:cs="Times New Roman"/>
          <w:bCs/>
          <w:iCs/>
          <w:u w:val="single"/>
        </w:rPr>
      </w:pPr>
      <w:r w:rsidRPr="00BF475C">
        <w:rPr>
          <w:rFonts w:ascii="Times New Roman" w:hAnsi="Times New Roman" w:cs="Times New Roman"/>
          <w:bCs/>
          <w:iCs/>
          <w:u w:val="single"/>
        </w:rPr>
        <w:t>Statements about Sheffield (each statement was presented on the screen for 7s)</w:t>
      </w:r>
    </w:p>
    <w:p w14:paraId="01387D12" w14:textId="6BED08DB"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“The football team Sheffield United was founded in 1857”</w:t>
      </w:r>
    </w:p>
    <w:p w14:paraId="23C05166" w14:textId="66942B28"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“An estimated 534,500 people live in Sheffield”</w:t>
      </w:r>
    </w:p>
    <w:p w14:paraId="1A35446C" w14:textId="41627E65"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“61% of Sheffield is green space (e.g., parks and forests)”</w:t>
      </w:r>
    </w:p>
    <w:p w14:paraId="65042A13" w14:textId="66E5FA70"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“Sheffield is estimated to have 4.5 million trees”</w:t>
      </w:r>
    </w:p>
    <w:p w14:paraId="017841B2" w14:textId="3A5C3A24"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“The river Sheaf meets the river Don in Sheffield”</w:t>
      </w:r>
    </w:p>
    <w:p w14:paraId="3CC9399E" w14:textId="2BE5E241"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“The two large theatres in Sheffield are the Lyceum Theatre and the Crucible Theatre”</w:t>
      </w:r>
    </w:p>
    <w:p w14:paraId="322A50D6" w14:textId="2BC8E296" w:rsidR="00BF475C" w:rsidRPr="00BF475C" w:rsidRDefault="00BF475C" w:rsidP="00BF475C">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“Sheffield is the greenest city in Europe”</w:t>
      </w:r>
    </w:p>
    <w:p w14:paraId="7735C921" w14:textId="736554FB" w:rsidR="00BF475C" w:rsidRDefault="00BF475C" w:rsidP="00172845">
      <w:pPr>
        <w:pStyle w:val="NoSpacing"/>
        <w:numPr>
          <w:ilvl w:val="0"/>
          <w:numId w:val="17"/>
        </w:numPr>
        <w:spacing w:line="480" w:lineRule="auto"/>
        <w:rPr>
          <w:rFonts w:ascii="Times New Roman" w:hAnsi="Times New Roman" w:cs="Times New Roman"/>
          <w:bCs/>
        </w:rPr>
      </w:pPr>
      <w:r w:rsidRPr="00BF475C">
        <w:rPr>
          <w:rFonts w:ascii="Times New Roman" w:hAnsi="Times New Roman" w:cs="Times New Roman"/>
          <w:bCs/>
        </w:rPr>
        <w:t>“Sheffield is famous for making steel”</w:t>
      </w:r>
    </w:p>
    <w:p w14:paraId="117A18FF" w14:textId="77777777" w:rsidR="00172845" w:rsidRPr="00BF475C" w:rsidRDefault="00172845" w:rsidP="00172845">
      <w:pPr>
        <w:pStyle w:val="NoSpacing"/>
        <w:spacing w:line="480" w:lineRule="auto"/>
        <w:ind w:left="720"/>
        <w:rPr>
          <w:rFonts w:ascii="Times New Roman" w:hAnsi="Times New Roman" w:cs="Times New Roman"/>
          <w:bCs/>
        </w:rPr>
      </w:pPr>
    </w:p>
    <w:p w14:paraId="02F470B3" w14:textId="77777777" w:rsidR="00BF475C" w:rsidRPr="00BF475C" w:rsidRDefault="00BF475C" w:rsidP="00BF475C">
      <w:pPr>
        <w:pStyle w:val="NoSpacing"/>
        <w:spacing w:line="480" w:lineRule="auto"/>
        <w:rPr>
          <w:rFonts w:ascii="Times New Roman" w:hAnsi="Times New Roman" w:cs="Times New Roman"/>
          <w:bCs/>
          <w:u w:val="single"/>
        </w:rPr>
      </w:pPr>
      <w:r w:rsidRPr="00BF475C">
        <w:rPr>
          <w:rFonts w:ascii="Times New Roman" w:hAnsi="Times New Roman" w:cs="Times New Roman"/>
          <w:bCs/>
          <w:u w:val="single"/>
        </w:rPr>
        <w:t>Distraction questions that were asked and the response options (</w:t>
      </w:r>
      <w:r w:rsidRPr="00BF475C">
        <w:rPr>
          <w:rFonts w:ascii="Times New Roman" w:hAnsi="Times New Roman" w:cs="Times New Roman"/>
          <w:bCs/>
          <w:iCs/>
          <w:u w:val="single"/>
        </w:rPr>
        <w:t>order of presentation = randomised)</w:t>
      </w:r>
    </w:p>
    <w:p w14:paraId="76943467"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In what year was the football team Sheffield United founded?</w:t>
      </w:r>
    </w:p>
    <w:p w14:paraId="7BFC174C" w14:textId="6713326C"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1857; 1957</w:t>
      </w:r>
    </w:p>
    <w:p w14:paraId="1116A69D"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How many people are estimated to live in Sheffield?</w:t>
      </w:r>
    </w:p>
    <w:p w14:paraId="55E85380" w14:textId="5143CFF0"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334,500 people; 534,500 people</w:t>
      </w:r>
    </w:p>
    <w:p w14:paraId="4CD8442B" w14:textId="2FFDC75D"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What percentage of Sheffield is green space (</w:t>
      </w:r>
      <w:r w:rsidR="00172845" w:rsidRPr="00BF475C">
        <w:rPr>
          <w:rFonts w:ascii="Times New Roman" w:hAnsi="Times New Roman" w:cs="Times New Roman"/>
          <w:bCs/>
        </w:rPr>
        <w:t>e.g.,</w:t>
      </w:r>
      <w:r w:rsidRPr="00BF475C">
        <w:rPr>
          <w:rFonts w:ascii="Times New Roman" w:hAnsi="Times New Roman" w:cs="Times New Roman"/>
          <w:bCs/>
        </w:rPr>
        <w:t xml:space="preserve"> parks and forests)?</w:t>
      </w:r>
    </w:p>
    <w:p w14:paraId="0BE4F0CA" w14:textId="5DDFF5A9"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lastRenderedPageBreak/>
        <w:t>61%; 66%</w:t>
      </w:r>
    </w:p>
    <w:p w14:paraId="68F638AB"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The river ____ meets the river _____ in Sheffield</w:t>
      </w:r>
    </w:p>
    <w:p w14:paraId="2772548A" w14:textId="73ED92D1"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 xml:space="preserve">River Sheaf, River Don; River Rothay, River </w:t>
      </w:r>
      <w:proofErr w:type="spellStart"/>
      <w:r w:rsidRPr="00BF475C">
        <w:rPr>
          <w:rFonts w:ascii="Times New Roman" w:hAnsi="Times New Roman" w:cs="Times New Roman"/>
          <w:bCs/>
        </w:rPr>
        <w:t>Esk</w:t>
      </w:r>
      <w:proofErr w:type="spellEnd"/>
    </w:p>
    <w:p w14:paraId="682202AE"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How many trees is Sheffield estimated to have?</w:t>
      </w:r>
    </w:p>
    <w:p w14:paraId="1D127DF0" w14:textId="25574943"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2.5 million; 4.5 million</w:t>
      </w:r>
    </w:p>
    <w:p w14:paraId="69762665"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Sheffield is the greenest city in ____</w:t>
      </w:r>
    </w:p>
    <w:p w14:paraId="7EA7E803" w14:textId="75A39DB3"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 xml:space="preserve">The world; Europe </w:t>
      </w:r>
    </w:p>
    <w:p w14:paraId="0A7CC0B1"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Sheffield is famous for making ____</w:t>
      </w:r>
    </w:p>
    <w:p w14:paraId="5FCFA1C2" w14:textId="1393AC58"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 xml:space="preserve">Steel; Cotton </w:t>
      </w:r>
    </w:p>
    <w:p w14:paraId="3B7D74B5" w14:textId="77777777" w:rsidR="00BF475C" w:rsidRPr="00BF475C" w:rsidRDefault="00BF475C" w:rsidP="00BF475C">
      <w:pPr>
        <w:pStyle w:val="NoSpacing"/>
        <w:numPr>
          <w:ilvl w:val="0"/>
          <w:numId w:val="18"/>
        </w:numPr>
        <w:spacing w:line="480" w:lineRule="auto"/>
        <w:rPr>
          <w:rFonts w:ascii="Times New Roman" w:hAnsi="Times New Roman" w:cs="Times New Roman"/>
          <w:bCs/>
        </w:rPr>
      </w:pPr>
      <w:r w:rsidRPr="00BF475C">
        <w:rPr>
          <w:rFonts w:ascii="Times New Roman" w:hAnsi="Times New Roman" w:cs="Times New Roman"/>
          <w:bCs/>
        </w:rPr>
        <w:t>The two large theatres in Sheffield are ____ and ____</w:t>
      </w:r>
    </w:p>
    <w:p w14:paraId="56F30670" w14:textId="77777777" w:rsidR="00BF475C" w:rsidRPr="00BF475C" w:rsidRDefault="00BF475C" w:rsidP="00BF475C">
      <w:pPr>
        <w:pStyle w:val="NoSpacing"/>
        <w:numPr>
          <w:ilvl w:val="0"/>
          <w:numId w:val="16"/>
        </w:numPr>
        <w:spacing w:line="480" w:lineRule="auto"/>
        <w:rPr>
          <w:rFonts w:ascii="Times New Roman" w:hAnsi="Times New Roman" w:cs="Times New Roman"/>
          <w:bCs/>
        </w:rPr>
      </w:pPr>
      <w:r w:rsidRPr="00BF475C">
        <w:rPr>
          <w:rFonts w:ascii="Times New Roman" w:hAnsi="Times New Roman" w:cs="Times New Roman"/>
          <w:bCs/>
        </w:rPr>
        <w:t>Lyceum theatre and the Crucible theatre; Cambridge theatre and the Crucible theatre</w:t>
      </w:r>
    </w:p>
    <w:p w14:paraId="444AE9DA" w14:textId="77777777" w:rsidR="00BF475C" w:rsidRPr="00BF475C" w:rsidRDefault="00BF475C" w:rsidP="00BF475C">
      <w:pPr>
        <w:pStyle w:val="NoSpacing"/>
        <w:rPr>
          <w:rFonts w:ascii="Times New Roman" w:hAnsi="Times New Roman" w:cs="Times New Roman"/>
          <w:bCs/>
        </w:rPr>
      </w:pPr>
    </w:p>
    <w:p w14:paraId="4A611C2D" w14:textId="77777777" w:rsidR="00BF475C" w:rsidRPr="00BF475C" w:rsidRDefault="00BF475C" w:rsidP="00BF475C">
      <w:pPr>
        <w:pStyle w:val="NoSpacing"/>
        <w:rPr>
          <w:rFonts w:ascii="Times New Roman" w:hAnsi="Times New Roman" w:cs="Times New Roman"/>
          <w:bCs/>
        </w:rPr>
      </w:pPr>
    </w:p>
    <w:p w14:paraId="38F4A628" w14:textId="1C971883" w:rsidR="00093B56" w:rsidRPr="00BF475C" w:rsidRDefault="00093B56" w:rsidP="00093B56">
      <w:pPr>
        <w:pStyle w:val="NoSpacing"/>
        <w:rPr>
          <w:rFonts w:ascii="Times New Roman" w:hAnsi="Times New Roman" w:cs="Times New Roman"/>
        </w:rPr>
      </w:pPr>
    </w:p>
    <w:p w14:paraId="6B94141B" w14:textId="2AD44AB1" w:rsidR="00093B56" w:rsidRDefault="00093B56" w:rsidP="00093B56">
      <w:pPr>
        <w:pStyle w:val="NoSpacing"/>
      </w:pPr>
    </w:p>
    <w:p w14:paraId="2D423DF2" w14:textId="614F37FE" w:rsidR="00093B56" w:rsidRDefault="00093B56" w:rsidP="00093B56">
      <w:pPr>
        <w:pStyle w:val="NoSpacing"/>
      </w:pPr>
    </w:p>
    <w:p w14:paraId="3723E543" w14:textId="771F1AF2" w:rsidR="00093B56" w:rsidRDefault="00093B56" w:rsidP="00093B56">
      <w:pPr>
        <w:pStyle w:val="NoSpacing"/>
      </w:pPr>
    </w:p>
    <w:p w14:paraId="7F59AD6C" w14:textId="2E5EFDA6" w:rsidR="00093B56" w:rsidRDefault="00093B56" w:rsidP="00093B56">
      <w:pPr>
        <w:pStyle w:val="NoSpacing"/>
      </w:pPr>
    </w:p>
    <w:p w14:paraId="0D359510" w14:textId="5BA42C6D" w:rsidR="00093B56" w:rsidRDefault="00093B56" w:rsidP="00093B56">
      <w:pPr>
        <w:pStyle w:val="NoSpacing"/>
      </w:pPr>
    </w:p>
    <w:p w14:paraId="4449327B" w14:textId="47226D34" w:rsidR="00093B56" w:rsidRDefault="00093B56" w:rsidP="00093B56">
      <w:pPr>
        <w:pStyle w:val="NoSpacing"/>
      </w:pPr>
    </w:p>
    <w:p w14:paraId="0EC43989" w14:textId="18E007DA" w:rsidR="00093B56" w:rsidRDefault="00093B56" w:rsidP="00093B56">
      <w:pPr>
        <w:pStyle w:val="NoSpacing"/>
      </w:pPr>
    </w:p>
    <w:p w14:paraId="6599E9D2" w14:textId="5CABFCE5" w:rsidR="00093B56" w:rsidRDefault="00093B56" w:rsidP="00093B56">
      <w:pPr>
        <w:pStyle w:val="NoSpacing"/>
      </w:pPr>
    </w:p>
    <w:p w14:paraId="4D11D4B4" w14:textId="4019CC5E" w:rsidR="00093B56" w:rsidRDefault="00093B56" w:rsidP="00093B56">
      <w:pPr>
        <w:pStyle w:val="NoSpacing"/>
      </w:pPr>
    </w:p>
    <w:p w14:paraId="38C1F6DC" w14:textId="04281F0E" w:rsidR="00093B56" w:rsidRDefault="00093B56" w:rsidP="00093B56">
      <w:pPr>
        <w:pStyle w:val="NoSpacing"/>
      </w:pPr>
    </w:p>
    <w:p w14:paraId="123C1A5B" w14:textId="26CBC65D" w:rsidR="00093B56" w:rsidRDefault="00093B56" w:rsidP="00093B56">
      <w:pPr>
        <w:pStyle w:val="NoSpacing"/>
      </w:pPr>
    </w:p>
    <w:p w14:paraId="7285A530" w14:textId="0C1F269D" w:rsidR="00093B56" w:rsidRDefault="00093B56" w:rsidP="00093B56">
      <w:pPr>
        <w:pStyle w:val="NoSpacing"/>
      </w:pPr>
    </w:p>
    <w:p w14:paraId="22191866" w14:textId="37C9BFD8" w:rsidR="00093B56" w:rsidRDefault="00093B56" w:rsidP="00093B56">
      <w:pPr>
        <w:pStyle w:val="NoSpacing"/>
      </w:pPr>
    </w:p>
    <w:p w14:paraId="51D1A38D" w14:textId="727C2924" w:rsidR="00093B56" w:rsidRDefault="00093B56" w:rsidP="00093B56">
      <w:pPr>
        <w:pStyle w:val="NoSpacing"/>
      </w:pPr>
    </w:p>
    <w:p w14:paraId="204350E0" w14:textId="51827286" w:rsidR="00093B56" w:rsidRDefault="00093B56" w:rsidP="00093B56">
      <w:pPr>
        <w:pStyle w:val="NoSpacing"/>
      </w:pPr>
    </w:p>
    <w:p w14:paraId="14704DA8" w14:textId="335FEABE" w:rsidR="00093B56" w:rsidRDefault="00093B56" w:rsidP="00093B56">
      <w:pPr>
        <w:pStyle w:val="NoSpacing"/>
      </w:pPr>
    </w:p>
    <w:p w14:paraId="01BD4428" w14:textId="54EC70CC" w:rsidR="00093B56" w:rsidRDefault="00093B56" w:rsidP="00093B56">
      <w:pPr>
        <w:pStyle w:val="NoSpacing"/>
      </w:pPr>
    </w:p>
    <w:p w14:paraId="0DB019C8" w14:textId="37D9C5B4" w:rsidR="00093B56" w:rsidRDefault="00093B56" w:rsidP="00093B56">
      <w:pPr>
        <w:pStyle w:val="NoSpacing"/>
      </w:pPr>
    </w:p>
    <w:p w14:paraId="38825F23" w14:textId="3C2904E1" w:rsidR="00093B56" w:rsidRDefault="00093B56" w:rsidP="00093B56">
      <w:pPr>
        <w:pStyle w:val="NoSpacing"/>
      </w:pPr>
    </w:p>
    <w:p w14:paraId="0CAD092D" w14:textId="6545CA3A" w:rsidR="00172845" w:rsidRDefault="00172845" w:rsidP="00093B56">
      <w:pPr>
        <w:pStyle w:val="NoSpacing"/>
      </w:pPr>
    </w:p>
    <w:p w14:paraId="416C0CD4" w14:textId="69350139" w:rsidR="00172845" w:rsidRDefault="00172845" w:rsidP="00093B56">
      <w:pPr>
        <w:pStyle w:val="NoSpacing"/>
      </w:pPr>
    </w:p>
    <w:p w14:paraId="317CCA3D" w14:textId="1B675A88" w:rsidR="00172845" w:rsidRDefault="00172845" w:rsidP="00093B56">
      <w:pPr>
        <w:pStyle w:val="NoSpacing"/>
      </w:pPr>
    </w:p>
    <w:p w14:paraId="59CABADB" w14:textId="77777777" w:rsidR="00172845" w:rsidRPr="00172845" w:rsidRDefault="00172845" w:rsidP="00172845">
      <w:pPr>
        <w:pStyle w:val="NoSpacing"/>
        <w:spacing w:line="480" w:lineRule="auto"/>
        <w:rPr>
          <w:rFonts w:ascii="Times New Roman" w:hAnsi="Times New Roman" w:cs="Times New Roman"/>
          <w:b/>
          <w:bCs/>
        </w:rPr>
      </w:pPr>
      <w:r w:rsidRPr="00172845">
        <w:rPr>
          <w:rFonts w:ascii="Times New Roman" w:hAnsi="Times New Roman" w:cs="Times New Roman"/>
          <w:b/>
          <w:bCs/>
        </w:rPr>
        <w:lastRenderedPageBreak/>
        <w:t>3. BAAD questionnaire details</w:t>
      </w:r>
    </w:p>
    <w:p w14:paraId="516F3CCC"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Below are the exact price points that were used in the Brief Assessment of Alcohol Demand which are similar to those employed in recent research (Owens et al., 2015). However as in Copeland et al. (2020), we modified the prices so that they are presented in pounds (£) rather than dollars ($) because our sample comprised people residing in the United Kingdom.</w:t>
      </w:r>
    </w:p>
    <w:p w14:paraId="337C44C3" w14:textId="77777777" w:rsidR="00172845" w:rsidRPr="00172845" w:rsidRDefault="00172845" w:rsidP="00172845">
      <w:pPr>
        <w:pStyle w:val="NoSpacing"/>
        <w:spacing w:line="480" w:lineRule="auto"/>
        <w:rPr>
          <w:rFonts w:ascii="Times New Roman" w:hAnsi="Times New Roman" w:cs="Times New Roman"/>
        </w:rPr>
      </w:pPr>
    </w:p>
    <w:p w14:paraId="4166C0D6"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b/>
          <w:bCs/>
        </w:rPr>
        <w:t>Question:</w:t>
      </w:r>
      <w:r w:rsidRPr="00172845">
        <w:rPr>
          <w:rFonts w:ascii="Times New Roman" w:hAnsi="Times New Roman" w:cs="Times New Roman"/>
        </w:rPr>
        <w:t xml:space="preserve"> “If drinks were free, how many would you have?” (intensity)</w:t>
      </w:r>
    </w:p>
    <w:p w14:paraId="1E009CF9"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Response options: 0, 1, 2, 3, 4, 5, 6, 7, 8, 9, 10</w:t>
      </w:r>
    </w:p>
    <w:p w14:paraId="1892BE06" w14:textId="77777777" w:rsidR="00172845" w:rsidRPr="00172845" w:rsidRDefault="00172845" w:rsidP="00172845">
      <w:pPr>
        <w:pStyle w:val="NoSpacing"/>
        <w:spacing w:line="480" w:lineRule="auto"/>
        <w:rPr>
          <w:rFonts w:ascii="Times New Roman" w:hAnsi="Times New Roman" w:cs="Times New Roman"/>
        </w:rPr>
      </w:pPr>
    </w:p>
    <w:p w14:paraId="50909D2F"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b/>
          <w:bCs/>
        </w:rPr>
        <w:t>Question:</w:t>
      </w:r>
      <w:r w:rsidRPr="00172845">
        <w:rPr>
          <w:rFonts w:ascii="Times New Roman" w:hAnsi="Times New Roman" w:cs="Times New Roman"/>
        </w:rPr>
        <w:t xml:space="preserve"> “What is the maximum total amount that you would spend on drinking during that drinking occasion?” (</w:t>
      </w:r>
      <w:proofErr w:type="spellStart"/>
      <w:r w:rsidRPr="00172845">
        <w:rPr>
          <w:rFonts w:ascii="Times New Roman" w:hAnsi="Times New Roman" w:cs="Times New Roman"/>
        </w:rPr>
        <w:t>O</w:t>
      </w:r>
      <w:r w:rsidRPr="00172845">
        <w:rPr>
          <w:rFonts w:ascii="Times New Roman" w:hAnsi="Times New Roman" w:cs="Times New Roman"/>
          <w:vertAlign w:val="subscript"/>
        </w:rPr>
        <w:t>max</w:t>
      </w:r>
      <w:proofErr w:type="spellEnd"/>
      <w:r w:rsidRPr="00172845">
        <w:rPr>
          <w:rFonts w:ascii="Times New Roman" w:hAnsi="Times New Roman" w:cs="Times New Roman"/>
        </w:rPr>
        <w:t>)</w:t>
      </w:r>
    </w:p>
    <w:p w14:paraId="56EAE5F8"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 xml:space="preserve">Response options: £0, £3, £6, £9, £12, £15, £18, £21, £24, £27, £30 or more </w:t>
      </w:r>
    </w:p>
    <w:p w14:paraId="0C854964" w14:textId="77777777" w:rsidR="00172845" w:rsidRPr="00172845" w:rsidRDefault="00172845" w:rsidP="00172845">
      <w:pPr>
        <w:pStyle w:val="NoSpacing"/>
        <w:spacing w:line="480" w:lineRule="auto"/>
        <w:rPr>
          <w:rFonts w:ascii="Times New Roman" w:hAnsi="Times New Roman" w:cs="Times New Roman"/>
        </w:rPr>
      </w:pPr>
    </w:p>
    <w:p w14:paraId="705D4330"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b/>
          <w:bCs/>
        </w:rPr>
        <w:t>Question:</w:t>
      </w:r>
      <w:r w:rsidRPr="00172845">
        <w:rPr>
          <w:rFonts w:ascii="Times New Roman" w:hAnsi="Times New Roman" w:cs="Times New Roman"/>
        </w:rPr>
        <w:t xml:space="preserve"> </w:t>
      </w:r>
      <w:bookmarkStart w:id="405" w:name="_Hlk109217581"/>
      <w:r w:rsidRPr="00172845">
        <w:rPr>
          <w:rFonts w:ascii="Times New Roman" w:hAnsi="Times New Roman" w:cs="Times New Roman"/>
        </w:rPr>
        <w:t>“What is the maximum you would pay for a single drink?” (breakpoint)</w:t>
      </w:r>
    </w:p>
    <w:p w14:paraId="44E77BAD"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Response options: £0, £1.50, £3, £4.50, £6, £7.50, £9, £10.50, £12, £13.50, £15 or more</w:t>
      </w:r>
    </w:p>
    <w:bookmarkEnd w:id="405"/>
    <w:p w14:paraId="6708DB1C" w14:textId="77777777" w:rsidR="00172845" w:rsidRPr="00172845" w:rsidRDefault="00172845" w:rsidP="00172845">
      <w:pPr>
        <w:pStyle w:val="NoSpacing"/>
        <w:spacing w:line="480" w:lineRule="auto"/>
        <w:rPr>
          <w:rFonts w:ascii="Times New Roman" w:hAnsi="Times New Roman" w:cs="Times New Roman"/>
        </w:rPr>
      </w:pPr>
    </w:p>
    <w:p w14:paraId="1C85ADA3" w14:textId="4F62FB0A" w:rsidR="00093B56" w:rsidRPr="00172845" w:rsidRDefault="00093B56" w:rsidP="00172845">
      <w:pPr>
        <w:pStyle w:val="NoSpacing"/>
        <w:spacing w:line="480" w:lineRule="auto"/>
        <w:rPr>
          <w:rFonts w:ascii="Times New Roman" w:hAnsi="Times New Roman" w:cs="Times New Roman"/>
        </w:rPr>
      </w:pPr>
    </w:p>
    <w:p w14:paraId="23458AA6" w14:textId="3DE4B7E1" w:rsidR="00093B56" w:rsidRDefault="00093B56" w:rsidP="00093B56">
      <w:pPr>
        <w:pStyle w:val="NoSpacing"/>
      </w:pPr>
    </w:p>
    <w:p w14:paraId="0A6F07B6" w14:textId="608783D8" w:rsidR="00093B56" w:rsidRDefault="00093B56" w:rsidP="00093B56">
      <w:pPr>
        <w:pStyle w:val="NoSpacing"/>
      </w:pPr>
    </w:p>
    <w:p w14:paraId="49D9CE2F" w14:textId="43C7BD50" w:rsidR="00093B56" w:rsidRDefault="00093B56" w:rsidP="00093B56">
      <w:pPr>
        <w:pStyle w:val="NoSpacing"/>
      </w:pPr>
    </w:p>
    <w:p w14:paraId="60B6708A" w14:textId="52084D1A" w:rsidR="00093B56" w:rsidRDefault="00093B56" w:rsidP="00093B56">
      <w:pPr>
        <w:pStyle w:val="NoSpacing"/>
      </w:pPr>
    </w:p>
    <w:p w14:paraId="2382B8A9" w14:textId="68F2F98B" w:rsidR="00093B56" w:rsidRDefault="00093B56" w:rsidP="00093B56">
      <w:pPr>
        <w:pStyle w:val="NoSpacing"/>
      </w:pPr>
    </w:p>
    <w:p w14:paraId="4C5C34A5" w14:textId="085C6E0B" w:rsidR="00093B56" w:rsidRDefault="00093B56" w:rsidP="00093B56">
      <w:pPr>
        <w:pStyle w:val="NoSpacing"/>
      </w:pPr>
    </w:p>
    <w:p w14:paraId="5CF65624" w14:textId="3055A1C9" w:rsidR="00093B56" w:rsidRDefault="00093B56" w:rsidP="00093B56">
      <w:pPr>
        <w:pStyle w:val="NoSpacing"/>
      </w:pPr>
    </w:p>
    <w:p w14:paraId="602C65BF" w14:textId="22484667" w:rsidR="00172845" w:rsidRDefault="00172845" w:rsidP="00093B56">
      <w:pPr>
        <w:pStyle w:val="NoSpacing"/>
      </w:pPr>
    </w:p>
    <w:p w14:paraId="49C1941E" w14:textId="225C0D4E" w:rsidR="00172845" w:rsidRDefault="00172845" w:rsidP="00093B56">
      <w:pPr>
        <w:pStyle w:val="NoSpacing"/>
      </w:pPr>
    </w:p>
    <w:p w14:paraId="40772AF9" w14:textId="36B870CB" w:rsidR="00172845" w:rsidRDefault="00172845" w:rsidP="00093B56">
      <w:pPr>
        <w:pStyle w:val="NoSpacing"/>
      </w:pPr>
    </w:p>
    <w:p w14:paraId="5CCBE985" w14:textId="15CA81FD" w:rsidR="00172845" w:rsidRDefault="00172845" w:rsidP="00093B56">
      <w:pPr>
        <w:pStyle w:val="NoSpacing"/>
      </w:pPr>
    </w:p>
    <w:p w14:paraId="14E98541" w14:textId="5DA9C6E2" w:rsidR="00172845" w:rsidRDefault="00172845" w:rsidP="00093B56">
      <w:pPr>
        <w:pStyle w:val="NoSpacing"/>
      </w:pPr>
    </w:p>
    <w:p w14:paraId="553FB5C0" w14:textId="082C64F0" w:rsidR="00172845" w:rsidRDefault="00172845" w:rsidP="00093B56">
      <w:pPr>
        <w:pStyle w:val="NoSpacing"/>
      </w:pPr>
    </w:p>
    <w:p w14:paraId="2A290B07" w14:textId="0398DC18" w:rsidR="00172845" w:rsidRDefault="00172845" w:rsidP="00093B56">
      <w:pPr>
        <w:pStyle w:val="NoSpacing"/>
      </w:pPr>
    </w:p>
    <w:p w14:paraId="2E3CB661" w14:textId="77777777" w:rsidR="00172845" w:rsidRPr="00172845" w:rsidRDefault="00172845" w:rsidP="00172845">
      <w:pPr>
        <w:pStyle w:val="NoSpacing"/>
        <w:rPr>
          <w:rFonts w:ascii="Times New Roman" w:hAnsi="Times New Roman" w:cs="Times New Roman"/>
          <w:b/>
        </w:rPr>
      </w:pPr>
      <w:r w:rsidRPr="00172845">
        <w:rPr>
          <w:rFonts w:ascii="Times New Roman" w:hAnsi="Times New Roman" w:cs="Times New Roman"/>
          <w:b/>
        </w:rPr>
        <w:lastRenderedPageBreak/>
        <w:t>4. Core analyses split by difficulty level</w:t>
      </w:r>
    </w:p>
    <w:p w14:paraId="6A2D6D5E" w14:textId="77777777" w:rsidR="00172845" w:rsidRPr="00172845" w:rsidRDefault="00172845" w:rsidP="00172845">
      <w:pPr>
        <w:pStyle w:val="NoSpacing"/>
        <w:rPr>
          <w:rFonts w:ascii="Times New Roman" w:hAnsi="Times New Roman" w:cs="Times New Roman"/>
        </w:rPr>
      </w:pPr>
    </w:p>
    <w:p w14:paraId="6BC9AFF3"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In Chapter 4, we reported the results of our hypotheses on decision-parameters that were averaged across difficulty levels. Here, we report exploratory analyses to explore whether the main effects reported in the results section of the manuscript are carried by differences in difficulty level. Specifically, we conducted separate three-way ANOVAs with experimental condition (2: alcohol value; alcohol devalue), difficulty level (3: easy; medium; difficult), and image type (2: alcohol; soft drink) on decision parameters. There was no significant three-way interaction between experimental condition, difficulty, and image type on EA rates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2, 70) = 1.80, </w:t>
      </w:r>
      <w:r w:rsidRPr="00172845">
        <w:rPr>
          <w:rFonts w:ascii="Times New Roman" w:hAnsi="Times New Roman" w:cs="Times New Roman"/>
          <w:i/>
          <w:iCs/>
        </w:rPr>
        <w:t>p</w:t>
      </w:r>
      <w:r w:rsidRPr="00172845">
        <w:rPr>
          <w:rFonts w:ascii="Times New Roman" w:hAnsi="Times New Roman" w:cs="Times New Roman"/>
        </w:rPr>
        <w:t xml:space="preserve"> = .17,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.05) or response thresholds (</w:t>
      </w:r>
      <w:r w:rsidRPr="00172845">
        <w:rPr>
          <w:rFonts w:ascii="Times New Roman" w:hAnsi="Times New Roman" w:cs="Times New Roman"/>
          <w:i/>
          <w:iCs/>
        </w:rPr>
        <w:t>F</w:t>
      </w:r>
      <w:r w:rsidRPr="00172845">
        <w:rPr>
          <w:rFonts w:ascii="Times New Roman" w:hAnsi="Times New Roman" w:cs="Times New Roman"/>
        </w:rPr>
        <w:t xml:space="preserve">(2, 70) = .46, </w:t>
      </w:r>
      <w:r w:rsidRPr="00172845">
        <w:rPr>
          <w:rFonts w:ascii="Times New Roman" w:hAnsi="Times New Roman" w:cs="Times New Roman"/>
          <w:i/>
        </w:rPr>
        <w:t>p</w:t>
      </w:r>
      <w:r w:rsidRPr="00172845">
        <w:rPr>
          <w:rFonts w:ascii="Times New Roman" w:hAnsi="Times New Roman" w:cs="Times New Roman"/>
        </w:rPr>
        <w:t xml:space="preserve"> = .64, </w:t>
      </w:r>
      <w:bookmarkStart w:id="406" w:name="_Hlk108638205"/>
      <w:r w:rsidRPr="00172845">
        <w:rPr>
          <w:rFonts w:ascii="Times New Roman" w:hAnsi="Times New Roman" w:cs="Times New Roman"/>
        </w:rPr>
        <w:t>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bookmarkEnd w:id="406"/>
      <w:r w:rsidRPr="00172845">
        <w:rPr>
          <w:rFonts w:ascii="Times New Roman" w:hAnsi="Times New Roman" w:cs="Times New Roman"/>
        </w:rPr>
        <w:t xml:space="preserve"> = .01). Findings crucially revealed that the hypothesised interaction between experimental condition and image type was not subsumed under a three-way interaction between experimental condition, image type, and difficulty level.  Therefore, analyses are retained using the average and the core analyses split by difficulty level are reported below for interested readers. </w:t>
      </w:r>
    </w:p>
    <w:p w14:paraId="336FE055" w14:textId="77777777" w:rsidR="00172845" w:rsidRPr="00172845" w:rsidRDefault="00172845" w:rsidP="00172845">
      <w:pPr>
        <w:pStyle w:val="NoSpacing"/>
        <w:rPr>
          <w:rFonts w:ascii="Times New Roman" w:hAnsi="Times New Roman" w:cs="Times New Roman"/>
          <w:u w:val="single"/>
        </w:rPr>
      </w:pPr>
    </w:p>
    <w:p w14:paraId="65FDFBD0" w14:textId="77777777" w:rsidR="00172845" w:rsidRPr="00172845" w:rsidRDefault="00172845" w:rsidP="00172845">
      <w:pPr>
        <w:pStyle w:val="NoSpacing"/>
        <w:rPr>
          <w:rFonts w:ascii="Times New Roman" w:hAnsi="Times New Roman" w:cs="Times New Roman"/>
          <w:u w:val="single"/>
        </w:rPr>
      </w:pPr>
    </w:p>
    <w:p w14:paraId="65CC323B" w14:textId="77777777" w:rsidR="00172845" w:rsidRDefault="00172845" w:rsidP="00172845">
      <w:pPr>
        <w:pStyle w:val="NoSpacing"/>
        <w:spacing w:line="480" w:lineRule="auto"/>
        <w:rPr>
          <w:rFonts w:ascii="Times New Roman" w:hAnsi="Times New Roman" w:cs="Times New Roman"/>
          <w:b/>
          <w:bCs/>
        </w:rPr>
      </w:pPr>
      <w:r w:rsidRPr="00172845">
        <w:rPr>
          <w:rFonts w:ascii="Times New Roman" w:hAnsi="Times New Roman" w:cs="Times New Roman"/>
          <w:b/>
          <w:bCs/>
        </w:rPr>
        <w:t>Table S4.2</w:t>
      </w:r>
    </w:p>
    <w:p w14:paraId="5BB239B8" w14:textId="42C73185" w:rsidR="00172845" w:rsidRPr="00172845" w:rsidRDefault="00172845" w:rsidP="00172845">
      <w:pPr>
        <w:pStyle w:val="NoSpacing"/>
        <w:spacing w:line="480" w:lineRule="auto"/>
        <w:rPr>
          <w:rFonts w:ascii="Times New Roman" w:hAnsi="Times New Roman" w:cs="Times New Roman"/>
          <w:i/>
          <w:iCs/>
        </w:rPr>
      </w:pPr>
      <w:r w:rsidRPr="00172845">
        <w:rPr>
          <w:rFonts w:ascii="Times New Roman" w:hAnsi="Times New Roman" w:cs="Times New Roman"/>
          <w:i/>
          <w:iCs/>
        </w:rPr>
        <w:t>A table displaying the p-value and effect size for each of the hypotheses split by difficulty level</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1829"/>
        <w:gridCol w:w="1829"/>
        <w:gridCol w:w="1903"/>
      </w:tblGrid>
      <w:tr w:rsidR="00172845" w:rsidRPr="00172845" w14:paraId="7930AAB7" w14:textId="77777777" w:rsidTr="002A1E63">
        <w:trPr>
          <w:trHeight w:val="780"/>
        </w:trPr>
        <w:tc>
          <w:tcPr>
            <w:tcW w:w="3514" w:type="dxa"/>
            <w:shd w:val="clear" w:color="auto" w:fill="auto"/>
            <w:tcMar>
              <w:left w:w="108" w:type="dxa"/>
            </w:tcMar>
          </w:tcPr>
          <w:p w14:paraId="5F5D3BE8"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Contrast</w:t>
            </w:r>
          </w:p>
        </w:tc>
        <w:tc>
          <w:tcPr>
            <w:tcW w:w="1829" w:type="dxa"/>
            <w:shd w:val="clear" w:color="auto" w:fill="auto"/>
            <w:tcMar>
              <w:left w:w="108" w:type="dxa"/>
            </w:tcMar>
          </w:tcPr>
          <w:p w14:paraId="16D01AFC"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Easy trials</w:t>
            </w:r>
          </w:p>
        </w:tc>
        <w:tc>
          <w:tcPr>
            <w:tcW w:w="1829" w:type="dxa"/>
            <w:shd w:val="clear" w:color="auto" w:fill="auto"/>
            <w:tcMar>
              <w:left w:w="108" w:type="dxa"/>
            </w:tcMar>
          </w:tcPr>
          <w:p w14:paraId="48A7F802"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Medium trials</w:t>
            </w:r>
          </w:p>
        </w:tc>
        <w:tc>
          <w:tcPr>
            <w:tcW w:w="1903" w:type="dxa"/>
            <w:shd w:val="clear" w:color="auto" w:fill="auto"/>
            <w:tcMar>
              <w:left w:w="108" w:type="dxa"/>
            </w:tcMar>
          </w:tcPr>
          <w:p w14:paraId="6EE242FC"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Difficult trials</w:t>
            </w:r>
          </w:p>
        </w:tc>
      </w:tr>
      <w:tr w:rsidR="00172845" w:rsidRPr="00172845" w14:paraId="47CB6517" w14:textId="77777777" w:rsidTr="002A1E63">
        <w:trPr>
          <w:trHeight w:val="410"/>
        </w:trPr>
        <w:tc>
          <w:tcPr>
            <w:tcW w:w="3514" w:type="dxa"/>
            <w:shd w:val="clear" w:color="auto" w:fill="auto"/>
            <w:tcMar>
              <w:left w:w="108" w:type="dxa"/>
            </w:tcMar>
          </w:tcPr>
          <w:p w14:paraId="5B122158" w14:textId="77777777" w:rsidR="00172845" w:rsidRPr="00172845" w:rsidRDefault="00172845" w:rsidP="00172845">
            <w:pPr>
              <w:pStyle w:val="NoSpacing"/>
              <w:rPr>
                <w:rFonts w:ascii="Times New Roman" w:hAnsi="Times New Roman" w:cs="Times New Roman"/>
                <w:b/>
              </w:rPr>
            </w:pPr>
            <w:r w:rsidRPr="00172845">
              <w:rPr>
                <w:rFonts w:ascii="Times New Roman" w:hAnsi="Times New Roman" w:cs="Times New Roman"/>
                <w:b/>
              </w:rPr>
              <w:t>Drift / EA rate</w:t>
            </w:r>
          </w:p>
        </w:tc>
        <w:tc>
          <w:tcPr>
            <w:tcW w:w="1829" w:type="dxa"/>
            <w:shd w:val="clear" w:color="auto" w:fill="auto"/>
            <w:tcMar>
              <w:left w:w="108" w:type="dxa"/>
            </w:tcMar>
          </w:tcPr>
          <w:p w14:paraId="61961857" w14:textId="77777777" w:rsidR="00172845" w:rsidRPr="00172845" w:rsidRDefault="00172845" w:rsidP="00172845">
            <w:pPr>
              <w:pStyle w:val="NoSpacing"/>
              <w:rPr>
                <w:rFonts w:ascii="Times New Roman" w:hAnsi="Times New Roman" w:cs="Times New Roman"/>
                <w:u w:val="single"/>
              </w:rPr>
            </w:pPr>
          </w:p>
        </w:tc>
        <w:tc>
          <w:tcPr>
            <w:tcW w:w="1829" w:type="dxa"/>
            <w:shd w:val="clear" w:color="auto" w:fill="auto"/>
            <w:tcMar>
              <w:left w:w="108" w:type="dxa"/>
            </w:tcMar>
          </w:tcPr>
          <w:p w14:paraId="5630A69C" w14:textId="77777777" w:rsidR="00172845" w:rsidRPr="00172845" w:rsidRDefault="00172845" w:rsidP="00172845">
            <w:pPr>
              <w:pStyle w:val="NoSpacing"/>
              <w:rPr>
                <w:rFonts w:ascii="Times New Roman" w:hAnsi="Times New Roman" w:cs="Times New Roman"/>
                <w:u w:val="single"/>
              </w:rPr>
            </w:pPr>
          </w:p>
        </w:tc>
        <w:tc>
          <w:tcPr>
            <w:tcW w:w="1903" w:type="dxa"/>
            <w:shd w:val="clear" w:color="auto" w:fill="auto"/>
            <w:tcMar>
              <w:left w:w="108" w:type="dxa"/>
            </w:tcMar>
          </w:tcPr>
          <w:p w14:paraId="237482D2" w14:textId="77777777" w:rsidR="00172845" w:rsidRPr="00172845" w:rsidRDefault="00172845" w:rsidP="00172845">
            <w:pPr>
              <w:pStyle w:val="NoSpacing"/>
              <w:rPr>
                <w:rFonts w:ascii="Times New Roman" w:hAnsi="Times New Roman" w:cs="Times New Roman"/>
                <w:u w:val="single"/>
              </w:rPr>
            </w:pPr>
          </w:p>
        </w:tc>
      </w:tr>
      <w:tr w:rsidR="00172845" w:rsidRPr="00172845" w14:paraId="1704C14D" w14:textId="77777777" w:rsidTr="002A1E63">
        <w:trPr>
          <w:trHeight w:val="780"/>
        </w:trPr>
        <w:tc>
          <w:tcPr>
            <w:tcW w:w="3514" w:type="dxa"/>
            <w:shd w:val="clear" w:color="auto" w:fill="auto"/>
            <w:tcMar>
              <w:left w:w="108" w:type="dxa"/>
            </w:tcMar>
          </w:tcPr>
          <w:p w14:paraId="60F2030A"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Positive condition: alcohol vs. soft drink</w:t>
            </w:r>
          </w:p>
        </w:tc>
        <w:tc>
          <w:tcPr>
            <w:tcW w:w="1829" w:type="dxa"/>
            <w:shd w:val="clear" w:color="auto" w:fill="auto"/>
            <w:tcMar>
              <w:left w:w="108" w:type="dxa"/>
            </w:tcMar>
          </w:tcPr>
          <w:p w14:paraId="3F6B6EC0"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.57, </w:t>
            </w:r>
            <w:r w:rsidRPr="00172845">
              <w:rPr>
                <w:rFonts w:ascii="Times New Roman" w:hAnsi="Times New Roman" w:cs="Times New Roman"/>
                <w:i/>
              </w:rPr>
              <w:t>d</w:t>
            </w:r>
            <w:r w:rsidRPr="00172845">
              <w:rPr>
                <w:rFonts w:ascii="Times New Roman" w:hAnsi="Times New Roman" w:cs="Times New Roman"/>
              </w:rPr>
              <w:t xml:space="preserve"> =.03</w:t>
            </w:r>
          </w:p>
        </w:tc>
        <w:tc>
          <w:tcPr>
            <w:tcW w:w="1829" w:type="dxa"/>
            <w:shd w:val="clear" w:color="auto" w:fill="auto"/>
            <w:tcMar>
              <w:left w:w="108" w:type="dxa"/>
            </w:tcMar>
          </w:tcPr>
          <w:p w14:paraId="1784869B"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.57, </w:t>
            </w:r>
            <w:r w:rsidRPr="00172845">
              <w:rPr>
                <w:rFonts w:ascii="Times New Roman" w:hAnsi="Times New Roman" w:cs="Times New Roman"/>
                <w:i/>
              </w:rPr>
              <w:t>d</w:t>
            </w:r>
            <w:r w:rsidRPr="00172845">
              <w:rPr>
                <w:rFonts w:ascii="Times New Roman" w:hAnsi="Times New Roman" w:cs="Times New Roman"/>
              </w:rPr>
              <w:t xml:space="preserve"> = .03</w:t>
            </w:r>
          </w:p>
        </w:tc>
        <w:tc>
          <w:tcPr>
            <w:tcW w:w="1903" w:type="dxa"/>
            <w:shd w:val="clear" w:color="auto" w:fill="auto"/>
            <w:tcMar>
              <w:left w:w="108" w:type="dxa"/>
            </w:tcMar>
          </w:tcPr>
          <w:p w14:paraId="522CAD64"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.20, </w:t>
            </w:r>
            <w:r w:rsidRPr="00172845">
              <w:rPr>
                <w:rFonts w:ascii="Times New Roman" w:hAnsi="Times New Roman" w:cs="Times New Roman"/>
                <w:i/>
              </w:rPr>
              <w:t>d</w:t>
            </w:r>
            <w:r w:rsidRPr="00172845">
              <w:rPr>
                <w:rFonts w:ascii="Times New Roman" w:hAnsi="Times New Roman" w:cs="Times New Roman"/>
              </w:rPr>
              <w:t xml:space="preserve"> = .14</w:t>
            </w:r>
          </w:p>
        </w:tc>
      </w:tr>
      <w:tr w:rsidR="00172845" w:rsidRPr="00172845" w14:paraId="083AF340" w14:textId="77777777" w:rsidTr="002A1E63">
        <w:trPr>
          <w:trHeight w:val="780"/>
        </w:trPr>
        <w:tc>
          <w:tcPr>
            <w:tcW w:w="3514" w:type="dxa"/>
            <w:shd w:val="clear" w:color="auto" w:fill="auto"/>
            <w:tcMar>
              <w:left w:w="108" w:type="dxa"/>
            </w:tcMar>
          </w:tcPr>
          <w:p w14:paraId="2C7876FF"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Negative condition: alcohol vs. soft drink</w:t>
            </w:r>
          </w:p>
        </w:tc>
        <w:tc>
          <w:tcPr>
            <w:tcW w:w="1829" w:type="dxa"/>
            <w:shd w:val="clear" w:color="auto" w:fill="auto"/>
            <w:tcMar>
              <w:left w:w="108" w:type="dxa"/>
            </w:tcMar>
          </w:tcPr>
          <w:p w14:paraId="2479EE2E" w14:textId="77777777" w:rsidR="00172845" w:rsidRPr="00172845" w:rsidRDefault="00172845" w:rsidP="00172845">
            <w:pPr>
              <w:pStyle w:val="NoSpacing"/>
              <w:rPr>
                <w:rFonts w:ascii="Times New Roman" w:hAnsi="Times New Roman" w:cs="Times New Roman"/>
                <w:b/>
              </w:rPr>
            </w:pPr>
            <w:r w:rsidRPr="00172845">
              <w:rPr>
                <w:rFonts w:ascii="Times New Roman" w:hAnsi="Times New Roman" w:cs="Times New Roman"/>
                <w:b/>
                <w:i/>
              </w:rPr>
              <w:t>p</w:t>
            </w:r>
            <w:r w:rsidRPr="00172845">
              <w:rPr>
                <w:rFonts w:ascii="Times New Roman" w:hAnsi="Times New Roman" w:cs="Times New Roman"/>
                <w:b/>
              </w:rPr>
              <w:t xml:space="preserve"> &lt; .01, </w:t>
            </w:r>
            <w:r w:rsidRPr="00172845">
              <w:rPr>
                <w:rFonts w:ascii="Times New Roman" w:hAnsi="Times New Roman" w:cs="Times New Roman"/>
                <w:b/>
                <w:i/>
              </w:rPr>
              <w:t>d</w:t>
            </w:r>
            <w:r w:rsidRPr="00172845">
              <w:rPr>
                <w:rFonts w:ascii="Times New Roman" w:hAnsi="Times New Roman" w:cs="Times New Roman"/>
                <w:b/>
              </w:rPr>
              <w:t xml:space="preserve"> = .42</w:t>
            </w:r>
          </w:p>
        </w:tc>
        <w:tc>
          <w:tcPr>
            <w:tcW w:w="1829" w:type="dxa"/>
            <w:shd w:val="clear" w:color="auto" w:fill="auto"/>
            <w:tcMar>
              <w:left w:w="108" w:type="dxa"/>
            </w:tcMar>
          </w:tcPr>
          <w:p w14:paraId="74B31082"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.27, </w:t>
            </w:r>
            <w:r w:rsidRPr="00172845">
              <w:rPr>
                <w:rFonts w:ascii="Times New Roman" w:hAnsi="Times New Roman" w:cs="Times New Roman"/>
                <w:i/>
              </w:rPr>
              <w:t xml:space="preserve">d </w:t>
            </w:r>
            <w:r w:rsidRPr="00172845">
              <w:rPr>
                <w:rFonts w:ascii="Times New Roman" w:hAnsi="Times New Roman" w:cs="Times New Roman"/>
              </w:rPr>
              <w:t>= .10</w:t>
            </w:r>
          </w:p>
        </w:tc>
        <w:tc>
          <w:tcPr>
            <w:tcW w:w="1903" w:type="dxa"/>
            <w:shd w:val="clear" w:color="auto" w:fill="auto"/>
            <w:tcMar>
              <w:left w:w="108" w:type="dxa"/>
            </w:tcMar>
          </w:tcPr>
          <w:p w14:paraId="148D351A"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.29, </w:t>
            </w:r>
            <w:r w:rsidRPr="00172845">
              <w:rPr>
                <w:rFonts w:ascii="Times New Roman" w:hAnsi="Times New Roman" w:cs="Times New Roman"/>
                <w:i/>
              </w:rPr>
              <w:t>d</w:t>
            </w:r>
            <w:r w:rsidRPr="00172845">
              <w:rPr>
                <w:rFonts w:ascii="Times New Roman" w:hAnsi="Times New Roman" w:cs="Times New Roman"/>
              </w:rPr>
              <w:t xml:space="preserve"> = .09</w:t>
            </w:r>
          </w:p>
        </w:tc>
      </w:tr>
      <w:tr w:rsidR="00172845" w:rsidRPr="00172845" w14:paraId="554D5ADE" w14:textId="77777777" w:rsidTr="002A1E63">
        <w:trPr>
          <w:trHeight w:val="802"/>
        </w:trPr>
        <w:tc>
          <w:tcPr>
            <w:tcW w:w="3514" w:type="dxa"/>
            <w:shd w:val="clear" w:color="auto" w:fill="auto"/>
            <w:tcMar>
              <w:left w:w="108" w:type="dxa"/>
            </w:tcMar>
          </w:tcPr>
          <w:p w14:paraId="589298B1"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Alcohol: positive vs. negative condition</w:t>
            </w:r>
          </w:p>
        </w:tc>
        <w:tc>
          <w:tcPr>
            <w:tcW w:w="1829" w:type="dxa"/>
            <w:shd w:val="clear" w:color="auto" w:fill="auto"/>
            <w:tcMar>
              <w:left w:w="108" w:type="dxa"/>
            </w:tcMar>
          </w:tcPr>
          <w:p w14:paraId="0AF8B238"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.06, </w:t>
            </w:r>
            <w:r w:rsidRPr="00172845">
              <w:rPr>
                <w:rFonts w:ascii="Times New Roman" w:hAnsi="Times New Roman" w:cs="Times New Roman"/>
                <w:i/>
              </w:rPr>
              <w:t xml:space="preserve">d </w:t>
            </w:r>
            <w:r w:rsidRPr="00172845">
              <w:rPr>
                <w:rFonts w:ascii="Times New Roman" w:hAnsi="Times New Roman" w:cs="Times New Roman"/>
              </w:rPr>
              <w:t>= .27</w:t>
            </w:r>
          </w:p>
        </w:tc>
        <w:tc>
          <w:tcPr>
            <w:tcW w:w="1829" w:type="dxa"/>
            <w:shd w:val="clear" w:color="auto" w:fill="auto"/>
            <w:tcMar>
              <w:left w:w="108" w:type="dxa"/>
            </w:tcMar>
          </w:tcPr>
          <w:p w14:paraId="01D9C1C0"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.97, </w:t>
            </w:r>
            <w:r w:rsidRPr="00172845">
              <w:rPr>
                <w:rFonts w:ascii="Times New Roman" w:hAnsi="Times New Roman" w:cs="Times New Roman"/>
                <w:i/>
              </w:rPr>
              <w:t>d</w:t>
            </w:r>
            <w:r w:rsidRPr="00172845">
              <w:rPr>
                <w:rFonts w:ascii="Times New Roman" w:hAnsi="Times New Roman" w:cs="Times New Roman"/>
              </w:rPr>
              <w:t xml:space="preserve"> = .33</w:t>
            </w:r>
          </w:p>
        </w:tc>
        <w:tc>
          <w:tcPr>
            <w:tcW w:w="1903" w:type="dxa"/>
            <w:shd w:val="clear" w:color="auto" w:fill="auto"/>
            <w:tcMar>
              <w:left w:w="108" w:type="dxa"/>
            </w:tcMar>
          </w:tcPr>
          <w:p w14:paraId="19EA8718"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.40, </w:t>
            </w:r>
            <w:r w:rsidRPr="00172845">
              <w:rPr>
                <w:rFonts w:ascii="Times New Roman" w:hAnsi="Times New Roman" w:cs="Times New Roman"/>
                <w:i/>
              </w:rPr>
              <w:t xml:space="preserve">d </w:t>
            </w:r>
            <w:r w:rsidRPr="00172845">
              <w:rPr>
                <w:rFonts w:ascii="Times New Roman" w:hAnsi="Times New Roman" w:cs="Times New Roman"/>
              </w:rPr>
              <w:t>= .04</w:t>
            </w:r>
          </w:p>
        </w:tc>
      </w:tr>
      <w:tr w:rsidR="00172845" w:rsidRPr="00172845" w14:paraId="666F7AFE" w14:textId="77777777" w:rsidTr="002A1E63">
        <w:trPr>
          <w:trHeight w:val="780"/>
        </w:trPr>
        <w:tc>
          <w:tcPr>
            <w:tcW w:w="3514" w:type="dxa"/>
            <w:shd w:val="clear" w:color="auto" w:fill="auto"/>
            <w:tcMar>
              <w:left w:w="108" w:type="dxa"/>
            </w:tcMar>
          </w:tcPr>
          <w:p w14:paraId="13A3DB81"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lastRenderedPageBreak/>
              <w:t>Soft drink: positive vs. negative condition</w:t>
            </w:r>
          </w:p>
        </w:tc>
        <w:tc>
          <w:tcPr>
            <w:tcW w:w="1829" w:type="dxa"/>
            <w:shd w:val="clear" w:color="auto" w:fill="auto"/>
            <w:tcMar>
              <w:left w:w="108" w:type="dxa"/>
            </w:tcMar>
          </w:tcPr>
          <w:p w14:paraId="1028AA13"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.09, </w:t>
            </w:r>
            <w:r w:rsidRPr="00172845">
              <w:rPr>
                <w:rFonts w:ascii="Times New Roman" w:hAnsi="Times New Roman" w:cs="Times New Roman"/>
                <w:i/>
              </w:rPr>
              <w:t>d</w:t>
            </w:r>
            <w:r w:rsidRPr="00172845">
              <w:rPr>
                <w:rFonts w:ascii="Times New Roman" w:hAnsi="Times New Roman" w:cs="Times New Roman"/>
              </w:rPr>
              <w:t xml:space="preserve"> = .23</w:t>
            </w:r>
          </w:p>
        </w:tc>
        <w:tc>
          <w:tcPr>
            <w:tcW w:w="1829" w:type="dxa"/>
            <w:shd w:val="clear" w:color="auto" w:fill="auto"/>
            <w:tcMar>
              <w:left w:w="108" w:type="dxa"/>
            </w:tcMar>
          </w:tcPr>
          <w:p w14:paraId="031155F3" w14:textId="77777777" w:rsidR="00172845" w:rsidRPr="00172845" w:rsidRDefault="00172845" w:rsidP="00172845">
            <w:pPr>
              <w:pStyle w:val="NoSpacing"/>
              <w:rPr>
                <w:rFonts w:ascii="Times New Roman" w:hAnsi="Times New Roman" w:cs="Times New Roman"/>
                <w:b/>
              </w:rPr>
            </w:pPr>
            <w:r w:rsidRPr="00172845">
              <w:rPr>
                <w:rFonts w:ascii="Times New Roman" w:hAnsi="Times New Roman" w:cs="Times New Roman"/>
                <w:b/>
                <w:i/>
              </w:rPr>
              <w:t>p</w:t>
            </w:r>
            <w:r w:rsidRPr="00172845">
              <w:rPr>
                <w:rFonts w:ascii="Times New Roman" w:hAnsi="Times New Roman" w:cs="Times New Roman"/>
                <w:b/>
              </w:rPr>
              <w:t xml:space="preserve"> = .01, </w:t>
            </w:r>
            <w:r w:rsidRPr="00172845">
              <w:rPr>
                <w:rFonts w:ascii="Times New Roman" w:hAnsi="Times New Roman" w:cs="Times New Roman"/>
                <w:b/>
                <w:i/>
              </w:rPr>
              <w:t xml:space="preserve">d </w:t>
            </w:r>
            <w:r w:rsidRPr="00172845">
              <w:rPr>
                <w:rFonts w:ascii="Times New Roman" w:hAnsi="Times New Roman" w:cs="Times New Roman"/>
                <w:b/>
              </w:rPr>
              <w:t>= .38</w:t>
            </w:r>
          </w:p>
        </w:tc>
        <w:tc>
          <w:tcPr>
            <w:tcW w:w="1903" w:type="dxa"/>
            <w:shd w:val="clear" w:color="auto" w:fill="auto"/>
            <w:tcMar>
              <w:left w:w="108" w:type="dxa"/>
            </w:tcMar>
          </w:tcPr>
          <w:p w14:paraId="4B1B03D9"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.08,</w:t>
            </w:r>
            <w:r w:rsidRPr="00172845">
              <w:rPr>
                <w:rFonts w:ascii="Times New Roman" w:hAnsi="Times New Roman" w:cs="Times New Roman"/>
                <w:i/>
              </w:rPr>
              <w:t xml:space="preserve"> d</w:t>
            </w:r>
            <w:r w:rsidRPr="00172845">
              <w:rPr>
                <w:rFonts w:ascii="Times New Roman" w:hAnsi="Times New Roman" w:cs="Times New Roman"/>
              </w:rPr>
              <w:t xml:space="preserve"> = .24</w:t>
            </w:r>
          </w:p>
        </w:tc>
      </w:tr>
      <w:tr w:rsidR="00172845" w:rsidRPr="00172845" w14:paraId="3B1D09E1" w14:textId="77777777" w:rsidTr="002A1E63">
        <w:trPr>
          <w:trHeight w:val="390"/>
        </w:trPr>
        <w:tc>
          <w:tcPr>
            <w:tcW w:w="3514" w:type="dxa"/>
            <w:shd w:val="clear" w:color="auto" w:fill="auto"/>
            <w:tcMar>
              <w:left w:w="108" w:type="dxa"/>
            </w:tcMar>
          </w:tcPr>
          <w:p w14:paraId="5DCE46FA" w14:textId="77777777" w:rsidR="00172845" w:rsidRPr="00172845" w:rsidRDefault="00172845" w:rsidP="00172845">
            <w:pPr>
              <w:pStyle w:val="NoSpacing"/>
              <w:rPr>
                <w:rFonts w:ascii="Times New Roman" w:hAnsi="Times New Roman" w:cs="Times New Roman"/>
                <w:b/>
              </w:rPr>
            </w:pPr>
            <w:r w:rsidRPr="00172845">
              <w:rPr>
                <w:rFonts w:ascii="Times New Roman" w:hAnsi="Times New Roman" w:cs="Times New Roman"/>
                <w:b/>
              </w:rPr>
              <w:t>Response threshold</w:t>
            </w:r>
          </w:p>
        </w:tc>
        <w:tc>
          <w:tcPr>
            <w:tcW w:w="1829" w:type="dxa"/>
            <w:shd w:val="clear" w:color="auto" w:fill="auto"/>
            <w:tcMar>
              <w:left w:w="108" w:type="dxa"/>
            </w:tcMar>
          </w:tcPr>
          <w:p w14:paraId="4D85C374" w14:textId="77777777" w:rsidR="00172845" w:rsidRPr="00172845" w:rsidRDefault="00172845" w:rsidP="00172845">
            <w:pPr>
              <w:pStyle w:val="NoSpacing"/>
              <w:rPr>
                <w:rFonts w:ascii="Times New Roman" w:hAnsi="Times New Roman" w:cs="Times New Roman"/>
                <w:u w:val="single"/>
              </w:rPr>
            </w:pPr>
          </w:p>
        </w:tc>
        <w:tc>
          <w:tcPr>
            <w:tcW w:w="1829" w:type="dxa"/>
            <w:shd w:val="clear" w:color="auto" w:fill="auto"/>
            <w:tcMar>
              <w:left w:w="108" w:type="dxa"/>
            </w:tcMar>
          </w:tcPr>
          <w:p w14:paraId="1FA822CB" w14:textId="77777777" w:rsidR="00172845" w:rsidRPr="00172845" w:rsidRDefault="00172845" w:rsidP="00172845">
            <w:pPr>
              <w:pStyle w:val="NoSpacing"/>
              <w:rPr>
                <w:rFonts w:ascii="Times New Roman" w:hAnsi="Times New Roman" w:cs="Times New Roman"/>
                <w:u w:val="single"/>
              </w:rPr>
            </w:pPr>
          </w:p>
        </w:tc>
        <w:tc>
          <w:tcPr>
            <w:tcW w:w="1903" w:type="dxa"/>
            <w:shd w:val="clear" w:color="auto" w:fill="auto"/>
            <w:tcMar>
              <w:left w:w="108" w:type="dxa"/>
            </w:tcMar>
          </w:tcPr>
          <w:p w14:paraId="104B7D92" w14:textId="77777777" w:rsidR="00172845" w:rsidRPr="00172845" w:rsidRDefault="00172845" w:rsidP="00172845">
            <w:pPr>
              <w:pStyle w:val="NoSpacing"/>
              <w:rPr>
                <w:rFonts w:ascii="Times New Roman" w:hAnsi="Times New Roman" w:cs="Times New Roman"/>
                <w:u w:val="single"/>
              </w:rPr>
            </w:pPr>
          </w:p>
        </w:tc>
      </w:tr>
      <w:tr w:rsidR="00172845" w:rsidRPr="00172845" w14:paraId="5F0397A4" w14:textId="77777777" w:rsidTr="002A1E63">
        <w:trPr>
          <w:trHeight w:val="802"/>
        </w:trPr>
        <w:tc>
          <w:tcPr>
            <w:tcW w:w="3514" w:type="dxa"/>
            <w:shd w:val="clear" w:color="auto" w:fill="auto"/>
            <w:tcMar>
              <w:left w:w="108" w:type="dxa"/>
            </w:tcMar>
          </w:tcPr>
          <w:p w14:paraId="6410CD49"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Positive condition: alcohol vs. soft drink</w:t>
            </w:r>
          </w:p>
        </w:tc>
        <w:tc>
          <w:tcPr>
            <w:tcW w:w="1829" w:type="dxa"/>
            <w:shd w:val="clear" w:color="auto" w:fill="auto"/>
            <w:tcMar>
              <w:left w:w="108" w:type="dxa"/>
            </w:tcMar>
          </w:tcPr>
          <w:p w14:paraId="73A04D79"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 xml:space="preserve">p </w:t>
            </w:r>
            <w:r w:rsidRPr="00172845">
              <w:rPr>
                <w:rFonts w:ascii="Times New Roman" w:hAnsi="Times New Roman" w:cs="Times New Roman"/>
              </w:rPr>
              <w:t xml:space="preserve">= .55, </w:t>
            </w:r>
            <w:r w:rsidRPr="00172845">
              <w:rPr>
                <w:rFonts w:ascii="Times New Roman" w:hAnsi="Times New Roman" w:cs="Times New Roman"/>
                <w:i/>
              </w:rPr>
              <w:t>d</w:t>
            </w:r>
            <w:r w:rsidRPr="00172845">
              <w:rPr>
                <w:rFonts w:ascii="Times New Roman" w:hAnsi="Times New Roman" w:cs="Times New Roman"/>
              </w:rPr>
              <w:t xml:space="preserve"> = .02</w:t>
            </w:r>
          </w:p>
        </w:tc>
        <w:tc>
          <w:tcPr>
            <w:tcW w:w="1829" w:type="dxa"/>
            <w:shd w:val="clear" w:color="auto" w:fill="auto"/>
            <w:tcMar>
              <w:left w:w="108" w:type="dxa"/>
            </w:tcMar>
          </w:tcPr>
          <w:p w14:paraId="67C900A2"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.50, </w:t>
            </w:r>
            <w:r w:rsidRPr="00172845">
              <w:rPr>
                <w:rFonts w:ascii="Times New Roman" w:hAnsi="Times New Roman" w:cs="Times New Roman"/>
                <w:i/>
              </w:rPr>
              <w:t>d</w:t>
            </w:r>
            <w:r w:rsidRPr="00172845">
              <w:rPr>
                <w:rFonts w:ascii="Times New Roman" w:hAnsi="Times New Roman" w:cs="Times New Roman"/>
              </w:rPr>
              <w:t xml:space="preserve"> = .00</w:t>
            </w:r>
          </w:p>
        </w:tc>
        <w:tc>
          <w:tcPr>
            <w:tcW w:w="1903" w:type="dxa"/>
            <w:shd w:val="clear" w:color="auto" w:fill="auto"/>
            <w:tcMar>
              <w:left w:w="108" w:type="dxa"/>
            </w:tcMar>
          </w:tcPr>
          <w:p w14:paraId="252A336D"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i/>
              </w:rPr>
              <w:t>p</w:t>
            </w:r>
            <w:r w:rsidRPr="00172845">
              <w:rPr>
                <w:rFonts w:ascii="Times New Roman" w:hAnsi="Times New Roman" w:cs="Times New Roman"/>
              </w:rPr>
              <w:t xml:space="preserve"> = .66, </w:t>
            </w:r>
            <w:r w:rsidRPr="00172845">
              <w:rPr>
                <w:rFonts w:ascii="Times New Roman" w:hAnsi="Times New Roman" w:cs="Times New Roman"/>
                <w:i/>
              </w:rPr>
              <w:t>d</w:t>
            </w:r>
            <w:r w:rsidRPr="00172845">
              <w:rPr>
                <w:rFonts w:ascii="Times New Roman" w:hAnsi="Times New Roman" w:cs="Times New Roman"/>
              </w:rPr>
              <w:t xml:space="preserve"> = .07</w:t>
            </w:r>
          </w:p>
        </w:tc>
      </w:tr>
      <w:tr w:rsidR="00172845" w:rsidRPr="00172845" w14:paraId="41BB9004" w14:textId="77777777" w:rsidTr="002A1E63">
        <w:trPr>
          <w:trHeight w:val="780"/>
        </w:trPr>
        <w:tc>
          <w:tcPr>
            <w:tcW w:w="3514" w:type="dxa"/>
            <w:shd w:val="clear" w:color="auto" w:fill="auto"/>
            <w:tcMar>
              <w:left w:w="108" w:type="dxa"/>
            </w:tcMar>
          </w:tcPr>
          <w:p w14:paraId="27DD4D84"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Negative condition: alcohol vs. soft drink</w:t>
            </w:r>
          </w:p>
        </w:tc>
        <w:tc>
          <w:tcPr>
            <w:tcW w:w="1829" w:type="dxa"/>
            <w:shd w:val="clear" w:color="auto" w:fill="auto"/>
            <w:tcMar>
              <w:left w:w="108" w:type="dxa"/>
            </w:tcMar>
          </w:tcPr>
          <w:p w14:paraId="6FF379BF"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.10, </w:t>
            </w:r>
            <w:r w:rsidRPr="00172845">
              <w:rPr>
                <w:rFonts w:ascii="Times New Roman" w:hAnsi="Times New Roman" w:cs="Times New Roman"/>
                <w:i/>
              </w:rPr>
              <w:t>d</w:t>
            </w:r>
            <w:r w:rsidRPr="00172845">
              <w:rPr>
                <w:rFonts w:ascii="Times New Roman" w:hAnsi="Times New Roman" w:cs="Times New Roman"/>
              </w:rPr>
              <w:t xml:space="preserve"> = .22</w:t>
            </w:r>
          </w:p>
        </w:tc>
        <w:tc>
          <w:tcPr>
            <w:tcW w:w="1829" w:type="dxa"/>
            <w:shd w:val="clear" w:color="auto" w:fill="auto"/>
            <w:tcMar>
              <w:left w:w="108" w:type="dxa"/>
            </w:tcMar>
          </w:tcPr>
          <w:p w14:paraId="6A928873"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.51, </w:t>
            </w:r>
            <w:r w:rsidRPr="00172845">
              <w:rPr>
                <w:rFonts w:ascii="Times New Roman" w:hAnsi="Times New Roman" w:cs="Times New Roman"/>
                <w:i/>
              </w:rPr>
              <w:t>d</w:t>
            </w:r>
            <w:r w:rsidRPr="00172845">
              <w:rPr>
                <w:rFonts w:ascii="Times New Roman" w:hAnsi="Times New Roman" w:cs="Times New Roman"/>
              </w:rPr>
              <w:t xml:space="preserve"> = .00</w:t>
            </w:r>
          </w:p>
        </w:tc>
        <w:tc>
          <w:tcPr>
            <w:tcW w:w="1903" w:type="dxa"/>
            <w:shd w:val="clear" w:color="auto" w:fill="auto"/>
            <w:tcMar>
              <w:left w:w="108" w:type="dxa"/>
            </w:tcMar>
          </w:tcPr>
          <w:p w14:paraId="12898B8E"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.15, </w:t>
            </w:r>
            <w:r w:rsidRPr="00172845">
              <w:rPr>
                <w:rFonts w:ascii="Times New Roman" w:hAnsi="Times New Roman" w:cs="Times New Roman"/>
                <w:i/>
              </w:rPr>
              <w:t>d</w:t>
            </w:r>
            <w:r w:rsidRPr="00172845">
              <w:rPr>
                <w:rFonts w:ascii="Times New Roman" w:hAnsi="Times New Roman" w:cs="Times New Roman"/>
              </w:rPr>
              <w:t xml:space="preserve"> = .18</w:t>
            </w:r>
          </w:p>
        </w:tc>
      </w:tr>
      <w:tr w:rsidR="00172845" w:rsidRPr="00172845" w14:paraId="497D2946" w14:textId="77777777" w:rsidTr="002A1E63">
        <w:trPr>
          <w:trHeight w:val="802"/>
        </w:trPr>
        <w:tc>
          <w:tcPr>
            <w:tcW w:w="3514" w:type="dxa"/>
            <w:shd w:val="clear" w:color="auto" w:fill="auto"/>
            <w:tcMar>
              <w:left w:w="108" w:type="dxa"/>
            </w:tcMar>
          </w:tcPr>
          <w:p w14:paraId="5390C397"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Alcohol: positive vs. negative condition</w:t>
            </w:r>
          </w:p>
        </w:tc>
        <w:tc>
          <w:tcPr>
            <w:tcW w:w="1829" w:type="dxa"/>
            <w:shd w:val="clear" w:color="auto" w:fill="auto"/>
            <w:tcMar>
              <w:left w:w="108" w:type="dxa"/>
            </w:tcMar>
          </w:tcPr>
          <w:p w14:paraId="73AC6566"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.28, </w:t>
            </w:r>
            <w:r w:rsidRPr="00172845">
              <w:rPr>
                <w:rFonts w:ascii="Times New Roman" w:hAnsi="Times New Roman" w:cs="Times New Roman"/>
                <w:i/>
              </w:rPr>
              <w:t>d</w:t>
            </w:r>
            <w:r w:rsidRPr="00172845">
              <w:rPr>
                <w:rFonts w:ascii="Times New Roman" w:hAnsi="Times New Roman" w:cs="Times New Roman"/>
              </w:rPr>
              <w:t xml:space="preserve"> = .10</w:t>
            </w:r>
          </w:p>
        </w:tc>
        <w:tc>
          <w:tcPr>
            <w:tcW w:w="1829" w:type="dxa"/>
            <w:shd w:val="clear" w:color="auto" w:fill="auto"/>
            <w:tcMar>
              <w:left w:w="108" w:type="dxa"/>
            </w:tcMar>
          </w:tcPr>
          <w:p w14:paraId="37BAE953"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.99, </w:t>
            </w:r>
            <w:r w:rsidRPr="00172845">
              <w:rPr>
                <w:rFonts w:ascii="Times New Roman" w:hAnsi="Times New Roman" w:cs="Times New Roman"/>
                <w:i/>
              </w:rPr>
              <w:t xml:space="preserve">d </w:t>
            </w:r>
            <w:r w:rsidRPr="00172845">
              <w:rPr>
                <w:rFonts w:ascii="Times New Roman" w:hAnsi="Times New Roman" w:cs="Times New Roman"/>
              </w:rPr>
              <w:t>= .41</w:t>
            </w:r>
          </w:p>
        </w:tc>
        <w:tc>
          <w:tcPr>
            <w:tcW w:w="1903" w:type="dxa"/>
            <w:shd w:val="clear" w:color="auto" w:fill="auto"/>
            <w:tcMar>
              <w:left w:w="108" w:type="dxa"/>
            </w:tcMar>
          </w:tcPr>
          <w:p w14:paraId="1895E4F4"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.61, </w:t>
            </w:r>
            <w:r w:rsidRPr="00172845">
              <w:rPr>
                <w:rFonts w:ascii="Times New Roman" w:hAnsi="Times New Roman" w:cs="Times New Roman"/>
                <w:i/>
              </w:rPr>
              <w:t>d</w:t>
            </w:r>
            <w:r w:rsidRPr="00172845">
              <w:rPr>
                <w:rFonts w:ascii="Times New Roman" w:hAnsi="Times New Roman" w:cs="Times New Roman"/>
              </w:rPr>
              <w:t xml:space="preserve"> = .05</w:t>
            </w:r>
          </w:p>
        </w:tc>
      </w:tr>
      <w:tr w:rsidR="00172845" w:rsidRPr="00172845" w14:paraId="09BF2A5B" w14:textId="77777777" w:rsidTr="002A1E63">
        <w:trPr>
          <w:trHeight w:val="780"/>
        </w:trPr>
        <w:tc>
          <w:tcPr>
            <w:tcW w:w="3514" w:type="dxa"/>
            <w:shd w:val="clear" w:color="auto" w:fill="auto"/>
            <w:tcMar>
              <w:left w:w="108" w:type="dxa"/>
            </w:tcMar>
          </w:tcPr>
          <w:p w14:paraId="61A54AF4" w14:textId="77777777" w:rsidR="00172845" w:rsidRPr="00172845" w:rsidRDefault="00172845" w:rsidP="00172845">
            <w:pPr>
              <w:pStyle w:val="NoSpacing"/>
              <w:rPr>
                <w:rFonts w:ascii="Times New Roman" w:hAnsi="Times New Roman" w:cs="Times New Roman"/>
                <w:u w:val="single"/>
              </w:rPr>
            </w:pPr>
            <w:r w:rsidRPr="00172845">
              <w:rPr>
                <w:rFonts w:ascii="Times New Roman" w:hAnsi="Times New Roman" w:cs="Times New Roman"/>
                <w:u w:val="single"/>
              </w:rPr>
              <w:t>Soft drink: positive vs. negative condition</w:t>
            </w:r>
          </w:p>
        </w:tc>
        <w:tc>
          <w:tcPr>
            <w:tcW w:w="1829" w:type="dxa"/>
            <w:shd w:val="clear" w:color="auto" w:fill="auto"/>
            <w:tcMar>
              <w:left w:w="108" w:type="dxa"/>
            </w:tcMar>
          </w:tcPr>
          <w:p w14:paraId="1D395B65"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.22, </w:t>
            </w:r>
            <w:r w:rsidRPr="00172845">
              <w:rPr>
                <w:rFonts w:ascii="Times New Roman" w:hAnsi="Times New Roman" w:cs="Times New Roman"/>
                <w:i/>
              </w:rPr>
              <w:t>d</w:t>
            </w:r>
            <w:r w:rsidRPr="00172845">
              <w:rPr>
                <w:rFonts w:ascii="Times New Roman" w:hAnsi="Times New Roman" w:cs="Times New Roman"/>
              </w:rPr>
              <w:t xml:space="preserve"> = .13</w:t>
            </w:r>
          </w:p>
        </w:tc>
        <w:tc>
          <w:tcPr>
            <w:tcW w:w="1829" w:type="dxa"/>
            <w:shd w:val="clear" w:color="auto" w:fill="auto"/>
            <w:tcMar>
              <w:left w:w="108" w:type="dxa"/>
            </w:tcMar>
          </w:tcPr>
          <w:p w14:paraId="3C73E29F" w14:textId="77777777" w:rsidR="00172845" w:rsidRPr="00172845" w:rsidRDefault="00172845" w:rsidP="00172845">
            <w:pPr>
              <w:pStyle w:val="NoSpacing"/>
              <w:rPr>
                <w:rFonts w:ascii="Times New Roman" w:hAnsi="Times New Roman" w:cs="Times New Roman"/>
                <w:b/>
                <w:bCs/>
              </w:rPr>
            </w:pPr>
            <w:r w:rsidRPr="00172845">
              <w:rPr>
                <w:rFonts w:ascii="Times New Roman" w:hAnsi="Times New Roman" w:cs="Times New Roman"/>
                <w:b/>
                <w:bCs/>
                <w:i/>
              </w:rPr>
              <w:t>p</w:t>
            </w:r>
            <w:r w:rsidRPr="00172845">
              <w:rPr>
                <w:rFonts w:ascii="Times New Roman" w:hAnsi="Times New Roman" w:cs="Times New Roman"/>
                <w:b/>
                <w:bCs/>
              </w:rPr>
              <w:t xml:space="preserve"> = .05, </w:t>
            </w:r>
            <w:r w:rsidRPr="00172845">
              <w:rPr>
                <w:rFonts w:ascii="Times New Roman" w:hAnsi="Times New Roman" w:cs="Times New Roman"/>
                <w:b/>
                <w:bCs/>
                <w:i/>
              </w:rPr>
              <w:t>d</w:t>
            </w:r>
            <w:r w:rsidRPr="00172845">
              <w:rPr>
                <w:rFonts w:ascii="Times New Roman" w:hAnsi="Times New Roman" w:cs="Times New Roman"/>
                <w:b/>
                <w:bCs/>
              </w:rPr>
              <w:t xml:space="preserve"> = .28</w:t>
            </w:r>
          </w:p>
        </w:tc>
        <w:tc>
          <w:tcPr>
            <w:tcW w:w="1903" w:type="dxa"/>
            <w:shd w:val="clear" w:color="auto" w:fill="auto"/>
            <w:tcMar>
              <w:left w:w="108" w:type="dxa"/>
            </w:tcMar>
          </w:tcPr>
          <w:p w14:paraId="44C9B8B1" w14:textId="77777777" w:rsidR="00172845" w:rsidRPr="00172845" w:rsidRDefault="00172845" w:rsidP="00172845">
            <w:pPr>
              <w:pStyle w:val="NoSpacing"/>
              <w:rPr>
                <w:rFonts w:ascii="Times New Roman" w:hAnsi="Times New Roman" w:cs="Times New Roman"/>
              </w:rPr>
            </w:pPr>
            <w:r w:rsidRPr="00172845">
              <w:rPr>
                <w:rFonts w:ascii="Times New Roman" w:hAnsi="Times New Roman" w:cs="Times New Roman"/>
                <w:i/>
              </w:rPr>
              <w:t>p</w:t>
            </w:r>
            <w:r w:rsidRPr="00172845">
              <w:rPr>
                <w:rFonts w:ascii="Times New Roman" w:hAnsi="Times New Roman" w:cs="Times New Roman"/>
              </w:rPr>
              <w:t xml:space="preserve"> = .17, </w:t>
            </w:r>
            <w:r w:rsidRPr="00172845">
              <w:rPr>
                <w:rFonts w:ascii="Times New Roman" w:hAnsi="Times New Roman" w:cs="Times New Roman"/>
                <w:i/>
              </w:rPr>
              <w:t>d</w:t>
            </w:r>
            <w:r w:rsidRPr="00172845">
              <w:rPr>
                <w:rFonts w:ascii="Times New Roman" w:hAnsi="Times New Roman" w:cs="Times New Roman"/>
              </w:rPr>
              <w:t xml:space="preserve"> = .16</w:t>
            </w:r>
          </w:p>
        </w:tc>
      </w:tr>
    </w:tbl>
    <w:p w14:paraId="05C8A68D"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i/>
          <w:iCs/>
        </w:rPr>
        <w:t>Note.</w:t>
      </w:r>
      <w:r w:rsidRPr="00172845">
        <w:rPr>
          <w:rFonts w:ascii="Times New Roman" w:hAnsi="Times New Roman" w:cs="Times New Roman"/>
        </w:rPr>
        <w:t xml:space="preserve"> Significant findings are in bold. Positive condition refers to the condition where participants viewed the alcohol-positive video intended to elevate alcohol value (alcohol valuation). Negative condition refers to the condition where participants viewed the alcohol-negative video intended to lower alcohol value (alcohol devaluation). </w:t>
      </w:r>
    </w:p>
    <w:p w14:paraId="7DAA1941" w14:textId="77777777" w:rsidR="00172845" w:rsidRPr="00172845" w:rsidRDefault="00172845" w:rsidP="00172845">
      <w:pPr>
        <w:pStyle w:val="NoSpacing"/>
        <w:spacing w:line="480" w:lineRule="auto"/>
        <w:rPr>
          <w:rFonts w:ascii="Times New Roman" w:hAnsi="Times New Roman" w:cs="Times New Roman"/>
          <w:u w:val="single"/>
        </w:rPr>
      </w:pPr>
    </w:p>
    <w:p w14:paraId="0197CF00"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b/>
          <w:bCs/>
        </w:rPr>
        <w:t>Brief summary:</w:t>
      </w:r>
      <w:r w:rsidRPr="00172845">
        <w:rPr>
          <w:rFonts w:ascii="Times New Roman" w:hAnsi="Times New Roman" w:cs="Times New Roman"/>
        </w:rPr>
        <w:t xml:space="preserve"> The main effect of EA rates (hypothesis 2) was found in </w:t>
      </w:r>
      <w:r w:rsidRPr="00172845">
        <w:rPr>
          <w:rFonts w:ascii="Times New Roman" w:hAnsi="Times New Roman" w:cs="Times New Roman"/>
          <w:u w:val="single"/>
        </w:rPr>
        <w:t>easy</w:t>
      </w:r>
      <w:r w:rsidRPr="00172845">
        <w:rPr>
          <w:rFonts w:ascii="Times New Roman" w:hAnsi="Times New Roman" w:cs="Times New Roman"/>
        </w:rPr>
        <w:t xml:space="preserve"> trials, in that when participants were primed to devalue alcohol, soft-drink EA rates (M = 2.71, SD = .70) were significantly higher than alcohol EA rates (M = 2.40, SD = .58). The main effect of EA rates (hypothesis) 4 was found in </w:t>
      </w:r>
      <w:r w:rsidRPr="00172845">
        <w:rPr>
          <w:rFonts w:ascii="Times New Roman" w:hAnsi="Times New Roman" w:cs="Times New Roman"/>
          <w:u w:val="single"/>
        </w:rPr>
        <w:t>medium</w:t>
      </w:r>
      <w:r w:rsidRPr="00172845">
        <w:rPr>
          <w:rFonts w:ascii="Times New Roman" w:hAnsi="Times New Roman" w:cs="Times New Roman"/>
        </w:rPr>
        <w:t xml:space="preserve"> trials, in that soft-drink EA rates were increased when participants were primed to devalue alcohol (M = 2.14, SD = .58) compared to when they were primed to value alcohol (M = 1.95, SD = .45). Although there were no significant differences in soft-drink response thresholds in the negative versus positive mood conditions (hypothesis 4), we can see here that in trials that are </w:t>
      </w:r>
      <w:r w:rsidRPr="00172845">
        <w:rPr>
          <w:rFonts w:ascii="Times New Roman" w:hAnsi="Times New Roman" w:cs="Times New Roman"/>
          <w:u w:val="single"/>
        </w:rPr>
        <w:t>medium</w:t>
      </w:r>
      <w:r w:rsidRPr="00172845">
        <w:rPr>
          <w:rFonts w:ascii="Times New Roman" w:hAnsi="Times New Roman" w:cs="Times New Roman"/>
        </w:rPr>
        <w:t xml:space="preserve"> difficulty, the hypothesised effect is observed (although this is of marginal significance; </w:t>
      </w:r>
      <w:r w:rsidRPr="00172845">
        <w:rPr>
          <w:rFonts w:ascii="Times New Roman" w:hAnsi="Times New Roman" w:cs="Times New Roman"/>
          <w:i/>
          <w:iCs/>
        </w:rPr>
        <w:t>p</w:t>
      </w:r>
      <w:r w:rsidRPr="00172845">
        <w:rPr>
          <w:rFonts w:ascii="Times New Roman" w:hAnsi="Times New Roman" w:cs="Times New Roman"/>
        </w:rPr>
        <w:t xml:space="preserve"> = .05). In other words, soft-drink response thresholds decreased (M = 1.63, SD = .44) when participants were primed to devalue alcohol compared to when they were primed to value alcohol (M = 1.78, SD = .52).</w:t>
      </w:r>
    </w:p>
    <w:p w14:paraId="1A404250" w14:textId="6BFECCC1" w:rsidR="00172845" w:rsidRDefault="00172845" w:rsidP="00093B56">
      <w:pPr>
        <w:pStyle w:val="NoSpacing"/>
      </w:pPr>
    </w:p>
    <w:p w14:paraId="64009607" w14:textId="77777777" w:rsidR="00172845" w:rsidRPr="00172845" w:rsidRDefault="00172845" w:rsidP="00172845">
      <w:pPr>
        <w:pStyle w:val="NoSpacing"/>
        <w:spacing w:line="480" w:lineRule="auto"/>
        <w:rPr>
          <w:rFonts w:ascii="Times New Roman" w:hAnsi="Times New Roman" w:cs="Times New Roman"/>
          <w:b/>
        </w:rPr>
      </w:pPr>
      <w:r w:rsidRPr="00172845">
        <w:rPr>
          <w:rFonts w:ascii="Times New Roman" w:hAnsi="Times New Roman" w:cs="Times New Roman"/>
          <w:b/>
        </w:rPr>
        <w:lastRenderedPageBreak/>
        <w:t>5. Order of experimental manipulation of alcohol value: does this matter?</w:t>
      </w:r>
    </w:p>
    <w:p w14:paraId="05887911" w14:textId="29D4BC60"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 xml:space="preserve">The order of experimental manipulation of alcohol value was randomised, such that half of the sample were primed to devalue alcohol first, while the other half were primed to value alcohol first. To explore whether the order by which participants completed the study impacted the findings, we conducted mixed two-way ANOVAs between experimental condition (2: alcohol value; alcohol devalue) and order of experimental manipulation (2: negative first; positive first) on EA rates and response thresholds. In the data, negative first is coded as 1 and positive first is coded as 2. As in </w:t>
      </w:r>
      <w:r>
        <w:rPr>
          <w:rFonts w:ascii="Times New Roman" w:hAnsi="Times New Roman" w:cs="Times New Roman"/>
        </w:rPr>
        <w:t>C</w:t>
      </w:r>
      <w:r w:rsidRPr="00172845">
        <w:rPr>
          <w:rFonts w:ascii="Times New Roman" w:hAnsi="Times New Roman" w:cs="Times New Roman"/>
        </w:rPr>
        <w:t>hapter</w:t>
      </w:r>
      <w:r>
        <w:rPr>
          <w:rFonts w:ascii="Times New Roman" w:hAnsi="Times New Roman" w:cs="Times New Roman"/>
        </w:rPr>
        <w:t xml:space="preserve"> 4</w:t>
      </w:r>
      <w:r w:rsidRPr="00172845">
        <w:rPr>
          <w:rFonts w:ascii="Times New Roman" w:hAnsi="Times New Roman" w:cs="Times New Roman"/>
        </w:rPr>
        <w:t xml:space="preserve">, if data violated assumptions of sphericity, </w:t>
      </w:r>
      <w:r w:rsidRPr="00172845">
        <w:rPr>
          <w:rFonts w:ascii="Times New Roman" w:hAnsi="Times New Roman" w:cs="Times New Roman"/>
          <w:i/>
          <w:iCs/>
        </w:rPr>
        <w:t xml:space="preserve">F </w:t>
      </w:r>
      <w:r w:rsidRPr="00172845">
        <w:rPr>
          <w:rFonts w:ascii="Times New Roman" w:hAnsi="Times New Roman" w:cs="Times New Roman"/>
        </w:rPr>
        <w:t>values were derived using a correction (Huynh-Feldt correction if the Greenhouse-</w:t>
      </w:r>
      <w:proofErr w:type="spellStart"/>
      <w:r w:rsidRPr="00172845">
        <w:rPr>
          <w:rFonts w:ascii="Times New Roman" w:hAnsi="Times New Roman" w:cs="Times New Roman"/>
        </w:rPr>
        <w:t>Geisser</w:t>
      </w:r>
      <w:proofErr w:type="spellEnd"/>
      <w:r w:rsidRPr="00172845">
        <w:rPr>
          <w:rFonts w:ascii="Times New Roman" w:hAnsi="Times New Roman" w:cs="Times New Roman"/>
        </w:rPr>
        <w:t xml:space="preserve"> epsilon (ε) &gt; 0.75, otherwise if ε &lt; 0.75 the Greenhouse-</w:t>
      </w:r>
      <w:proofErr w:type="spellStart"/>
      <w:r w:rsidRPr="00172845">
        <w:rPr>
          <w:rFonts w:ascii="Times New Roman" w:hAnsi="Times New Roman" w:cs="Times New Roman"/>
        </w:rPr>
        <w:t>Geisser</w:t>
      </w:r>
      <w:proofErr w:type="spellEnd"/>
      <w:r w:rsidRPr="00172845">
        <w:rPr>
          <w:rFonts w:ascii="Times New Roman" w:hAnsi="Times New Roman" w:cs="Times New Roman"/>
        </w:rPr>
        <w:t xml:space="preserve"> correction was used). </w:t>
      </w:r>
    </w:p>
    <w:p w14:paraId="5F993194" w14:textId="77777777" w:rsidR="00172845" w:rsidRPr="00172845" w:rsidRDefault="00172845" w:rsidP="00172845">
      <w:pPr>
        <w:pStyle w:val="NoSpacing"/>
        <w:spacing w:line="480" w:lineRule="auto"/>
        <w:rPr>
          <w:rFonts w:ascii="Times New Roman" w:hAnsi="Times New Roman" w:cs="Times New Roman"/>
        </w:rPr>
      </w:pPr>
    </w:p>
    <w:p w14:paraId="130FE1A5" w14:textId="77777777" w:rsidR="00172845" w:rsidRPr="00172845" w:rsidRDefault="00172845" w:rsidP="00172845">
      <w:pPr>
        <w:pStyle w:val="NoSpacing"/>
        <w:spacing w:line="480" w:lineRule="auto"/>
        <w:rPr>
          <w:rFonts w:ascii="Times New Roman" w:hAnsi="Times New Roman" w:cs="Times New Roman"/>
          <w:u w:val="single"/>
        </w:rPr>
      </w:pPr>
      <w:r w:rsidRPr="00172845">
        <w:rPr>
          <w:rFonts w:ascii="Times New Roman" w:hAnsi="Times New Roman" w:cs="Times New Roman"/>
          <w:u w:val="single"/>
        </w:rPr>
        <w:t>Soft-drink EA rates</w:t>
      </w:r>
    </w:p>
    <w:p w14:paraId="6350397A"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 xml:space="preserve">There was a significant main effect of experimental condition on soft-drink drift rates,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5.33, </w:t>
      </w:r>
      <w:r w:rsidRPr="00172845">
        <w:rPr>
          <w:rFonts w:ascii="Times New Roman" w:hAnsi="Times New Roman" w:cs="Times New Roman"/>
          <w:i/>
        </w:rPr>
        <w:t>p</w:t>
      </w:r>
      <w:r w:rsidRPr="00172845">
        <w:rPr>
          <w:rFonts w:ascii="Times New Roman" w:hAnsi="Times New Roman" w:cs="Times New Roman"/>
        </w:rPr>
        <w:t xml:space="preserve"> = .03, </w:t>
      </w:r>
      <w:bookmarkStart w:id="407" w:name="_Hlk108682688"/>
      <w:r w:rsidRPr="00172845">
        <w:rPr>
          <w:rFonts w:ascii="Times New Roman" w:hAnsi="Times New Roman" w:cs="Times New Roman"/>
        </w:rPr>
        <w:t>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bookmarkEnd w:id="407"/>
      <w:r w:rsidRPr="00172845">
        <w:rPr>
          <w:rFonts w:ascii="Times New Roman" w:hAnsi="Times New Roman" w:cs="Times New Roman"/>
          <w:vertAlign w:val="superscript"/>
        </w:rPr>
        <w:t xml:space="preserve"> </w:t>
      </w:r>
      <w:r w:rsidRPr="00172845">
        <w:rPr>
          <w:rFonts w:ascii="Times New Roman" w:hAnsi="Times New Roman" w:cs="Times New Roman"/>
        </w:rPr>
        <w:t xml:space="preserve">= .14, with post-hoc tests demonstrating that soft-drink EA rates were significantly increased in the alcohol devalue condition  (M = 2.02, SD = .49) compared to the alcohol value condition (M = 1.89, SD = .34; </w:t>
      </w:r>
      <w:r w:rsidRPr="00172845">
        <w:rPr>
          <w:rFonts w:ascii="Times New Roman" w:hAnsi="Times New Roman" w:cs="Times New Roman"/>
          <w:i/>
          <w:iCs/>
        </w:rPr>
        <w:t xml:space="preserve">p </w:t>
      </w:r>
      <w:r w:rsidRPr="00172845">
        <w:rPr>
          <w:rFonts w:ascii="Times New Roman" w:hAnsi="Times New Roman" w:cs="Times New Roman"/>
        </w:rPr>
        <w:t>= .03)</w:t>
      </w:r>
      <w:r w:rsidRPr="00172845">
        <w:rPr>
          <w:rFonts w:ascii="Times New Roman" w:hAnsi="Times New Roman" w:cs="Times New Roman"/>
          <w:vertAlign w:val="superscript"/>
        </w:rPr>
        <w:footnoteReference w:id="26"/>
      </w:r>
      <w:r w:rsidRPr="00172845">
        <w:rPr>
          <w:rFonts w:ascii="Times New Roman" w:hAnsi="Times New Roman" w:cs="Times New Roman"/>
        </w:rPr>
        <w:t xml:space="preserve">. There was no significant main effect of order on soft-drink drift rates,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.19, </w:t>
      </w:r>
      <w:r w:rsidRPr="00172845">
        <w:rPr>
          <w:rFonts w:ascii="Times New Roman" w:hAnsi="Times New Roman" w:cs="Times New Roman"/>
          <w:i/>
        </w:rPr>
        <w:t>p</w:t>
      </w:r>
      <w:r w:rsidRPr="00172845">
        <w:rPr>
          <w:rFonts w:ascii="Times New Roman" w:hAnsi="Times New Roman" w:cs="Times New Roman"/>
        </w:rPr>
        <w:t xml:space="preserve"> = .66,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.01, or interaction between condition and order on soft-drink drift rates, </w:t>
      </w:r>
      <w:r w:rsidRPr="00172845">
        <w:rPr>
          <w:rFonts w:ascii="Times New Roman" w:hAnsi="Times New Roman" w:cs="Times New Roman"/>
          <w:i/>
          <w:iCs/>
        </w:rPr>
        <w:t>F</w:t>
      </w:r>
      <w:r w:rsidRPr="00172845">
        <w:rPr>
          <w:rFonts w:ascii="Times New Roman" w:hAnsi="Times New Roman" w:cs="Times New Roman"/>
        </w:rPr>
        <w:t xml:space="preserve">(1, 34) = 2.35, </w:t>
      </w:r>
      <w:r w:rsidRPr="00172845">
        <w:rPr>
          <w:rFonts w:ascii="Times New Roman" w:hAnsi="Times New Roman" w:cs="Times New Roman"/>
          <w:i/>
        </w:rPr>
        <w:t>p</w:t>
      </w:r>
      <w:r w:rsidRPr="00172845">
        <w:rPr>
          <w:rFonts w:ascii="Times New Roman" w:hAnsi="Times New Roman" w:cs="Times New Roman"/>
        </w:rPr>
        <w:t xml:space="preserve"> = .13, </w:t>
      </w:r>
      <w:bookmarkStart w:id="408" w:name="_Hlk108686677"/>
      <w:r w:rsidRPr="00172845">
        <w:rPr>
          <w:rFonts w:ascii="Times New Roman" w:hAnsi="Times New Roman" w:cs="Times New Roman"/>
        </w:rPr>
        <w:t>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bookmarkEnd w:id="408"/>
      <w:r w:rsidRPr="00172845">
        <w:rPr>
          <w:rFonts w:ascii="Times New Roman" w:hAnsi="Times New Roman" w:cs="Times New Roman"/>
          <w:vertAlign w:val="superscript"/>
        </w:rPr>
        <w:t xml:space="preserve"> </w:t>
      </w:r>
      <w:r w:rsidRPr="00172845">
        <w:rPr>
          <w:rFonts w:ascii="Times New Roman" w:hAnsi="Times New Roman" w:cs="Times New Roman"/>
        </w:rPr>
        <w:t>= .06. Crucially, then, the order by which participants underwent the experimental manipulation of alcohol value did not significantly affect soft-drink EA rates, and this is particularly important as this relates to the core significant findings presented within Chapter 4.</w:t>
      </w:r>
    </w:p>
    <w:p w14:paraId="17B9E28D" w14:textId="77777777" w:rsidR="00172845" w:rsidRPr="00172845" w:rsidRDefault="00172845" w:rsidP="00172845">
      <w:pPr>
        <w:pStyle w:val="NoSpacing"/>
        <w:spacing w:line="480" w:lineRule="auto"/>
        <w:rPr>
          <w:rFonts w:ascii="Times New Roman" w:hAnsi="Times New Roman" w:cs="Times New Roman"/>
        </w:rPr>
      </w:pPr>
    </w:p>
    <w:p w14:paraId="5134FDE8" w14:textId="77777777" w:rsidR="00172845" w:rsidRPr="00172845" w:rsidRDefault="00172845" w:rsidP="00172845">
      <w:pPr>
        <w:pStyle w:val="NoSpacing"/>
        <w:spacing w:line="480" w:lineRule="auto"/>
        <w:rPr>
          <w:rFonts w:ascii="Times New Roman" w:hAnsi="Times New Roman" w:cs="Times New Roman"/>
        </w:rPr>
      </w:pPr>
    </w:p>
    <w:p w14:paraId="78FDA071" w14:textId="77777777" w:rsidR="00172845" w:rsidRPr="00172845" w:rsidRDefault="00172845" w:rsidP="00172845">
      <w:pPr>
        <w:pStyle w:val="NoSpacing"/>
        <w:spacing w:line="480" w:lineRule="auto"/>
        <w:rPr>
          <w:rFonts w:ascii="Times New Roman" w:hAnsi="Times New Roman" w:cs="Times New Roman"/>
          <w:u w:val="single"/>
        </w:rPr>
      </w:pPr>
      <w:r w:rsidRPr="00172845">
        <w:rPr>
          <w:rFonts w:ascii="Times New Roman" w:hAnsi="Times New Roman" w:cs="Times New Roman"/>
          <w:u w:val="single"/>
        </w:rPr>
        <w:t>Soft drink response thresholds</w:t>
      </w:r>
    </w:p>
    <w:p w14:paraId="35011639" w14:textId="5BA5E7C3"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There was no significant main effect of experimental condition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1, 34) = 2.86,</w:t>
      </w:r>
      <w:r w:rsidRPr="00172845">
        <w:rPr>
          <w:rFonts w:ascii="Times New Roman" w:hAnsi="Times New Roman" w:cs="Times New Roman"/>
          <w:i/>
        </w:rPr>
        <w:t xml:space="preserve"> p</w:t>
      </w:r>
      <w:r w:rsidRPr="00172845">
        <w:rPr>
          <w:rFonts w:ascii="Times New Roman" w:hAnsi="Times New Roman" w:cs="Times New Roman"/>
        </w:rPr>
        <w:t xml:space="preserve"> = .10, η</w:t>
      </w:r>
      <w:r w:rsidRPr="00172845">
        <w:rPr>
          <w:rFonts w:ascii="Times New Roman" w:hAnsi="Times New Roman" w:cs="Times New Roman"/>
          <w:vertAlign w:val="subscript"/>
        </w:rPr>
        <w:t>p</w:t>
      </w:r>
      <w:r w:rsidRPr="00172845">
        <w:rPr>
          <w:rFonts w:ascii="Times New Roman" w:hAnsi="Times New Roman" w:cs="Times New Roman"/>
          <w:vertAlign w:val="superscript"/>
        </w:rPr>
        <w:t xml:space="preserve">2 </w:t>
      </w:r>
      <w:r w:rsidRPr="00172845">
        <w:rPr>
          <w:rFonts w:ascii="Times New Roman" w:hAnsi="Times New Roman" w:cs="Times New Roman"/>
        </w:rPr>
        <w:t>= .08) or order (</w:t>
      </w:r>
      <w:r w:rsidRPr="00172845">
        <w:rPr>
          <w:rFonts w:ascii="Times New Roman" w:hAnsi="Times New Roman" w:cs="Times New Roman"/>
          <w:i/>
          <w:iCs/>
        </w:rPr>
        <w:t>F</w:t>
      </w:r>
      <w:r w:rsidRPr="00172845">
        <w:rPr>
          <w:rFonts w:ascii="Times New Roman" w:hAnsi="Times New Roman" w:cs="Times New Roman"/>
        </w:rPr>
        <w:t xml:space="preserve">(1, 34) = 2.60, </w:t>
      </w:r>
      <w:r w:rsidRPr="00172845">
        <w:rPr>
          <w:rFonts w:ascii="Times New Roman" w:hAnsi="Times New Roman" w:cs="Times New Roman"/>
          <w:i/>
        </w:rPr>
        <w:t xml:space="preserve">p </w:t>
      </w:r>
      <w:r w:rsidRPr="00172845">
        <w:rPr>
          <w:rFonts w:ascii="Times New Roman" w:hAnsi="Times New Roman" w:cs="Times New Roman"/>
        </w:rPr>
        <w:t>= .12, η</w:t>
      </w:r>
      <w:r w:rsidRPr="00172845">
        <w:rPr>
          <w:rFonts w:ascii="Times New Roman" w:hAnsi="Times New Roman" w:cs="Times New Roman"/>
          <w:vertAlign w:val="subscript"/>
        </w:rPr>
        <w:t>p</w:t>
      </w:r>
      <w:r w:rsidRPr="00172845">
        <w:rPr>
          <w:rFonts w:ascii="Times New Roman" w:hAnsi="Times New Roman" w:cs="Times New Roman"/>
          <w:vertAlign w:val="superscript"/>
        </w:rPr>
        <w:t xml:space="preserve">2 </w:t>
      </w:r>
      <w:r w:rsidRPr="00172845">
        <w:rPr>
          <w:rFonts w:ascii="Times New Roman" w:hAnsi="Times New Roman" w:cs="Times New Roman"/>
        </w:rPr>
        <w:t xml:space="preserve">= .07) on soft-drink response thresholds. However, there was a significant interaction between experimental condition and order,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9.32, </w:t>
      </w:r>
      <w:r w:rsidRPr="00172845">
        <w:rPr>
          <w:rFonts w:ascii="Times New Roman" w:hAnsi="Times New Roman" w:cs="Times New Roman"/>
          <w:i/>
        </w:rPr>
        <w:t>p</w:t>
      </w:r>
      <w:r w:rsidRPr="00172845">
        <w:rPr>
          <w:rFonts w:ascii="Times New Roman" w:hAnsi="Times New Roman" w:cs="Times New Roman"/>
        </w:rPr>
        <w:t xml:space="preserve"> &lt; .01, η</w:t>
      </w:r>
      <w:r w:rsidRPr="00172845">
        <w:rPr>
          <w:rFonts w:ascii="Times New Roman" w:hAnsi="Times New Roman" w:cs="Times New Roman"/>
          <w:vertAlign w:val="subscript"/>
        </w:rPr>
        <w:t>p</w:t>
      </w:r>
      <w:r w:rsidRPr="00172845">
        <w:rPr>
          <w:rFonts w:ascii="Times New Roman" w:hAnsi="Times New Roman" w:cs="Times New Roman"/>
          <w:vertAlign w:val="superscript"/>
        </w:rPr>
        <w:t xml:space="preserve">2 </w:t>
      </w:r>
      <w:r w:rsidRPr="00172845">
        <w:rPr>
          <w:rFonts w:ascii="Times New Roman" w:hAnsi="Times New Roman" w:cs="Times New Roman"/>
        </w:rPr>
        <w:t xml:space="preserve">= .22. Post-hoc tests revealed that in the alcohol value condition, soft-drink thresholds were significantly lower in order 1 (M = 1,47, SD = .29) compared to order 2 (M = 1.80, SD = .35; </w:t>
      </w:r>
      <w:r w:rsidRPr="00172845">
        <w:rPr>
          <w:rFonts w:ascii="Times New Roman" w:hAnsi="Times New Roman" w:cs="Times New Roman"/>
          <w:i/>
          <w:iCs/>
        </w:rPr>
        <w:t>p</w:t>
      </w:r>
      <w:r w:rsidRPr="00172845">
        <w:rPr>
          <w:rFonts w:ascii="Times New Roman" w:hAnsi="Times New Roman" w:cs="Times New Roman"/>
        </w:rPr>
        <w:t xml:space="preserve"> = .03). This analysis shows that soft-drink response thresholds were lower when the positive alcohol value induction was completed second. However, in the alcohol devalue condition, there were no significant differences in soft-drink thresholds between order 1 and order 2 (</w:t>
      </w:r>
      <w:r w:rsidRPr="00172845">
        <w:rPr>
          <w:rFonts w:ascii="Times New Roman" w:hAnsi="Times New Roman" w:cs="Times New Roman"/>
          <w:i/>
        </w:rPr>
        <w:t>p</w:t>
      </w:r>
      <w:r w:rsidRPr="00172845">
        <w:rPr>
          <w:rFonts w:ascii="Times New Roman" w:hAnsi="Times New Roman" w:cs="Times New Roman"/>
        </w:rPr>
        <w:t xml:space="preserve"> = 1.00). In order 1, there were no significant differences in soft-drink response thresholds between the alcohol value and alcohol devalue conditions (</w:t>
      </w:r>
      <w:sdt>
        <w:sdtPr>
          <w:rPr>
            <w:rFonts w:ascii="Times New Roman" w:hAnsi="Times New Roman" w:cs="Times New Roman"/>
          </w:rPr>
          <w:tag w:val="goog_rdk_9"/>
          <w:id w:val="-1733771410"/>
        </w:sdtPr>
        <w:sdtContent/>
      </w:sdt>
      <w:r w:rsidRPr="00172845">
        <w:rPr>
          <w:rFonts w:ascii="Times New Roman" w:hAnsi="Times New Roman" w:cs="Times New Roman"/>
          <w:i/>
        </w:rPr>
        <w:t>p</w:t>
      </w:r>
      <w:r w:rsidRPr="00172845">
        <w:rPr>
          <w:rFonts w:ascii="Times New Roman" w:hAnsi="Times New Roman" w:cs="Times New Roman"/>
        </w:rPr>
        <w:t xml:space="preserve"> = .12), however, in order 2 soft drink thresholds were significantly increased in the alcohol value (M = 1.80, SD = .35) compared to the alcohol devalue condition (M = 1.54, SD = .40; </w:t>
      </w:r>
      <w:r w:rsidRPr="00172845">
        <w:rPr>
          <w:rFonts w:ascii="Times New Roman" w:hAnsi="Times New Roman" w:cs="Times New Roman"/>
          <w:i/>
        </w:rPr>
        <w:t>p</w:t>
      </w:r>
      <w:r w:rsidRPr="00172845">
        <w:rPr>
          <w:rFonts w:ascii="Times New Roman" w:hAnsi="Times New Roman" w:cs="Times New Roman"/>
        </w:rPr>
        <w:t xml:space="preserve"> = .01)</w:t>
      </w:r>
      <w:sdt>
        <w:sdtPr>
          <w:rPr>
            <w:rFonts w:ascii="Times New Roman" w:hAnsi="Times New Roman" w:cs="Times New Roman"/>
          </w:rPr>
          <w:tag w:val="goog_rdk_10"/>
          <w:id w:val="390008155"/>
        </w:sdtPr>
        <w:sdtContent/>
      </w:sdt>
      <w:r w:rsidRPr="00172845">
        <w:rPr>
          <w:rFonts w:ascii="Times New Roman" w:hAnsi="Times New Roman" w:cs="Times New Roman"/>
        </w:rPr>
        <w:t>. This analysis shows that, as hypothesised, soft-drink response thresholds were lower in the in the alcohol devalue condition compared to the value condition, but only in participants who completed the alcohol devaluation condition second.</w:t>
      </w:r>
    </w:p>
    <w:p w14:paraId="05BE5643" w14:textId="77777777" w:rsidR="00172845" w:rsidRPr="00172845" w:rsidRDefault="00172845" w:rsidP="00172845">
      <w:pPr>
        <w:pStyle w:val="NoSpacing"/>
        <w:spacing w:line="480" w:lineRule="auto"/>
        <w:rPr>
          <w:rFonts w:ascii="Times New Roman" w:hAnsi="Times New Roman" w:cs="Times New Roman"/>
          <w:u w:val="single"/>
        </w:rPr>
      </w:pPr>
    </w:p>
    <w:p w14:paraId="71FFFBBD" w14:textId="77777777" w:rsidR="00172845" w:rsidRPr="00172845" w:rsidRDefault="00172845" w:rsidP="00172845">
      <w:pPr>
        <w:pStyle w:val="NoSpacing"/>
        <w:spacing w:line="480" w:lineRule="auto"/>
        <w:rPr>
          <w:rFonts w:ascii="Times New Roman" w:hAnsi="Times New Roman" w:cs="Times New Roman"/>
          <w:u w:val="single"/>
        </w:rPr>
      </w:pPr>
      <w:r w:rsidRPr="00172845">
        <w:rPr>
          <w:rFonts w:ascii="Times New Roman" w:hAnsi="Times New Roman" w:cs="Times New Roman"/>
          <w:u w:val="single"/>
        </w:rPr>
        <w:t>Alcohol EA rates</w:t>
      </w:r>
    </w:p>
    <w:p w14:paraId="046972BB" w14:textId="77777777"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There was no significant main effect of experimental condition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.05, </w:t>
      </w:r>
      <w:r w:rsidRPr="00172845">
        <w:rPr>
          <w:rFonts w:ascii="Times New Roman" w:hAnsi="Times New Roman" w:cs="Times New Roman"/>
          <w:i/>
        </w:rPr>
        <w:t>p</w:t>
      </w:r>
      <w:r w:rsidRPr="00172845">
        <w:rPr>
          <w:rFonts w:ascii="Times New Roman" w:hAnsi="Times New Roman" w:cs="Times New Roman"/>
        </w:rPr>
        <w:t xml:space="preserve"> = .82, η</w:t>
      </w:r>
      <w:r w:rsidRPr="00172845">
        <w:rPr>
          <w:rFonts w:ascii="Times New Roman" w:hAnsi="Times New Roman" w:cs="Times New Roman"/>
          <w:vertAlign w:val="subscript"/>
        </w:rPr>
        <w:t>p</w:t>
      </w:r>
      <w:r w:rsidRPr="00172845">
        <w:rPr>
          <w:rFonts w:ascii="Times New Roman" w:hAnsi="Times New Roman" w:cs="Times New Roman"/>
          <w:vertAlign w:val="superscript"/>
        </w:rPr>
        <w:t xml:space="preserve">2 </w:t>
      </w:r>
      <w:r w:rsidRPr="00172845">
        <w:rPr>
          <w:rFonts w:ascii="Times New Roman" w:hAnsi="Times New Roman" w:cs="Times New Roman"/>
        </w:rPr>
        <w:t>= .00) or order (</w:t>
      </w:r>
      <w:r w:rsidRPr="00172845">
        <w:rPr>
          <w:rFonts w:ascii="Times New Roman" w:hAnsi="Times New Roman" w:cs="Times New Roman"/>
          <w:i/>
          <w:iCs/>
        </w:rPr>
        <w:t>F</w:t>
      </w:r>
      <w:r w:rsidRPr="00172845">
        <w:rPr>
          <w:rFonts w:ascii="Times New Roman" w:hAnsi="Times New Roman" w:cs="Times New Roman"/>
        </w:rPr>
        <w:t xml:space="preserve">(1, 34) = .07, </w:t>
      </w:r>
      <w:r w:rsidRPr="00172845">
        <w:rPr>
          <w:rFonts w:ascii="Times New Roman" w:hAnsi="Times New Roman" w:cs="Times New Roman"/>
          <w:i/>
        </w:rPr>
        <w:t>p</w:t>
      </w:r>
      <w:r w:rsidRPr="00172845">
        <w:rPr>
          <w:rFonts w:ascii="Times New Roman" w:hAnsi="Times New Roman" w:cs="Times New Roman"/>
        </w:rPr>
        <w:t xml:space="preserve"> = .79,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.00) on alcohol drift rates. However, there was a significant interaction between experimental condition and order on alcohol drift rates,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23.10, </w:t>
      </w:r>
      <w:r w:rsidRPr="00172845">
        <w:rPr>
          <w:rFonts w:ascii="Times New Roman" w:hAnsi="Times New Roman" w:cs="Times New Roman"/>
          <w:i/>
        </w:rPr>
        <w:t>p</w:t>
      </w:r>
      <w:r w:rsidRPr="00172845">
        <w:rPr>
          <w:rFonts w:ascii="Times New Roman" w:hAnsi="Times New Roman" w:cs="Times New Roman"/>
        </w:rPr>
        <w:t xml:space="preserve"> &lt; .001,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.40. Post-hoc tests revealed that in the alcohol value condition, there were no significant differences in alcohol EA rates in order 1 compared to order 2 (</w:t>
      </w:r>
      <w:r w:rsidRPr="00172845">
        <w:rPr>
          <w:rFonts w:ascii="Times New Roman" w:hAnsi="Times New Roman" w:cs="Times New Roman"/>
          <w:i/>
        </w:rPr>
        <w:t>p</w:t>
      </w:r>
      <w:r w:rsidRPr="00172845">
        <w:rPr>
          <w:rFonts w:ascii="Times New Roman" w:hAnsi="Times New Roman" w:cs="Times New Roman"/>
        </w:rPr>
        <w:t xml:space="preserve"> = .76). Similarly, in the alcohol devalue condition, there were no significant differences in EA </w:t>
      </w:r>
      <w:r w:rsidRPr="00172845">
        <w:rPr>
          <w:rFonts w:ascii="Times New Roman" w:hAnsi="Times New Roman" w:cs="Times New Roman"/>
        </w:rPr>
        <w:lastRenderedPageBreak/>
        <w:t>rates in between order 1 compared to order 2 (</w:t>
      </w:r>
      <w:r w:rsidRPr="00172845">
        <w:rPr>
          <w:rFonts w:ascii="Times New Roman" w:hAnsi="Times New Roman" w:cs="Times New Roman"/>
          <w:i/>
        </w:rPr>
        <w:t>p</w:t>
      </w:r>
      <w:r w:rsidRPr="00172845">
        <w:rPr>
          <w:rFonts w:ascii="Times New Roman" w:hAnsi="Times New Roman" w:cs="Times New Roman"/>
        </w:rPr>
        <w:t xml:space="preserve"> = 1.00). Alcohol EA rates were significantly decreased in the alcohol devalue condition (M = 1.81, SD = .59) compared to alcohol EA rates in the alcohol value condition (M = 2.01, SD = .68; </w:t>
      </w:r>
      <w:r w:rsidRPr="00172845">
        <w:rPr>
          <w:rFonts w:ascii="Times New Roman" w:hAnsi="Times New Roman" w:cs="Times New Roman"/>
          <w:i/>
        </w:rPr>
        <w:t xml:space="preserve">p </w:t>
      </w:r>
      <w:r w:rsidRPr="00172845">
        <w:rPr>
          <w:rFonts w:ascii="Times New Roman" w:hAnsi="Times New Roman" w:cs="Times New Roman"/>
        </w:rPr>
        <w:t xml:space="preserve">&lt; .01), but only in participants who completed the alcohol devalue condition first (order 1). Furthermore, alcohol EA rates were significantly decreased in the alcohol value condition (M = 1.77, SD = .36) compared to the alcohol devalue condition (M = 1.95, SD = .40; </w:t>
      </w:r>
      <w:r w:rsidRPr="00172845">
        <w:rPr>
          <w:rFonts w:ascii="Times New Roman" w:hAnsi="Times New Roman" w:cs="Times New Roman"/>
          <w:i/>
        </w:rPr>
        <w:t>p</w:t>
      </w:r>
      <w:r w:rsidRPr="00172845">
        <w:rPr>
          <w:rFonts w:ascii="Times New Roman" w:hAnsi="Times New Roman" w:cs="Times New Roman"/>
        </w:rPr>
        <w:t xml:space="preserve"> = .01), but only in participants who completed the alcohol valuate condition first (order 2). Therefore, alcohol EA rates were significantly lower during the first VBDM task that was completed, regardless of experimental manipulation (i.e., whether participants were primed to value or devalue alcohol first). </w:t>
      </w:r>
    </w:p>
    <w:p w14:paraId="5C632728" w14:textId="77777777" w:rsidR="00172845" w:rsidRPr="00172845" w:rsidRDefault="00172845" w:rsidP="00172845">
      <w:pPr>
        <w:pStyle w:val="NoSpacing"/>
        <w:spacing w:line="480" w:lineRule="auto"/>
        <w:rPr>
          <w:rFonts w:ascii="Times New Roman" w:hAnsi="Times New Roman" w:cs="Times New Roman"/>
        </w:rPr>
      </w:pPr>
    </w:p>
    <w:p w14:paraId="62E1FE59" w14:textId="77777777" w:rsidR="00172845" w:rsidRPr="00172845" w:rsidRDefault="00172845" w:rsidP="00172845">
      <w:pPr>
        <w:pStyle w:val="NoSpacing"/>
        <w:spacing w:line="480" w:lineRule="auto"/>
        <w:rPr>
          <w:rFonts w:ascii="Times New Roman" w:hAnsi="Times New Roman" w:cs="Times New Roman"/>
          <w:u w:val="single"/>
        </w:rPr>
      </w:pPr>
      <w:r w:rsidRPr="00172845">
        <w:rPr>
          <w:rFonts w:ascii="Times New Roman" w:hAnsi="Times New Roman" w:cs="Times New Roman"/>
          <w:u w:val="single"/>
        </w:rPr>
        <w:t>Alcohol response threshold</w:t>
      </w:r>
    </w:p>
    <w:p w14:paraId="12E78DDA" w14:textId="5CDECD33" w:rsidR="00172845" w:rsidRPr="00172845" w:rsidRDefault="00172845" w:rsidP="00172845">
      <w:pPr>
        <w:pStyle w:val="NoSpacing"/>
        <w:spacing w:line="480" w:lineRule="auto"/>
        <w:rPr>
          <w:rFonts w:ascii="Times New Roman" w:hAnsi="Times New Roman" w:cs="Times New Roman"/>
        </w:rPr>
      </w:pPr>
      <w:r w:rsidRPr="00172845">
        <w:rPr>
          <w:rFonts w:ascii="Times New Roman" w:hAnsi="Times New Roman" w:cs="Times New Roman"/>
        </w:rPr>
        <w:t>There was no significant main effect of experimental condition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1.74, </w:t>
      </w:r>
      <w:r w:rsidRPr="00172845">
        <w:rPr>
          <w:rFonts w:ascii="Times New Roman" w:hAnsi="Times New Roman" w:cs="Times New Roman"/>
          <w:i/>
        </w:rPr>
        <w:t>p</w:t>
      </w:r>
      <w:r w:rsidRPr="00172845">
        <w:rPr>
          <w:rFonts w:ascii="Times New Roman" w:hAnsi="Times New Roman" w:cs="Times New Roman"/>
        </w:rPr>
        <w:t xml:space="preserve"> = .20,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.05) or order (</w:t>
      </w:r>
      <w:r w:rsidRPr="00172845">
        <w:rPr>
          <w:rFonts w:ascii="Times New Roman" w:hAnsi="Times New Roman" w:cs="Times New Roman"/>
          <w:i/>
          <w:iCs/>
        </w:rPr>
        <w:t>F</w:t>
      </w:r>
      <w:r w:rsidRPr="00172845">
        <w:rPr>
          <w:rFonts w:ascii="Times New Roman" w:hAnsi="Times New Roman" w:cs="Times New Roman"/>
        </w:rPr>
        <w:t xml:space="preserve">(1, 34) = 1.64, </w:t>
      </w:r>
      <w:r w:rsidRPr="00172845">
        <w:rPr>
          <w:rFonts w:ascii="Times New Roman" w:hAnsi="Times New Roman" w:cs="Times New Roman"/>
          <w:i/>
        </w:rPr>
        <w:t>p</w:t>
      </w:r>
      <w:r w:rsidRPr="00172845">
        <w:rPr>
          <w:rFonts w:ascii="Times New Roman" w:hAnsi="Times New Roman" w:cs="Times New Roman"/>
        </w:rPr>
        <w:t xml:space="preserve"> = .21,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.05) on alcohol response thresholds. </w:t>
      </w:r>
      <w:sdt>
        <w:sdtPr>
          <w:rPr>
            <w:rFonts w:ascii="Times New Roman" w:hAnsi="Times New Roman" w:cs="Times New Roman"/>
          </w:rPr>
          <w:tag w:val="goog_rdk_13"/>
          <w:id w:val="-356963841"/>
        </w:sdtPr>
        <w:sdtContent/>
      </w:sdt>
      <w:sdt>
        <w:sdtPr>
          <w:rPr>
            <w:rFonts w:ascii="Times New Roman" w:hAnsi="Times New Roman" w:cs="Times New Roman"/>
          </w:rPr>
          <w:tag w:val="goog_rdk_14"/>
          <w:id w:val="2017268447"/>
        </w:sdtPr>
        <w:sdtContent/>
      </w:sdt>
      <w:r w:rsidRPr="00172845">
        <w:rPr>
          <w:rFonts w:ascii="Times New Roman" w:hAnsi="Times New Roman" w:cs="Times New Roman"/>
        </w:rPr>
        <w:t xml:space="preserve">However, there was a significant interaction between experimental condition and order on alcohol response thresholds, </w:t>
      </w:r>
      <w:proofErr w:type="gramStart"/>
      <w:r w:rsidRPr="00172845">
        <w:rPr>
          <w:rFonts w:ascii="Times New Roman" w:hAnsi="Times New Roman" w:cs="Times New Roman"/>
          <w:i/>
          <w:iCs/>
        </w:rPr>
        <w:t>F</w:t>
      </w:r>
      <w:r w:rsidRPr="00172845">
        <w:rPr>
          <w:rFonts w:ascii="Times New Roman" w:hAnsi="Times New Roman" w:cs="Times New Roman"/>
        </w:rPr>
        <w:t>(</w:t>
      </w:r>
      <w:proofErr w:type="gramEnd"/>
      <w:r w:rsidRPr="00172845">
        <w:rPr>
          <w:rFonts w:ascii="Times New Roman" w:hAnsi="Times New Roman" w:cs="Times New Roman"/>
        </w:rPr>
        <w:t xml:space="preserve">1, 34) = 26.43, </w:t>
      </w:r>
      <w:r w:rsidRPr="00172845">
        <w:rPr>
          <w:rFonts w:ascii="Times New Roman" w:hAnsi="Times New Roman" w:cs="Times New Roman"/>
          <w:i/>
        </w:rPr>
        <w:t>p</w:t>
      </w:r>
      <w:r w:rsidRPr="00172845">
        <w:rPr>
          <w:rFonts w:ascii="Times New Roman" w:hAnsi="Times New Roman" w:cs="Times New Roman"/>
        </w:rPr>
        <w:t xml:space="preserve"> &lt; .001, η</w:t>
      </w:r>
      <w:r w:rsidRPr="00172845">
        <w:rPr>
          <w:rFonts w:ascii="Times New Roman" w:hAnsi="Times New Roman" w:cs="Times New Roman"/>
          <w:vertAlign w:val="subscript"/>
        </w:rPr>
        <w:t>p</w:t>
      </w:r>
      <w:r w:rsidRPr="00172845">
        <w:rPr>
          <w:rFonts w:ascii="Times New Roman" w:hAnsi="Times New Roman" w:cs="Times New Roman"/>
          <w:vertAlign w:val="superscript"/>
        </w:rPr>
        <w:t>2</w:t>
      </w:r>
      <w:r w:rsidRPr="00172845">
        <w:rPr>
          <w:rFonts w:ascii="Times New Roman" w:hAnsi="Times New Roman" w:cs="Times New Roman"/>
        </w:rPr>
        <w:t xml:space="preserve"> = .44.  Post-hoc tests revealed that in the alcohol value condition, alcohol thresholds were significantly higher in order 2 (M = 1.80, SD = .36) compared to order 1 (M = 1.49, SD = .36; </w:t>
      </w:r>
      <w:r w:rsidRPr="00172845">
        <w:rPr>
          <w:rFonts w:ascii="Times New Roman" w:hAnsi="Times New Roman" w:cs="Times New Roman"/>
          <w:i/>
        </w:rPr>
        <w:t>p</w:t>
      </w:r>
      <w:r w:rsidRPr="00172845">
        <w:rPr>
          <w:rFonts w:ascii="Times New Roman" w:hAnsi="Times New Roman" w:cs="Times New Roman"/>
        </w:rPr>
        <w:t xml:space="preserve"> = .04). However, in the alcohol devalue condition, there were no significant differences in alcohol thresholds between order 1 and order 2 (</w:t>
      </w:r>
      <w:r w:rsidRPr="00172845">
        <w:rPr>
          <w:rFonts w:ascii="Times New Roman" w:hAnsi="Times New Roman" w:cs="Times New Roman"/>
          <w:i/>
        </w:rPr>
        <w:t>p</w:t>
      </w:r>
      <w:r w:rsidRPr="00172845">
        <w:rPr>
          <w:rFonts w:ascii="Times New Roman" w:hAnsi="Times New Roman" w:cs="Times New Roman"/>
        </w:rPr>
        <w:t xml:space="preserve"> = .84). Alcohol thresholds were significantly increased in the alcohol devalue condition (M = 1.62, SD = .32) compared to the alcohol value condition (M = 1.49, SD = .36; </w:t>
      </w:r>
      <w:r w:rsidRPr="00172845">
        <w:rPr>
          <w:rFonts w:ascii="Times New Roman" w:hAnsi="Times New Roman" w:cs="Times New Roman"/>
          <w:i/>
        </w:rPr>
        <w:t>p</w:t>
      </w:r>
      <w:r w:rsidRPr="00172845">
        <w:rPr>
          <w:rFonts w:ascii="Times New Roman" w:hAnsi="Times New Roman" w:cs="Times New Roman"/>
        </w:rPr>
        <w:t xml:space="preserve"> = .04), but only in participants who completed the alcohol devalue condition first (order 1). Furthermore, alcohol thresholds were significantly increased in the alcohol value condition (M = 1.80, SD = .36) compared to the alcohol devalue condition (M = 1.58, SD = .30; </w:t>
      </w:r>
      <w:r w:rsidRPr="00172845">
        <w:rPr>
          <w:rFonts w:ascii="Times New Roman" w:hAnsi="Times New Roman" w:cs="Times New Roman"/>
          <w:i/>
        </w:rPr>
        <w:t>p</w:t>
      </w:r>
      <w:r w:rsidRPr="00172845">
        <w:rPr>
          <w:rFonts w:ascii="Times New Roman" w:hAnsi="Times New Roman" w:cs="Times New Roman"/>
        </w:rPr>
        <w:t xml:space="preserve"> &lt; .001), but only in participants who completed the alcohol value condition first (order 2). </w:t>
      </w:r>
      <w:r w:rsidRPr="00172845">
        <w:rPr>
          <w:rFonts w:ascii="Times New Roman" w:hAnsi="Times New Roman" w:cs="Times New Roman"/>
        </w:rPr>
        <w:lastRenderedPageBreak/>
        <w:t>Therefore, alcohol response thresholds were significantly lower during the first VBDM task that was completed, regardless of experimental manipulation (i.e., whether participants were primed to value or devalue alcohol first).</w:t>
      </w:r>
    </w:p>
    <w:p w14:paraId="58399ECA" w14:textId="77777777" w:rsidR="00172845" w:rsidRPr="00172845" w:rsidRDefault="00172845" w:rsidP="00172845">
      <w:pPr>
        <w:pStyle w:val="NoSpacing"/>
      </w:pPr>
    </w:p>
    <w:p w14:paraId="358D86DF" w14:textId="77777777" w:rsidR="00172845" w:rsidRPr="00172845" w:rsidRDefault="00172845" w:rsidP="00172845">
      <w:pPr>
        <w:pStyle w:val="NoSpacing"/>
      </w:pPr>
    </w:p>
    <w:p w14:paraId="117BEA89" w14:textId="77777777" w:rsidR="00172845" w:rsidRPr="00172845" w:rsidRDefault="00172845" w:rsidP="00172845">
      <w:pPr>
        <w:pStyle w:val="NoSpacing"/>
      </w:pPr>
    </w:p>
    <w:p w14:paraId="59E15539" w14:textId="77777777" w:rsidR="00172845" w:rsidRPr="00172845" w:rsidRDefault="00172845" w:rsidP="00172845">
      <w:pPr>
        <w:pStyle w:val="NoSpacing"/>
      </w:pPr>
    </w:p>
    <w:p w14:paraId="348F422D" w14:textId="77777777" w:rsidR="00172845" w:rsidRPr="00172845" w:rsidRDefault="00172845" w:rsidP="00172845">
      <w:pPr>
        <w:pStyle w:val="NoSpacing"/>
      </w:pPr>
    </w:p>
    <w:p w14:paraId="76EA8359" w14:textId="77777777" w:rsidR="00172845" w:rsidRPr="00172845" w:rsidRDefault="00172845" w:rsidP="00172845">
      <w:pPr>
        <w:pStyle w:val="NoSpacing"/>
      </w:pPr>
    </w:p>
    <w:p w14:paraId="2901FDC1" w14:textId="6BA68060" w:rsidR="00172845" w:rsidRDefault="00172845" w:rsidP="00093B56">
      <w:pPr>
        <w:pStyle w:val="NoSpacing"/>
      </w:pPr>
    </w:p>
    <w:p w14:paraId="6D97CAB0" w14:textId="7347A211" w:rsidR="00172845" w:rsidRDefault="00172845" w:rsidP="00093B56">
      <w:pPr>
        <w:pStyle w:val="NoSpacing"/>
      </w:pPr>
    </w:p>
    <w:p w14:paraId="1E21682E" w14:textId="02A665E3" w:rsidR="00172845" w:rsidRDefault="00172845" w:rsidP="00093B56">
      <w:pPr>
        <w:pStyle w:val="NoSpacing"/>
      </w:pPr>
    </w:p>
    <w:p w14:paraId="449F5948" w14:textId="3030F241" w:rsidR="00172845" w:rsidRDefault="00172845" w:rsidP="00093B56">
      <w:pPr>
        <w:pStyle w:val="NoSpacing"/>
      </w:pPr>
    </w:p>
    <w:p w14:paraId="60CA82F3" w14:textId="540E8E3A" w:rsidR="00172845" w:rsidRDefault="00172845" w:rsidP="00093B56">
      <w:pPr>
        <w:pStyle w:val="NoSpacing"/>
      </w:pPr>
    </w:p>
    <w:p w14:paraId="4D731AC4" w14:textId="53D6A6EC" w:rsidR="00172845" w:rsidRDefault="00172845" w:rsidP="00093B56">
      <w:pPr>
        <w:pStyle w:val="NoSpacing"/>
      </w:pPr>
    </w:p>
    <w:p w14:paraId="6CCE7DC7" w14:textId="48BC3786" w:rsidR="00172845" w:rsidRDefault="00172845" w:rsidP="00093B56">
      <w:pPr>
        <w:pStyle w:val="NoSpacing"/>
      </w:pPr>
    </w:p>
    <w:p w14:paraId="77AAEFCF" w14:textId="73BEDA1F" w:rsidR="00172845" w:rsidRDefault="00172845" w:rsidP="00093B56">
      <w:pPr>
        <w:pStyle w:val="NoSpacing"/>
      </w:pPr>
    </w:p>
    <w:p w14:paraId="7BC2D643" w14:textId="7CA2C40B" w:rsidR="00172845" w:rsidRDefault="00172845" w:rsidP="00093B56">
      <w:pPr>
        <w:pStyle w:val="NoSpacing"/>
      </w:pPr>
    </w:p>
    <w:p w14:paraId="0B47D602" w14:textId="5DE9AF84" w:rsidR="00172845" w:rsidRDefault="00172845" w:rsidP="00093B56">
      <w:pPr>
        <w:pStyle w:val="NoSpacing"/>
      </w:pPr>
    </w:p>
    <w:p w14:paraId="68FF3BE8" w14:textId="22AA3522" w:rsidR="00172845" w:rsidRDefault="00172845" w:rsidP="00093B56">
      <w:pPr>
        <w:pStyle w:val="NoSpacing"/>
      </w:pPr>
    </w:p>
    <w:p w14:paraId="76C52ADF" w14:textId="050A9ED5" w:rsidR="00172845" w:rsidRDefault="00172845" w:rsidP="00093B56">
      <w:pPr>
        <w:pStyle w:val="NoSpacing"/>
      </w:pPr>
    </w:p>
    <w:p w14:paraId="037C0190" w14:textId="47549CEC" w:rsidR="00172845" w:rsidRDefault="00172845" w:rsidP="00093B56">
      <w:pPr>
        <w:pStyle w:val="NoSpacing"/>
      </w:pPr>
    </w:p>
    <w:p w14:paraId="1414D8A3" w14:textId="7EC7A2F4" w:rsidR="00172845" w:rsidRDefault="00172845" w:rsidP="00093B56">
      <w:pPr>
        <w:pStyle w:val="NoSpacing"/>
      </w:pPr>
    </w:p>
    <w:p w14:paraId="4BC35E41" w14:textId="2103C7F2" w:rsidR="00172845" w:rsidRDefault="00172845" w:rsidP="00093B56">
      <w:pPr>
        <w:pStyle w:val="NoSpacing"/>
      </w:pPr>
    </w:p>
    <w:p w14:paraId="291A4AB5" w14:textId="70B0D9A4" w:rsidR="00172845" w:rsidRDefault="00172845" w:rsidP="00093B56">
      <w:pPr>
        <w:pStyle w:val="NoSpacing"/>
      </w:pPr>
    </w:p>
    <w:p w14:paraId="4B9A6B41" w14:textId="7E116E0F" w:rsidR="00172845" w:rsidRDefault="00172845" w:rsidP="00093B56">
      <w:pPr>
        <w:pStyle w:val="NoSpacing"/>
      </w:pPr>
    </w:p>
    <w:p w14:paraId="7DB8204B" w14:textId="1BBBDE5A" w:rsidR="00172845" w:rsidRDefault="00172845" w:rsidP="00093B56">
      <w:pPr>
        <w:pStyle w:val="NoSpacing"/>
      </w:pPr>
    </w:p>
    <w:p w14:paraId="114DD4FA" w14:textId="71F029B9" w:rsidR="00172845" w:rsidRDefault="00172845" w:rsidP="00093B56">
      <w:pPr>
        <w:pStyle w:val="NoSpacing"/>
      </w:pPr>
    </w:p>
    <w:p w14:paraId="257D932C" w14:textId="5D83C74A" w:rsidR="00172845" w:rsidRDefault="00172845" w:rsidP="00093B56">
      <w:pPr>
        <w:pStyle w:val="NoSpacing"/>
      </w:pPr>
    </w:p>
    <w:p w14:paraId="23814697" w14:textId="317DC721" w:rsidR="00172845" w:rsidRDefault="00172845" w:rsidP="00093B56">
      <w:pPr>
        <w:pStyle w:val="NoSpacing"/>
      </w:pPr>
    </w:p>
    <w:p w14:paraId="414D0046" w14:textId="42105B9D" w:rsidR="00172845" w:rsidRDefault="00172845" w:rsidP="00093B56">
      <w:pPr>
        <w:pStyle w:val="NoSpacing"/>
      </w:pPr>
    </w:p>
    <w:p w14:paraId="08977C3E" w14:textId="368600B5" w:rsidR="00172845" w:rsidRDefault="00172845" w:rsidP="00093B56">
      <w:pPr>
        <w:pStyle w:val="NoSpacing"/>
      </w:pPr>
    </w:p>
    <w:p w14:paraId="4DD603B5" w14:textId="26591C6F" w:rsidR="00172845" w:rsidRDefault="00172845" w:rsidP="00093B56">
      <w:pPr>
        <w:pStyle w:val="NoSpacing"/>
      </w:pPr>
    </w:p>
    <w:p w14:paraId="43A49475" w14:textId="1BE026F2" w:rsidR="00172845" w:rsidRDefault="00172845" w:rsidP="00093B56">
      <w:pPr>
        <w:pStyle w:val="NoSpacing"/>
      </w:pPr>
    </w:p>
    <w:p w14:paraId="0142CE9C" w14:textId="7AFCEF17" w:rsidR="00172845" w:rsidRDefault="00172845" w:rsidP="00093B56">
      <w:pPr>
        <w:pStyle w:val="NoSpacing"/>
      </w:pPr>
    </w:p>
    <w:p w14:paraId="546D3CF1" w14:textId="7DC7CB07" w:rsidR="00172845" w:rsidRDefault="00172845" w:rsidP="00093B56">
      <w:pPr>
        <w:pStyle w:val="NoSpacing"/>
      </w:pPr>
    </w:p>
    <w:p w14:paraId="74C4D7CE" w14:textId="3E97FB3D" w:rsidR="00172845" w:rsidRDefault="00172845" w:rsidP="00093B56">
      <w:pPr>
        <w:pStyle w:val="NoSpacing"/>
      </w:pPr>
    </w:p>
    <w:p w14:paraId="678E214F" w14:textId="52A0BED9" w:rsidR="00172845" w:rsidRDefault="00172845" w:rsidP="00093B56">
      <w:pPr>
        <w:pStyle w:val="NoSpacing"/>
      </w:pPr>
    </w:p>
    <w:p w14:paraId="7BC65AED" w14:textId="039B3CF9" w:rsidR="00172845" w:rsidRDefault="00172845" w:rsidP="00093B56">
      <w:pPr>
        <w:pStyle w:val="NoSpacing"/>
      </w:pPr>
    </w:p>
    <w:p w14:paraId="757ECE22" w14:textId="1CB6D89A" w:rsidR="00172845" w:rsidRDefault="00172845" w:rsidP="00093B56">
      <w:pPr>
        <w:pStyle w:val="NoSpacing"/>
      </w:pPr>
    </w:p>
    <w:p w14:paraId="2DA0554D" w14:textId="7AF53E24" w:rsidR="00172845" w:rsidRDefault="00172845" w:rsidP="00093B56">
      <w:pPr>
        <w:pStyle w:val="NoSpacing"/>
      </w:pPr>
    </w:p>
    <w:p w14:paraId="2D5DDCBF" w14:textId="04EA53FF" w:rsidR="00172845" w:rsidRDefault="00172845" w:rsidP="00093B56">
      <w:pPr>
        <w:pStyle w:val="NoSpacing"/>
      </w:pPr>
    </w:p>
    <w:p w14:paraId="2CA5117D" w14:textId="539CB68F" w:rsidR="00172845" w:rsidRDefault="00172845" w:rsidP="00093B56">
      <w:pPr>
        <w:pStyle w:val="NoSpacing"/>
      </w:pPr>
    </w:p>
    <w:p w14:paraId="3229CA2E" w14:textId="77777777" w:rsidR="00172845" w:rsidRPr="00172845" w:rsidRDefault="00172845" w:rsidP="00172845">
      <w:pPr>
        <w:pStyle w:val="NoSpacing"/>
        <w:spacing w:line="480" w:lineRule="auto"/>
        <w:rPr>
          <w:rFonts w:asciiTheme="majorBidi" w:hAnsiTheme="majorBidi" w:cstheme="majorBidi"/>
          <w:b/>
          <w:bCs/>
        </w:rPr>
      </w:pPr>
      <w:r w:rsidRPr="00172845">
        <w:rPr>
          <w:rFonts w:asciiTheme="majorBidi" w:hAnsiTheme="majorBidi" w:cstheme="majorBidi"/>
          <w:b/>
          <w:bCs/>
        </w:rPr>
        <w:lastRenderedPageBreak/>
        <w:t>6. Order of trial block completion: does this matter?</w:t>
      </w:r>
    </w:p>
    <w:p w14:paraId="083E2739" w14:textId="77777777" w:rsidR="00172845" w:rsidRPr="00172845" w:rsidRDefault="00172845" w:rsidP="00172845">
      <w:pPr>
        <w:pStyle w:val="NoSpacing"/>
        <w:spacing w:line="480" w:lineRule="auto"/>
        <w:rPr>
          <w:rFonts w:asciiTheme="majorBidi" w:hAnsiTheme="majorBidi" w:cstheme="majorBidi"/>
        </w:rPr>
      </w:pPr>
      <w:r w:rsidRPr="00172845">
        <w:rPr>
          <w:rFonts w:asciiTheme="majorBidi" w:hAnsiTheme="majorBidi" w:cstheme="majorBidi"/>
        </w:rPr>
        <w:t xml:space="preserve">The order of blocks in the decision-making task were randomised, such that for some participants the soft-drink trials were completed first, whilst for others the alcohol trials were completed first. To explore the importance of order of blocks presented in the decision-making task, we conducted independent samples </w:t>
      </w:r>
      <w:r w:rsidRPr="00172845">
        <w:rPr>
          <w:rFonts w:asciiTheme="majorBidi" w:hAnsiTheme="majorBidi" w:cstheme="majorBidi"/>
          <w:i/>
          <w:iCs/>
        </w:rPr>
        <w:t>t</w:t>
      </w:r>
      <w:r w:rsidRPr="00172845">
        <w:rPr>
          <w:rFonts w:asciiTheme="majorBidi" w:hAnsiTheme="majorBidi" w:cstheme="majorBidi"/>
        </w:rPr>
        <w:t>-tests on EA rates and response thresholds with block order (2: soft-drink first; alcohol first) as the between-subjects variable. In the data, soft-drink first is coded as 1 and alcohol first is coded as 2. The within-subject design of this study means that each participant completed the VBDM task twice (once in each experimental condition), and therefore we split the analyses below by experimental condition. This is because a participant may have completed the soft-drink block of trials first (and alcohol block of trials second) in the alcohol devalue condition, but then completed the alcohol block of trials first (and soft-drink block of trials second) in the alcohol value condition. Overall, for EA rates and response thresholds for both soft-drink and alcohol decisions, there was no evidence to suggest that the order in which participants completed the blocks altered the decision-parameters (see below).</w:t>
      </w:r>
    </w:p>
    <w:p w14:paraId="53736762" w14:textId="77777777" w:rsidR="00172845" w:rsidRPr="00172845" w:rsidRDefault="00172845" w:rsidP="00172845">
      <w:pPr>
        <w:pStyle w:val="NoSpacing"/>
        <w:spacing w:line="480" w:lineRule="auto"/>
        <w:rPr>
          <w:rFonts w:asciiTheme="majorBidi" w:hAnsiTheme="majorBidi" w:cstheme="majorBidi"/>
        </w:rPr>
      </w:pPr>
    </w:p>
    <w:p w14:paraId="0D5204DA" w14:textId="77777777" w:rsidR="00172845" w:rsidRPr="00172845" w:rsidRDefault="00172845" w:rsidP="00172845">
      <w:pPr>
        <w:pStyle w:val="NoSpacing"/>
        <w:spacing w:line="480" w:lineRule="auto"/>
        <w:rPr>
          <w:rFonts w:asciiTheme="majorBidi" w:hAnsiTheme="majorBidi" w:cstheme="majorBidi"/>
          <w:u w:val="single"/>
        </w:rPr>
      </w:pPr>
      <w:r w:rsidRPr="00172845">
        <w:rPr>
          <w:rFonts w:asciiTheme="majorBidi" w:hAnsiTheme="majorBidi" w:cstheme="majorBidi"/>
          <w:u w:val="single"/>
        </w:rPr>
        <w:t xml:space="preserve">Positive (alcohol value) condition </w:t>
      </w:r>
    </w:p>
    <w:p w14:paraId="1E90E867" w14:textId="77777777" w:rsidR="00172845" w:rsidRPr="00172845" w:rsidRDefault="00172845" w:rsidP="00172845">
      <w:pPr>
        <w:pStyle w:val="NoSpacing"/>
        <w:spacing w:line="480" w:lineRule="auto"/>
        <w:rPr>
          <w:rFonts w:asciiTheme="majorBidi" w:hAnsiTheme="majorBidi" w:cstheme="majorBidi"/>
        </w:rPr>
      </w:pPr>
      <w:r w:rsidRPr="00172845">
        <w:rPr>
          <w:rFonts w:asciiTheme="majorBidi" w:hAnsiTheme="majorBidi" w:cstheme="majorBidi"/>
        </w:rPr>
        <w:t>There were no significant differences between those who completed the soft-drink block first compared to those who completed the alcohol block first for alcohol EA rates (</w:t>
      </w:r>
      <w:proofErr w:type="gramStart"/>
      <w:r w:rsidRPr="00172845">
        <w:rPr>
          <w:rFonts w:asciiTheme="majorBidi" w:hAnsiTheme="majorBidi" w:cstheme="majorBidi"/>
          <w:i/>
          <w:iCs/>
        </w:rPr>
        <w:t>t</w:t>
      </w:r>
      <w:r w:rsidRPr="00172845">
        <w:rPr>
          <w:rFonts w:asciiTheme="majorBidi" w:hAnsiTheme="majorBidi" w:cstheme="majorBidi"/>
        </w:rPr>
        <w:t>(</w:t>
      </w:r>
      <w:proofErr w:type="gramEnd"/>
      <w:r w:rsidRPr="00172845">
        <w:rPr>
          <w:rFonts w:asciiTheme="majorBidi" w:hAnsiTheme="majorBidi" w:cstheme="majorBidi"/>
        </w:rPr>
        <w:t xml:space="preserve">34) =-1 .73, </w:t>
      </w:r>
      <w:r w:rsidRPr="00172845">
        <w:rPr>
          <w:rFonts w:asciiTheme="majorBidi" w:hAnsiTheme="majorBidi" w:cstheme="majorBidi"/>
          <w:i/>
          <w:iCs/>
        </w:rPr>
        <w:t>p</w:t>
      </w:r>
      <w:r w:rsidRPr="00172845">
        <w:rPr>
          <w:rFonts w:asciiTheme="majorBidi" w:hAnsiTheme="majorBidi" w:cstheme="majorBidi"/>
        </w:rPr>
        <w:t xml:space="preserve"> = .09, </w:t>
      </w:r>
      <w:r w:rsidRPr="00172845">
        <w:rPr>
          <w:rFonts w:asciiTheme="majorBidi" w:hAnsiTheme="majorBidi" w:cstheme="majorBidi"/>
          <w:i/>
          <w:iCs/>
        </w:rPr>
        <w:t>d</w:t>
      </w:r>
      <w:r w:rsidRPr="00172845">
        <w:rPr>
          <w:rFonts w:asciiTheme="majorBidi" w:hAnsiTheme="majorBidi" w:cstheme="majorBidi"/>
        </w:rPr>
        <w:t xml:space="preserve"> = .58), soft-drink EA rates (</w:t>
      </w:r>
      <w:r w:rsidRPr="00172845">
        <w:rPr>
          <w:rFonts w:asciiTheme="majorBidi" w:hAnsiTheme="majorBidi" w:cstheme="majorBidi"/>
          <w:i/>
          <w:iCs/>
        </w:rPr>
        <w:t>t</w:t>
      </w:r>
      <w:r w:rsidRPr="00172845">
        <w:rPr>
          <w:rFonts w:asciiTheme="majorBidi" w:hAnsiTheme="majorBidi" w:cstheme="majorBidi"/>
        </w:rPr>
        <w:t xml:space="preserve">(34) = -.86, </w:t>
      </w:r>
      <w:r w:rsidRPr="00172845">
        <w:rPr>
          <w:rFonts w:asciiTheme="majorBidi" w:hAnsiTheme="majorBidi" w:cstheme="majorBidi"/>
          <w:i/>
          <w:iCs/>
        </w:rPr>
        <w:t>p</w:t>
      </w:r>
      <w:r w:rsidRPr="00172845">
        <w:rPr>
          <w:rFonts w:asciiTheme="majorBidi" w:hAnsiTheme="majorBidi" w:cstheme="majorBidi"/>
        </w:rPr>
        <w:t xml:space="preserve"> = .39, </w:t>
      </w:r>
      <w:r w:rsidRPr="00172845">
        <w:rPr>
          <w:rFonts w:asciiTheme="majorBidi" w:hAnsiTheme="majorBidi" w:cstheme="majorBidi"/>
          <w:i/>
          <w:iCs/>
        </w:rPr>
        <w:t>d</w:t>
      </w:r>
      <w:r w:rsidRPr="00172845">
        <w:rPr>
          <w:rFonts w:asciiTheme="majorBidi" w:hAnsiTheme="majorBidi" w:cstheme="majorBidi"/>
        </w:rPr>
        <w:t xml:space="preserve"> = .29), alcohol response thresholds (</w:t>
      </w:r>
      <w:r w:rsidRPr="00172845">
        <w:rPr>
          <w:rFonts w:asciiTheme="majorBidi" w:hAnsiTheme="majorBidi" w:cstheme="majorBidi"/>
          <w:i/>
          <w:iCs/>
        </w:rPr>
        <w:t>t</w:t>
      </w:r>
      <w:r w:rsidRPr="00172845">
        <w:rPr>
          <w:rFonts w:asciiTheme="majorBidi" w:hAnsiTheme="majorBidi" w:cstheme="majorBidi"/>
        </w:rPr>
        <w:t xml:space="preserve">(34) = 1. 76, </w:t>
      </w:r>
      <w:r w:rsidRPr="00172845">
        <w:rPr>
          <w:rFonts w:asciiTheme="majorBidi" w:hAnsiTheme="majorBidi" w:cstheme="majorBidi"/>
          <w:i/>
          <w:iCs/>
        </w:rPr>
        <w:t>p</w:t>
      </w:r>
      <w:r w:rsidRPr="00172845">
        <w:rPr>
          <w:rFonts w:asciiTheme="majorBidi" w:hAnsiTheme="majorBidi" w:cstheme="majorBidi"/>
        </w:rPr>
        <w:t xml:space="preserve"> = .10, </w:t>
      </w:r>
      <w:r w:rsidRPr="00172845">
        <w:rPr>
          <w:rFonts w:asciiTheme="majorBidi" w:hAnsiTheme="majorBidi" w:cstheme="majorBidi"/>
          <w:i/>
          <w:iCs/>
        </w:rPr>
        <w:t>d</w:t>
      </w:r>
      <w:r w:rsidRPr="00172845">
        <w:rPr>
          <w:rFonts w:asciiTheme="majorBidi" w:hAnsiTheme="majorBidi" w:cstheme="majorBidi"/>
        </w:rPr>
        <w:t xml:space="preserve"> = .56), or soft-drink response thresholds (</w:t>
      </w:r>
      <w:proofErr w:type="gramStart"/>
      <w:r w:rsidRPr="00172845">
        <w:rPr>
          <w:rFonts w:asciiTheme="majorBidi" w:hAnsiTheme="majorBidi" w:cstheme="majorBidi"/>
          <w:i/>
          <w:iCs/>
        </w:rPr>
        <w:t>t</w:t>
      </w:r>
      <w:r w:rsidRPr="00172845">
        <w:rPr>
          <w:rFonts w:asciiTheme="majorBidi" w:hAnsiTheme="majorBidi" w:cstheme="majorBidi"/>
        </w:rPr>
        <w:t>(</w:t>
      </w:r>
      <w:proofErr w:type="gramEnd"/>
      <w:r w:rsidRPr="00172845">
        <w:rPr>
          <w:rFonts w:asciiTheme="majorBidi" w:hAnsiTheme="majorBidi" w:cstheme="majorBidi"/>
        </w:rPr>
        <w:t xml:space="preserve">34) = .54, </w:t>
      </w:r>
      <w:r w:rsidRPr="00172845">
        <w:rPr>
          <w:rFonts w:asciiTheme="majorBidi" w:hAnsiTheme="majorBidi" w:cstheme="majorBidi"/>
          <w:i/>
          <w:iCs/>
        </w:rPr>
        <w:t>p</w:t>
      </w:r>
      <w:r w:rsidRPr="00172845">
        <w:rPr>
          <w:rFonts w:asciiTheme="majorBidi" w:hAnsiTheme="majorBidi" w:cstheme="majorBidi"/>
        </w:rPr>
        <w:t xml:space="preserve"> = .56, </w:t>
      </w:r>
      <w:r w:rsidRPr="00172845">
        <w:rPr>
          <w:rFonts w:asciiTheme="majorBidi" w:hAnsiTheme="majorBidi" w:cstheme="majorBidi"/>
          <w:i/>
          <w:iCs/>
        </w:rPr>
        <w:t>d</w:t>
      </w:r>
      <w:r w:rsidRPr="00172845">
        <w:rPr>
          <w:rFonts w:asciiTheme="majorBidi" w:hAnsiTheme="majorBidi" w:cstheme="majorBidi"/>
        </w:rPr>
        <w:t xml:space="preserve"> = .20).</w:t>
      </w:r>
    </w:p>
    <w:p w14:paraId="38307CA7" w14:textId="77777777" w:rsidR="00172845" w:rsidRPr="00172845" w:rsidRDefault="00172845" w:rsidP="00172845">
      <w:pPr>
        <w:pStyle w:val="NoSpacing"/>
        <w:spacing w:line="480" w:lineRule="auto"/>
        <w:rPr>
          <w:rFonts w:asciiTheme="majorBidi" w:hAnsiTheme="majorBidi" w:cstheme="majorBidi"/>
        </w:rPr>
      </w:pPr>
    </w:p>
    <w:p w14:paraId="372AE637" w14:textId="77777777" w:rsidR="00172845" w:rsidRPr="00172845" w:rsidRDefault="00172845" w:rsidP="00172845">
      <w:pPr>
        <w:pStyle w:val="NoSpacing"/>
        <w:spacing w:line="480" w:lineRule="auto"/>
        <w:rPr>
          <w:rFonts w:asciiTheme="majorBidi" w:hAnsiTheme="majorBidi" w:cstheme="majorBidi"/>
          <w:u w:val="single"/>
        </w:rPr>
      </w:pPr>
      <w:r w:rsidRPr="00172845">
        <w:rPr>
          <w:rFonts w:asciiTheme="majorBidi" w:hAnsiTheme="majorBidi" w:cstheme="majorBidi"/>
          <w:u w:val="single"/>
        </w:rPr>
        <w:t xml:space="preserve">Negative (alcohol devalue) condition </w:t>
      </w:r>
    </w:p>
    <w:p w14:paraId="03CE93C4" w14:textId="77777777" w:rsidR="00172845" w:rsidRPr="00172845" w:rsidRDefault="00172845" w:rsidP="00172845">
      <w:pPr>
        <w:pStyle w:val="NoSpacing"/>
        <w:spacing w:line="480" w:lineRule="auto"/>
        <w:rPr>
          <w:rFonts w:asciiTheme="majorBidi" w:hAnsiTheme="majorBidi" w:cstheme="majorBidi"/>
        </w:rPr>
      </w:pPr>
    </w:p>
    <w:p w14:paraId="27077A21" w14:textId="77777777" w:rsidR="00172845" w:rsidRPr="00172845" w:rsidRDefault="00172845" w:rsidP="00172845">
      <w:pPr>
        <w:pStyle w:val="NoSpacing"/>
        <w:spacing w:line="480" w:lineRule="auto"/>
        <w:rPr>
          <w:rFonts w:asciiTheme="majorBidi" w:hAnsiTheme="majorBidi" w:cstheme="majorBidi"/>
        </w:rPr>
      </w:pPr>
      <w:r w:rsidRPr="00172845">
        <w:rPr>
          <w:rFonts w:asciiTheme="majorBidi" w:hAnsiTheme="majorBidi" w:cstheme="majorBidi"/>
        </w:rPr>
        <w:lastRenderedPageBreak/>
        <w:t>There were no significant differences between those who completed the soft-drink block first compared to those who completed the alcohol block first for alcohol EA rates (</w:t>
      </w:r>
      <w:r w:rsidRPr="00172845">
        <w:rPr>
          <w:rFonts w:asciiTheme="majorBidi" w:hAnsiTheme="majorBidi" w:cstheme="majorBidi"/>
          <w:i/>
          <w:iCs/>
        </w:rPr>
        <w:t>t</w:t>
      </w:r>
      <w:r w:rsidRPr="00172845">
        <w:rPr>
          <w:rFonts w:asciiTheme="majorBidi" w:hAnsiTheme="majorBidi" w:cstheme="majorBidi"/>
        </w:rPr>
        <w:t xml:space="preserve">(34) =-1 .18, </w:t>
      </w:r>
      <w:r w:rsidRPr="00172845">
        <w:rPr>
          <w:rFonts w:asciiTheme="majorBidi" w:hAnsiTheme="majorBidi" w:cstheme="majorBidi"/>
          <w:i/>
          <w:iCs/>
        </w:rPr>
        <w:t>p</w:t>
      </w:r>
      <w:r w:rsidRPr="00172845">
        <w:rPr>
          <w:rFonts w:asciiTheme="majorBidi" w:hAnsiTheme="majorBidi" w:cstheme="majorBidi"/>
        </w:rPr>
        <w:t xml:space="preserve"> = .25, </w:t>
      </w:r>
      <w:r w:rsidRPr="00172845">
        <w:rPr>
          <w:rFonts w:asciiTheme="majorBidi" w:hAnsiTheme="majorBidi" w:cstheme="majorBidi"/>
          <w:i/>
          <w:iCs/>
        </w:rPr>
        <w:t>d</w:t>
      </w:r>
      <w:r w:rsidRPr="00172845">
        <w:rPr>
          <w:rFonts w:asciiTheme="majorBidi" w:hAnsiTheme="majorBidi" w:cstheme="majorBidi"/>
        </w:rPr>
        <w:t xml:space="preserve"> = .39), soft-drink EA rates (</w:t>
      </w:r>
      <w:r w:rsidRPr="00172845">
        <w:rPr>
          <w:rFonts w:asciiTheme="majorBidi" w:hAnsiTheme="majorBidi" w:cstheme="majorBidi"/>
          <w:i/>
          <w:iCs/>
        </w:rPr>
        <w:t>t</w:t>
      </w:r>
      <w:r w:rsidRPr="00172845">
        <w:rPr>
          <w:rFonts w:asciiTheme="majorBidi" w:hAnsiTheme="majorBidi" w:cstheme="majorBidi"/>
        </w:rPr>
        <w:t xml:space="preserve">(34) = -.38, </w:t>
      </w:r>
      <w:r w:rsidRPr="00172845">
        <w:rPr>
          <w:rFonts w:asciiTheme="majorBidi" w:hAnsiTheme="majorBidi" w:cstheme="majorBidi"/>
          <w:i/>
          <w:iCs/>
        </w:rPr>
        <w:t>p</w:t>
      </w:r>
      <w:r w:rsidRPr="00172845">
        <w:rPr>
          <w:rFonts w:asciiTheme="majorBidi" w:hAnsiTheme="majorBidi" w:cstheme="majorBidi"/>
        </w:rPr>
        <w:t xml:space="preserve"> = .71, </w:t>
      </w:r>
      <w:r w:rsidRPr="00172845">
        <w:rPr>
          <w:rFonts w:asciiTheme="majorBidi" w:hAnsiTheme="majorBidi" w:cstheme="majorBidi"/>
          <w:i/>
          <w:iCs/>
        </w:rPr>
        <w:t>d</w:t>
      </w:r>
      <w:r w:rsidRPr="00172845">
        <w:rPr>
          <w:rFonts w:asciiTheme="majorBidi" w:hAnsiTheme="majorBidi" w:cstheme="majorBidi"/>
        </w:rPr>
        <w:t xml:space="preserve"> = .13), alcohol response thresholds (</w:t>
      </w:r>
      <w:r w:rsidRPr="00172845">
        <w:rPr>
          <w:rFonts w:asciiTheme="majorBidi" w:hAnsiTheme="majorBidi" w:cstheme="majorBidi"/>
          <w:i/>
          <w:iCs/>
        </w:rPr>
        <w:t>t</w:t>
      </w:r>
      <w:r w:rsidRPr="00172845">
        <w:rPr>
          <w:rFonts w:asciiTheme="majorBidi" w:hAnsiTheme="majorBidi" w:cstheme="majorBidi"/>
        </w:rPr>
        <w:t xml:space="preserve">(34) = -.23, </w:t>
      </w:r>
      <w:r w:rsidRPr="00172845">
        <w:rPr>
          <w:rFonts w:asciiTheme="majorBidi" w:hAnsiTheme="majorBidi" w:cstheme="majorBidi"/>
          <w:i/>
          <w:iCs/>
        </w:rPr>
        <w:t>p</w:t>
      </w:r>
      <w:r w:rsidRPr="00172845">
        <w:rPr>
          <w:rFonts w:asciiTheme="majorBidi" w:hAnsiTheme="majorBidi" w:cstheme="majorBidi"/>
        </w:rPr>
        <w:t xml:space="preserve"> = .82, </w:t>
      </w:r>
      <w:r w:rsidRPr="00172845">
        <w:rPr>
          <w:rFonts w:asciiTheme="majorBidi" w:hAnsiTheme="majorBidi" w:cstheme="majorBidi"/>
          <w:i/>
          <w:iCs/>
        </w:rPr>
        <w:t>d</w:t>
      </w:r>
      <w:r w:rsidRPr="00172845">
        <w:rPr>
          <w:rFonts w:asciiTheme="majorBidi" w:hAnsiTheme="majorBidi" w:cstheme="majorBidi"/>
        </w:rPr>
        <w:t xml:space="preserve"> = .08), or soft-drink response thresholds (</w:t>
      </w:r>
      <w:r w:rsidRPr="00172845">
        <w:rPr>
          <w:rFonts w:asciiTheme="majorBidi" w:hAnsiTheme="majorBidi" w:cstheme="majorBidi"/>
          <w:i/>
          <w:iCs/>
        </w:rPr>
        <w:t>t</w:t>
      </w:r>
      <w:r w:rsidRPr="00172845">
        <w:rPr>
          <w:rFonts w:asciiTheme="majorBidi" w:hAnsiTheme="majorBidi" w:cstheme="majorBidi"/>
        </w:rPr>
        <w:t xml:space="preserve">(34) = -.76, </w:t>
      </w:r>
      <w:r w:rsidRPr="00172845">
        <w:rPr>
          <w:rFonts w:asciiTheme="majorBidi" w:hAnsiTheme="majorBidi" w:cstheme="majorBidi"/>
          <w:i/>
          <w:iCs/>
        </w:rPr>
        <w:t>p</w:t>
      </w:r>
      <w:r w:rsidRPr="00172845">
        <w:rPr>
          <w:rFonts w:asciiTheme="majorBidi" w:hAnsiTheme="majorBidi" w:cstheme="majorBidi"/>
        </w:rPr>
        <w:t xml:space="preserve"> = .45, </w:t>
      </w:r>
      <w:r w:rsidRPr="00172845">
        <w:rPr>
          <w:rFonts w:asciiTheme="majorBidi" w:hAnsiTheme="majorBidi" w:cstheme="majorBidi"/>
          <w:i/>
          <w:iCs/>
        </w:rPr>
        <w:t>d</w:t>
      </w:r>
      <w:r w:rsidRPr="00172845">
        <w:rPr>
          <w:rFonts w:asciiTheme="majorBidi" w:hAnsiTheme="majorBidi" w:cstheme="majorBidi"/>
        </w:rPr>
        <w:t xml:space="preserve"> = .25).</w:t>
      </w:r>
    </w:p>
    <w:p w14:paraId="3E147719" w14:textId="77777777" w:rsidR="00172845" w:rsidRPr="00172845" w:rsidRDefault="00172845" w:rsidP="00172845">
      <w:pPr>
        <w:pStyle w:val="NoSpacing"/>
        <w:spacing w:line="480" w:lineRule="auto"/>
        <w:rPr>
          <w:rFonts w:asciiTheme="majorBidi" w:hAnsiTheme="majorBidi" w:cstheme="majorBidi"/>
        </w:rPr>
      </w:pPr>
    </w:p>
    <w:p w14:paraId="2AA71826" w14:textId="67563328" w:rsidR="00093B56" w:rsidRPr="00172845" w:rsidRDefault="00093B56" w:rsidP="00172845">
      <w:pPr>
        <w:pStyle w:val="NoSpacing"/>
        <w:spacing w:line="480" w:lineRule="auto"/>
        <w:rPr>
          <w:rFonts w:asciiTheme="majorBidi" w:hAnsiTheme="majorBidi" w:cstheme="majorBidi"/>
        </w:rPr>
      </w:pPr>
    </w:p>
    <w:p w14:paraId="70F57F10" w14:textId="15187A7B" w:rsidR="00093B56" w:rsidRPr="00172845" w:rsidRDefault="00093B56" w:rsidP="00172845">
      <w:pPr>
        <w:pStyle w:val="NoSpacing"/>
        <w:spacing w:line="480" w:lineRule="auto"/>
        <w:rPr>
          <w:rFonts w:asciiTheme="majorBidi" w:hAnsiTheme="majorBidi" w:cstheme="majorBidi"/>
        </w:rPr>
      </w:pPr>
    </w:p>
    <w:p w14:paraId="671F8949" w14:textId="003D70B9" w:rsidR="00093B56" w:rsidRDefault="00093B56" w:rsidP="00172845">
      <w:pPr>
        <w:pStyle w:val="NoSpacing"/>
        <w:spacing w:line="480" w:lineRule="auto"/>
        <w:rPr>
          <w:rFonts w:asciiTheme="majorBidi" w:hAnsiTheme="majorBidi" w:cstheme="majorBidi"/>
        </w:rPr>
      </w:pPr>
    </w:p>
    <w:p w14:paraId="501A16D6" w14:textId="13EB0157" w:rsidR="00172845" w:rsidRDefault="00172845" w:rsidP="00172845">
      <w:pPr>
        <w:pStyle w:val="NoSpacing"/>
        <w:spacing w:line="480" w:lineRule="auto"/>
        <w:rPr>
          <w:rFonts w:asciiTheme="majorBidi" w:hAnsiTheme="majorBidi" w:cstheme="majorBidi"/>
        </w:rPr>
      </w:pPr>
    </w:p>
    <w:p w14:paraId="399F1031" w14:textId="263CFA60" w:rsidR="00172845" w:rsidRDefault="00172845" w:rsidP="00172845">
      <w:pPr>
        <w:pStyle w:val="NoSpacing"/>
        <w:spacing w:line="480" w:lineRule="auto"/>
        <w:rPr>
          <w:rFonts w:asciiTheme="majorBidi" w:hAnsiTheme="majorBidi" w:cstheme="majorBidi"/>
        </w:rPr>
      </w:pPr>
    </w:p>
    <w:p w14:paraId="0C5DEECC" w14:textId="0A9ECB40" w:rsidR="00172845" w:rsidRDefault="00172845" w:rsidP="00172845">
      <w:pPr>
        <w:pStyle w:val="NoSpacing"/>
        <w:spacing w:line="480" w:lineRule="auto"/>
        <w:rPr>
          <w:rFonts w:asciiTheme="majorBidi" w:hAnsiTheme="majorBidi" w:cstheme="majorBidi"/>
        </w:rPr>
      </w:pPr>
    </w:p>
    <w:p w14:paraId="08E80023" w14:textId="475A06CC" w:rsidR="00172845" w:rsidRDefault="00172845" w:rsidP="00172845">
      <w:pPr>
        <w:pStyle w:val="NoSpacing"/>
        <w:spacing w:line="480" w:lineRule="auto"/>
        <w:rPr>
          <w:rFonts w:asciiTheme="majorBidi" w:hAnsiTheme="majorBidi" w:cstheme="majorBidi"/>
        </w:rPr>
      </w:pPr>
    </w:p>
    <w:p w14:paraId="63C38FE8" w14:textId="6074A247" w:rsidR="00172845" w:rsidRDefault="00172845" w:rsidP="00172845">
      <w:pPr>
        <w:pStyle w:val="NoSpacing"/>
        <w:spacing w:line="480" w:lineRule="auto"/>
        <w:rPr>
          <w:rFonts w:asciiTheme="majorBidi" w:hAnsiTheme="majorBidi" w:cstheme="majorBidi"/>
        </w:rPr>
      </w:pPr>
    </w:p>
    <w:p w14:paraId="75826651" w14:textId="269C1A2D" w:rsidR="00172845" w:rsidRDefault="00172845" w:rsidP="00172845">
      <w:pPr>
        <w:pStyle w:val="NoSpacing"/>
        <w:spacing w:line="480" w:lineRule="auto"/>
        <w:rPr>
          <w:rFonts w:asciiTheme="majorBidi" w:hAnsiTheme="majorBidi" w:cstheme="majorBidi"/>
        </w:rPr>
      </w:pPr>
    </w:p>
    <w:p w14:paraId="4DA507CA" w14:textId="4F28A93F" w:rsidR="00172845" w:rsidRDefault="00172845" w:rsidP="00172845">
      <w:pPr>
        <w:pStyle w:val="NoSpacing"/>
        <w:spacing w:line="480" w:lineRule="auto"/>
        <w:rPr>
          <w:rFonts w:asciiTheme="majorBidi" w:hAnsiTheme="majorBidi" w:cstheme="majorBidi"/>
        </w:rPr>
      </w:pPr>
    </w:p>
    <w:p w14:paraId="65F1C00F" w14:textId="0661E80E" w:rsidR="00172845" w:rsidRDefault="00172845" w:rsidP="00172845">
      <w:pPr>
        <w:pStyle w:val="NoSpacing"/>
        <w:spacing w:line="480" w:lineRule="auto"/>
        <w:rPr>
          <w:rFonts w:asciiTheme="majorBidi" w:hAnsiTheme="majorBidi" w:cstheme="majorBidi"/>
        </w:rPr>
      </w:pPr>
    </w:p>
    <w:p w14:paraId="75100413" w14:textId="02794671" w:rsidR="00172845" w:rsidRDefault="00172845" w:rsidP="00172845">
      <w:pPr>
        <w:pStyle w:val="NoSpacing"/>
        <w:spacing w:line="480" w:lineRule="auto"/>
        <w:rPr>
          <w:rFonts w:asciiTheme="majorBidi" w:hAnsiTheme="majorBidi" w:cstheme="majorBidi"/>
        </w:rPr>
      </w:pPr>
    </w:p>
    <w:p w14:paraId="01900225" w14:textId="0CAEF58D" w:rsidR="00172845" w:rsidRDefault="00172845" w:rsidP="00172845">
      <w:pPr>
        <w:pStyle w:val="NoSpacing"/>
        <w:spacing w:line="480" w:lineRule="auto"/>
        <w:rPr>
          <w:rFonts w:asciiTheme="majorBidi" w:hAnsiTheme="majorBidi" w:cstheme="majorBidi"/>
        </w:rPr>
      </w:pPr>
    </w:p>
    <w:p w14:paraId="2F0EDDDC" w14:textId="68621E1D" w:rsidR="00172845" w:rsidRDefault="00172845" w:rsidP="00172845">
      <w:pPr>
        <w:pStyle w:val="NoSpacing"/>
        <w:spacing w:line="480" w:lineRule="auto"/>
        <w:rPr>
          <w:rFonts w:asciiTheme="majorBidi" w:hAnsiTheme="majorBidi" w:cstheme="majorBidi"/>
        </w:rPr>
      </w:pPr>
    </w:p>
    <w:p w14:paraId="172A1EBF" w14:textId="45EA418E" w:rsidR="00172845" w:rsidRDefault="00172845" w:rsidP="00172845">
      <w:pPr>
        <w:pStyle w:val="NoSpacing"/>
        <w:spacing w:line="480" w:lineRule="auto"/>
        <w:rPr>
          <w:rFonts w:asciiTheme="majorBidi" w:hAnsiTheme="majorBidi" w:cstheme="majorBidi"/>
        </w:rPr>
      </w:pPr>
    </w:p>
    <w:p w14:paraId="46E1B8F5" w14:textId="5C8156B5" w:rsidR="00172845" w:rsidRDefault="00172845" w:rsidP="00172845">
      <w:pPr>
        <w:pStyle w:val="NoSpacing"/>
        <w:spacing w:line="480" w:lineRule="auto"/>
        <w:rPr>
          <w:rFonts w:asciiTheme="majorBidi" w:hAnsiTheme="majorBidi" w:cstheme="majorBidi"/>
        </w:rPr>
      </w:pPr>
    </w:p>
    <w:p w14:paraId="68E8576F" w14:textId="346F3CEE" w:rsidR="00172845" w:rsidRDefault="00172845" w:rsidP="00172845">
      <w:pPr>
        <w:pStyle w:val="NoSpacing"/>
        <w:spacing w:line="480" w:lineRule="auto"/>
        <w:rPr>
          <w:rFonts w:asciiTheme="majorBidi" w:hAnsiTheme="majorBidi" w:cstheme="majorBidi"/>
        </w:rPr>
      </w:pPr>
    </w:p>
    <w:p w14:paraId="2A8136C0" w14:textId="3A1E37BF" w:rsidR="00172845" w:rsidRDefault="00172845" w:rsidP="00172845">
      <w:pPr>
        <w:pStyle w:val="NoSpacing"/>
        <w:spacing w:line="480" w:lineRule="auto"/>
        <w:rPr>
          <w:rFonts w:asciiTheme="majorBidi" w:hAnsiTheme="majorBidi" w:cstheme="majorBidi"/>
        </w:rPr>
      </w:pPr>
    </w:p>
    <w:p w14:paraId="3D971A72" w14:textId="77777777" w:rsidR="00172845" w:rsidRDefault="00172845" w:rsidP="00172845">
      <w:pPr>
        <w:pStyle w:val="NoSpacing"/>
        <w:spacing w:line="480" w:lineRule="auto"/>
        <w:rPr>
          <w:rFonts w:asciiTheme="majorBidi" w:hAnsiTheme="majorBidi" w:cstheme="majorBidi"/>
        </w:rPr>
        <w:sectPr w:rsidR="00172845" w:rsidSect="00282D7E">
          <w:pgSz w:w="11900" w:h="16840"/>
          <w:pgMar w:top="1440" w:right="1440" w:bottom="1440" w:left="1440" w:header="708" w:footer="708" w:gutter="0"/>
          <w:cols w:space="708"/>
          <w:docGrid w:linePitch="360"/>
        </w:sectPr>
      </w:pPr>
    </w:p>
    <w:p w14:paraId="37E69989" w14:textId="77777777" w:rsidR="00172845" w:rsidRPr="00172845" w:rsidRDefault="00172845" w:rsidP="00172845">
      <w:pPr>
        <w:pStyle w:val="NoSpacing"/>
        <w:spacing w:line="480" w:lineRule="auto"/>
        <w:rPr>
          <w:rFonts w:asciiTheme="majorBidi" w:hAnsiTheme="majorBidi" w:cstheme="majorBidi"/>
          <w:b/>
          <w:bCs/>
        </w:rPr>
      </w:pPr>
      <w:r w:rsidRPr="00172845">
        <w:rPr>
          <w:rFonts w:asciiTheme="majorBidi" w:hAnsiTheme="majorBidi" w:cstheme="majorBidi"/>
          <w:b/>
          <w:bCs/>
        </w:rPr>
        <w:lastRenderedPageBreak/>
        <w:t>7. Exploratory correlations</w:t>
      </w:r>
    </w:p>
    <w:p w14:paraId="448073EC" w14:textId="4B554297" w:rsidR="00A10E32" w:rsidRDefault="00172845" w:rsidP="00A10E32">
      <w:pPr>
        <w:pStyle w:val="NoSpacing"/>
        <w:spacing w:line="480" w:lineRule="auto"/>
        <w:rPr>
          <w:rFonts w:asciiTheme="majorBidi" w:hAnsiTheme="majorBidi" w:cstheme="majorBidi"/>
          <w:b/>
          <w:bCs/>
        </w:rPr>
      </w:pPr>
      <w:r w:rsidRPr="00172845">
        <w:rPr>
          <w:rFonts w:asciiTheme="majorBidi" w:hAnsiTheme="majorBidi" w:cstheme="majorBidi"/>
          <w:b/>
          <w:bCs/>
        </w:rPr>
        <w:t>Table S4.3</w:t>
      </w:r>
    </w:p>
    <w:p w14:paraId="300207B7" w14:textId="102CB552" w:rsidR="00172845" w:rsidRDefault="00172845" w:rsidP="00172845">
      <w:pPr>
        <w:pStyle w:val="NoSpacing"/>
        <w:spacing w:line="480" w:lineRule="auto"/>
        <w:rPr>
          <w:rFonts w:asciiTheme="majorBidi" w:hAnsiTheme="majorBidi" w:cstheme="majorBidi"/>
          <w:i/>
          <w:iCs/>
        </w:rPr>
      </w:pPr>
      <w:r w:rsidRPr="00172845">
        <w:rPr>
          <w:rFonts w:asciiTheme="majorBidi" w:hAnsiTheme="majorBidi" w:cstheme="majorBidi"/>
          <w:i/>
          <w:iCs/>
        </w:rPr>
        <w:t>Exploratory correlations between variables measured in Chapter 4</w:t>
      </w:r>
    </w:p>
    <w:tbl>
      <w:tblPr>
        <w:tblStyle w:val="TableGrid3"/>
        <w:tblW w:w="13851" w:type="dxa"/>
        <w:tblLook w:val="04A0" w:firstRow="1" w:lastRow="0" w:firstColumn="1" w:lastColumn="0" w:noHBand="0" w:noVBand="1"/>
      </w:tblPr>
      <w:tblGrid>
        <w:gridCol w:w="2506"/>
        <w:gridCol w:w="978"/>
        <w:gridCol w:w="824"/>
        <w:gridCol w:w="826"/>
        <w:gridCol w:w="718"/>
        <w:gridCol w:w="861"/>
        <w:gridCol w:w="861"/>
        <w:gridCol w:w="824"/>
        <w:gridCol w:w="826"/>
        <w:gridCol w:w="714"/>
        <w:gridCol w:w="789"/>
        <w:gridCol w:w="842"/>
        <w:gridCol w:w="710"/>
        <w:gridCol w:w="572"/>
        <w:gridCol w:w="1000"/>
      </w:tblGrid>
      <w:tr w:rsidR="00A10E32" w:rsidRPr="00172845" w14:paraId="5CA07F85" w14:textId="77777777" w:rsidTr="00A10E32">
        <w:trPr>
          <w:trHeight w:val="618"/>
        </w:trPr>
        <w:tc>
          <w:tcPr>
            <w:tcW w:w="2506" w:type="dxa"/>
            <w:tcBorders>
              <w:top w:val="single" w:sz="18" w:space="0" w:color="auto"/>
              <w:left w:val="nil"/>
              <w:right w:val="nil"/>
            </w:tcBorders>
          </w:tcPr>
          <w:p w14:paraId="4C200A22" w14:textId="77777777" w:rsidR="00172845" w:rsidRPr="00172845" w:rsidRDefault="00172845" w:rsidP="00172845">
            <w:pPr>
              <w:jc w:val="center"/>
              <w:rPr>
                <w:rFonts w:ascii="Times New Roman" w:hAnsi="Times New Roman" w:cs="Times New Roman"/>
                <w:sz w:val="20"/>
                <w:szCs w:val="20"/>
              </w:rPr>
            </w:pPr>
          </w:p>
        </w:tc>
        <w:tc>
          <w:tcPr>
            <w:tcW w:w="978" w:type="dxa"/>
            <w:tcBorders>
              <w:top w:val="single" w:sz="18" w:space="0" w:color="auto"/>
              <w:left w:val="nil"/>
              <w:right w:val="nil"/>
            </w:tcBorders>
          </w:tcPr>
          <w:p w14:paraId="0431A61A"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w:t>
            </w:r>
          </w:p>
        </w:tc>
        <w:tc>
          <w:tcPr>
            <w:tcW w:w="824" w:type="dxa"/>
            <w:tcBorders>
              <w:top w:val="single" w:sz="18" w:space="0" w:color="auto"/>
              <w:left w:val="nil"/>
              <w:right w:val="nil"/>
            </w:tcBorders>
          </w:tcPr>
          <w:p w14:paraId="7FBDEE8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w:t>
            </w:r>
          </w:p>
        </w:tc>
        <w:tc>
          <w:tcPr>
            <w:tcW w:w="826" w:type="dxa"/>
            <w:tcBorders>
              <w:top w:val="single" w:sz="18" w:space="0" w:color="auto"/>
              <w:left w:val="nil"/>
              <w:right w:val="nil"/>
            </w:tcBorders>
          </w:tcPr>
          <w:p w14:paraId="3475F03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w:t>
            </w:r>
          </w:p>
        </w:tc>
        <w:tc>
          <w:tcPr>
            <w:tcW w:w="718" w:type="dxa"/>
            <w:tcBorders>
              <w:top w:val="single" w:sz="18" w:space="0" w:color="auto"/>
              <w:left w:val="nil"/>
              <w:right w:val="nil"/>
            </w:tcBorders>
          </w:tcPr>
          <w:p w14:paraId="2B8D4905"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4</w:t>
            </w:r>
          </w:p>
        </w:tc>
        <w:tc>
          <w:tcPr>
            <w:tcW w:w="861" w:type="dxa"/>
            <w:tcBorders>
              <w:top w:val="single" w:sz="18" w:space="0" w:color="auto"/>
              <w:left w:val="nil"/>
              <w:right w:val="nil"/>
            </w:tcBorders>
          </w:tcPr>
          <w:p w14:paraId="663712E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5</w:t>
            </w:r>
          </w:p>
        </w:tc>
        <w:tc>
          <w:tcPr>
            <w:tcW w:w="861" w:type="dxa"/>
            <w:tcBorders>
              <w:top w:val="single" w:sz="18" w:space="0" w:color="auto"/>
              <w:left w:val="nil"/>
              <w:right w:val="nil"/>
            </w:tcBorders>
          </w:tcPr>
          <w:p w14:paraId="69DC990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6</w:t>
            </w:r>
          </w:p>
        </w:tc>
        <w:tc>
          <w:tcPr>
            <w:tcW w:w="824" w:type="dxa"/>
            <w:tcBorders>
              <w:top w:val="single" w:sz="18" w:space="0" w:color="auto"/>
              <w:left w:val="nil"/>
              <w:right w:val="nil"/>
            </w:tcBorders>
          </w:tcPr>
          <w:p w14:paraId="4EE6B5F2"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7</w:t>
            </w:r>
          </w:p>
        </w:tc>
        <w:tc>
          <w:tcPr>
            <w:tcW w:w="826" w:type="dxa"/>
            <w:tcBorders>
              <w:top w:val="single" w:sz="18" w:space="0" w:color="auto"/>
              <w:left w:val="nil"/>
              <w:right w:val="nil"/>
            </w:tcBorders>
          </w:tcPr>
          <w:p w14:paraId="03DEE50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8</w:t>
            </w:r>
          </w:p>
        </w:tc>
        <w:tc>
          <w:tcPr>
            <w:tcW w:w="714" w:type="dxa"/>
            <w:tcBorders>
              <w:top w:val="single" w:sz="18" w:space="0" w:color="auto"/>
              <w:left w:val="nil"/>
              <w:right w:val="nil"/>
            </w:tcBorders>
          </w:tcPr>
          <w:p w14:paraId="1905D8E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9</w:t>
            </w:r>
          </w:p>
        </w:tc>
        <w:tc>
          <w:tcPr>
            <w:tcW w:w="789" w:type="dxa"/>
            <w:tcBorders>
              <w:top w:val="single" w:sz="18" w:space="0" w:color="auto"/>
              <w:left w:val="nil"/>
              <w:right w:val="nil"/>
            </w:tcBorders>
          </w:tcPr>
          <w:p w14:paraId="105FAE3A"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10</w:t>
            </w:r>
          </w:p>
        </w:tc>
        <w:tc>
          <w:tcPr>
            <w:tcW w:w="842" w:type="dxa"/>
            <w:tcBorders>
              <w:top w:val="single" w:sz="18" w:space="0" w:color="auto"/>
              <w:left w:val="nil"/>
              <w:right w:val="nil"/>
            </w:tcBorders>
          </w:tcPr>
          <w:p w14:paraId="41ABAE6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11</w:t>
            </w:r>
          </w:p>
        </w:tc>
        <w:tc>
          <w:tcPr>
            <w:tcW w:w="710" w:type="dxa"/>
            <w:tcBorders>
              <w:top w:val="single" w:sz="18" w:space="0" w:color="auto"/>
              <w:left w:val="nil"/>
              <w:right w:val="nil"/>
            </w:tcBorders>
          </w:tcPr>
          <w:p w14:paraId="724E7C42"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12</w:t>
            </w:r>
          </w:p>
        </w:tc>
        <w:tc>
          <w:tcPr>
            <w:tcW w:w="572" w:type="dxa"/>
            <w:tcBorders>
              <w:top w:val="single" w:sz="18" w:space="0" w:color="auto"/>
              <w:left w:val="nil"/>
              <w:right w:val="nil"/>
            </w:tcBorders>
          </w:tcPr>
          <w:p w14:paraId="4801DDD2"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13</w:t>
            </w:r>
          </w:p>
        </w:tc>
        <w:tc>
          <w:tcPr>
            <w:tcW w:w="1000" w:type="dxa"/>
            <w:tcBorders>
              <w:top w:val="single" w:sz="18" w:space="0" w:color="auto"/>
              <w:left w:val="nil"/>
              <w:right w:val="nil"/>
            </w:tcBorders>
          </w:tcPr>
          <w:p w14:paraId="0AA7A639"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14</w:t>
            </w:r>
          </w:p>
        </w:tc>
      </w:tr>
      <w:tr w:rsidR="00A10E32" w:rsidRPr="00172845" w14:paraId="484DD4C9" w14:textId="77777777" w:rsidTr="00A10E32">
        <w:trPr>
          <w:trHeight w:val="619"/>
        </w:trPr>
        <w:tc>
          <w:tcPr>
            <w:tcW w:w="2506" w:type="dxa"/>
            <w:tcBorders>
              <w:left w:val="nil"/>
              <w:bottom w:val="nil"/>
              <w:right w:val="nil"/>
            </w:tcBorders>
          </w:tcPr>
          <w:p w14:paraId="1448EE9B"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1. Soft-drink drift (N)</w:t>
            </w:r>
          </w:p>
        </w:tc>
        <w:tc>
          <w:tcPr>
            <w:tcW w:w="978" w:type="dxa"/>
            <w:tcBorders>
              <w:left w:val="nil"/>
              <w:bottom w:val="nil"/>
              <w:right w:val="nil"/>
            </w:tcBorders>
          </w:tcPr>
          <w:p w14:paraId="4CF66941" w14:textId="77777777" w:rsidR="00172845" w:rsidRPr="00172845" w:rsidRDefault="00172845" w:rsidP="00172845">
            <w:pPr>
              <w:jc w:val="center"/>
              <w:rPr>
                <w:rFonts w:ascii="Times New Roman" w:hAnsi="Times New Roman" w:cs="Times New Roman"/>
                <w:sz w:val="20"/>
                <w:szCs w:val="20"/>
              </w:rPr>
            </w:pPr>
          </w:p>
        </w:tc>
        <w:tc>
          <w:tcPr>
            <w:tcW w:w="824" w:type="dxa"/>
            <w:tcBorders>
              <w:left w:val="nil"/>
              <w:bottom w:val="nil"/>
              <w:right w:val="nil"/>
            </w:tcBorders>
          </w:tcPr>
          <w:p w14:paraId="2430BE41" w14:textId="77777777" w:rsidR="00172845" w:rsidRPr="00172845" w:rsidRDefault="00172845" w:rsidP="00172845">
            <w:pPr>
              <w:jc w:val="center"/>
              <w:rPr>
                <w:rFonts w:ascii="Times New Roman" w:hAnsi="Times New Roman" w:cs="Times New Roman"/>
                <w:sz w:val="20"/>
                <w:szCs w:val="20"/>
              </w:rPr>
            </w:pPr>
          </w:p>
        </w:tc>
        <w:tc>
          <w:tcPr>
            <w:tcW w:w="826" w:type="dxa"/>
            <w:tcBorders>
              <w:left w:val="nil"/>
              <w:bottom w:val="nil"/>
              <w:right w:val="nil"/>
            </w:tcBorders>
          </w:tcPr>
          <w:p w14:paraId="7CFF7CB5" w14:textId="77777777" w:rsidR="00172845" w:rsidRPr="00172845" w:rsidRDefault="00172845" w:rsidP="00172845">
            <w:pPr>
              <w:jc w:val="center"/>
              <w:rPr>
                <w:rFonts w:ascii="Times New Roman" w:hAnsi="Times New Roman" w:cs="Times New Roman"/>
                <w:sz w:val="20"/>
                <w:szCs w:val="20"/>
              </w:rPr>
            </w:pPr>
          </w:p>
        </w:tc>
        <w:tc>
          <w:tcPr>
            <w:tcW w:w="718" w:type="dxa"/>
            <w:tcBorders>
              <w:left w:val="nil"/>
              <w:bottom w:val="nil"/>
              <w:right w:val="nil"/>
            </w:tcBorders>
          </w:tcPr>
          <w:p w14:paraId="70601553" w14:textId="77777777" w:rsidR="00172845" w:rsidRPr="00172845" w:rsidRDefault="00172845" w:rsidP="00172845">
            <w:pPr>
              <w:jc w:val="center"/>
              <w:rPr>
                <w:rFonts w:ascii="Times New Roman" w:hAnsi="Times New Roman" w:cs="Times New Roman"/>
                <w:sz w:val="20"/>
                <w:szCs w:val="20"/>
              </w:rPr>
            </w:pPr>
          </w:p>
        </w:tc>
        <w:tc>
          <w:tcPr>
            <w:tcW w:w="861" w:type="dxa"/>
            <w:tcBorders>
              <w:left w:val="nil"/>
              <w:bottom w:val="nil"/>
              <w:right w:val="nil"/>
            </w:tcBorders>
          </w:tcPr>
          <w:p w14:paraId="311F0ECF" w14:textId="77777777" w:rsidR="00172845" w:rsidRPr="00172845" w:rsidRDefault="00172845" w:rsidP="00172845">
            <w:pPr>
              <w:jc w:val="center"/>
              <w:rPr>
                <w:rFonts w:ascii="Times New Roman" w:hAnsi="Times New Roman" w:cs="Times New Roman"/>
                <w:sz w:val="20"/>
                <w:szCs w:val="20"/>
              </w:rPr>
            </w:pPr>
          </w:p>
        </w:tc>
        <w:tc>
          <w:tcPr>
            <w:tcW w:w="861" w:type="dxa"/>
            <w:tcBorders>
              <w:left w:val="nil"/>
              <w:bottom w:val="nil"/>
              <w:right w:val="nil"/>
            </w:tcBorders>
          </w:tcPr>
          <w:p w14:paraId="0F87E635" w14:textId="77777777" w:rsidR="00172845" w:rsidRPr="00172845" w:rsidRDefault="00172845" w:rsidP="00172845">
            <w:pPr>
              <w:jc w:val="center"/>
              <w:rPr>
                <w:rFonts w:ascii="Times New Roman" w:hAnsi="Times New Roman" w:cs="Times New Roman"/>
                <w:sz w:val="20"/>
                <w:szCs w:val="20"/>
              </w:rPr>
            </w:pPr>
          </w:p>
        </w:tc>
        <w:tc>
          <w:tcPr>
            <w:tcW w:w="824" w:type="dxa"/>
            <w:tcBorders>
              <w:left w:val="nil"/>
              <w:bottom w:val="nil"/>
              <w:right w:val="nil"/>
            </w:tcBorders>
          </w:tcPr>
          <w:p w14:paraId="6B972BE9" w14:textId="77777777" w:rsidR="00172845" w:rsidRPr="00172845" w:rsidRDefault="00172845" w:rsidP="00172845">
            <w:pPr>
              <w:jc w:val="center"/>
              <w:rPr>
                <w:rFonts w:ascii="Times New Roman" w:hAnsi="Times New Roman" w:cs="Times New Roman"/>
                <w:sz w:val="20"/>
                <w:szCs w:val="20"/>
              </w:rPr>
            </w:pPr>
          </w:p>
        </w:tc>
        <w:tc>
          <w:tcPr>
            <w:tcW w:w="826" w:type="dxa"/>
            <w:tcBorders>
              <w:left w:val="nil"/>
              <w:bottom w:val="nil"/>
              <w:right w:val="nil"/>
            </w:tcBorders>
          </w:tcPr>
          <w:p w14:paraId="217C6D60" w14:textId="77777777" w:rsidR="00172845" w:rsidRPr="00172845" w:rsidRDefault="00172845" w:rsidP="00172845">
            <w:pPr>
              <w:jc w:val="center"/>
              <w:rPr>
                <w:rFonts w:ascii="Times New Roman" w:hAnsi="Times New Roman" w:cs="Times New Roman"/>
                <w:sz w:val="20"/>
                <w:szCs w:val="20"/>
              </w:rPr>
            </w:pPr>
          </w:p>
        </w:tc>
        <w:tc>
          <w:tcPr>
            <w:tcW w:w="714" w:type="dxa"/>
            <w:tcBorders>
              <w:left w:val="nil"/>
              <w:bottom w:val="nil"/>
              <w:right w:val="nil"/>
            </w:tcBorders>
          </w:tcPr>
          <w:p w14:paraId="3D7CCCB9" w14:textId="77777777" w:rsidR="00172845" w:rsidRPr="00172845" w:rsidRDefault="00172845" w:rsidP="00172845">
            <w:pPr>
              <w:jc w:val="center"/>
              <w:rPr>
                <w:rFonts w:ascii="Times New Roman" w:hAnsi="Times New Roman" w:cs="Times New Roman"/>
                <w:sz w:val="20"/>
                <w:szCs w:val="20"/>
              </w:rPr>
            </w:pPr>
          </w:p>
        </w:tc>
        <w:tc>
          <w:tcPr>
            <w:tcW w:w="789" w:type="dxa"/>
            <w:tcBorders>
              <w:left w:val="nil"/>
              <w:bottom w:val="nil"/>
              <w:right w:val="nil"/>
            </w:tcBorders>
          </w:tcPr>
          <w:p w14:paraId="77C6AEAB" w14:textId="77777777" w:rsidR="00172845" w:rsidRPr="00172845" w:rsidRDefault="00172845" w:rsidP="00172845">
            <w:pPr>
              <w:jc w:val="center"/>
              <w:rPr>
                <w:rFonts w:ascii="Times New Roman" w:hAnsi="Times New Roman" w:cs="Times New Roman"/>
                <w:sz w:val="20"/>
                <w:szCs w:val="20"/>
              </w:rPr>
            </w:pPr>
          </w:p>
        </w:tc>
        <w:tc>
          <w:tcPr>
            <w:tcW w:w="842" w:type="dxa"/>
            <w:tcBorders>
              <w:left w:val="nil"/>
              <w:bottom w:val="nil"/>
              <w:right w:val="nil"/>
            </w:tcBorders>
          </w:tcPr>
          <w:p w14:paraId="1C27D1AE" w14:textId="77777777" w:rsidR="00172845" w:rsidRPr="00172845" w:rsidRDefault="00172845" w:rsidP="00172845">
            <w:pPr>
              <w:jc w:val="center"/>
              <w:rPr>
                <w:rFonts w:ascii="Times New Roman" w:hAnsi="Times New Roman" w:cs="Times New Roman"/>
                <w:sz w:val="20"/>
                <w:szCs w:val="20"/>
              </w:rPr>
            </w:pPr>
          </w:p>
        </w:tc>
        <w:tc>
          <w:tcPr>
            <w:tcW w:w="710" w:type="dxa"/>
            <w:tcBorders>
              <w:left w:val="nil"/>
              <w:bottom w:val="nil"/>
              <w:right w:val="nil"/>
            </w:tcBorders>
          </w:tcPr>
          <w:p w14:paraId="3EA3C7EB" w14:textId="77777777" w:rsidR="00172845" w:rsidRPr="00172845" w:rsidRDefault="00172845" w:rsidP="00172845">
            <w:pPr>
              <w:jc w:val="center"/>
              <w:rPr>
                <w:rFonts w:ascii="Times New Roman" w:hAnsi="Times New Roman" w:cs="Times New Roman"/>
                <w:sz w:val="20"/>
                <w:szCs w:val="20"/>
              </w:rPr>
            </w:pPr>
          </w:p>
        </w:tc>
        <w:tc>
          <w:tcPr>
            <w:tcW w:w="572" w:type="dxa"/>
            <w:tcBorders>
              <w:left w:val="nil"/>
              <w:bottom w:val="nil"/>
              <w:right w:val="nil"/>
            </w:tcBorders>
          </w:tcPr>
          <w:p w14:paraId="2C3955B1" w14:textId="77777777" w:rsidR="00172845" w:rsidRPr="00172845" w:rsidRDefault="00172845" w:rsidP="00172845">
            <w:pPr>
              <w:jc w:val="center"/>
              <w:rPr>
                <w:rFonts w:ascii="Times New Roman" w:hAnsi="Times New Roman" w:cs="Times New Roman"/>
                <w:sz w:val="20"/>
                <w:szCs w:val="20"/>
              </w:rPr>
            </w:pPr>
          </w:p>
        </w:tc>
        <w:tc>
          <w:tcPr>
            <w:tcW w:w="1000" w:type="dxa"/>
            <w:tcBorders>
              <w:left w:val="nil"/>
              <w:bottom w:val="nil"/>
              <w:right w:val="nil"/>
            </w:tcBorders>
          </w:tcPr>
          <w:p w14:paraId="2E99408B" w14:textId="77777777" w:rsidR="00172845" w:rsidRPr="00172845" w:rsidRDefault="00172845" w:rsidP="00172845">
            <w:pPr>
              <w:jc w:val="center"/>
              <w:rPr>
                <w:rFonts w:ascii="Times New Roman" w:hAnsi="Times New Roman" w:cs="Times New Roman"/>
              </w:rPr>
            </w:pPr>
          </w:p>
        </w:tc>
      </w:tr>
      <w:tr w:rsidR="00A10E32" w:rsidRPr="00172845" w14:paraId="2D4A1E0B" w14:textId="77777777" w:rsidTr="00A10E32">
        <w:trPr>
          <w:trHeight w:val="619"/>
        </w:trPr>
        <w:tc>
          <w:tcPr>
            <w:tcW w:w="2506" w:type="dxa"/>
            <w:tcBorders>
              <w:top w:val="nil"/>
              <w:left w:val="nil"/>
              <w:bottom w:val="nil"/>
              <w:right w:val="nil"/>
            </w:tcBorders>
          </w:tcPr>
          <w:p w14:paraId="6CE8F703"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2. Soft-drink drift (P)</w:t>
            </w:r>
          </w:p>
        </w:tc>
        <w:tc>
          <w:tcPr>
            <w:tcW w:w="978" w:type="dxa"/>
            <w:tcBorders>
              <w:top w:val="nil"/>
              <w:left w:val="nil"/>
              <w:bottom w:val="nil"/>
              <w:right w:val="nil"/>
            </w:tcBorders>
          </w:tcPr>
          <w:p w14:paraId="40591FAE"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.67***</w:t>
            </w:r>
          </w:p>
        </w:tc>
        <w:tc>
          <w:tcPr>
            <w:tcW w:w="824" w:type="dxa"/>
            <w:tcBorders>
              <w:top w:val="nil"/>
              <w:left w:val="nil"/>
              <w:bottom w:val="nil"/>
              <w:right w:val="nil"/>
            </w:tcBorders>
          </w:tcPr>
          <w:p w14:paraId="36213E23"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34599C15" w14:textId="77777777" w:rsidR="00172845" w:rsidRPr="00172845" w:rsidRDefault="00172845" w:rsidP="00172845">
            <w:pPr>
              <w:jc w:val="center"/>
              <w:rPr>
                <w:rFonts w:ascii="Times New Roman" w:hAnsi="Times New Roman" w:cs="Times New Roman"/>
                <w:sz w:val="20"/>
                <w:szCs w:val="20"/>
              </w:rPr>
            </w:pPr>
          </w:p>
        </w:tc>
        <w:tc>
          <w:tcPr>
            <w:tcW w:w="718" w:type="dxa"/>
            <w:tcBorders>
              <w:top w:val="nil"/>
              <w:left w:val="nil"/>
              <w:bottom w:val="nil"/>
              <w:right w:val="nil"/>
            </w:tcBorders>
          </w:tcPr>
          <w:p w14:paraId="6CC5A386"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751F39F9"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49FFEDAF" w14:textId="77777777" w:rsidR="00172845" w:rsidRPr="00172845" w:rsidRDefault="00172845" w:rsidP="00172845">
            <w:pPr>
              <w:jc w:val="center"/>
              <w:rPr>
                <w:rFonts w:ascii="Times New Roman" w:hAnsi="Times New Roman" w:cs="Times New Roman"/>
                <w:sz w:val="20"/>
                <w:szCs w:val="20"/>
              </w:rPr>
            </w:pPr>
          </w:p>
        </w:tc>
        <w:tc>
          <w:tcPr>
            <w:tcW w:w="824" w:type="dxa"/>
            <w:tcBorders>
              <w:top w:val="nil"/>
              <w:left w:val="nil"/>
              <w:bottom w:val="nil"/>
              <w:right w:val="nil"/>
            </w:tcBorders>
          </w:tcPr>
          <w:p w14:paraId="7A4E1F86"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221C466D"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31C6890F"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2884C68A"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08C1578E"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7C4897A2"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07EE12C6"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5352DF37" w14:textId="77777777" w:rsidR="00172845" w:rsidRPr="00172845" w:rsidRDefault="00172845" w:rsidP="00172845">
            <w:pPr>
              <w:jc w:val="center"/>
              <w:rPr>
                <w:rFonts w:ascii="Times New Roman" w:hAnsi="Times New Roman" w:cs="Times New Roman"/>
              </w:rPr>
            </w:pPr>
          </w:p>
        </w:tc>
      </w:tr>
      <w:tr w:rsidR="00A10E32" w:rsidRPr="00172845" w14:paraId="3E355382" w14:textId="77777777" w:rsidTr="00A10E32">
        <w:trPr>
          <w:trHeight w:val="641"/>
        </w:trPr>
        <w:tc>
          <w:tcPr>
            <w:tcW w:w="2506" w:type="dxa"/>
            <w:tcBorders>
              <w:top w:val="nil"/>
              <w:left w:val="nil"/>
              <w:bottom w:val="nil"/>
              <w:right w:val="nil"/>
            </w:tcBorders>
          </w:tcPr>
          <w:p w14:paraId="0F6F5667"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3. Alcohol drift (N)</w:t>
            </w:r>
          </w:p>
        </w:tc>
        <w:tc>
          <w:tcPr>
            <w:tcW w:w="978" w:type="dxa"/>
            <w:tcBorders>
              <w:top w:val="nil"/>
              <w:left w:val="nil"/>
              <w:bottom w:val="nil"/>
              <w:right w:val="nil"/>
            </w:tcBorders>
          </w:tcPr>
          <w:p w14:paraId="3D526F0E"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.58***</w:t>
            </w:r>
          </w:p>
        </w:tc>
        <w:tc>
          <w:tcPr>
            <w:tcW w:w="824" w:type="dxa"/>
            <w:tcBorders>
              <w:top w:val="nil"/>
              <w:left w:val="nil"/>
              <w:bottom w:val="nil"/>
              <w:right w:val="nil"/>
            </w:tcBorders>
          </w:tcPr>
          <w:p w14:paraId="1E7B4A6C"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.61***</w:t>
            </w:r>
          </w:p>
        </w:tc>
        <w:tc>
          <w:tcPr>
            <w:tcW w:w="826" w:type="dxa"/>
            <w:tcBorders>
              <w:top w:val="nil"/>
              <w:left w:val="nil"/>
              <w:bottom w:val="nil"/>
              <w:right w:val="nil"/>
            </w:tcBorders>
          </w:tcPr>
          <w:p w14:paraId="7AE2DF02" w14:textId="77777777" w:rsidR="00172845" w:rsidRPr="00172845" w:rsidRDefault="00172845" w:rsidP="00172845">
            <w:pPr>
              <w:jc w:val="center"/>
              <w:rPr>
                <w:rFonts w:ascii="Times New Roman" w:hAnsi="Times New Roman" w:cs="Times New Roman"/>
                <w:sz w:val="20"/>
                <w:szCs w:val="20"/>
              </w:rPr>
            </w:pPr>
          </w:p>
        </w:tc>
        <w:tc>
          <w:tcPr>
            <w:tcW w:w="718" w:type="dxa"/>
            <w:tcBorders>
              <w:top w:val="nil"/>
              <w:left w:val="nil"/>
              <w:bottom w:val="nil"/>
              <w:right w:val="nil"/>
            </w:tcBorders>
          </w:tcPr>
          <w:p w14:paraId="6C923E65"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41708D78"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15F01A46" w14:textId="77777777" w:rsidR="00172845" w:rsidRPr="00172845" w:rsidRDefault="00172845" w:rsidP="00172845">
            <w:pPr>
              <w:jc w:val="center"/>
              <w:rPr>
                <w:rFonts w:ascii="Times New Roman" w:hAnsi="Times New Roman" w:cs="Times New Roman"/>
                <w:sz w:val="20"/>
                <w:szCs w:val="20"/>
              </w:rPr>
            </w:pPr>
          </w:p>
        </w:tc>
        <w:tc>
          <w:tcPr>
            <w:tcW w:w="824" w:type="dxa"/>
            <w:tcBorders>
              <w:top w:val="nil"/>
              <w:left w:val="nil"/>
              <w:bottom w:val="nil"/>
              <w:right w:val="nil"/>
            </w:tcBorders>
          </w:tcPr>
          <w:p w14:paraId="372CB590"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493E2FC0"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71BABBCD"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23C3AC9F"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24C22110"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467B195C"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7B88C140"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486AA47E" w14:textId="77777777" w:rsidR="00172845" w:rsidRPr="00172845" w:rsidRDefault="00172845" w:rsidP="00172845">
            <w:pPr>
              <w:jc w:val="center"/>
              <w:rPr>
                <w:rFonts w:ascii="Times New Roman" w:hAnsi="Times New Roman" w:cs="Times New Roman"/>
              </w:rPr>
            </w:pPr>
          </w:p>
        </w:tc>
      </w:tr>
      <w:tr w:rsidR="00A10E32" w:rsidRPr="00172845" w14:paraId="10ED1F38" w14:textId="77777777" w:rsidTr="00A10E32">
        <w:trPr>
          <w:trHeight w:val="619"/>
        </w:trPr>
        <w:tc>
          <w:tcPr>
            <w:tcW w:w="2506" w:type="dxa"/>
            <w:tcBorders>
              <w:top w:val="nil"/>
              <w:left w:val="nil"/>
              <w:bottom w:val="nil"/>
              <w:right w:val="nil"/>
            </w:tcBorders>
          </w:tcPr>
          <w:p w14:paraId="1ED184FC"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4. Alcohol drift (P)</w:t>
            </w:r>
          </w:p>
        </w:tc>
        <w:tc>
          <w:tcPr>
            <w:tcW w:w="978" w:type="dxa"/>
            <w:tcBorders>
              <w:top w:val="nil"/>
              <w:left w:val="nil"/>
              <w:bottom w:val="nil"/>
              <w:right w:val="nil"/>
            </w:tcBorders>
          </w:tcPr>
          <w:p w14:paraId="66E77A75" w14:textId="77777777" w:rsidR="00172845" w:rsidRPr="00172845" w:rsidRDefault="00172845" w:rsidP="00172845">
            <w:pPr>
              <w:jc w:val="center"/>
              <w:rPr>
                <w:rFonts w:ascii="Times New Roman" w:hAnsi="Times New Roman" w:cs="Times New Roman"/>
                <w:b/>
                <w:bCs/>
                <w:sz w:val="20"/>
                <w:szCs w:val="20"/>
                <w:highlight w:val="yellow"/>
              </w:rPr>
            </w:pPr>
            <w:r w:rsidRPr="00172845">
              <w:rPr>
                <w:rFonts w:ascii="Times New Roman" w:hAnsi="Times New Roman" w:cs="Times New Roman"/>
                <w:b/>
                <w:bCs/>
                <w:sz w:val="20"/>
                <w:szCs w:val="20"/>
              </w:rPr>
              <w:t>.55***</w:t>
            </w:r>
          </w:p>
        </w:tc>
        <w:tc>
          <w:tcPr>
            <w:tcW w:w="824" w:type="dxa"/>
            <w:tcBorders>
              <w:top w:val="nil"/>
              <w:left w:val="nil"/>
              <w:bottom w:val="nil"/>
              <w:right w:val="nil"/>
            </w:tcBorders>
          </w:tcPr>
          <w:p w14:paraId="5951BC36"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.68***</w:t>
            </w:r>
          </w:p>
        </w:tc>
        <w:tc>
          <w:tcPr>
            <w:tcW w:w="826" w:type="dxa"/>
            <w:tcBorders>
              <w:top w:val="nil"/>
              <w:left w:val="nil"/>
              <w:bottom w:val="nil"/>
              <w:right w:val="nil"/>
            </w:tcBorders>
          </w:tcPr>
          <w:p w14:paraId="2FAE3810"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.84***</w:t>
            </w:r>
          </w:p>
        </w:tc>
        <w:tc>
          <w:tcPr>
            <w:tcW w:w="718" w:type="dxa"/>
            <w:tcBorders>
              <w:top w:val="nil"/>
              <w:left w:val="nil"/>
              <w:bottom w:val="nil"/>
              <w:right w:val="nil"/>
            </w:tcBorders>
          </w:tcPr>
          <w:p w14:paraId="49A98C7D"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087F669D"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1A90484A" w14:textId="77777777" w:rsidR="00172845" w:rsidRPr="00172845" w:rsidRDefault="00172845" w:rsidP="00172845">
            <w:pPr>
              <w:jc w:val="center"/>
              <w:rPr>
                <w:rFonts w:ascii="Times New Roman" w:hAnsi="Times New Roman" w:cs="Times New Roman"/>
                <w:sz w:val="20"/>
                <w:szCs w:val="20"/>
              </w:rPr>
            </w:pPr>
          </w:p>
        </w:tc>
        <w:tc>
          <w:tcPr>
            <w:tcW w:w="824" w:type="dxa"/>
            <w:tcBorders>
              <w:top w:val="nil"/>
              <w:left w:val="nil"/>
              <w:bottom w:val="nil"/>
              <w:right w:val="nil"/>
            </w:tcBorders>
          </w:tcPr>
          <w:p w14:paraId="2C31FBA7"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148FF50F"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71B90D8C"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6349B08A"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1D068191"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1DA54C94"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69778661"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296B356B" w14:textId="77777777" w:rsidR="00172845" w:rsidRPr="00172845" w:rsidRDefault="00172845" w:rsidP="00172845">
            <w:pPr>
              <w:jc w:val="center"/>
              <w:rPr>
                <w:rFonts w:ascii="Times New Roman" w:hAnsi="Times New Roman" w:cs="Times New Roman"/>
              </w:rPr>
            </w:pPr>
          </w:p>
        </w:tc>
      </w:tr>
      <w:tr w:rsidR="00A10E32" w:rsidRPr="00172845" w14:paraId="4BE5FAAF" w14:textId="77777777" w:rsidTr="00A10E32">
        <w:trPr>
          <w:trHeight w:val="619"/>
        </w:trPr>
        <w:tc>
          <w:tcPr>
            <w:tcW w:w="2506" w:type="dxa"/>
            <w:tcBorders>
              <w:top w:val="nil"/>
              <w:left w:val="nil"/>
              <w:bottom w:val="nil"/>
              <w:right w:val="nil"/>
            </w:tcBorders>
          </w:tcPr>
          <w:p w14:paraId="73D3568C"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5. Soft-drink threshold (N)</w:t>
            </w:r>
          </w:p>
        </w:tc>
        <w:tc>
          <w:tcPr>
            <w:tcW w:w="978" w:type="dxa"/>
            <w:tcBorders>
              <w:top w:val="nil"/>
              <w:left w:val="nil"/>
              <w:bottom w:val="nil"/>
              <w:right w:val="nil"/>
            </w:tcBorders>
          </w:tcPr>
          <w:p w14:paraId="0DAC2356"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-.39*</w:t>
            </w:r>
          </w:p>
        </w:tc>
        <w:tc>
          <w:tcPr>
            <w:tcW w:w="824" w:type="dxa"/>
            <w:tcBorders>
              <w:top w:val="nil"/>
              <w:left w:val="nil"/>
              <w:bottom w:val="nil"/>
              <w:right w:val="nil"/>
            </w:tcBorders>
          </w:tcPr>
          <w:p w14:paraId="1FD4521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-.26</w:t>
            </w:r>
          </w:p>
        </w:tc>
        <w:tc>
          <w:tcPr>
            <w:tcW w:w="826" w:type="dxa"/>
            <w:tcBorders>
              <w:top w:val="nil"/>
              <w:left w:val="nil"/>
              <w:bottom w:val="nil"/>
              <w:right w:val="nil"/>
            </w:tcBorders>
          </w:tcPr>
          <w:p w14:paraId="2F5D160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-.08</w:t>
            </w:r>
          </w:p>
        </w:tc>
        <w:tc>
          <w:tcPr>
            <w:tcW w:w="718" w:type="dxa"/>
            <w:tcBorders>
              <w:top w:val="nil"/>
              <w:left w:val="nil"/>
              <w:bottom w:val="nil"/>
              <w:right w:val="nil"/>
            </w:tcBorders>
          </w:tcPr>
          <w:p w14:paraId="2122680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-.08</w:t>
            </w:r>
          </w:p>
        </w:tc>
        <w:tc>
          <w:tcPr>
            <w:tcW w:w="861" w:type="dxa"/>
            <w:tcBorders>
              <w:top w:val="nil"/>
              <w:left w:val="nil"/>
              <w:bottom w:val="nil"/>
              <w:right w:val="nil"/>
            </w:tcBorders>
          </w:tcPr>
          <w:p w14:paraId="3FFCABF4" w14:textId="77777777" w:rsidR="00172845" w:rsidRPr="00172845" w:rsidRDefault="00172845" w:rsidP="00172845">
            <w:pPr>
              <w:jc w:val="center"/>
              <w:rPr>
                <w:rFonts w:ascii="Times New Roman" w:hAnsi="Times New Roman" w:cs="Times New Roman"/>
                <w:sz w:val="20"/>
                <w:szCs w:val="20"/>
              </w:rPr>
            </w:pPr>
          </w:p>
        </w:tc>
        <w:tc>
          <w:tcPr>
            <w:tcW w:w="861" w:type="dxa"/>
            <w:tcBorders>
              <w:top w:val="nil"/>
              <w:left w:val="nil"/>
              <w:bottom w:val="nil"/>
              <w:right w:val="nil"/>
            </w:tcBorders>
          </w:tcPr>
          <w:p w14:paraId="5B5D9551" w14:textId="77777777" w:rsidR="00172845" w:rsidRPr="00172845" w:rsidRDefault="00172845" w:rsidP="00172845">
            <w:pPr>
              <w:jc w:val="center"/>
              <w:rPr>
                <w:rFonts w:ascii="Times New Roman" w:hAnsi="Times New Roman" w:cs="Times New Roman"/>
                <w:sz w:val="20"/>
                <w:szCs w:val="20"/>
              </w:rPr>
            </w:pPr>
          </w:p>
        </w:tc>
        <w:tc>
          <w:tcPr>
            <w:tcW w:w="824" w:type="dxa"/>
            <w:tcBorders>
              <w:top w:val="nil"/>
              <w:left w:val="nil"/>
              <w:bottom w:val="nil"/>
              <w:right w:val="nil"/>
            </w:tcBorders>
          </w:tcPr>
          <w:p w14:paraId="303630EC"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29FFA82D"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4FE3830A"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6626F56A"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7FA1DB17"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7F5EFDA8"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7A36236B"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09F9B6C9" w14:textId="77777777" w:rsidR="00172845" w:rsidRPr="00172845" w:rsidRDefault="00172845" w:rsidP="00172845">
            <w:pPr>
              <w:jc w:val="center"/>
              <w:rPr>
                <w:rFonts w:ascii="Times New Roman" w:hAnsi="Times New Roman" w:cs="Times New Roman"/>
              </w:rPr>
            </w:pPr>
          </w:p>
        </w:tc>
      </w:tr>
      <w:tr w:rsidR="00A10E32" w:rsidRPr="00172845" w14:paraId="0A22F90C" w14:textId="77777777" w:rsidTr="00A10E32">
        <w:trPr>
          <w:trHeight w:val="641"/>
        </w:trPr>
        <w:tc>
          <w:tcPr>
            <w:tcW w:w="2506" w:type="dxa"/>
            <w:tcBorders>
              <w:top w:val="nil"/>
              <w:left w:val="nil"/>
              <w:bottom w:val="nil"/>
              <w:right w:val="nil"/>
            </w:tcBorders>
          </w:tcPr>
          <w:p w14:paraId="50CEF838"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6. Soft-drink threshold (P)</w:t>
            </w:r>
          </w:p>
        </w:tc>
        <w:tc>
          <w:tcPr>
            <w:tcW w:w="978" w:type="dxa"/>
            <w:tcBorders>
              <w:top w:val="nil"/>
              <w:left w:val="nil"/>
              <w:bottom w:val="nil"/>
              <w:right w:val="nil"/>
            </w:tcBorders>
          </w:tcPr>
          <w:p w14:paraId="2F1564B8"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-.08</w:t>
            </w:r>
          </w:p>
        </w:tc>
        <w:tc>
          <w:tcPr>
            <w:tcW w:w="824" w:type="dxa"/>
            <w:tcBorders>
              <w:top w:val="nil"/>
              <w:left w:val="nil"/>
              <w:bottom w:val="nil"/>
              <w:right w:val="nil"/>
            </w:tcBorders>
          </w:tcPr>
          <w:p w14:paraId="62C5C1A8"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-.38*</w:t>
            </w:r>
          </w:p>
        </w:tc>
        <w:tc>
          <w:tcPr>
            <w:tcW w:w="826" w:type="dxa"/>
            <w:tcBorders>
              <w:top w:val="nil"/>
              <w:left w:val="nil"/>
              <w:bottom w:val="nil"/>
              <w:right w:val="nil"/>
            </w:tcBorders>
          </w:tcPr>
          <w:p w14:paraId="57A32990"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-.08</w:t>
            </w:r>
          </w:p>
        </w:tc>
        <w:tc>
          <w:tcPr>
            <w:tcW w:w="718" w:type="dxa"/>
            <w:tcBorders>
              <w:top w:val="nil"/>
              <w:left w:val="nil"/>
              <w:bottom w:val="nil"/>
              <w:right w:val="nil"/>
            </w:tcBorders>
          </w:tcPr>
          <w:p w14:paraId="297E69D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-.22</w:t>
            </w:r>
          </w:p>
        </w:tc>
        <w:tc>
          <w:tcPr>
            <w:tcW w:w="861" w:type="dxa"/>
            <w:tcBorders>
              <w:top w:val="nil"/>
              <w:left w:val="nil"/>
              <w:bottom w:val="nil"/>
              <w:right w:val="nil"/>
            </w:tcBorders>
          </w:tcPr>
          <w:p w14:paraId="71AFC9A7"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.50**</w:t>
            </w:r>
          </w:p>
        </w:tc>
        <w:tc>
          <w:tcPr>
            <w:tcW w:w="861" w:type="dxa"/>
            <w:tcBorders>
              <w:top w:val="nil"/>
              <w:left w:val="nil"/>
              <w:bottom w:val="nil"/>
              <w:right w:val="nil"/>
            </w:tcBorders>
          </w:tcPr>
          <w:p w14:paraId="7FD7F65D" w14:textId="77777777" w:rsidR="00172845" w:rsidRPr="00172845" w:rsidRDefault="00172845" w:rsidP="00172845">
            <w:pPr>
              <w:jc w:val="center"/>
              <w:rPr>
                <w:rFonts w:ascii="Times New Roman" w:hAnsi="Times New Roman" w:cs="Times New Roman"/>
                <w:sz w:val="20"/>
                <w:szCs w:val="20"/>
              </w:rPr>
            </w:pPr>
          </w:p>
        </w:tc>
        <w:tc>
          <w:tcPr>
            <w:tcW w:w="824" w:type="dxa"/>
            <w:tcBorders>
              <w:top w:val="nil"/>
              <w:left w:val="nil"/>
              <w:bottom w:val="nil"/>
              <w:right w:val="nil"/>
            </w:tcBorders>
          </w:tcPr>
          <w:p w14:paraId="1B1340CD"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4CA9CB6B"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28EDA4A2"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3FD1AFBF"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6A500482"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1AC9CC11"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4AA65DAD"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6B6483D8" w14:textId="77777777" w:rsidR="00172845" w:rsidRPr="00172845" w:rsidRDefault="00172845" w:rsidP="00172845">
            <w:pPr>
              <w:jc w:val="center"/>
              <w:rPr>
                <w:rFonts w:ascii="Times New Roman" w:hAnsi="Times New Roman" w:cs="Times New Roman"/>
              </w:rPr>
            </w:pPr>
          </w:p>
        </w:tc>
      </w:tr>
      <w:tr w:rsidR="00A10E32" w:rsidRPr="00172845" w14:paraId="2137CDCB" w14:textId="77777777" w:rsidTr="00A10E32">
        <w:trPr>
          <w:trHeight w:val="619"/>
        </w:trPr>
        <w:tc>
          <w:tcPr>
            <w:tcW w:w="2506" w:type="dxa"/>
            <w:tcBorders>
              <w:top w:val="nil"/>
              <w:left w:val="nil"/>
              <w:bottom w:val="nil"/>
              <w:right w:val="nil"/>
            </w:tcBorders>
          </w:tcPr>
          <w:p w14:paraId="7AB8F355"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7. Alcohol threshold (N)</w:t>
            </w:r>
          </w:p>
        </w:tc>
        <w:tc>
          <w:tcPr>
            <w:tcW w:w="978" w:type="dxa"/>
            <w:tcBorders>
              <w:top w:val="nil"/>
              <w:left w:val="nil"/>
              <w:bottom w:val="nil"/>
              <w:right w:val="nil"/>
            </w:tcBorders>
          </w:tcPr>
          <w:p w14:paraId="245C0A0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-.24</w:t>
            </w:r>
          </w:p>
        </w:tc>
        <w:tc>
          <w:tcPr>
            <w:tcW w:w="824" w:type="dxa"/>
            <w:tcBorders>
              <w:top w:val="nil"/>
              <w:left w:val="nil"/>
              <w:bottom w:val="nil"/>
              <w:right w:val="nil"/>
            </w:tcBorders>
          </w:tcPr>
          <w:p w14:paraId="79F8813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-.15</w:t>
            </w:r>
          </w:p>
        </w:tc>
        <w:tc>
          <w:tcPr>
            <w:tcW w:w="826" w:type="dxa"/>
            <w:tcBorders>
              <w:top w:val="nil"/>
              <w:left w:val="nil"/>
              <w:bottom w:val="nil"/>
              <w:right w:val="nil"/>
            </w:tcBorders>
          </w:tcPr>
          <w:p w14:paraId="4D82AF7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-.21</w:t>
            </w:r>
          </w:p>
        </w:tc>
        <w:tc>
          <w:tcPr>
            <w:tcW w:w="718" w:type="dxa"/>
            <w:tcBorders>
              <w:top w:val="nil"/>
              <w:left w:val="nil"/>
              <w:bottom w:val="nil"/>
              <w:right w:val="nil"/>
            </w:tcBorders>
          </w:tcPr>
          <w:p w14:paraId="29924BF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-.11</w:t>
            </w:r>
          </w:p>
        </w:tc>
        <w:tc>
          <w:tcPr>
            <w:tcW w:w="861" w:type="dxa"/>
            <w:tcBorders>
              <w:top w:val="nil"/>
              <w:left w:val="nil"/>
              <w:bottom w:val="nil"/>
              <w:right w:val="nil"/>
            </w:tcBorders>
          </w:tcPr>
          <w:p w14:paraId="6C78ED23"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.74***</w:t>
            </w:r>
          </w:p>
        </w:tc>
        <w:tc>
          <w:tcPr>
            <w:tcW w:w="861" w:type="dxa"/>
            <w:tcBorders>
              <w:top w:val="nil"/>
              <w:left w:val="nil"/>
              <w:bottom w:val="nil"/>
              <w:right w:val="nil"/>
            </w:tcBorders>
          </w:tcPr>
          <w:p w14:paraId="762E5092"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.60***</w:t>
            </w:r>
          </w:p>
        </w:tc>
        <w:tc>
          <w:tcPr>
            <w:tcW w:w="824" w:type="dxa"/>
            <w:tcBorders>
              <w:top w:val="nil"/>
              <w:left w:val="nil"/>
              <w:bottom w:val="nil"/>
              <w:right w:val="nil"/>
            </w:tcBorders>
          </w:tcPr>
          <w:p w14:paraId="69D5F0CA" w14:textId="77777777" w:rsidR="00172845" w:rsidRPr="00172845" w:rsidRDefault="00172845" w:rsidP="00172845">
            <w:pPr>
              <w:jc w:val="center"/>
              <w:rPr>
                <w:rFonts w:ascii="Times New Roman" w:hAnsi="Times New Roman" w:cs="Times New Roman"/>
                <w:sz w:val="20"/>
                <w:szCs w:val="20"/>
              </w:rPr>
            </w:pPr>
          </w:p>
        </w:tc>
        <w:tc>
          <w:tcPr>
            <w:tcW w:w="826" w:type="dxa"/>
            <w:tcBorders>
              <w:top w:val="nil"/>
              <w:left w:val="nil"/>
              <w:bottom w:val="nil"/>
              <w:right w:val="nil"/>
            </w:tcBorders>
          </w:tcPr>
          <w:p w14:paraId="4F836A0C"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7F882114"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2469EA7D"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0E557862"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7FF7F933"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6720232B"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56F21C62" w14:textId="77777777" w:rsidR="00172845" w:rsidRPr="00172845" w:rsidRDefault="00172845" w:rsidP="00172845">
            <w:pPr>
              <w:jc w:val="center"/>
              <w:rPr>
                <w:rFonts w:ascii="Times New Roman" w:hAnsi="Times New Roman" w:cs="Times New Roman"/>
              </w:rPr>
            </w:pPr>
          </w:p>
        </w:tc>
      </w:tr>
      <w:tr w:rsidR="00A10E32" w:rsidRPr="00172845" w14:paraId="3798BA9E" w14:textId="77777777" w:rsidTr="00A10E32">
        <w:trPr>
          <w:trHeight w:val="551"/>
        </w:trPr>
        <w:tc>
          <w:tcPr>
            <w:tcW w:w="2506" w:type="dxa"/>
            <w:tcBorders>
              <w:top w:val="nil"/>
              <w:left w:val="nil"/>
              <w:bottom w:val="nil"/>
              <w:right w:val="nil"/>
            </w:tcBorders>
          </w:tcPr>
          <w:p w14:paraId="74DEB7B0"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8. Alcohol threshold (P)</w:t>
            </w:r>
          </w:p>
        </w:tc>
        <w:tc>
          <w:tcPr>
            <w:tcW w:w="978" w:type="dxa"/>
            <w:tcBorders>
              <w:top w:val="nil"/>
              <w:left w:val="nil"/>
              <w:bottom w:val="nil"/>
              <w:right w:val="nil"/>
            </w:tcBorders>
          </w:tcPr>
          <w:p w14:paraId="1F39DE10"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-.18</w:t>
            </w:r>
          </w:p>
        </w:tc>
        <w:tc>
          <w:tcPr>
            <w:tcW w:w="824" w:type="dxa"/>
            <w:tcBorders>
              <w:top w:val="nil"/>
              <w:left w:val="nil"/>
              <w:bottom w:val="nil"/>
              <w:right w:val="nil"/>
            </w:tcBorders>
          </w:tcPr>
          <w:p w14:paraId="0A08E0DC"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-.35*</w:t>
            </w:r>
          </w:p>
        </w:tc>
        <w:tc>
          <w:tcPr>
            <w:tcW w:w="826" w:type="dxa"/>
            <w:tcBorders>
              <w:top w:val="nil"/>
              <w:left w:val="nil"/>
              <w:bottom w:val="nil"/>
              <w:right w:val="nil"/>
            </w:tcBorders>
          </w:tcPr>
          <w:p w14:paraId="11A7119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-.24</w:t>
            </w:r>
          </w:p>
        </w:tc>
        <w:tc>
          <w:tcPr>
            <w:tcW w:w="718" w:type="dxa"/>
            <w:tcBorders>
              <w:top w:val="nil"/>
              <w:left w:val="nil"/>
              <w:bottom w:val="nil"/>
              <w:right w:val="nil"/>
            </w:tcBorders>
          </w:tcPr>
          <w:p w14:paraId="515BAEFE"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-.33*</w:t>
            </w:r>
          </w:p>
        </w:tc>
        <w:tc>
          <w:tcPr>
            <w:tcW w:w="861" w:type="dxa"/>
            <w:tcBorders>
              <w:top w:val="nil"/>
              <w:left w:val="nil"/>
              <w:bottom w:val="nil"/>
              <w:right w:val="nil"/>
            </w:tcBorders>
          </w:tcPr>
          <w:p w14:paraId="455522E3"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.55***</w:t>
            </w:r>
          </w:p>
        </w:tc>
        <w:tc>
          <w:tcPr>
            <w:tcW w:w="861" w:type="dxa"/>
            <w:tcBorders>
              <w:top w:val="nil"/>
              <w:left w:val="nil"/>
              <w:bottom w:val="nil"/>
              <w:right w:val="nil"/>
            </w:tcBorders>
          </w:tcPr>
          <w:p w14:paraId="6E28256B"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.84***</w:t>
            </w:r>
          </w:p>
        </w:tc>
        <w:tc>
          <w:tcPr>
            <w:tcW w:w="824" w:type="dxa"/>
            <w:tcBorders>
              <w:top w:val="nil"/>
              <w:left w:val="nil"/>
              <w:bottom w:val="nil"/>
              <w:right w:val="nil"/>
            </w:tcBorders>
          </w:tcPr>
          <w:p w14:paraId="15307A9A"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.72***</w:t>
            </w:r>
          </w:p>
        </w:tc>
        <w:tc>
          <w:tcPr>
            <w:tcW w:w="826" w:type="dxa"/>
            <w:tcBorders>
              <w:top w:val="nil"/>
              <w:left w:val="nil"/>
              <w:bottom w:val="nil"/>
              <w:right w:val="nil"/>
            </w:tcBorders>
          </w:tcPr>
          <w:p w14:paraId="7FDC1BD1" w14:textId="77777777" w:rsidR="00172845" w:rsidRPr="00172845" w:rsidRDefault="00172845" w:rsidP="00172845">
            <w:pPr>
              <w:jc w:val="center"/>
              <w:rPr>
                <w:rFonts w:ascii="Times New Roman" w:hAnsi="Times New Roman" w:cs="Times New Roman"/>
                <w:sz w:val="20"/>
                <w:szCs w:val="20"/>
              </w:rPr>
            </w:pPr>
          </w:p>
        </w:tc>
        <w:tc>
          <w:tcPr>
            <w:tcW w:w="714" w:type="dxa"/>
            <w:tcBorders>
              <w:top w:val="nil"/>
              <w:left w:val="nil"/>
              <w:bottom w:val="nil"/>
              <w:right w:val="nil"/>
            </w:tcBorders>
          </w:tcPr>
          <w:p w14:paraId="3A2411C5"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14CA7B53"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36E9E0F1"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45674375"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2593CB67"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31EEF779" w14:textId="77777777" w:rsidR="00172845" w:rsidRPr="00172845" w:rsidRDefault="00172845" w:rsidP="00172845">
            <w:pPr>
              <w:jc w:val="center"/>
              <w:rPr>
                <w:rFonts w:ascii="Times New Roman" w:hAnsi="Times New Roman" w:cs="Times New Roman"/>
              </w:rPr>
            </w:pPr>
          </w:p>
        </w:tc>
      </w:tr>
      <w:tr w:rsidR="00A10E32" w:rsidRPr="00172845" w14:paraId="504D90C2" w14:textId="77777777" w:rsidTr="00A10E32">
        <w:trPr>
          <w:trHeight w:val="432"/>
        </w:trPr>
        <w:tc>
          <w:tcPr>
            <w:tcW w:w="2506" w:type="dxa"/>
            <w:tcBorders>
              <w:top w:val="nil"/>
              <w:left w:val="nil"/>
              <w:bottom w:val="nil"/>
              <w:right w:val="nil"/>
            </w:tcBorders>
          </w:tcPr>
          <w:p w14:paraId="793C1B2F"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9. Age</w:t>
            </w:r>
          </w:p>
        </w:tc>
        <w:tc>
          <w:tcPr>
            <w:tcW w:w="978" w:type="dxa"/>
            <w:tcBorders>
              <w:top w:val="nil"/>
              <w:left w:val="nil"/>
              <w:bottom w:val="nil"/>
              <w:right w:val="nil"/>
            </w:tcBorders>
          </w:tcPr>
          <w:p w14:paraId="11EBC779"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.05</w:t>
            </w:r>
          </w:p>
        </w:tc>
        <w:tc>
          <w:tcPr>
            <w:tcW w:w="824" w:type="dxa"/>
            <w:tcBorders>
              <w:top w:val="nil"/>
              <w:left w:val="nil"/>
              <w:bottom w:val="nil"/>
              <w:right w:val="nil"/>
            </w:tcBorders>
          </w:tcPr>
          <w:p w14:paraId="1D5027EE"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-.19</w:t>
            </w:r>
          </w:p>
        </w:tc>
        <w:tc>
          <w:tcPr>
            <w:tcW w:w="826" w:type="dxa"/>
            <w:tcBorders>
              <w:top w:val="nil"/>
              <w:left w:val="nil"/>
              <w:bottom w:val="nil"/>
              <w:right w:val="nil"/>
            </w:tcBorders>
          </w:tcPr>
          <w:p w14:paraId="2718871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-.12</w:t>
            </w:r>
          </w:p>
        </w:tc>
        <w:tc>
          <w:tcPr>
            <w:tcW w:w="718" w:type="dxa"/>
            <w:tcBorders>
              <w:top w:val="nil"/>
              <w:left w:val="nil"/>
              <w:bottom w:val="nil"/>
              <w:right w:val="nil"/>
            </w:tcBorders>
          </w:tcPr>
          <w:p w14:paraId="7302541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-.13</w:t>
            </w:r>
          </w:p>
        </w:tc>
        <w:tc>
          <w:tcPr>
            <w:tcW w:w="861" w:type="dxa"/>
            <w:tcBorders>
              <w:top w:val="nil"/>
              <w:left w:val="nil"/>
              <w:bottom w:val="nil"/>
              <w:right w:val="nil"/>
            </w:tcBorders>
          </w:tcPr>
          <w:p w14:paraId="3B60EA0C"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.30</w:t>
            </w:r>
          </w:p>
        </w:tc>
        <w:tc>
          <w:tcPr>
            <w:tcW w:w="861" w:type="dxa"/>
            <w:tcBorders>
              <w:top w:val="nil"/>
              <w:left w:val="nil"/>
              <w:bottom w:val="nil"/>
              <w:right w:val="nil"/>
            </w:tcBorders>
          </w:tcPr>
          <w:p w14:paraId="0FFF9339"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.47**</w:t>
            </w:r>
          </w:p>
        </w:tc>
        <w:tc>
          <w:tcPr>
            <w:tcW w:w="824" w:type="dxa"/>
            <w:tcBorders>
              <w:top w:val="nil"/>
              <w:left w:val="nil"/>
              <w:bottom w:val="nil"/>
              <w:right w:val="nil"/>
            </w:tcBorders>
          </w:tcPr>
          <w:p w14:paraId="5ABFA269"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.39*</w:t>
            </w:r>
          </w:p>
        </w:tc>
        <w:tc>
          <w:tcPr>
            <w:tcW w:w="826" w:type="dxa"/>
            <w:tcBorders>
              <w:top w:val="nil"/>
              <w:left w:val="nil"/>
              <w:bottom w:val="nil"/>
              <w:right w:val="nil"/>
            </w:tcBorders>
          </w:tcPr>
          <w:p w14:paraId="04C67289"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.43**</w:t>
            </w:r>
          </w:p>
        </w:tc>
        <w:tc>
          <w:tcPr>
            <w:tcW w:w="714" w:type="dxa"/>
            <w:tcBorders>
              <w:top w:val="nil"/>
              <w:left w:val="nil"/>
              <w:bottom w:val="nil"/>
              <w:right w:val="nil"/>
            </w:tcBorders>
          </w:tcPr>
          <w:p w14:paraId="4C24A3D2" w14:textId="77777777" w:rsidR="00172845" w:rsidRPr="00172845" w:rsidRDefault="00172845" w:rsidP="00172845">
            <w:pPr>
              <w:jc w:val="center"/>
              <w:rPr>
                <w:rFonts w:ascii="Times New Roman" w:hAnsi="Times New Roman" w:cs="Times New Roman"/>
                <w:sz w:val="20"/>
                <w:szCs w:val="20"/>
              </w:rPr>
            </w:pPr>
          </w:p>
        </w:tc>
        <w:tc>
          <w:tcPr>
            <w:tcW w:w="789" w:type="dxa"/>
            <w:tcBorders>
              <w:top w:val="nil"/>
              <w:left w:val="nil"/>
              <w:bottom w:val="nil"/>
              <w:right w:val="nil"/>
            </w:tcBorders>
          </w:tcPr>
          <w:p w14:paraId="34AD9604"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0260F26C"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5C40B9FA"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3A2B9420"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34DE541C" w14:textId="77777777" w:rsidR="00172845" w:rsidRPr="00172845" w:rsidRDefault="00172845" w:rsidP="00172845">
            <w:pPr>
              <w:jc w:val="center"/>
              <w:rPr>
                <w:rFonts w:ascii="Times New Roman" w:hAnsi="Times New Roman" w:cs="Times New Roman"/>
              </w:rPr>
            </w:pPr>
          </w:p>
        </w:tc>
      </w:tr>
      <w:tr w:rsidR="00A10E32" w:rsidRPr="00172845" w14:paraId="096F0E77" w14:textId="77777777" w:rsidTr="00A10E32">
        <w:trPr>
          <w:trHeight w:val="551"/>
        </w:trPr>
        <w:tc>
          <w:tcPr>
            <w:tcW w:w="2506" w:type="dxa"/>
            <w:tcBorders>
              <w:top w:val="nil"/>
              <w:left w:val="nil"/>
              <w:bottom w:val="nil"/>
              <w:right w:val="nil"/>
            </w:tcBorders>
          </w:tcPr>
          <w:p w14:paraId="4AB75378"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 xml:space="preserve">10. AUDIT </w:t>
            </w:r>
          </w:p>
        </w:tc>
        <w:tc>
          <w:tcPr>
            <w:tcW w:w="978" w:type="dxa"/>
            <w:tcBorders>
              <w:top w:val="nil"/>
              <w:left w:val="nil"/>
              <w:bottom w:val="nil"/>
              <w:right w:val="nil"/>
            </w:tcBorders>
          </w:tcPr>
          <w:p w14:paraId="7609F922"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-.38*</w:t>
            </w:r>
          </w:p>
        </w:tc>
        <w:tc>
          <w:tcPr>
            <w:tcW w:w="824" w:type="dxa"/>
            <w:tcBorders>
              <w:top w:val="nil"/>
              <w:left w:val="nil"/>
              <w:bottom w:val="nil"/>
              <w:right w:val="nil"/>
            </w:tcBorders>
          </w:tcPr>
          <w:p w14:paraId="77A785A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-.30</w:t>
            </w:r>
          </w:p>
        </w:tc>
        <w:tc>
          <w:tcPr>
            <w:tcW w:w="826" w:type="dxa"/>
            <w:tcBorders>
              <w:top w:val="nil"/>
              <w:left w:val="nil"/>
              <w:bottom w:val="nil"/>
              <w:right w:val="nil"/>
            </w:tcBorders>
          </w:tcPr>
          <w:p w14:paraId="70C07FFC"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-.24</w:t>
            </w:r>
          </w:p>
        </w:tc>
        <w:tc>
          <w:tcPr>
            <w:tcW w:w="718" w:type="dxa"/>
            <w:tcBorders>
              <w:top w:val="nil"/>
              <w:left w:val="nil"/>
              <w:bottom w:val="nil"/>
              <w:right w:val="nil"/>
            </w:tcBorders>
          </w:tcPr>
          <w:p w14:paraId="23FAD8AA"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-.27</w:t>
            </w:r>
          </w:p>
        </w:tc>
        <w:tc>
          <w:tcPr>
            <w:tcW w:w="861" w:type="dxa"/>
            <w:tcBorders>
              <w:top w:val="nil"/>
              <w:left w:val="nil"/>
              <w:bottom w:val="nil"/>
              <w:right w:val="nil"/>
            </w:tcBorders>
          </w:tcPr>
          <w:p w14:paraId="6956BDC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-.01</w:t>
            </w:r>
          </w:p>
        </w:tc>
        <w:tc>
          <w:tcPr>
            <w:tcW w:w="861" w:type="dxa"/>
            <w:tcBorders>
              <w:top w:val="nil"/>
              <w:left w:val="nil"/>
              <w:bottom w:val="nil"/>
              <w:right w:val="nil"/>
            </w:tcBorders>
          </w:tcPr>
          <w:p w14:paraId="3FBC960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-.01</w:t>
            </w:r>
          </w:p>
        </w:tc>
        <w:tc>
          <w:tcPr>
            <w:tcW w:w="824" w:type="dxa"/>
            <w:tcBorders>
              <w:top w:val="nil"/>
              <w:left w:val="nil"/>
              <w:bottom w:val="nil"/>
              <w:right w:val="nil"/>
            </w:tcBorders>
          </w:tcPr>
          <w:p w14:paraId="40D5411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-.09</w:t>
            </w:r>
          </w:p>
        </w:tc>
        <w:tc>
          <w:tcPr>
            <w:tcW w:w="826" w:type="dxa"/>
            <w:tcBorders>
              <w:top w:val="nil"/>
              <w:left w:val="nil"/>
              <w:bottom w:val="nil"/>
              <w:right w:val="nil"/>
            </w:tcBorders>
          </w:tcPr>
          <w:p w14:paraId="5030184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-.11</w:t>
            </w:r>
          </w:p>
        </w:tc>
        <w:tc>
          <w:tcPr>
            <w:tcW w:w="714" w:type="dxa"/>
            <w:tcBorders>
              <w:top w:val="nil"/>
              <w:left w:val="nil"/>
              <w:bottom w:val="nil"/>
              <w:right w:val="nil"/>
            </w:tcBorders>
          </w:tcPr>
          <w:p w14:paraId="602049B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.06</w:t>
            </w:r>
          </w:p>
        </w:tc>
        <w:tc>
          <w:tcPr>
            <w:tcW w:w="789" w:type="dxa"/>
            <w:tcBorders>
              <w:top w:val="nil"/>
              <w:left w:val="nil"/>
              <w:bottom w:val="nil"/>
              <w:right w:val="nil"/>
            </w:tcBorders>
          </w:tcPr>
          <w:p w14:paraId="51B8B6DD" w14:textId="77777777" w:rsidR="00172845" w:rsidRPr="00172845" w:rsidRDefault="00172845" w:rsidP="00172845">
            <w:pPr>
              <w:jc w:val="center"/>
              <w:rPr>
                <w:rFonts w:ascii="Times New Roman" w:hAnsi="Times New Roman" w:cs="Times New Roman"/>
                <w:sz w:val="20"/>
                <w:szCs w:val="20"/>
              </w:rPr>
            </w:pPr>
          </w:p>
        </w:tc>
        <w:tc>
          <w:tcPr>
            <w:tcW w:w="842" w:type="dxa"/>
            <w:tcBorders>
              <w:top w:val="nil"/>
              <w:left w:val="nil"/>
              <w:bottom w:val="nil"/>
              <w:right w:val="nil"/>
            </w:tcBorders>
          </w:tcPr>
          <w:p w14:paraId="364C1DC5"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211ECE1C"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35D5BCD9"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63BA9EE8" w14:textId="77777777" w:rsidR="00172845" w:rsidRPr="00172845" w:rsidRDefault="00172845" w:rsidP="00172845">
            <w:pPr>
              <w:jc w:val="center"/>
              <w:rPr>
                <w:rFonts w:ascii="Times New Roman" w:hAnsi="Times New Roman" w:cs="Times New Roman"/>
              </w:rPr>
            </w:pPr>
          </w:p>
        </w:tc>
      </w:tr>
      <w:tr w:rsidR="00A10E32" w:rsidRPr="00172845" w14:paraId="668BACE9" w14:textId="77777777" w:rsidTr="00A10E32">
        <w:trPr>
          <w:trHeight w:val="438"/>
        </w:trPr>
        <w:tc>
          <w:tcPr>
            <w:tcW w:w="2506" w:type="dxa"/>
            <w:tcBorders>
              <w:top w:val="nil"/>
              <w:left w:val="nil"/>
              <w:bottom w:val="nil"/>
              <w:right w:val="nil"/>
            </w:tcBorders>
          </w:tcPr>
          <w:p w14:paraId="048A9917"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lastRenderedPageBreak/>
              <w:t>11. Self-control</w:t>
            </w:r>
          </w:p>
        </w:tc>
        <w:tc>
          <w:tcPr>
            <w:tcW w:w="978" w:type="dxa"/>
            <w:tcBorders>
              <w:top w:val="nil"/>
              <w:left w:val="nil"/>
              <w:bottom w:val="nil"/>
              <w:right w:val="nil"/>
            </w:tcBorders>
          </w:tcPr>
          <w:p w14:paraId="541FC120"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.45**</w:t>
            </w:r>
          </w:p>
        </w:tc>
        <w:tc>
          <w:tcPr>
            <w:tcW w:w="824" w:type="dxa"/>
            <w:tcBorders>
              <w:top w:val="nil"/>
              <w:left w:val="nil"/>
              <w:bottom w:val="nil"/>
              <w:right w:val="nil"/>
            </w:tcBorders>
          </w:tcPr>
          <w:p w14:paraId="6140C430"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.32</w:t>
            </w:r>
          </w:p>
        </w:tc>
        <w:tc>
          <w:tcPr>
            <w:tcW w:w="826" w:type="dxa"/>
            <w:tcBorders>
              <w:top w:val="nil"/>
              <w:left w:val="nil"/>
              <w:bottom w:val="nil"/>
              <w:right w:val="nil"/>
            </w:tcBorders>
          </w:tcPr>
          <w:p w14:paraId="0CB33DEE"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.32</w:t>
            </w:r>
          </w:p>
        </w:tc>
        <w:tc>
          <w:tcPr>
            <w:tcW w:w="718" w:type="dxa"/>
            <w:tcBorders>
              <w:top w:val="nil"/>
              <w:left w:val="nil"/>
              <w:bottom w:val="nil"/>
              <w:right w:val="nil"/>
            </w:tcBorders>
          </w:tcPr>
          <w:p w14:paraId="535B9AC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.16</w:t>
            </w:r>
          </w:p>
        </w:tc>
        <w:tc>
          <w:tcPr>
            <w:tcW w:w="861" w:type="dxa"/>
            <w:tcBorders>
              <w:top w:val="nil"/>
              <w:left w:val="nil"/>
              <w:bottom w:val="nil"/>
              <w:right w:val="nil"/>
            </w:tcBorders>
          </w:tcPr>
          <w:p w14:paraId="7C4E349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-.22</w:t>
            </w:r>
          </w:p>
        </w:tc>
        <w:tc>
          <w:tcPr>
            <w:tcW w:w="861" w:type="dxa"/>
            <w:tcBorders>
              <w:top w:val="nil"/>
              <w:left w:val="nil"/>
              <w:bottom w:val="nil"/>
              <w:right w:val="nil"/>
            </w:tcBorders>
          </w:tcPr>
          <w:p w14:paraId="5F444C5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.00</w:t>
            </w:r>
          </w:p>
        </w:tc>
        <w:tc>
          <w:tcPr>
            <w:tcW w:w="824" w:type="dxa"/>
            <w:tcBorders>
              <w:top w:val="nil"/>
              <w:left w:val="nil"/>
              <w:bottom w:val="nil"/>
              <w:right w:val="nil"/>
            </w:tcBorders>
          </w:tcPr>
          <w:p w14:paraId="5A31642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-.18</w:t>
            </w:r>
          </w:p>
        </w:tc>
        <w:tc>
          <w:tcPr>
            <w:tcW w:w="826" w:type="dxa"/>
            <w:tcBorders>
              <w:top w:val="nil"/>
              <w:left w:val="nil"/>
              <w:bottom w:val="nil"/>
              <w:right w:val="nil"/>
            </w:tcBorders>
          </w:tcPr>
          <w:p w14:paraId="33DCB929"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.06</w:t>
            </w:r>
          </w:p>
        </w:tc>
        <w:tc>
          <w:tcPr>
            <w:tcW w:w="714" w:type="dxa"/>
            <w:tcBorders>
              <w:top w:val="nil"/>
              <w:left w:val="nil"/>
              <w:bottom w:val="nil"/>
              <w:right w:val="nil"/>
            </w:tcBorders>
          </w:tcPr>
          <w:p w14:paraId="35B8372E"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-.05</w:t>
            </w:r>
          </w:p>
        </w:tc>
        <w:tc>
          <w:tcPr>
            <w:tcW w:w="789" w:type="dxa"/>
            <w:tcBorders>
              <w:top w:val="nil"/>
              <w:left w:val="nil"/>
              <w:bottom w:val="nil"/>
              <w:right w:val="nil"/>
            </w:tcBorders>
          </w:tcPr>
          <w:p w14:paraId="7729BF04"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-.46**</w:t>
            </w:r>
          </w:p>
        </w:tc>
        <w:tc>
          <w:tcPr>
            <w:tcW w:w="842" w:type="dxa"/>
            <w:tcBorders>
              <w:top w:val="nil"/>
              <w:left w:val="nil"/>
              <w:bottom w:val="nil"/>
              <w:right w:val="nil"/>
            </w:tcBorders>
          </w:tcPr>
          <w:p w14:paraId="1791FE75" w14:textId="77777777" w:rsidR="00172845" w:rsidRPr="00172845" w:rsidRDefault="00172845" w:rsidP="00172845">
            <w:pPr>
              <w:jc w:val="center"/>
              <w:rPr>
                <w:rFonts w:ascii="Times New Roman" w:hAnsi="Times New Roman" w:cs="Times New Roman"/>
                <w:sz w:val="20"/>
                <w:szCs w:val="20"/>
              </w:rPr>
            </w:pPr>
          </w:p>
        </w:tc>
        <w:tc>
          <w:tcPr>
            <w:tcW w:w="710" w:type="dxa"/>
            <w:tcBorders>
              <w:top w:val="nil"/>
              <w:left w:val="nil"/>
              <w:bottom w:val="nil"/>
              <w:right w:val="nil"/>
            </w:tcBorders>
          </w:tcPr>
          <w:p w14:paraId="56DB87AC"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3EF0C207"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355059A4" w14:textId="77777777" w:rsidR="00172845" w:rsidRPr="00172845" w:rsidRDefault="00172845" w:rsidP="00172845">
            <w:pPr>
              <w:jc w:val="center"/>
              <w:rPr>
                <w:rFonts w:ascii="Times New Roman" w:hAnsi="Times New Roman" w:cs="Times New Roman"/>
              </w:rPr>
            </w:pPr>
          </w:p>
        </w:tc>
      </w:tr>
      <w:tr w:rsidR="00A10E32" w:rsidRPr="00172845" w14:paraId="4165871E" w14:textId="77777777" w:rsidTr="00A10E32">
        <w:trPr>
          <w:trHeight w:val="367"/>
        </w:trPr>
        <w:tc>
          <w:tcPr>
            <w:tcW w:w="2506" w:type="dxa"/>
            <w:tcBorders>
              <w:top w:val="nil"/>
              <w:left w:val="nil"/>
              <w:bottom w:val="nil"/>
              <w:right w:val="nil"/>
            </w:tcBorders>
          </w:tcPr>
          <w:p w14:paraId="177559AA"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12. Intensity</w:t>
            </w:r>
          </w:p>
        </w:tc>
        <w:tc>
          <w:tcPr>
            <w:tcW w:w="978" w:type="dxa"/>
            <w:tcBorders>
              <w:top w:val="nil"/>
              <w:left w:val="nil"/>
              <w:bottom w:val="nil"/>
              <w:right w:val="nil"/>
            </w:tcBorders>
          </w:tcPr>
          <w:p w14:paraId="0BFD7B45"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-.20</w:t>
            </w:r>
          </w:p>
        </w:tc>
        <w:tc>
          <w:tcPr>
            <w:tcW w:w="824" w:type="dxa"/>
            <w:tcBorders>
              <w:top w:val="nil"/>
              <w:left w:val="nil"/>
              <w:bottom w:val="nil"/>
              <w:right w:val="nil"/>
            </w:tcBorders>
          </w:tcPr>
          <w:p w14:paraId="166EB580"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-.29</w:t>
            </w:r>
          </w:p>
        </w:tc>
        <w:tc>
          <w:tcPr>
            <w:tcW w:w="826" w:type="dxa"/>
            <w:tcBorders>
              <w:top w:val="nil"/>
              <w:left w:val="nil"/>
              <w:bottom w:val="nil"/>
              <w:right w:val="nil"/>
            </w:tcBorders>
          </w:tcPr>
          <w:p w14:paraId="3035A22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-.05</w:t>
            </w:r>
          </w:p>
        </w:tc>
        <w:tc>
          <w:tcPr>
            <w:tcW w:w="718" w:type="dxa"/>
            <w:tcBorders>
              <w:top w:val="nil"/>
              <w:left w:val="nil"/>
              <w:bottom w:val="nil"/>
              <w:right w:val="nil"/>
            </w:tcBorders>
          </w:tcPr>
          <w:p w14:paraId="149A83E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-.15</w:t>
            </w:r>
          </w:p>
        </w:tc>
        <w:tc>
          <w:tcPr>
            <w:tcW w:w="861" w:type="dxa"/>
            <w:tcBorders>
              <w:top w:val="nil"/>
              <w:left w:val="nil"/>
              <w:bottom w:val="nil"/>
              <w:right w:val="nil"/>
            </w:tcBorders>
          </w:tcPr>
          <w:p w14:paraId="06C3885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.14</w:t>
            </w:r>
          </w:p>
        </w:tc>
        <w:tc>
          <w:tcPr>
            <w:tcW w:w="861" w:type="dxa"/>
            <w:tcBorders>
              <w:top w:val="nil"/>
              <w:left w:val="nil"/>
              <w:bottom w:val="nil"/>
              <w:right w:val="nil"/>
            </w:tcBorders>
          </w:tcPr>
          <w:p w14:paraId="1653484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.20</w:t>
            </w:r>
          </w:p>
        </w:tc>
        <w:tc>
          <w:tcPr>
            <w:tcW w:w="824" w:type="dxa"/>
            <w:tcBorders>
              <w:top w:val="nil"/>
              <w:left w:val="nil"/>
              <w:bottom w:val="nil"/>
              <w:right w:val="nil"/>
            </w:tcBorders>
          </w:tcPr>
          <w:p w14:paraId="1407B1BE"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.14</w:t>
            </w:r>
          </w:p>
        </w:tc>
        <w:tc>
          <w:tcPr>
            <w:tcW w:w="826" w:type="dxa"/>
            <w:tcBorders>
              <w:top w:val="nil"/>
              <w:left w:val="nil"/>
              <w:bottom w:val="nil"/>
              <w:right w:val="nil"/>
            </w:tcBorders>
          </w:tcPr>
          <w:p w14:paraId="063A8E7C"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.07</w:t>
            </w:r>
          </w:p>
        </w:tc>
        <w:tc>
          <w:tcPr>
            <w:tcW w:w="714" w:type="dxa"/>
            <w:tcBorders>
              <w:top w:val="nil"/>
              <w:left w:val="nil"/>
              <w:bottom w:val="nil"/>
              <w:right w:val="nil"/>
            </w:tcBorders>
          </w:tcPr>
          <w:p w14:paraId="0F78D0F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-.10</w:t>
            </w:r>
          </w:p>
        </w:tc>
        <w:tc>
          <w:tcPr>
            <w:tcW w:w="789" w:type="dxa"/>
            <w:tcBorders>
              <w:top w:val="nil"/>
              <w:left w:val="nil"/>
              <w:bottom w:val="nil"/>
              <w:right w:val="nil"/>
            </w:tcBorders>
          </w:tcPr>
          <w:p w14:paraId="28F543C3"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.16</w:t>
            </w:r>
          </w:p>
        </w:tc>
        <w:tc>
          <w:tcPr>
            <w:tcW w:w="842" w:type="dxa"/>
            <w:tcBorders>
              <w:top w:val="nil"/>
              <w:left w:val="nil"/>
              <w:bottom w:val="nil"/>
              <w:right w:val="nil"/>
            </w:tcBorders>
          </w:tcPr>
          <w:p w14:paraId="643553D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-.22</w:t>
            </w:r>
          </w:p>
        </w:tc>
        <w:tc>
          <w:tcPr>
            <w:tcW w:w="710" w:type="dxa"/>
            <w:tcBorders>
              <w:top w:val="nil"/>
              <w:left w:val="nil"/>
              <w:bottom w:val="nil"/>
              <w:right w:val="nil"/>
            </w:tcBorders>
          </w:tcPr>
          <w:p w14:paraId="6CDF8F84" w14:textId="77777777" w:rsidR="00172845" w:rsidRPr="00172845" w:rsidRDefault="00172845" w:rsidP="00172845">
            <w:pPr>
              <w:jc w:val="center"/>
              <w:rPr>
                <w:rFonts w:ascii="Times New Roman" w:hAnsi="Times New Roman" w:cs="Times New Roman"/>
                <w:sz w:val="20"/>
                <w:szCs w:val="20"/>
              </w:rPr>
            </w:pPr>
          </w:p>
        </w:tc>
        <w:tc>
          <w:tcPr>
            <w:tcW w:w="572" w:type="dxa"/>
            <w:tcBorders>
              <w:top w:val="nil"/>
              <w:left w:val="nil"/>
              <w:bottom w:val="nil"/>
              <w:right w:val="nil"/>
            </w:tcBorders>
          </w:tcPr>
          <w:p w14:paraId="57919E4F"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08731126" w14:textId="77777777" w:rsidR="00172845" w:rsidRPr="00172845" w:rsidRDefault="00172845" w:rsidP="00172845">
            <w:pPr>
              <w:jc w:val="center"/>
              <w:rPr>
                <w:rFonts w:ascii="Times New Roman" w:hAnsi="Times New Roman" w:cs="Times New Roman"/>
              </w:rPr>
            </w:pPr>
          </w:p>
        </w:tc>
      </w:tr>
      <w:tr w:rsidR="00A10E32" w:rsidRPr="00172845" w14:paraId="5162F8A0" w14:textId="77777777" w:rsidTr="00A10E32">
        <w:trPr>
          <w:trHeight w:val="415"/>
        </w:trPr>
        <w:tc>
          <w:tcPr>
            <w:tcW w:w="2506" w:type="dxa"/>
            <w:tcBorders>
              <w:top w:val="nil"/>
              <w:left w:val="nil"/>
              <w:bottom w:val="nil"/>
              <w:right w:val="nil"/>
            </w:tcBorders>
          </w:tcPr>
          <w:p w14:paraId="6EFD5918"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 xml:space="preserve">13. </w:t>
            </w:r>
            <w:proofErr w:type="spellStart"/>
            <w:r w:rsidRPr="00172845">
              <w:rPr>
                <w:rFonts w:ascii="Times New Roman" w:hAnsi="Times New Roman" w:cs="Times New Roman"/>
                <w:sz w:val="20"/>
                <w:szCs w:val="20"/>
              </w:rPr>
              <w:t>Omax</w:t>
            </w:r>
            <w:proofErr w:type="spellEnd"/>
          </w:p>
        </w:tc>
        <w:tc>
          <w:tcPr>
            <w:tcW w:w="978" w:type="dxa"/>
            <w:tcBorders>
              <w:top w:val="nil"/>
              <w:left w:val="nil"/>
              <w:bottom w:val="nil"/>
              <w:right w:val="nil"/>
            </w:tcBorders>
          </w:tcPr>
          <w:p w14:paraId="084FEDB3"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.06</w:t>
            </w:r>
          </w:p>
        </w:tc>
        <w:tc>
          <w:tcPr>
            <w:tcW w:w="824" w:type="dxa"/>
            <w:tcBorders>
              <w:top w:val="nil"/>
              <w:left w:val="nil"/>
              <w:bottom w:val="nil"/>
              <w:right w:val="nil"/>
            </w:tcBorders>
          </w:tcPr>
          <w:p w14:paraId="7D5EA8CA"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-.28</w:t>
            </w:r>
          </w:p>
        </w:tc>
        <w:tc>
          <w:tcPr>
            <w:tcW w:w="826" w:type="dxa"/>
            <w:tcBorders>
              <w:top w:val="nil"/>
              <w:left w:val="nil"/>
              <w:bottom w:val="nil"/>
              <w:right w:val="nil"/>
            </w:tcBorders>
          </w:tcPr>
          <w:p w14:paraId="337E5980"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-.08</w:t>
            </w:r>
          </w:p>
        </w:tc>
        <w:tc>
          <w:tcPr>
            <w:tcW w:w="718" w:type="dxa"/>
            <w:tcBorders>
              <w:top w:val="nil"/>
              <w:left w:val="nil"/>
              <w:bottom w:val="nil"/>
              <w:right w:val="nil"/>
            </w:tcBorders>
          </w:tcPr>
          <w:p w14:paraId="113C50C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-.10</w:t>
            </w:r>
          </w:p>
        </w:tc>
        <w:tc>
          <w:tcPr>
            <w:tcW w:w="861" w:type="dxa"/>
            <w:tcBorders>
              <w:top w:val="nil"/>
              <w:left w:val="nil"/>
              <w:bottom w:val="nil"/>
              <w:right w:val="nil"/>
            </w:tcBorders>
          </w:tcPr>
          <w:p w14:paraId="51F2BA01"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.28</w:t>
            </w:r>
          </w:p>
        </w:tc>
        <w:tc>
          <w:tcPr>
            <w:tcW w:w="861" w:type="dxa"/>
            <w:tcBorders>
              <w:top w:val="nil"/>
              <w:left w:val="nil"/>
              <w:bottom w:val="nil"/>
              <w:right w:val="nil"/>
            </w:tcBorders>
          </w:tcPr>
          <w:p w14:paraId="67D6938D"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.35*</w:t>
            </w:r>
          </w:p>
        </w:tc>
        <w:tc>
          <w:tcPr>
            <w:tcW w:w="824" w:type="dxa"/>
            <w:tcBorders>
              <w:top w:val="nil"/>
              <w:left w:val="nil"/>
              <w:bottom w:val="nil"/>
              <w:right w:val="nil"/>
            </w:tcBorders>
          </w:tcPr>
          <w:p w14:paraId="2DE7643C"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.28</w:t>
            </w:r>
          </w:p>
        </w:tc>
        <w:tc>
          <w:tcPr>
            <w:tcW w:w="826" w:type="dxa"/>
            <w:tcBorders>
              <w:top w:val="nil"/>
              <w:left w:val="nil"/>
              <w:bottom w:val="nil"/>
              <w:right w:val="nil"/>
            </w:tcBorders>
          </w:tcPr>
          <w:p w14:paraId="20FD2DBC" w14:textId="77777777" w:rsidR="00172845" w:rsidRPr="00172845" w:rsidRDefault="00172845" w:rsidP="00172845">
            <w:pPr>
              <w:jc w:val="center"/>
              <w:rPr>
                <w:rFonts w:ascii="Times New Roman" w:hAnsi="Times New Roman" w:cs="Times New Roman"/>
                <w:b/>
                <w:bCs/>
                <w:sz w:val="20"/>
                <w:szCs w:val="20"/>
              </w:rPr>
            </w:pPr>
            <w:r w:rsidRPr="00172845">
              <w:rPr>
                <w:rFonts w:ascii="Times New Roman" w:hAnsi="Times New Roman" w:cs="Times New Roman"/>
                <w:b/>
                <w:bCs/>
                <w:sz w:val="20"/>
                <w:szCs w:val="20"/>
              </w:rPr>
              <w:t>.36*</w:t>
            </w:r>
          </w:p>
        </w:tc>
        <w:tc>
          <w:tcPr>
            <w:tcW w:w="714" w:type="dxa"/>
            <w:tcBorders>
              <w:top w:val="nil"/>
              <w:left w:val="nil"/>
              <w:bottom w:val="nil"/>
              <w:right w:val="nil"/>
            </w:tcBorders>
          </w:tcPr>
          <w:p w14:paraId="2BD05A4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.19</w:t>
            </w:r>
          </w:p>
        </w:tc>
        <w:tc>
          <w:tcPr>
            <w:tcW w:w="789" w:type="dxa"/>
            <w:tcBorders>
              <w:top w:val="nil"/>
              <w:left w:val="nil"/>
              <w:bottom w:val="nil"/>
              <w:right w:val="nil"/>
            </w:tcBorders>
          </w:tcPr>
          <w:p w14:paraId="7323BBCA"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-.07</w:t>
            </w:r>
          </w:p>
        </w:tc>
        <w:tc>
          <w:tcPr>
            <w:tcW w:w="842" w:type="dxa"/>
            <w:tcBorders>
              <w:top w:val="nil"/>
              <w:left w:val="nil"/>
              <w:bottom w:val="nil"/>
              <w:right w:val="nil"/>
            </w:tcBorders>
          </w:tcPr>
          <w:p w14:paraId="3CE8337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-.06</w:t>
            </w:r>
          </w:p>
        </w:tc>
        <w:tc>
          <w:tcPr>
            <w:tcW w:w="710" w:type="dxa"/>
            <w:tcBorders>
              <w:top w:val="nil"/>
              <w:left w:val="nil"/>
              <w:bottom w:val="nil"/>
              <w:right w:val="nil"/>
            </w:tcBorders>
          </w:tcPr>
          <w:p w14:paraId="330B121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.29</w:t>
            </w:r>
          </w:p>
        </w:tc>
        <w:tc>
          <w:tcPr>
            <w:tcW w:w="572" w:type="dxa"/>
            <w:tcBorders>
              <w:top w:val="nil"/>
              <w:left w:val="nil"/>
              <w:bottom w:val="nil"/>
              <w:right w:val="nil"/>
            </w:tcBorders>
          </w:tcPr>
          <w:p w14:paraId="4AC26049" w14:textId="77777777" w:rsidR="00172845" w:rsidRPr="00172845" w:rsidRDefault="00172845" w:rsidP="00172845">
            <w:pPr>
              <w:jc w:val="center"/>
              <w:rPr>
                <w:rFonts w:ascii="Times New Roman" w:hAnsi="Times New Roman" w:cs="Times New Roman"/>
                <w:sz w:val="20"/>
                <w:szCs w:val="20"/>
              </w:rPr>
            </w:pPr>
          </w:p>
        </w:tc>
        <w:tc>
          <w:tcPr>
            <w:tcW w:w="1000" w:type="dxa"/>
            <w:tcBorders>
              <w:top w:val="nil"/>
              <w:left w:val="nil"/>
              <w:bottom w:val="nil"/>
              <w:right w:val="nil"/>
            </w:tcBorders>
          </w:tcPr>
          <w:p w14:paraId="1DF4BF7E" w14:textId="77777777" w:rsidR="00172845" w:rsidRPr="00172845" w:rsidRDefault="00172845" w:rsidP="00172845">
            <w:pPr>
              <w:jc w:val="center"/>
              <w:rPr>
                <w:rFonts w:ascii="Times New Roman" w:hAnsi="Times New Roman" w:cs="Times New Roman"/>
              </w:rPr>
            </w:pPr>
          </w:p>
        </w:tc>
      </w:tr>
      <w:tr w:rsidR="00A10E32" w:rsidRPr="00172845" w14:paraId="1AB45785" w14:textId="77777777" w:rsidTr="00A10E32">
        <w:trPr>
          <w:trHeight w:val="619"/>
        </w:trPr>
        <w:tc>
          <w:tcPr>
            <w:tcW w:w="2506" w:type="dxa"/>
            <w:tcBorders>
              <w:top w:val="nil"/>
              <w:left w:val="nil"/>
              <w:bottom w:val="single" w:sz="18" w:space="0" w:color="auto"/>
              <w:right w:val="nil"/>
            </w:tcBorders>
          </w:tcPr>
          <w:p w14:paraId="5CE8E046" w14:textId="77777777" w:rsidR="00172845" w:rsidRPr="00172845" w:rsidRDefault="00172845" w:rsidP="00172845">
            <w:pPr>
              <w:rPr>
                <w:rFonts w:ascii="Times New Roman" w:hAnsi="Times New Roman" w:cs="Times New Roman"/>
                <w:sz w:val="20"/>
                <w:szCs w:val="20"/>
              </w:rPr>
            </w:pPr>
            <w:r w:rsidRPr="00172845">
              <w:rPr>
                <w:rFonts w:ascii="Times New Roman" w:hAnsi="Times New Roman" w:cs="Times New Roman"/>
                <w:sz w:val="20"/>
                <w:szCs w:val="20"/>
              </w:rPr>
              <w:t>14. Breakpoint</w:t>
            </w:r>
          </w:p>
        </w:tc>
        <w:tc>
          <w:tcPr>
            <w:tcW w:w="978" w:type="dxa"/>
            <w:tcBorders>
              <w:top w:val="nil"/>
              <w:left w:val="nil"/>
              <w:bottom w:val="single" w:sz="18" w:space="0" w:color="auto"/>
              <w:right w:val="nil"/>
            </w:tcBorders>
          </w:tcPr>
          <w:p w14:paraId="6CF0C893"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.11</w:t>
            </w:r>
          </w:p>
        </w:tc>
        <w:tc>
          <w:tcPr>
            <w:tcW w:w="824" w:type="dxa"/>
            <w:tcBorders>
              <w:top w:val="nil"/>
              <w:left w:val="nil"/>
              <w:bottom w:val="single" w:sz="18" w:space="0" w:color="auto"/>
              <w:right w:val="nil"/>
            </w:tcBorders>
          </w:tcPr>
          <w:p w14:paraId="6C4BA5D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-.09</w:t>
            </w:r>
          </w:p>
        </w:tc>
        <w:tc>
          <w:tcPr>
            <w:tcW w:w="826" w:type="dxa"/>
            <w:tcBorders>
              <w:top w:val="nil"/>
              <w:left w:val="nil"/>
              <w:bottom w:val="single" w:sz="18" w:space="0" w:color="auto"/>
              <w:right w:val="nil"/>
            </w:tcBorders>
          </w:tcPr>
          <w:p w14:paraId="2D26EFDF"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-.26</w:t>
            </w:r>
          </w:p>
        </w:tc>
        <w:tc>
          <w:tcPr>
            <w:tcW w:w="718" w:type="dxa"/>
            <w:tcBorders>
              <w:top w:val="nil"/>
              <w:left w:val="nil"/>
              <w:bottom w:val="single" w:sz="18" w:space="0" w:color="auto"/>
              <w:right w:val="nil"/>
            </w:tcBorders>
          </w:tcPr>
          <w:p w14:paraId="49CCF6BB"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-.31</w:t>
            </w:r>
          </w:p>
        </w:tc>
        <w:tc>
          <w:tcPr>
            <w:tcW w:w="861" w:type="dxa"/>
            <w:tcBorders>
              <w:top w:val="nil"/>
              <w:left w:val="nil"/>
              <w:bottom w:val="single" w:sz="18" w:space="0" w:color="auto"/>
              <w:right w:val="nil"/>
            </w:tcBorders>
          </w:tcPr>
          <w:p w14:paraId="57225107"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.03</w:t>
            </w:r>
          </w:p>
        </w:tc>
        <w:tc>
          <w:tcPr>
            <w:tcW w:w="861" w:type="dxa"/>
            <w:tcBorders>
              <w:top w:val="nil"/>
              <w:left w:val="nil"/>
              <w:bottom w:val="single" w:sz="18" w:space="0" w:color="auto"/>
              <w:right w:val="nil"/>
            </w:tcBorders>
          </w:tcPr>
          <w:p w14:paraId="5A8B655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.00</w:t>
            </w:r>
          </w:p>
        </w:tc>
        <w:tc>
          <w:tcPr>
            <w:tcW w:w="824" w:type="dxa"/>
            <w:tcBorders>
              <w:top w:val="nil"/>
              <w:left w:val="nil"/>
              <w:bottom w:val="single" w:sz="18" w:space="0" w:color="auto"/>
              <w:right w:val="nil"/>
            </w:tcBorders>
          </w:tcPr>
          <w:p w14:paraId="30BC893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.11</w:t>
            </w:r>
          </w:p>
        </w:tc>
        <w:tc>
          <w:tcPr>
            <w:tcW w:w="826" w:type="dxa"/>
            <w:tcBorders>
              <w:top w:val="nil"/>
              <w:left w:val="nil"/>
              <w:bottom w:val="single" w:sz="18" w:space="0" w:color="auto"/>
              <w:right w:val="nil"/>
            </w:tcBorders>
          </w:tcPr>
          <w:p w14:paraId="4BE9A49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.06</w:t>
            </w:r>
          </w:p>
        </w:tc>
        <w:tc>
          <w:tcPr>
            <w:tcW w:w="714" w:type="dxa"/>
            <w:tcBorders>
              <w:top w:val="nil"/>
              <w:left w:val="nil"/>
              <w:bottom w:val="single" w:sz="18" w:space="0" w:color="auto"/>
              <w:right w:val="nil"/>
            </w:tcBorders>
          </w:tcPr>
          <w:p w14:paraId="5D5B9D2D"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.30</w:t>
            </w:r>
          </w:p>
        </w:tc>
        <w:tc>
          <w:tcPr>
            <w:tcW w:w="789" w:type="dxa"/>
            <w:tcBorders>
              <w:top w:val="nil"/>
              <w:left w:val="nil"/>
              <w:bottom w:val="single" w:sz="18" w:space="0" w:color="auto"/>
              <w:right w:val="nil"/>
            </w:tcBorders>
          </w:tcPr>
          <w:p w14:paraId="1EA9B84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-.15</w:t>
            </w:r>
          </w:p>
        </w:tc>
        <w:tc>
          <w:tcPr>
            <w:tcW w:w="842" w:type="dxa"/>
            <w:tcBorders>
              <w:top w:val="nil"/>
              <w:left w:val="nil"/>
              <w:bottom w:val="single" w:sz="18" w:space="0" w:color="auto"/>
              <w:right w:val="nil"/>
            </w:tcBorders>
          </w:tcPr>
          <w:p w14:paraId="700ED846"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.05</w:t>
            </w:r>
          </w:p>
        </w:tc>
        <w:tc>
          <w:tcPr>
            <w:tcW w:w="710" w:type="dxa"/>
            <w:tcBorders>
              <w:top w:val="nil"/>
              <w:left w:val="nil"/>
              <w:bottom w:val="single" w:sz="18" w:space="0" w:color="auto"/>
              <w:right w:val="nil"/>
            </w:tcBorders>
          </w:tcPr>
          <w:p w14:paraId="048BF1E4"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.02</w:t>
            </w:r>
          </w:p>
        </w:tc>
        <w:tc>
          <w:tcPr>
            <w:tcW w:w="572" w:type="dxa"/>
            <w:tcBorders>
              <w:top w:val="nil"/>
              <w:left w:val="nil"/>
              <w:bottom w:val="single" w:sz="18" w:space="0" w:color="auto"/>
              <w:right w:val="nil"/>
            </w:tcBorders>
          </w:tcPr>
          <w:p w14:paraId="07CB6012" w14:textId="77777777" w:rsidR="00172845" w:rsidRPr="00172845" w:rsidRDefault="00172845" w:rsidP="00172845">
            <w:pPr>
              <w:jc w:val="center"/>
              <w:rPr>
                <w:rFonts w:ascii="Times New Roman" w:hAnsi="Times New Roman" w:cs="Times New Roman"/>
                <w:sz w:val="20"/>
                <w:szCs w:val="20"/>
              </w:rPr>
            </w:pPr>
            <w:r w:rsidRPr="00172845">
              <w:rPr>
                <w:rFonts w:ascii="Times New Roman" w:hAnsi="Times New Roman" w:cs="Times New Roman"/>
                <w:sz w:val="20"/>
                <w:szCs w:val="20"/>
              </w:rPr>
              <w:t>.30</w:t>
            </w:r>
          </w:p>
        </w:tc>
        <w:tc>
          <w:tcPr>
            <w:tcW w:w="1000" w:type="dxa"/>
            <w:tcBorders>
              <w:top w:val="nil"/>
              <w:left w:val="nil"/>
              <w:bottom w:val="single" w:sz="18" w:space="0" w:color="auto"/>
              <w:right w:val="nil"/>
            </w:tcBorders>
          </w:tcPr>
          <w:p w14:paraId="20313469" w14:textId="77777777" w:rsidR="00172845" w:rsidRPr="00172845" w:rsidRDefault="00172845" w:rsidP="00172845">
            <w:pPr>
              <w:jc w:val="center"/>
              <w:rPr>
                <w:rFonts w:ascii="Times New Roman" w:hAnsi="Times New Roman" w:cs="Times New Roman"/>
              </w:rPr>
            </w:pPr>
          </w:p>
        </w:tc>
      </w:tr>
    </w:tbl>
    <w:p w14:paraId="10B4E3A2" w14:textId="77777777" w:rsidR="00A10E32" w:rsidRPr="00A10E32" w:rsidRDefault="00A10E32" w:rsidP="00A10E32">
      <w:pPr>
        <w:pStyle w:val="NoSpacing"/>
        <w:spacing w:line="480" w:lineRule="auto"/>
        <w:rPr>
          <w:rFonts w:asciiTheme="majorBidi" w:hAnsiTheme="majorBidi" w:cstheme="majorBidi"/>
        </w:rPr>
      </w:pPr>
      <w:r w:rsidRPr="00A10E32">
        <w:rPr>
          <w:rFonts w:asciiTheme="majorBidi" w:hAnsiTheme="majorBidi" w:cstheme="majorBidi"/>
          <w:i/>
          <w:iCs/>
        </w:rPr>
        <w:t>Note.</w:t>
      </w:r>
      <w:r w:rsidRPr="00A10E32">
        <w:rPr>
          <w:rFonts w:asciiTheme="majorBidi" w:hAnsiTheme="majorBidi" w:cstheme="majorBidi"/>
        </w:rPr>
        <w:t xml:space="preserve"> (N) = negative video (alcohol devalue) condition; (P) = positive video (alcohol value) condition. Bold text indicates statistical significance. ***</w:t>
      </w:r>
      <w:r w:rsidRPr="00A10E32">
        <w:rPr>
          <w:rFonts w:asciiTheme="majorBidi" w:hAnsiTheme="majorBidi" w:cstheme="majorBidi"/>
          <w:i/>
          <w:iCs/>
        </w:rPr>
        <w:t>p</w:t>
      </w:r>
      <w:r w:rsidRPr="00A10E32">
        <w:rPr>
          <w:rFonts w:asciiTheme="majorBidi" w:hAnsiTheme="majorBidi" w:cstheme="majorBidi"/>
        </w:rPr>
        <w:t xml:space="preserve"> &lt; .001, **</w:t>
      </w:r>
      <w:r w:rsidRPr="00A10E32">
        <w:rPr>
          <w:rFonts w:asciiTheme="majorBidi" w:hAnsiTheme="majorBidi" w:cstheme="majorBidi"/>
          <w:i/>
          <w:iCs/>
        </w:rPr>
        <w:t>p</w:t>
      </w:r>
      <w:r w:rsidRPr="00A10E32">
        <w:rPr>
          <w:rFonts w:asciiTheme="majorBidi" w:hAnsiTheme="majorBidi" w:cstheme="majorBidi"/>
        </w:rPr>
        <w:t xml:space="preserve"> &lt; .01, *</w:t>
      </w:r>
      <w:r w:rsidRPr="00A10E32">
        <w:rPr>
          <w:rFonts w:asciiTheme="majorBidi" w:hAnsiTheme="majorBidi" w:cstheme="majorBidi"/>
          <w:i/>
          <w:iCs/>
        </w:rPr>
        <w:t>p</w:t>
      </w:r>
      <w:r w:rsidRPr="00A10E32">
        <w:rPr>
          <w:rFonts w:asciiTheme="majorBidi" w:hAnsiTheme="majorBidi" w:cstheme="majorBidi"/>
        </w:rPr>
        <w:t xml:space="preserve"> &lt; .05.</w:t>
      </w:r>
    </w:p>
    <w:p w14:paraId="1E34D100" w14:textId="77777777" w:rsidR="00172845" w:rsidRPr="00172845" w:rsidRDefault="00172845" w:rsidP="00172845">
      <w:pPr>
        <w:pStyle w:val="NoSpacing"/>
        <w:spacing w:line="480" w:lineRule="auto"/>
        <w:rPr>
          <w:rFonts w:asciiTheme="majorBidi" w:hAnsiTheme="majorBidi" w:cstheme="majorBidi"/>
        </w:rPr>
      </w:pPr>
    </w:p>
    <w:p w14:paraId="344D659E" w14:textId="18401FF7" w:rsidR="00172845" w:rsidRDefault="00172845" w:rsidP="00172845">
      <w:pPr>
        <w:pStyle w:val="NoSpacing"/>
        <w:spacing w:line="480" w:lineRule="auto"/>
        <w:rPr>
          <w:rFonts w:asciiTheme="majorBidi" w:hAnsiTheme="majorBidi" w:cstheme="majorBidi"/>
        </w:rPr>
      </w:pPr>
    </w:p>
    <w:p w14:paraId="6F16F7BB" w14:textId="5F2AB931" w:rsidR="00172845" w:rsidRDefault="00172845" w:rsidP="00172845">
      <w:pPr>
        <w:pStyle w:val="NoSpacing"/>
        <w:spacing w:line="480" w:lineRule="auto"/>
        <w:rPr>
          <w:rFonts w:asciiTheme="majorBidi" w:hAnsiTheme="majorBidi" w:cstheme="majorBidi"/>
        </w:rPr>
      </w:pPr>
    </w:p>
    <w:p w14:paraId="050F7B2D" w14:textId="3DF50FD1" w:rsidR="00172845" w:rsidRDefault="00172845" w:rsidP="00172845">
      <w:pPr>
        <w:pStyle w:val="NoSpacing"/>
        <w:spacing w:line="480" w:lineRule="auto"/>
        <w:rPr>
          <w:rFonts w:asciiTheme="majorBidi" w:hAnsiTheme="majorBidi" w:cstheme="majorBidi"/>
        </w:rPr>
      </w:pPr>
    </w:p>
    <w:p w14:paraId="7D6C8DAD" w14:textId="4884345C" w:rsidR="00172845" w:rsidRDefault="00172845" w:rsidP="00172845">
      <w:pPr>
        <w:pStyle w:val="NoSpacing"/>
        <w:spacing w:line="480" w:lineRule="auto"/>
        <w:rPr>
          <w:rFonts w:asciiTheme="majorBidi" w:hAnsiTheme="majorBidi" w:cstheme="majorBidi"/>
        </w:rPr>
      </w:pPr>
    </w:p>
    <w:p w14:paraId="12D999D9" w14:textId="40EFC6F0" w:rsidR="00172845" w:rsidRDefault="00172845" w:rsidP="00172845">
      <w:pPr>
        <w:pStyle w:val="NoSpacing"/>
        <w:spacing w:line="480" w:lineRule="auto"/>
        <w:rPr>
          <w:rFonts w:asciiTheme="majorBidi" w:hAnsiTheme="majorBidi" w:cstheme="majorBidi"/>
        </w:rPr>
      </w:pPr>
    </w:p>
    <w:p w14:paraId="49AFCC5D" w14:textId="783FEA31" w:rsidR="00172845" w:rsidRDefault="00172845" w:rsidP="00172845">
      <w:pPr>
        <w:pStyle w:val="NoSpacing"/>
        <w:spacing w:line="480" w:lineRule="auto"/>
        <w:rPr>
          <w:rFonts w:asciiTheme="majorBidi" w:hAnsiTheme="majorBidi" w:cstheme="majorBidi"/>
        </w:rPr>
      </w:pPr>
    </w:p>
    <w:p w14:paraId="470854E8" w14:textId="25AE32E8" w:rsidR="00172845" w:rsidRDefault="00172845" w:rsidP="00172845">
      <w:pPr>
        <w:pStyle w:val="NoSpacing"/>
        <w:spacing w:line="480" w:lineRule="auto"/>
        <w:rPr>
          <w:rFonts w:asciiTheme="majorBidi" w:hAnsiTheme="majorBidi" w:cstheme="majorBidi"/>
        </w:rPr>
      </w:pPr>
    </w:p>
    <w:p w14:paraId="54F3B5FC" w14:textId="77777777" w:rsidR="00A10E32" w:rsidRDefault="00A10E32" w:rsidP="00172845">
      <w:pPr>
        <w:pStyle w:val="NoSpacing"/>
        <w:spacing w:line="480" w:lineRule="auto"/>
        <w:rPr>
          <w:rFonts w:asciiTheme="majorBidi" w:hAnsiTheme="majorBidi" w:cstheme="majorBidi"/>
        </w:rPr>
        <w:sectPr w:rsidR="00A10E32" w:rsidSect="00172845">
          <w:pgSz w:w="16840" w:h="11900" w:orient="landscape"/>
          <w:pgMar w:top="1440" w:right="1440" w:bottom="1440" w:left="1440" w:header="708" w:footer="708" w:gutter="0"/>
          <w:cols w:space="708"/>
          <w:docGrid w:linePitch="360"/>
        </w:sectPr>
      </w:pPr>
    </w:p>
    <w:p w14:paraId="6A67D831" w14:textId="2CDDADD6" w:rsidR="00093B56" w:rsidRDefault="00093B56" w:rsidP="00093B56">
      <w:pPr>
        <w:pStyle w:val="NoSpacing"/>
      </w:pPr>
    </w:p>
    <w:p w14:paraId="12CA0A82" w14:textId="77777777" w:rsidR="00447948" w:rsidRPr="00447948" w:rsidRDefault="00447948" w:rsidP="00447948">
      <w:pPr>
        <w:pStyle w:val="NoSpacing"/>
        <w:rPr>
          <w:rFonts w:ascii="Times New Roman" w:hAnsi="Times New Roman" w:cs="Times New Roman"/>
          <w:b/>
          <w:bCs/>
        </w:rPr>
      </w:pPr>
      <w:r w:rsidRPr="00447948">
        <w:rPr>
          <w:rFonts w:ascii="Times New Roman" w:hAnsi="Times New Roman" w:cs="Times New Roman"/>
          <w:b/>
          <w:bCs/>
        </w:rPr>
        <w:t>8</w:t>
      </w:r>
      <w:r w:rsidRPr="00447948">
        <w:rPr>
          <w:rFonts w:ascii="Times New Roman" w:hAnsi="Times New Roman" w:cs="Times New Roman"/>
          <w:b/>
          <w:bCs/>
          <w:i/>
          <w:iCs/>
        </w:rPr>
        <w:t>. A priori</w:t>
      </w:r>
      <w:r w:rsidRPr="00447948">
        <w:rPr>
          <w:rFonts w:ascii="Times New Roman" w:hAnsi="Times New Roman" w:cs="Times New Roman"/>
          <w:b/>
          <w:bCs/>
        </w:rPr>
        <w:t xml:space="preserve"> power analysis output</w:t>
      </w:r>
    </w:p>
    <w:p w14:paraId="76FD1497" w14:textId="5C0F7956" w:rsidR="00093B56" w:rsidRDefault="00093B56" w:rsidP="00093B56">
      <w:pPr>
        <w:pStyle w:val="NoSpacing"/>
      </w:pPr>
    </w:p>
    <w:p w14:paraId="58AEB59A" w14:textId="77777777" w:rsidR="00447948" w:rsidRDefault="00447948" w:rsidP="00093B56">
      <w:pPr>
        <w:pStyle w:val="NoSpacing"/>
      </w:pPr>
    </w:p>
    <w:p w14:paraId="6B7A2D4D"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b/>
          <w:bCs/>
          <w:color w:val="000000"/>
          <w:sz w:val="17"/>
          <w:szCs w:val="17"/>
          <w:lang w:eastAsia="zh-CN"/>
        </w:rPr>
        <w:t xml:space="preserve">t tests - </w:t>
      </w:r>
      <w:r w:rsidRPr="00447948">
        <w:rPr>
          <w:rFonts w:ascii="Lucida Sans Unicode" w:eastAsia="Times New Roman" w:hAnsi="Lucida Sans Unicode" w:cs="Lucida Sans Unicode"/>
          <w:color w:val="000000"/>
          <w:sz w:val="17"/>
          <w:szCs w:val="17"/>
          <w:lang w:eastAsia="zh-CN"/>
        </w:rPr>
        <w:t>Means: Difference between two dependent means (matched pairs)</w:t>
      </w:r>
    </w:p>
    <w:p w14:paraId="4928D7A3"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b/>
          <w:bCs/>
          <w:color w:val="000000"/>
          <w:sz w:val="17"/>
          <w:szCs w:val="17"/>
          <w:lang w:eastAsia="zh-CN"/>
        </w:rPr>
        <w:t>Analysis:</w:t>
      </w:r>
      <w:r w:rsidRPr="00447948">
        <w:rPr>
          <w:rFonts w:ascii="Lucida Sans Unicode" w:eastAsia="Times New Roman" w:hAnsi="Lucida Sans Unicode" w:cs="Lucida Sans Unicode"/>
          <w:b/>
          <w:bCs/>
          <w:color w:val="000000"/>
          <w:sz w:val="17"/>
          <w:szCs w:val="17"/>
          <w:lang w:eastAsia="zh-CN"/>
        </w:rPr>
        <w:tab/>
      </w:r>
      <w:r w:rsidRPr="00447948">
        <w:rPr>
          <w:rFonts w:ascii="Lucida Sans Unicode" w:eastAsia="Times New Roman" w:hAnsi="Lucida Sans Unicode" w:cs="Lucida Sans Unicode"/>
          <w:color w:val="000000"/>
          <w:sz w:val="17"/>
          <w:szCs w:val="17"/>
          <w:lang w:eastAsia="zh-CN"/>
        </w:rPr>
        <w:t xml:space="preserve">A priori: Compute required sample size </w:t>
      </w:r>
    </w:p>
    <w:p w14:paraId="3EE55B03"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b/>
          <w:bCs/>
          <w:color w:val="000000"/>
          <w:sz w:val="17"/>
          <w:szCs w:val="17"/>
          <w:lang w:eastAsia="zh-CN"/>
        </w:rPr>
        <w:t>Input:</w:t>
      </w:r>
      <w:r w:rsidRPr="00447948">
        <w:rPr>
          <w:rFonts w:ascii="Lucida Sans Unicode" w:eastAsia="Times New Roman" w:hAnsi="Lucida Sans Unicode" w:cs="Lucida Sans Unicode"/>
          <w:color w:val="000000"/>
          <w:sz w:val="17"/>
          <w:szCs w:val="17"/>
          <w:lang w:eastAsia="zh-CN"/>
        </w:rPr>
        <w:tab/>
        <w:t>Tail(s)</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One</w:t>
      </w:r>
    </w:p>
    <w:p w14:paraId="7FE150E9"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 xml:space="preserve">Effect size </w:t>
      </w:r>
      <w:proofErr w:type="spellStart"/>
      <w:r w:rsidRPr="00447948">
        <w:rPr>
          <w:rFonts w:ascii="Lucida Sans Unicode" w:eastAsia="Times New Roman" w:hAnsi="Lucida Sans Unicode" w:cs="Lucida Sans Unicode"/>
          <w:color w:val="000000"/>
          <w:sz w:val="17"/>
          <w:szCs w:val="17"/>
          <w:lang w:eastAsia="zh-CN"/>
        </w:rPr>
        <w:t>dz</w:t>
      </w:r>
      <w:proofErr w:type="spellEnd"/>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0.5</w:t>
      </w:r>
    </w:p>
    <w:p w14:paraId="01E9FE26"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α err prob</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0.05</w:t>
      </w:r>
    </w:p>
    <w:p w14:paraId="08C7A2E4"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Power (1-β err prob)</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0.90</w:t>
      </w:r>
    </w:p>
    <w:p w14:paraId="6DC0C950"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b/>
          <w:bCs/>
          <w:color w:val="000000"/>
          <w:sz w:val="17"/>
          <w:szCs w:val="17"/>
          <w:lang w:eastAsia="zh-CN"/>
        </w:rPr>
        <w:t>Output:</w:t>
      </w:r>
      <w:r w:rsidRPr="00447948">
        <w:rPr>
          <w:rFonts w:ascii="Lucida Sans Unicode" w:eastAsia="Times New Roman" w:hAnsi="Lucida Sans Unicode" w:cs="Lucida Sans Unicode"/>
          <w:color w:val="000000"/>
          <w:sz w:val="17"/>
          <w:szCs w:val="17"/>
          <w:lang w:eastAsia="zh-CN"/>
        </w:rPr>
        <w:tab/>
      </w:r>
      <w:proofErr w:type="spellStart"/>
      <w:r w:rsidRPr="00447948">
        <w:rPr>
          <w:rFonts w:ascii="Lucida Sans Unicode" w:eastAsia="Times New Roman" w:hAnsi="Lucida Sans Unicode" w:cs="Lucida Sans Unicode"/>
          <w:color w:val="000000"/>
          <w:sz w:val="17"/>
          <w:szCs w:val="17"/>
          <w:lang w:eastAsia="zh-CN"/>
        </w:rPr>
        <w:t>Noncentrality</w:t>
      </w:r>
      <w:proofErr w:type="spellEnd"/>
      <w:r w:rsidRPr="00447948">
        <w:rPr>
          <w:rFonts w:ascii="Lucida Sans Unicode" w:eastAsia="Times New Roman" w:hAnsi="Lucida Sans Unicode" w:cs="Lucida Sans Unicode"/>
          <w:color w:val="000000"/>
          <w:sz w:val="17"/>
          <w:szCs w:val="17"/>
          <w:lang w:eastAsia="zh-CN"/>
        </w:rPr>
        <w:t xml:space="preserve"> parameter δ</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3.0000000</w:t>
      </w:r>
    </w:p>
    <w:p w14:paraId="17F7F3A6"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Critical t</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1.6895725</w:t>
      </w:r>
    </w:p>
    <w:p w14:paraId="1E4AD9BC"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r>
      <w:proofErr w:type="spellStart"/>
      <w:r w:rsidRPr="00447948">
        <w:rPr>
          <w:rFonts w:ascii="Lucida Sans Unicode" w:eastAsia="Times New Roman" w:hAnsi="Lucida Sans Unicode" w:cs="Lucida Sans Unicode"/>
          <w:color w:val="000000"/>
          <w:sz w:val="17"/>
          <w:szCs w:val="17"/>
          <w:lang w:eastAsia="zh-CN"/>
        </w:rPr>
        <w:t>Df</w:t>
      </w:r>
      <w:proofErr w:type="spellEnd"/>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35</w:t>
      </w:r>
    </w:p>
    <w:p w14:paraId="388FBE24"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Total sample size</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36</w:t>
      </w:r>
    </w:p>
    <w:p w14:paraId="7D7E316F" w14:textId="77777777" w:rsidR="00447948" w:rsidRPr="00447948" w:rsidRDefault="00447948" w:rsidP="00447948">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447948">
        <w:rPr>
          <w:rFonts w:ascii="Lucida Sans Unicode" w:eastAsia="Times New Roman" w:hAnsi="Lucida Sans Unicode" w:cs="Lucida Sans Unicode"/>
          <w:color w:val="000000"/>
          <w:sz w:val="17"/>
          <w:szCs w:val="17"/>
          <w:lang w:eastAsia="zh-CN"/>
        </w:rPr>
        <w:tab/>
        <w:t>Actual power</w:t>
      </w:r>
      <w:r w:rsidRPr="00447948">
        <w:rPr>
          <w:rFonts w:ascii="Lucida Sans Unicode" w:eastAsia="Times New Roman" w:hAnsi="Lucida Sans Unicode" w:cs="Lucida Sans Unicode"/>
          <w:color w:val="000000"/>
          <w:sz w:val="17"/>
          <w:szCs w:val="17"/>
          <w:lang w:eastAsia="zh-CN"/>
        </w:rPr>
        <w:tab/>
        <w:t>=</w:t>
      </w:r>
      <w:r w:rsidRPr="00447948">
        <w:rPr>
          <w:rFonts w:ascii="Lucida Sans Unicode" w:eastAsia="Times New Roman" w:hAnsi="Lucida Sans Unicode" w:cs="Lucida Sans Unicode"/>
          <w:color w:val="000000"/>
          <w:sz w:val="17"/>
          <w:szCs w:val="17"/>
          <w:lang w:eastAsia="zh-CN"/>
        </w:rPr>
        <w:tab/>
        <w:t>0.9025746</w:t>
      </w:r>
    </w:p>
    <w:p w14:paraId="70E687A0" w14:textId="56EDF91D" w:rsidR="00093B56" w:rsidRDefault="00093B56" w:rsidP="00093B56">
      <w:pPr>
        <w:pStyle w:val="NoSpacing"/>
      </w:pPr>
    </w:p>
    <w:p w14:paraId="37A1E531" w14:textId="58E26A22" w:rsidR="00093B56" w:rsidRDefault="00093B56" w:rsidP="00093B56">
      <w:pPr>
        <w:pStyle w:val="NoSpacing"/>
      </w:pPr>
    </w:p>
    <w:p w14:paraId="010E7252" w14:textId="224470B5" w:rsidR="00093B56" w:rsidRDefault="00093B56" w:rsidP="00093B56">
      <w:pPr>
        <w:pStyle w:val="NoSpacing"/>
      </w:pPr>
    </w:p>
    <w:p w14:paraId="36A49D15" w14:textId="5ACB2B49" w:rsidR="00093B56" w:rsidRDefault="00447948" w:rsidP="00447948">
      <w:pPr>
        <w:pStyle w:val="NoSpacing"/>
        <w:jc w:val="center"/>
      </w:pPr>
      <w:r w:rsidRPr="00447948">
        <w:rPr>
          <w:rFonts w:ascii="Calibri" w:eastAsia="DengXian" w:hAnsi="Calibri" w:cs="Arial"/>
          <w:noProof/>
          <w:color w:val="000000"/>
          <w:sz w:val="22"/>
          <w:szCs w:val="22"/>
          <w:lang w:eastAsia="zh-CN"/>
        </w:rPr>
        <w:drawing>
          <wp:inline distT="0" distB="0" distL="0" distR="0" wp14:anchorId="3F488828" wp14:editId="5C9C2AF0">
            <wp:extent cx="5610225" cy="3038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665" t="1519" r="1450" b="1540"/>
                    <a:stretch/>
                  </pic:blipFill>
                  <pic:spPr bwMode="auto">
                    <a:xfrm>
                      <a:off x="0" y="0"/>
                      <a:ext cx="561022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608515A9" w14:textId="6A36FD20" w:rsidR="00093B56" w:rsidRDefault="00093B56" w:rsidP="00093B56">
      <w:pPr>
        <w:pStyle w:val="NoSpacing"/>
      </w:pPr>
    </w:p>
    <w:p w14:paraId="5A9997E7" w14:textId="51656C9B" w:rsidR="00447948" w:rsidRDefault="00447948" w:rsidP="00093B56">
      <w:pPr>
        <w:pStyle w:val="NoSpacing"/>
      </w:pPr>
    </w:p>
    <w:p w14:paraId="3B046188" w14:textId="321E7579" w:rsidR="00447948" w:rsidRDefault="00447948" w:rsidP="00093B56">
      <w:pPr>
        <w:pStyle w:val="NoSpacing"/>
      </w:pPr>
    </w:p>
    <w:p w14:paraId="558D7F58" w14:textId="305B2B63" w:rsidR="00447948" w:rsidRDefault="00447948" w:rsidP="00093B56">
      <w:pPr>
        <w:pStyle w:val="NoSpacing"/>
      </w:pPr>
    </w:p>
    <w:p w14:paraId="349C3554" w14:textId="67B6B27A" w:rsidR="00447948" w:rsidRDefault="00447948" w:rsidP="00093B56">
      <w:pPr>
        <w:pStyle w:val="NoSpacing"/>
      </w:pPr>
    </w:p>
    <w:p w14:paraId="66E9DFCA" w14:textId="353B30AF" w:rsidR="00447948" w:rsidRDefault="00447948" w:rsidP="00093B56">
      <w:pPr>
        <w:pStyle w:val="NoSpacing"/>
      </w:pPr>
    </w:p>
    <w:p w14:paraId="3AC77D6B" w14:textId="12235587" w:rsidR="00447948" w:rsidRDefault="00447948" w:rsidP="00093B56">
      <w:pPr>
        <w:pStyle w:val="NoSpacing"/>
      </w:pPr>
    </w:p>
    <w:p w14:paraId="7094E5D8" w14:textId="1B428C74" w:rsidR="00447948" w:rsidRDefault="00447948" w:rsidP="00093B56">
      <w:pPr>
        <w:pStyle w:val="NoSpacing"/>
      </w:pPr>
    </w:p>
    <w:p w14:paraId="6312F0B7" w14:textId="68A98D9F" w:rsidR="00447948" w:rsidRDefault="00447948" w:rsidP="00093B56">
      <w:pPr>
        <w:pStyle w:val="NoSpacing"/>
      </w:pPr>
    </w:p>
    <w:p w14:paraId="4BAAF13D" w14:textId="77F5A140" w:rsidR="00447948" w:rsidRDefault="00447948" w:rsidP="00093B56">
      <w:pPr>
        <w:pStyle w:val="NoSpacing"/>
      </w:pPr>
    </w:p>
    <w:p w14:paraId="0369E3C7" w14:textId="6CA89658" w:rsidR="00093B56" w:rsidRDefault="00093B56" w:rsidP="00093B56">
      <w:pPr>
        <w:pStyle w:val="NoSpacing"/>
      </w:pPr>
    </w:p>
    <w:p w14:paraId="1A9CAD0D" w14:textId="07A7819A" w:rsidR="00B77ABF" w:rsidRDefault="00B77ABF" w:rsidP="00093B56">
      <w:pPr>
        <w:pStyle w:val="NoSpacing"/>
      </w:pPr>
    </w:p>
    <w:p w14:paraId="18F91F2A" w14:textId="77777777" w:rsidR="00B77ABF" w:rsidRDefault="00B77ABF" w:rsidP="00093B56">
      <w:pPr>
        <w:pStyle w:val="NoSpacing"/>
      </w:pPr>
    </w:p>
    <w:p w14:paraId="6823B1D4" w14:textId="0624ACCE" w:rsidR="00EB4444" w:rsidRPr="00EB4444" w:rsidRDefault="00EB4444" w:rsidP="00107EBB">
      <w:pPr>
        <w:pStyle w:val="Heading1"/>
      </w:pPr>
      <w:bookmarkStart w:id="409" w:name="_Toc109911341"/>
      <w:bookmarkStart w:id="410" w:name="_Toc110612756"/>
      <w:bookmarkStart w:id="411" w:name="_Toc110629096"/>
      <w:bookmarkStart w:id="412" w:name="_Toc110871004"/>
      <w:r>
        <w:lastRenderedPageBreak/>
        <w:t>Appendix D</w:t>
      </w:r>
      <w:bookmarkEnd w:id="409"/>
      <w:bookmarkEnd w:id="410"/>
      <w:bookmarkEnd w:id="411"/>
      <w:bookmarkEnd w:id="412"/>
    </w:p>
    <w:p w14:paraId="271D67DE" w14:textId="718DCDF9" w:rsidR="00D80A43" w:rsidRPr="00D80A43" w:rsidRDefault="00D80A43" w:rsidP="00D80A43">
      <w:pPr>
        <w:pStyle w:val="NoSpacing"/>
        <w:spacing w:line="480" w:lineRule="auto"/>
        <w:jc w:val="center"/>
        <w:rPr>
          <w:rFonts w:ascii="Times New Roman" w:hAnsi="Times New Roman" w:cs="Times New Roman"/>
          <w:b/>
          <w:bCs/>
        </w:rPr>
      </w:pPr>
      <w:r w:rsidRPr="00D80A43">
        <w:rPr>
          <w:rFonts w:ascii="Times New Roman" w:hAnsi="Times New Roman" w:cs="Times New Roman"/>
          <w:b/>
          <w:bCs/>
        </w:rPr>
        <w:t>Supplementary files for Chapter 5 “Modelling value-based decision-making (VBDM) in daily tobacco smokers after experimental manipulation of mood”.</w:t>
      </w:r>
    </w:p>
    <w:p w14:paraId="78D06E36" w14:textId="6F210281" w:rsidR="00093B56" w:rsidRDefault="00093B56" w:rsidP="00093B56">
      <w:pPr>
        <w:pStyle w:val="NoSpacing"/>
      </w:pPr>
    </w:p>
    <w:p w14:paraId="093F1F07" w14:textId="77777777" w:rsidR="00D80A43" w:rsidRPr="00D80A43" w:rsidRDefault="00D80A43" w:rsidP="00D80A43">
      <w:pPr>
        <w:pStyle w:val="NoSpacing"/>
        <w:spacing w:line="480" w:lineRule="auto"/>
        <w:rPr>
          <w:rFonts w:ascii="Times New Roman" w:hAnsi="Times New Roman" w:cs="Times New Roman"/>
          <w:b/>
          <w:bCs/>
        </w:rPr>
      </w:pPr>
      <w:r w:rsidRPr="00D80A43">
        <w:rPr>
          <w:rFonts w:ascii="Times New Roman" w:hAnsi="Times New Roman" w:cs="Times New Roman"/>
          <w:b/>
          <w:bCs/>
        </w:rPr>
        <w:t xml:space="preserve">Contents: </w:t>
      </w:r>
    </w:p>
    <w:p w14:paraId="55960ACF" w14:textId="77777777" w:rsidR="00D80A43" w:rsidRPr="00D80A43" w:rsidRDefault="00D80A43" w:rsidP="00D80A43">
      <w:pPr>
        <w:pStyle w:val="NoSpacing"/>
        <w:numPr>
          <w:ilvl w:val="0"/>
          <w:numId w:val="19"/>
        </w:numPr>
        <w:spacing w:line="480" w:lineRule="auto"/>
        <w:rPr>
          <w:rFonts w:ascii="Times New Roman" w:hAnsi="Times New Roman" w:cs="Times New Roman"/>
        </w:rPr>
      </w:pPr>
      <w:bookmarkStart w:id="413" w:name="_Hlk98438282"/>
      <w:r w:rsidRPr="00D80A43">
        <w:rPr>
          <w:rFonts w:ascii="Times New Roman" w:hAnsi="Times New Roman" w:cs="Times New Roman"/>
        </w:rPr>
        <w:t>Images used in the VBDM task and their valence ratings (Table S5.1 and Table S5.2)</w:t>
      </w:r>
    </w:p>
    <w:bookmarkEnd w:id="413"/>
    <w:p w14:paraId="78299B09"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rPr>
        <w:t>Further detail on the experimental manipulation of mood</w:t>
      </w:r>
    </w:p>
    <w:p w14:paraId="6F2DA16D"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rPr>
        <w:t>CPT questionnaire details</w:t>
      </w:r>
    </w:p>
    <w:p w14:paraId="4496C7DC"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rPr>
        <w:t>Core analyses split by difficulty level (Table S5.3)</w:t>
      </w:r>
    </w:p>
    <w:p w14:paraId="677E2719"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rPr>
        <w:t>Order of experimental manipulation of mood: does this matter?</w:t>
      </w:r>
    </w:p>
    <w:p w14:paraId="6DAEE4AA" w14:textId="77777777" w:rsidR="00D80A43" w:rsidRPr="00D80A43" w:rsidRDefault="00D80A43" w:rsidP="00D80A43">
      <w:pPr>
        <w:pStyle w:val="NoSpacing"/>
        <w:numPr>
          <w:ilvl w:val="0"/>
          <w:numId w:val="19"/>
        </w:numPr>
        <w:spacing w:line="480" w:lineRule="auto"/>
        <w:rPr>
          <w:rFonts w:ascii="Times New Roman" w:hAnsi="Times New Roman" w:cs="Times New Roman"/>
        </w:rPr>
      </w:pPr>
      <w:bookmarkStart w:id="414" w:name="_Hlk98350429"/>
      <w:r w:rsidRPr="00D80A43">
        <w:rPr>
          <w:rFonts w:ascii="Times New Roman" w:hAnsi="Times New Roman" w:cs="Times New Roman"/>
        </w:rPr>
        <w:t>Order of trial block completion: does this matter?</w:t>
      </w:r>
    </w:p>
    <w:bookmarkEnd w:id="414"/>
    <w:p w14:paraId="69872DE3"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rPr>
        <w:t>Exploratory correlations (Table S5.4)</w:t>
      </w:r>
    </w:p>
    <w:p w14:paraId="01F85F78" w14:textId="77777777" w:rsidR="00D80A43" w:rsidRPr="00D80A43" w:rsidRDefault="00D80A43" w:rsidP="00D80A43">
      <w:pPr>
        <w:pStyle w:val="NoSpacing"/>
        <w:numPr>
          <w:ilvl w:val="0"/>
          <w:numId w:val="19"/>
        </w:numPr>
        <w:spacing w:line="480" w:lineRule="auto"/>
        <w:rPr>
          <w:rFonts w:ascii="Times New Roman" w:hAnsi="Times New Roman" w:cs="Times New Roman"/>
        </w:rPr>
      </w:pPr>
      <w:r w:rsidRPr="00D80A43">
        <w:rPr>
          <w:rFonts w:ascii="Times New Roman" w:hAnsi="Times New Roman" w:cs="Times New Roman"/>
          <w:i/>
          <w:iCs/>
        </w:rPr>
        <w:t>A priori</w:t>
      </w:r>
      <w:r w:rsidRPr="00D80A43">
        <w:rPr>
          <w:rFonts w:ascii="Times New Roman" w:hAnsi="Times New Roman" w:cs="Times New Roman"/>
        </w:rPr>
        <w:t xml:space="preserve"> power analysis output</w:t>
      </w:r>
    </w:p>
    <w:p w14:paraId="6069F67D" w14:textId="5C21FB57" w:rsidR="00093B56" w:rsidRPr="00D80A43" w:rsidRDefault="00093B56" w:rsidP="00D80A43">
      <w:pPr>
        <w:pStyle w:val="NoSpacing"/>
        <w:spacing w:line="480" w:lineRule="auto"/>
        <w:rPr>
          <w:rFonts w:ascii="Times New Roman" w:hAnsi="Times New Roman" w:cs="Times New Roman"/>
        </w:rPr>
      </w:pPr>
    </w:p>
    <w:p w14:paraId="1EB421F5" w14:textId="7F877650" w:rsidR="00093B56" w:rsidRPr="00D80A43" w:rsidRDefault="00093B56" w:rsidP="00D80A43">
      <w:pPr>
        <w:pStyle w:val="NoSpacing"/>
        <w:spacing w:line="480" w:lineRule="auto"/>
        <w:rPr>
          <w:rFonts w:ascii="Times New Roman" w:hAnsi="Times New Roman" w:cs="Times New Roman"/>
        </w:rPr>
      </w:pPr>
    </w:p>
    <w:p w14:paraId="0AD2D1C1" w14:textId="54C581CC" w:rsidR="00093B56" w:rsidRDefault="00093B56" w:rsidP="00093B56">
      <w:pPr>
        <w:pStyle w:val="NoSpacing"/>
      </w:pPr>
    </w:p>
    <w:p w14:paraId="38116127" w14:textId="0DC8DA2E" w:rsidR="00093B56" w:rsidRDefault="00093B56" w:rsidP="00093B56">
      <w:pPr>
        <w:pStyle w:val="NoSpacing"/>
      </w:pPr>
    </w:p>
    <w:p w14:paraId="6D66D559" w14:textId="1D13B1D8" w:rsidR="00093B56" w:rsidRDefault="00093B56" w:rsidP="00093B56">
      <w:pPr>
        <w:pStyle w:val="NoSpacing"/>
      </w:pPr>
    </w:p>
    <w:p w14:paraId="179A5E59" w14:textId="18223CA0" w:rsidR="00093B56" w:rsidRDefault="00093B56" w:rsidP="00093B56">
      <w:pPr>
        <w:pStyle w:val="NoSpacing"/>
      </w:pPr>
    </w:p>
    <w:p w14:paraId="747C73C1" w14:textId="6571A4B4" w:rsidR="00093B56" w:rsidRDefault="00093B56" w:rsidP="00093B56">
      <w:pPr>
        <w:pStyle w:val="NoSpacing"/>
      </w:pPr>
    </w:p>
    <w:p w14:paraId="53C87551" w14:textId="4C497BCB" w:rsidR="00093B56" w:rsidRDefault="00093B56" w:rsidP="00093B56">
      <w:pPr>
        <w:pStyle w:val="NoSpacing"/>
      </w:pPr>
    </w:p>
    <w:p w14:paraId="3A1EECA5" w14:textId="4F693DDF" w:rsidR="00093B56" w:rsidRDefault="00093B56" w:rsidP="00093B56">
      <w:pPr>
        <w:pStyle w:val="NoSpacing"/>
      </w:pPr>
    </w:p>
    <w:p w14:paraId="13777C3D" w14:textId="69E5FD09" w:rsidR="00093B56" w:rsidRDefault="00093B56" w:rsidP="00093B56">
      <w:pPr>
        <w:pStyle w:val="NoSpacing"/>
      </w:pPr>
    </w:p>
    <w:p w14:paraId="37292A0C" w14:textId="413ED7CA" w:rsidR="00093B56" w:rsidRDefault="00093B56" w:rsidP="00093B56">
      <w:pPr>
        <w:pStyle w:val="NoSpacing"/>
      </w:pPr>
    </w:p>
    <w:p w14:paraId="22E93A86" w14:textId="6876EDDC" w:rsidR="00093B56" w:rsidRDefault="00093B56" w:rsidP="00093B56">
      <w:pPr>
        <w:pStyle w:val="NoSpacing"/>
      </w:pPr>
    </w:p>
    <w:p w14:paraId="35900031" w14:textId="70642786" w:rsidR="00093B56" w:rsidRDefault="00093B56" w:rsidP="00093B56">
      <w:pPr>
        <w:pStyle w:val="NoSpacing"/>
      </w:pPr>
    </w:p>
    <w:p w14:paraId="4D4D23B5" w14:textId="235FC37A" w:rsidR="00093B56" w:rsidRDefault="00093B56" w:rsidP="00093B56">
      <w:pPr>
        <w:pStyle w:val="NoSpacing"/>
      </w:pPr>
    </w:p>
    <w:p w14:paraId="2BDAE84D" w14:textId="080EA8AB" w:rsidR="00093B56" w:rsidRDefault="00093B56" w:rsidP="00093B56">
      <w:pPr>
        <w:pStyle w:val="NoSpacing"/>
      </w:pPr>
    </w:p>
    <w:p w14:paraId="356961AB" w14:textId="26D4A3C8" w:rsidR="00093B56" w:rsidRDefault="00093B56" w:rsidP="00093B56">
      <w:pPr>
        <w:pStyle w:val="NoSpacing"/>
      </w:pPr>
    </w:p>
    <w:p w14:paraId="469BEE25" w14:textId="670BEE03" w:rsidR="00093B56" w:rsidRDefault="00093B56" w:rsidP="00093B56">
      <w:pPr>
        <w:pStyle w:val="NoSpacing"/>
      </w:pPr>
    </w:p>
    <w:p w14:paraId="4FB6CA7F" w14:textId="32834912" w:rsidR="00093B56" w:rsidRDefault="00093B56" w:rsidP="00093B56">
      <w:pPr>
        <w:pStyle w:val="NoSpacing"/>
      </w:pPr>
    </w:p>
    <w:p w14:paraId="719716B2" w14:textId="4C4E9EBA" w:rsidR="00093B56" w:rsidRDefault="00093B56" w:rsidP="00093B56">
      <w:pPr>
        <w:pStyle w:val="NoSpacing"/>
      </w:pPr>
    </w:p>
    <w:p w14:paraId="7F2C2D58" w14:textId="5CD478C3" w:rsidR="00093B56" w:rsidRDefault="00093B56" w:rsidP="00093B56">
      <w:pPr>
        <w:pStyle w:val="NoSpacing"/>
      </w:pPr>
    </w:p>
    <w:p w14:paraId="5E29AAFA" w14:textId="7F91265D" w:rsidR="00093B56" w:rsidRDefault="00093B56" w:rsidP="00093B56">
      <w:pPr>
        <w:pStyle w:val="NoSpacing"/>
      </w:pPr>
    </w:p>
    <w:p w14:paraId="14194D94" w14:textId="77777777" w:rsidR="00EB4444" w:rsidRPr="00EB4444" w:rsidRDefault="00EB4444" w:rsidP="00EB4444">
      <w:pPr>
        <w:pStyle w:val="NoSpacing"/>
        <w:spacing w:line="480" w:lineRule="auto"/>
        <w:rPr>
          <w:rFonts w:ascii="Times New Roman" w:hAnsi="Times New Roman" w:cs="Times New Roman"/>
          <w:b/>
          <w:bCs/>
        </w:rPr>
      </w:pPr>
      <w:r w:rsidRPr="00EB4444">
        <w:rPr>
          <w:rFonts w:ascii="Times New Roman" w:hAnsi="Times New Roman" w:cs="Times New Roman"/>
          <w:b/>
          <w:bCs/>
        </w:rPr>
        <w:lastRenderedPageBreak/>
        <w:t>1. Images used in the VBDM task and their valence ratings</w:t>
      </w:r>
    </w:p>
    <w:p w14:paraId="29C1E27C" w14:textId="3C0E9119" w:rsidR="00EB4444" w:rsidRPr="00EB4444" w:rsidRDefault="00EB4444" w:rsidP="00EB4444">
      <w:pPr>
        <w:pStyle w:val="NoSpacing"/>
        <w:spacing w:line="480" w:lineRule="auto"/>
        <w:rPr>
          <w:rFonts w:ascii="Times New Roman" w:hAnsi="Times New Roman" w:cs="Times New Roman"/>
          <w:u w:val="single"/>
        </w:rPr>
      </w:pPr>
      <w:r w:rsidRPr="00EB4444">
        <w:rPr>
          <w:rFonts w:ascii="Times New Roman" w:hAnsi="Times New Roman" w:cs="Times New Roman"/>
        </w:rPr>
        <w:t>The 30 smoking images are taken from the Geneva Smoking Images (</w:t>
      </w:r>
      <w:proofErr w:type="spellStart"/>
      <w:r w:rsidRPr="00EB4444">
        <w:rPr>
          <w:rFonts w:ascii="Times New Roman" w:hAnsi="Times New Roman" w:cs="Times New Roman"/>
        </w:rPr>
        <w:t>Khazaal</w:t>
      </w:r>
      <w:proofErr w:type="spellEnd"/>
      <w:r>
        <w:rPr>
          <w:rFonts w:ascii="Times New Roman" w:hAnsi="Times New Roman" w:cs="Times New Roman"/>
        </w:rPr>
        <w:t xml:space="preserve"> et al., </w:t>
      </w:r>
      <w:r w:rsidRPr="00EB4444">
        <w:rPr>
          <w:rFonts w:ascii="Times New Roman" w:hAnsi="Times New Roman" w:cs="Times New Roman"/>
        </w:rPr>
        <w:t xml:space="preserve">2012). These tobacco-related images comprise the product itself (e.g., a burning cigarette), smoking-related behaviours (e.g., a person smoking), and tobacco-related cues (e.g., an ashtray, a lighter). Images which depicted tobacco brands were not included to reflect the plain packaging legislation in the UK. Below are the filenames of the images and their valence ratings. All images can be found in the supplementary material of the original paper here: </w:t>
      </w:r>
      <w:hyperlink r:id="rId92">
        <w:r w:rsidRPr="00EB4444">
          <w:rPr>
            <w:rStyle w:val="Hyperlink"/>
            <w:rFonts w:ascii="Times New Roman" w:hAnsi="Times New Roman" w:cs="Times New Roman"/>
          </w:rPr>
          <w:t>https://www.karger.com/Article/Fulltext/335083</w:t>
        </w:r>
      </w:hyperlink>
    </w:p>
    <w:p w14:paraId="0E1A7FF9" w14:textId="77777777" w:rsidR="00EB4444" w:rsidRPr="00EB4444" w:rsidRDefault="00EB4444" w:rsidP="00EB4444">
      <w:pPr>
        <w:pStyle w:val="NoSpacing"/>
        <w:spacing w:line="480" w:lineRule="auto"/>
        <w:rPr>
          <w:rFonts w:ascii="Times New Roman" w:hAnsi="Times New Roman" w:cs="Times New Roman"/>
          <w:u w:val="single"/>
        </w:rPr>
      </w:pPr>
    </w:p>
    <w:p w14:paraId="2E5523CF" w14:textId="77777777" w:rsidR="00EB4444" w:rsidRPr="00EB4444" w:rsidRDefault="00EB4444" w:rsidP="00EB4444">
      <w:pPr>
        <w:pStyle w:val="NoSpacing"/>
        <w:spacing w:line="480" w:lineRule="auto"/>
        <w:rPr>
          <w:rFonts w:ascii="Times New Roman" w:hAnsi="Times New Roman" w:cs="Times New Roman"/>
          <w:b/>
          <w:bCs/>
        </w:rPr>
      </w:pPr>
      <w:r w:rsidRPr="00EB4444">
        <w:rPr>
          <w:rFonts w:ascii="Times New Roman" w:hAnsi="Times New Roman" w:cs="Times New Roman"/>
          <w:b/>
          <w:bCs/>
        </w:rPr>
        <w:t>Table S5.1</w:t>
      </w:r>
    </w:p>
    <w:p w14:paraId="3D8250B1" w14:textId="6D642014" w:rsidR="00EB4444" w:rsidRPr="00EB4444" w:rsidRDefault="00EB4444" w:rsidP="00EB4444">
      <w:pPr>
        <w:pStyle w:val="NoSpacing"/>
        <w:spacing w:line="480" w:lineRule="auto"/>
        <w:rPr>
          <w:rFonts w:ascii="Times New Roman" w:hAnsi="Times New Roman" w:cs="Times New Roman"/>
          <w:i/>
          <w:iCs/>
        </w:rPr>
      </w:pPr>
      <w:r w:rsidRPr="00EB4444">
        <w:rPr>
          <w:rFonts w:ascii="Times New Roman" w:hAnsi="Times New Roman" w:cs="Times New Roman"/>
          <w:i/>
          <w:iCs/>
        </w:rPr>
        <w:t>Image filenames and valence ratings of the Geneva Smoking Images</w:t>
      </w:r>
    </w:p>
    <w:tbl>
      <w:tblPr>
        <w:tblW w:w="8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4"/>
        <w:gridCol w:w="4404"/>
      </w:tblGrid>
      <w:tr w:rsidR="00EB4444" w:rsidRPr="00EB4444" w14:paraId="122D481D" w14:textId="77777777" w:rsidTr="00EB4444">
        <w:trPr>
          <w:trHeight w:val="488"/>
        </w:trPr>
        <w:tc>
          <w:tcPr>
            <w:tcW w:w="4404" w:type="dxa"/>
          </w:tcPr>
          <w:p w14:paraId="4D5B651D" w14:textId="0E492F07" w:rsidR="00EB4444" w:rsidRPr="00EB4444" w:rsidRDefault="00EB4444" w:rsidP="00EB4444">
            <w:pPr>
              <w:pStyle w:val="NoSpacing"/>
              <w:jc w:val="center"/>
              <w:rPr>
                <w:rFonts w:ascii="Times New Roman" w:hAnsi="Times New Roman" w:cs="Times New Roman"/>
                <w:b/>
                <w:bCs/>
              </w:rPr>
            </w:pPr>
            <w:r w:rsidRPr="00EB4444">
              <w:rPr>
                <w:rFonts w:ascii="Times New Roman" w:hAnsi="Times New Roman" w:cs="Times New Roman"/>
                <w:b/>
                <w:bCs/>
              </w:rPr>
              <w:t>Image (file) name</w:t>
            </w:r>
          </w:p>
        </w:tc>
        <w:tc>
          <w:tcPr>
            <w:tcW w:w="4404" w:type="dxa"/>
          </w:tcPr>
          <w:p w14:paraId="4642F7E8" w14:textId="77777777" w:rsidR="00EB4444" w:rsidRPr="00EB4444" w:rsidRDefault="00EB4444" w:rsidP="00EB4444">
            <w:pPr>
              <w:pStyle w:val="NoSpacing"/>
              <w:jc w:val="center"/>
              <w:rPr>
                <w:rFonts w:ascii="Times New Roman" w:hAnsi="Times New Roman" w:cs="Times New Roman"/>
                <w:b/>
                <w:bCs/>
              </w:rPr>
            </w:pPr>
            <w:r w:rsidRPr="00EB4444">
              <w:rPr>
                <w:rFonts w:ascii="Times New Roman" w:hAnsi="Times New Roman" w:cs="Times New Roman"/>
                <w:b/>
                <w:bCs/>
              </w:rPr>
              <w:t>Valence rating</w:t>
            </w:r>
          </w:p>
        </w:tc>
      </w:tr>
      <w:tr w:rsidR="00EB4444" w:rsidRPr="00EB4444" w14:paraId="1A921355" w14:textId="77777777" w:rsidTr="00EB4444">
        <w:trPr>
          <w:trHeight w:val="407"/>
        </w:trPr>
        <w:tc>
          <w:tcPr>
            <w:tcW w:w="4404" w:type="dxa"/>
          </w:tcPr>
          <w:p w14:paraId="6E34494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GSP1.jpg</w:t>
            </w:r>
          </w:p>
        </w:tc>
        <w:tc>
          <w:tcPr>
            <w:tcW w:w="4404" w:type="dxa"/>
          </w:tcPr>
          <w:p w14:paraId="66EC840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3.50</w:t>
            </w:r>
          </w:p>
        </w:tc>
      </w:tr>
      <w:tr w:rsidR="00EB4444" w:rsidRPr="00EB4444" w14:paraId="2EF729B1" w14:textId="77777777" w:rsidTr="00EB4444">
        <w:trPr>
          <w:trHeight w:val="430"/>
        </w:trPr>
        <w:tc>
          <w:tcPr>
            <w:tcW w:w="4404" w:type="dxa"/>
          </w:tcPr>
          <w:p w14:paraId="70FC50FC"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GSP29.jpg</w:t>
            </w:r>
          </w:p>
        </w:tc>
        <w:tc>
          <w:tcPr>
            <w:tcW w:w="4404" w:type="dxa"/>
          </w:tcPr>
          <w:p w14:paraId="1ABBBAB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3.96</w:t>
            </w:r>
          </w:p>
        </w:tc>
      </w:tr>
      <w:tr w:rsidR="00EB4444" w:rsidRPr="00EB4444" w14:paraId="3B51C168" w14:textId="77777777" w:rsidTr="00EB4444">
        <w:trPr>
          <w:trHeight w:val="407"/>
        </w:trPr>
        <w:tc>
          <w:tcPr>
            <w:tcW w:w="4404" w:type="dxa"/>
          </w:tcPr>
          <w:p w14:paraId="5B07470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GSP25.jpg</w:t>
            </w:r>
          </w:p>
        </w:tc>
        <w:tc>
          <w:tcPr>
            <w:tcW w:w="4404" w:type="dxa"/>
          </w:tcPr>
          <w:p w14:paraId="413C2484"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4.22</w:t>
            </w:r>
          </w:p>
        </w:tc>
      </w:tr>
      <w:tr w:rsidR="00EB4444" w:rsidRPr="00EB4444" w14:paraId="2E51EFFF" w14:textId="77777777" w:rsidTr="00EB4444">
        <w:trPr>
          <w:trHeight w:val="430"/>
        </w:trPr>
        <w:tc>
          <w:tcPr>
            <w:tcW w:w="4404" w:type="dxa"/>
          </w:tcPr>
          <w:p w14:paraId="4A758A5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GSP30.jpg</w:t>
            </w:r>
          </w:p>
        </w:tc>
        <w:tc>
          <w:tcPr>
            <w:tcW w:w="4404" w:type="dxa"/>
          </w:tcPr>
          <w:p w14:paraId="1A4A455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4.30</w:t>
            </w:r>
          </w:p>
        </w:tc>
      </w:tr>
      <w:tr w:rsidR="00EB4444" w:rsidRPr="00EB4444" w14:paraId="168A1103" w14:textId="77777777" w:rsidTr="00EB4444">
        <w:trPr>
          <w:trHeight w:val="407"/>
        </w:trPr>
        <w:tc>
          <w:tcPr>
            <w:tcW w:w="4404" w:type="dxa"/>
          </w:tcPr>
          <w:p w14:paraId="1870CCA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GSP20.jpg</w:t>
            </w:r>
          </w:p>
        </w:tc>
        <w:tc>
          <w:tcPr>
            <w:tcW w:w="4404" w:type="dxa"/>
          </w:tcPr>
          <w:p w14:paraId="3A66D87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4.30</w:t>
            </w:r>
          </w:p>
        </w:tc>
      </w:tr>
      <w:tr w:rsidR="00EB4444" w:rsidRPr="00EB4444" w14:paraId="3A026E7C" w14:textId="77777777" w:rsidTr="00EB4444">
        <w:trPr>
          <w:trHeight w:val="407"/>
        </w:trPr>
        <w:tc>
          <w:tcPr>
            <w:tcW w:w="4404" w:type="dxa"/>
          </w:tcPr>
          <w:p w14:paraId="49BB6F24"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GSP28.jpg</w:t>
            </w:r>
          </w:p>
        </w:tc>
        <w:tc>
          <w:tcPr>
            <w:tcW w:w="4404" w:type="dxa"/>
          </w:tcPr>
          <w:p w14:paraId="36A383C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4.41</w:t>
            </w:r>
          </w:p>
        </w:tc>
      </w:tr>
      <w:tr w:rsidR="00EB4444" w:rsidRPr="00EB4444" w14:paraId="61B4FBD0" w14:textId="77777777" w:rsidTr="00EB4444">
        <w:trPr>
          <w:trHeight w:val="407"/>
        </w:trPr>
        <w:tc>
          <w:tcPr>
            <w:tcW w:w="4404" w:type="dxa"/>
          </w:tcPr>
          <w:p w14:paraId="0A55700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GSP39.jpg</w:t>
            </w:r>
          </w:p>
        </w:tc>
        <w:tc>
          <w:tcPr>
            <w:tcW w:w="4404" w:type="dxa"/>
          </w:tcPr>
          <w:p w14:paraId="0AB876D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4.70</w:t>
            </w:r>
          </w:p>
        </w:tc>
      </w:tr>
      <w:tr w:rsidR="00EB4444" w:rsidRPr="00EB4444" w14:paraId="7D500037" w14:textId="77777777" w:rsidTr="00EB4444">
        <w:trPr>
          <w:trHeight w:val="407"/>
        </w:trPr>
        <w:tc>
          <w:tcPr>
            <w:tcW w:w="4404" w:type="dxa"/>
          </w:tcPr>
          <w:p w14:paraId="772D3A3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GSP37.jpg</w:t>
            </w:r>
          </w:p>
        </w:tc>
        <w:tc>
          <w:tcPr>
            <w:tcW w:w="4404" w:type="dxa"/>
          </w:tcPr>
          <w:p w14:paraId="1D205B0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4.76</w:t>
            </w:r>
          </w:p>
        </w:tc>
      </w:tr>
      <w:tr w:rsidR="00EB4444" w:rsidRPr="00EB4444" w14:paraId="38E13ECE" w14:textId="77777777" w:rsidTr="00EB4444">
        <w:trPr>
          <w:trHeight w:val="407"/>
        </w:trPr>
        <w:tc>
          <w:tcPr>
            <w:tcW w:w="4404" w:type="dxa"/>
          </w:tcPr>
          <w:p w14:paraId="0125296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GSP40.jpg</w:t>
            </w:r>
          </w:p>
        </w:tc>
        <w:tc>
          <w:tcPr>
            <w:tcW w:w="4404" w:type="dxa"/>
          </w:tcPr>
          <w:p w14:paraId="09B326B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5.09</w:t>
            </w:r>
          </w:p>
        </w:tc>
      </w:tr>
      <w:tr w:rsidR="00EB4444" w:rsidRPr="00EB4444" w14:paraId="4F484252" w14:textId="77777777" w:rsidTr="00EB4444">
        <w:trPr>
          <w:trHeight w:val="407"/>
        </w:trPr>
        <w:tc>
          <w:tcPr>
            <w:tcW w:w="4404" w:type="dxa"/>
          </w:tcPr>
          <w:p w14:paraId="343341A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GSP32.jpg</w:t>
            </w:r>
          </w:p>
        </w:tc>
        <w:tc>
          <w:tcPr>
            <w:tcW w:w="4404" w:type="dxa"/>
          </w:tcPr>
          <w:p w14:paraId="2D69CF7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5.13</w:t>
            </w:r>
          </w:p>
        </w:tc>
      </w:tr>
      <w:tr w:rsidR="00EB4444" w:rsidRPr="00EB4444" w14:paraId="0881C5A8" w14:textId="77777777" w:rsidTr="00EB4444">
        <w:trPr>
          <w:trHeight w:val="407"/>
        </w:trPr>
        <w:tc>
          <w:tcPr>
            <w:tcW w:w="4404" w:type="dxa"/>
          </w:tcPr>
          <w:p w14:paraId="222531F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GSP6.jpg</w:t>
            </w:r>
          </w:p>
        </w:tc>
        <w:tc>
          <w:tcPr>
            <w:tcW w:w="4404" w:type="dxa"/>
          </w:tcPr>
          <w:p w14:paraId="07F9781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5.15</w:t>
            </w:r>
          </w:p>
        </w:tc>
      </w:tr>
      <w:tr w:rsidR="00EB4444" w:rsidRPr="00EB4444" w14:paraId="642972D9" w14:textId="77777777" w:rsidTr="00EB4444">
        <w:trPr>
          <w:trHeight w:val="407"/>
        </w:trPr>
        <w:tc>
          <w:tcPr>
            <w:tcW w:w="4404" w:type="dxa"/>
          </w:tcPr>
          <w:p w14:paraId="75887EB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GSP50.jpg</w:t>
            </w:r>
          </w:p>
        </w:tc>
        <w:tc>
          <w:tcPr>
            <w:tcW w:w="4404" w:type="dxa"/>
          </w:tcPr>
          <w:p w14:paraId="10714324"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5.15</w:t>
            </w:r>
          </w:p>
        </w:tc>
      </w:tr>
      <w:tr w:rsidR="00EB4444" w:rsidRPr="00EB4444" w14:paraId="554B224B" w14:textId="77777777" w:rsidTr="00EB4444">
        <w:trPr>
          <w:trHeight w:val="407"/>
        </w:trPr>
        <w:tc>
          <w:tcPr>
            <w:tcW w:w="4404" w:type="dxa"/>
          </w:tcPr>
          <w:p w14:paraId="2527E69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GSP31.jpg</w:t>
            </w:r>
          </w:p>
        </w:tc>
        <w:tc>
          <w:tcPr>
            <w:tcW w:w="4404" w:type="dxa"/>
          </w:tcPr>
          <w:p w14:paraId="06C52C8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5.26</w:t>
            </w:r>
          </w:p>
        </w:tc>
      </w:tr>
      <w:tr w:rsidR="00EB4444" w:rsidRPr="00EB4444" w14:paraId="62D953E8" w14:textId="77777777" w:rsidTr="00EB4444">
        <w:trPr>
          <w:trHeight w:val="407"/>
        </w:trPr>
        <w:tc>
          <w:tcPr>
            <w:tcW w:w="4404" w:type="dxa"/>
          </w:tcPr>
          <w:p w14:paraId="3E6F87D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GSP26.jpg</w:t>
            </w:r>
          </w:p>
        </w:tc>
        <w:tc>
          <w:tcPr>
            <w:tcW w:w="4404" w:type="dxa"/>
          </w:tcPr>
          <w:p w14:paraId="57BC035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5.33</w:t>
            </w:r>
          </w:p>
        </w:tc>
      </w:tr>
      <w:tr w:rsidR="00EB4444" w:rsidRPr="00EB4444" w14:paraId="6DF741ED" w14:textId="77777777" w:rsidTr="00EB4444">
        <w:trPr>
          <w:trHeight w:val="407"/>
        </w:trPr>
        <w:tc>
          <w:tcPr>
            <w:tcW w:w="4404" w:type="dxa"/>
          </w:tcPr>
          <w:p w14:paraId="4674DEAC"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GSP54.jpg</w:t>
            </w:r>
          </w:p>
        </w:tc>
        <w:tc>
          <w:tcPr>
            <w:tcW w:w="4404" w:type="dxa"/>
          </w:tcPr>
          <w:p w14:paraId="0C8F3BD6"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5.37</w:t>
            </w:r>
          </w:p>
        </w:tc>
      </w:tr>
      <w:tr w:rsidR="00EB4444" w:rsidRPr="00EB4444" w14:paraId="228535AC" w14:textId="77777777" w:rsidTr="00EB4444">
        <w:trPr>
          <w:trHeight w:val="407"/>
        </w:trPr>
        <w:tc>
          <w:tcPr>
            <w:tcW w:w="4404" w:type="dxa"/>
          </w:tcPr>
          <w:p w14:paraId="41A9225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GSP23.jpg</w:t>
            </w:r>
          </w:p>
        </w:tc>
        <w:tc>
          <w:tcPr>
            <w:tcW w:w="4404" w:type="dxa"/>
          </w:tcPr>
          <w:p w14:paraId="109796E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5.87</w:t>
            </w:r>
          </w:p>
        </w:tc>
      </w:tr>
      <w:tr w:rsidR="00EB4444" w:rsidRPr="00EB4444" w14:paraId="06F2D581" w14:textId="77777777" w:rsidTr="00EB4444">
        <w:trPr>
          <w:trHeight w:val="407"/>
        </w:trPr>
        <w:tc>
          <w:tcPr>
            <w:tcW w:w="4404" w:type="dxa"/>
          </w:tcPr>
          <w:p w14:paraId="6B68D6D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lastRenderedPageBreak/>
              <w:t>GSP58.jpg</w:t>
            </w:r>
          </w:p>
        </w:tc>
        <w:tc>
          <w:tcPr>
            <w:tcW w:w="4404" w:type="dxa"/>
          </w:tcPr>
          <w:p w14:paraId="300690E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5.98</w:t>
            </w:r>
          </w:p>
        </w:tc>
      </w:tr>
      <w:tr w:rsidR="00EB4444" w:rsidRPr="00EB4444" w14:paraId="7B038C58" w14:textId="77777777" w:rsidTr="00EB4444">
        <w:trPr>
          <w:trHeight w:val="407"/>
        </w:trPr>
        <w:tc>
          <w:tcPr>
            <w:tcW w:w="4404" w:type="dxa"/>
          </w:tcPr>
          <w:p w14:paraId="2CF55D94"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GSP8.jpg</w:t>
            </w:r>
          </w:p>
        </w:tc>
        <w:tc>
          <w:tcPr>
            <w:tcW w:w="4404" w:type="dxa"/>
          </w:tcPr>
          <w:p w14:paraId="5C13B49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6.07</w:t>
            </w:r>
          </w:p>
        </w:tc>
      </w:tr>
      <w:tr w:rsidR="00EB4444" w:rsidRPr="00EB4444" w14:paraId="7F58361B" w14:textId="77777777" w:rsidTr="00EB4444">
        <w:trPr>
          <w:trHeight w:val="407"/>
        </w:trPr>
        <w:tc>
          <w:tcPr>
            <w:tcW w:w="4404" w:type="dxa"/>
          </w:tcPr>
          <w:p w14:paraId="522C1277"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GSP17.jpg</w:t>
            </w:r>
          </w:p>
        </w:tc>
        <w:tc>
          <w:tcPr>
            <w:tcW w:w="4404" w:type="dxa"/>
          </w:tcPr>
          <w:p w14:paraId="7FCD3AD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6.09</w:t>
            </w:r>
          </w:p>
        </w:tc>
      </w:tr>
      <w:tr w:rsidR="00EB4444" w:rsidRPr="00EB4444" w14:paraId="5FBA08F9" w14:textId="77777777" w:rsidTr="00EB4444">
        <w:trPr>
          <w:trHeight w:val="407"/>
        </w:trPr>
        <w:tc>
          <w:tcPr>
            <w:tcW w:w="4404" w:type="dxa"/>
          </w:tcPr>
          <w:p w14:paraId="7620938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GSP22.jpg</w:t>
            </w:r>
          </w:p>
        </w:tc>
        <w:tc>
          <w:tcPr>
            <w:tcW w:w="4404" w:type="dxa"/>
          </w:tcPr>
          <w:p w14:paraId="5AC8ADA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6.13</w:t>
            </w:r>
          </w:p>
        </w:tc>
      </w:tr>
      <w:tr w:rsidR="00EB4444" w:rsidRPr="00EB4444" w14:paraId="39944D7F" w14:textId="77777777" w:rsidTr="00EB4444">
        <w:trPr>
          <w:trHeight w:val="407"/>
        </w:trPr>
        <w:tc>
          <w:tcPr>
            <w:tcW w:w="4404" w:type="dxa"/>
          </w:tcPr>
          <w:p w14:paraId="7EF73296"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GSP15.jpg</w:t>
            </w:r>
          </w:p>
        </w:tc>
        <w:tc>
          <w:tcPr>
            <w:tcW w:w="4404" w:type="dxa"/>
          </w:tcPr>
          <w:p w14:paraId="6C5CA78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6.24</w:t>
            </w:r>
          </w:p>
        </w:tc>
      </w:tr>
      <w:tr w:rsidR="00EB4444" w:rsidRPr="00EB4444" w14:paraId="6AED1422" w14:textId="77777777" w:rsidTr="00EB4444">
        <w:trPr>
          <w:trHeight w:val="407"/>
        </w:trPr>
        <w:tc>
          <w:tcPr>
            <w:tcW w:w="4404" w:type="dxa"/>
          </w:tcPr>
          <w:p w14:paraId="096DDE6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GSP13.jpg</w:t>
            </w:r>
          </w:p>
        </w:tc>
        <w:tc>
          <w:tcPr>
            <w:tcW w:w="4404" w:type="dxa"/>
          </w:tcPr>
          <w:p w14:paraId="56FAB48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6.33</w:t>
            </w:r>
          </w:p>
        </w:tc>
      </w:tr>
      <w:tr w:rsidR="00EB4444" w:rsidRPr="00EB4444" w14:paraId="17310BE4" w14:textId="77777777" w:rsidTr="00EB4444">
        <w:trPr>
          <w:trHeight w:val="407"/>
        </w:trPr>
        <w:tc>
          <w:tcPr>
            <w:tcW w:w="4404" w:type="dxa"/>
          </w:tcPr>
          <w:p w14:paraId="242A3BD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GSP10.jpg</w:t>
            </w:r>
          </w:p>
        </w:tc>
        <w:tc>
          <w:tcPr>
            <w:tcW w:w="4404" w:type="dxa"/>
          </w:tcPr>
          <w:p w14:paraId="03455DE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6.62</w:t>
            </w:r>
          </w:p>
        </w:tc>
      </w:tr>
      <w:tr w:rsidR="00EB4444" w:rsidRPr="00EB4444" w14:paraId="6533DD62" w14:textId="77777777" w:rsidTr="00EB4444">
        <w:trPr>
          <w:trHeight w:val="407"/>
        </w:trPr>
        <w:tc>
          <w:tcPr>
            <w:tcW w:w="4404" w:type="dxa"/>
          </w:tcPr>
          <w:p w14:paraId="4FA1E58C"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GSP43.jpg</w:t>
            </w:r>
          </w:p>
        </w:tc>
        <w:tc>
          <w:tcPr>
            <w:tcW w:w="4404" w:type="dxa"/>
          </w:tcPr>
          <w:p w14:paraId="10F013C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6.63</w:t>
            </w:r>
          </w:p>
        </w:tc>
      </w:tr>
      <w:tr w:rsidR="00EB4444" w:rsidRPr="00EB4444" w14:paraId="3C922435" w14:textId="77777777" w:rsidTr="00EB4444">
        <w:trPr>
          <w:trHeight w:val="407"/>
        </w:trPr>
        <w:tc>
          <w:tcPr>
            <w:tcW w:w="4404" w:type="dxa"/>
          </w:tcPr>
          <w:p w14:paraId="11C0F0D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GSP47.jpg</w:t>
            </w:r>
          </w:p>
        </w:tc>
        <w:tc>
          <w:tcPr>
            <w:tcW w:w="4404" w:type="dxa"/>
          </w:tcPr>
          <w:p w14:paraId="31E5163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7.17</w:t>
            </w:r>
          </w:p>
        </w:tc>
      </w:tr>
      <w:tr w:rsidR="00EB4444" w:rsidRPr="00EB4444" w14:paraId="7365DFA1" w14:textId="77777777" w:rsidTr="00EB4444">
        <w:trPr>
          <w:trHeight w:val="407"/>
        </w:trPr>
        <w:tc>
          <w:tcPr>
            <w:tcW w:w="4404" w:type="dxa"/>
          </w:tcPr>
          <w:p w14:paraId="4D83D22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GSP24.jpg</w:t>
            </w:r>
          </w:p>
        </w:tc>
        <w:tc>
          <w:tcPr>
            <w:tcW w:w="4404" w:type="dxa"/>
          </w:tcPr>
          <w:p w14:paraId="552123C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7.26</w:t>
            </w:r>
          </w:p>
        </w:tc>
      </w:tr>
      <w:tr w:rsidR="00EB4444" w:rsidRPr="00EB4444" w14:paraId="457EC748" w14:textId="77777777" w:rsidTr="00EB4444">
        <w:trPr>
          <w:trHeight w:val="407"/>
        </w:trPr>
        <w:tc>
          <w:tcPr>
            <w:tcW w:w="4404" w:type="dxa"/>
          </w:tcPr>
          <w:p w14:paraId="264123F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GSP11.jpg</w:t>
            </w:r>
          </w:p>
        </w:tc>
        <w:tc>
          <w:tcPr>
            <w:tcW w:w="4404" w:type="dxa"/>
          </w:tcPr>
          <w:p w14:paraId="2C0E8E8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7.59</w:t>
            </w:r>
          </w:p>
        </w:tc>
      </w:tr>
      <w:tr w:rsidR="00EB4444" w:rsidRPr="00EB4444" w14:paraId="7967DEDC" w14:textId="77777777" w:rsidTr="00EB4444">
        <w:trPr>
          <w:trHeight w:val="407"/>
        </w:trPr>
        <w:tc>
          <w:tcPr>
            <w:tcW w:w="4404" w:type="dxa"/>
          </w:tcPr>
          <w:p w14:paraId="2BAFE0C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GSP56.jpg</w:t>
            </w:r>
          </w:p>
        </w:tc>
        <w:tc>
          <w:tcPr>
            <w:tcW w:w="4404" w:type="dxa"/>
          </w:tcPr>
          <w:p w14:paraId="154E56E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7.83</w:t>
            </w:r>
          </w:p>
        </w:tc>
      </w:tr>
      <w:tr w:rsidR="00EB4444" w:rsidRPr="00EB4444" w14:paraId="77319298" w14:textId="77777777" w:rsidTr="00EB4444">
        <w:trPr>
          <w:trHeight w:val="407"/>
        </w:trPr>
        <w:tc>
          <w:tcPr>
            <w:tcW w:w="4404" w:type="dxa"/>
          </w:tcPr>
          <w:p w14:paraId="20DD980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GSP9.jpg</w:t>
            </w:r>
          </w:p>
        </w:tc>
        <w:tc>
          <w:tcPr>
            <w:tcW w:w="4404" w:type="dxa"/>
          </w:tcPr>
          <w:p w14:paraId="701F2DE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7.83</w:t>
            </w:r>
          </w:p>
        </w:tc>
      </w:tr>
      <w:tr w:rsidR="00EB4444" w:rsidRPr="00EB4444" w14:paraId="25DD0F9A" w14:textId="77777777" w:rsidTr="00EB4444">
        <w:trPr>
          <w:trHeight w:val="407"/>
        </w:trPr>
        <w:tc>
          <w:tcPr>
            <w:tcW w:w="4404" w:type="dxa"/>
          </w:tcPr>
          <w:p w14:paraId="43D1C5B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GSP51.jpg</w:t>
            </w:r>
          </w:p>
        </w:tc>
        <w:tc>
          <w:tcPr>
            <w:tcW w:w="4404" w:type="dxa"/>
          </w:tcPr>
          <w:p w14:paraId="619B8227"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7.96</w:t>
            </w:r>
          </w:p>
        </w:tc>
      </w:tr>
    </w:tbl>
    <w:p w14:paraId="2CAC3CF8" w14:textId="77777777" w:rsidR="00EB4444" w:rsidRPr="00EB4444" w:rsidRDefault="00EB4444" w:rsidP="00EB4444">
      <w:pPr>
        <w:pStyle w:val="NoSpacing"/>
        <w:rPr>
          <w:rFonts w:ascii="Times New Roman" w:hAnsi="Times New Roman" w:cs="Times New Roman"/>
        </w:rPr>
      </w:pPr>
    </w:p>
    <w:p w14:paraId="66ABCE82" w14:textId="34DA1DF1"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rPr>
        <w:t>The 30 animal images are taken from the International Affective Picture System (IAPS; Lang</w:t>
      </w:r>
      <w:r>
        <w:rPr>
          <w:rFonts w:ascii="Times New Roman" w:hAnsi="Times New Roman" w:cs="Times New Roman"/>
        </w:rPr>
        <w:t xml:space="preserve"> et al.,</w:t>
      </w:r>
      <w:r w:rsidRPr="00EB4444">
        <w:rPr>
          <w:rFonts w:ascii="Times New Roman" w:hAnsi="Times New Roman" w:cs="Times New Roman"/>
        </w:rPr>
        <w:t xml:space="preserve"> 2008). These images comprise a number of different animals (e.g., parrots, dogs, insects, snakes).  Below are the filenames of these images and their valence ratings. This link has information on how to request access to the images: </w:t>
      </w:r>
      <w:hyperlink r:id="rId93">
        <w:r w:rsidRPr="00EB4444">
          <w:rPr>
            <w:rStyle w:val="Hyperlink"/>
            <w:rFonts w:ascii="Times New Roman" w:hAnsi="Times New Roman" w:cs="Times New Roman"/>
          </w:rPr>
          <w:t>https://csea.phhp.ufl.edu/media/iapsmessage.html</w:t>
        </w:r>
      </w:hyperlink>
      <w:r w:rsidRPr="00EB4444">
        <w:rPr>
          <w:rFonts w:ascii="Times New Roman" w:hAnsi="Times New Roman" w:cs="Times New Roman"/>
        </w:rPr>
        <w:t>.</w:t>
      </w:r>
    </w:p>
    <w:p w14:paraId="48B544CA" w14:textId="77777777" w:rsidR="00EB4444" w:rsidRDefault="00EB4444" w:rsidP="00EB4444">
      <w:pPr>
        <w:pStyle w:val="NoSpacing"/>
        <w:spacing w:line="480" w:lineRule="auto"/>
        <w:rPr>
          <w:rFonts w:ascii="Times New Roman" w:hAnsi="Times New Roman" w:cs="Times New Roman"/>
          <w:b/>
          <w:bCs/>
        </w:rPr>
      </w:pPr>
    </w:p>
    <w:p w14:paraId="3A43C88C" w14:textId="7B0C5040" w:rsidR="00EB4444" w:rsidRDefault="00EB4444" w:rsidP="00EB4444">
      <w:pPr>
        <w:pStyle w:val="NoSpacing"/>
        <w:spacing w:line="480" w:lineRule="auto"/>
        <w:rPr>
          <w:rFonts w:ascii="Times New Roman" w:hAnsi="Times New Roman" w:cs="Times New Roman"/>
          <w:b/>
          <w:bCs/>
        </w:rPr>
      </w:pPr>
      <w:r w:rsidRPr="00EB4444">
        <w:rPr>
          <w:rFonts w:ascii="Times New Roman" w:hAnsi="Times New Roman" w:cs="Times New Roman"/>
          <w:b/>
          <w:bCs/>
        </w:rPr>
        <w:t>Table S5.2</w:t>
      </w:r>
    </w:p>
    <w:p w14:paraId="681E37F3" w14:textId="55716A6A"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i/>
          <w:iCs/>
        </w:rPr>
        <w:t>Image filenames and valence ratings of the International Affective Picture System images</w:t>
      </w:r>
    </w:p>
    <w:tbl>
      <w:tblP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4"/>
        <w:gridCol w:w="4514"/>
      </w:tblGrid>
      <w:tr w:rsidR="00EB4444" w:rsidRPr="00EB4444" w14:paraId="72B23DCE" w14:textId="77777777" w:rsidTr="00EB4444">
        <w:trPr>
          <w:trHeight w:val="423"/>
        </w:trPr>
        <w:tc>
          <w:tcPr>
            <w:tcW w:w="4514" w:type="dxa"/>
          </w:tcPr>
          <w:p w14:paraId="6A55669A" w14:textId="77777777" w:rsidR="00EB4444" w:rsidRPr="00EB4444" w:rsidRDefault="00EB4444" w:rsidP="00EB4444">
            <w:pPr>
              <w:pStyle w:val="NoSpacing"/>
              <w:jc w:val="center"/>
              <w:rPr>
                <w:rFonts w:ascii="Times New Roman" w:hAnsi="Times New Roman" w:cs="Times New Roman"/>
                <w:b/>
                <w:bCs/>
              </w:rPr>
            </w:pPr>
            <w:r w:rsidRPr="00EB4444">
              <w:rPr>
                <w:rFonts w:ascii="Times New Roman" w:hAnsi="Times New Roman" w:cs="Times New Roman"/>
                <w:b/>
                <w:bCs/>
              </w:rPr>
              <w:t>Image (file) name</w:t>
            </w:r>
          </w:p>
        </w:tc>
        <w:tc>
          <w:tcPr>
            <w:tcW w:w="4514" w:type="dxa"/>
          </w:tcPr>
          <w:p w14:paraId="694E0F6A" w14:textId="77777777" w:rsidR="00EB4444" w:rsidRPr="00EB4444" w:rsidRDefault="00EB4444" w:rsidP="00EB4444">
            <w:pPr>
              <w:pStyle w:val="NoSpacing"/>
              <w:jc w:val="center"/>
              <w:rPr>
                <w:rFonts w:ascii="Times New Roman" w:hAnsi="Times New Roman" w:cs="Times New Roman"/>
                <w:b/>
                <w:bCs/>
              </w:rPr>
            </w:pPr>
            <w:r w:rsidRPr="00EB4444">
              <w:rPr>
                <w:rFonts w:ascii="Times New Roman" w:hAnsi="Times New Roman" w:cs="Times New Roman"/>
                <w:b/>
                <w:bCs/>
              </w:rPr>
              <w:t>Valence rating</w:t>
            </w:r>
          </w:p>
        </w:tc>
      </w:tr>
      <w:tr w:rsidR="00EB4444" w:rsidRPr="00EB4444" w14:paraId="778C0757" w14:textId="77777777" w:rsidTr="00EB4444">
        <w:trPr>
          <w:trHeight w:val="399"/>
        </w:trPr>
        <w:tc>
          <w:tcPr>
            <w:tcW w:w="4514" w:type="dxa"/>
          </w:tcPr>
          <w:p w14:paraId="3AFA020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1710.jpg</w:t>
            </w:r>
          </w:p>
        </w:tc>
        <w:tc>
          <w:tcPr>
            <w:tcW w:w="4514" w:type="dxa"/>
          </w:tcPr>
          <w:p w14:paraId="242D43B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8.34</w:t>
            </w:r>
          </w:p>
        </w:tc>
      </w:tr>
      <w:tr w:rsidR="00EB4444" w:rsidRPr="00EB4444" w14:paraId="7C378CFC" w14:textId="77777777" w:rsidTr="00EB4444">
        <w:trPr>
          <w:trHeight w:val="423"/>
        </w:trPr>
        <w:tc>
          <w:tcPr>
            <w:tcW w:w="4514" w:type="dxa"/>
          </w:tcPr>
          <w:p w14:paraId="52028D77"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1750.jpg</w:t>
            </w:r>
          </w:p>
        </w:tc>
        <w:tc>
          <w:tcPr>
            <w:tcW w:w="4514" w:type="dxa"/>
          </w:tcPr>
          <w:p w14:paraId="46F9E79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8.28</w:t>
            </w:r>
          </w:p>
        </w:tc>
      </w:tr>
      <w:tr w:rsidR="00EB4444" w:rsidRPr="00EB4444" w14:paraId="3237D720" w14:textId="77777777" w:rsidTr="00EB4444">
        <w:trPr>
          <w:trHeight w:val="399"/>
        </w:trPr>
        <w:tc>
          <w:tcPr>
            <w:tcW w:w="4514" w:type="dxa"/>
          </w:tcPr>
          <w:p w14:paraId="7A2891A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1460.jpg</w:t>
            </w:r>
          </w:p>
        </w:tc>
        <w:tc>
          <w:tcPr>
            <w:tcW w:w="4514" w:type="dxa"/>
          </w:tcPr>
          <w:p w14:paraId="0168F2D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8.21</w:t>
            </w:r>
          </w:p>
        </w:tc>
      </w:tr>
      <w:tr w:rsidR="00EB4444" w:rsidRPr="00EB4444" w14:paraId="7F561B0F" w14:textId="77777777" w:rsidTr="00EB4444">
        <w:trPr>
          <w:trHeight w:val="423"/>
        </w:trPr>
        <w:tc>
          <w:tcPr>
            <w:tcW w:w="4514" w:type="dxa"/>
          </w:tcPr>
          <w:p w14:paraId="2344BDF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1400.jpg</w:t>
            </w:r>
          </w:p>
        </w:tc>
        <w:tc>
          <w:tcPr>
            <w:tcW w:w="4514" w:type="dxa"/>
          </w:tcPr>
          <w:p w14:paraId="1F3996A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8.19</w:t>
            </w:r>
          </w:p>
        </w:tc>
      </w:tr>
      <w:tr w:rsidR="00EB4444" w:rsidRPr="00EB4444" w14:paraId="2D825A35" w14:textId="77777777" w:rsidTr="00EB4444">
        <w:trPr>
          <w:trHeight w:val="399"/>
        </w:trPr>
        <w:tc>
          <w:tcPr>
            <w:tcW w:w="4514" w:type="dxa"/>
          </w:tcPr>
          <w:p w14:paraId="25591D74"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1620.jpg</w:t>
            </w:r>
          </w:p>
        </w:tc>
        <w:tc>
          <w:tcPr>
            <w:tcW w:w="4514" w:type="dxa"/>
          </w:tcPr>
          <w:p w14:paraId="66CBA4E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7.37</w:t>
            </w:r>
          </w:p>
        </w:tc>
      </w:tr>
      <w:tr w:rsidR="00EB4444" w:rsidRPr="00EB4444" w14:paraId="18E90AB0" w14:textId="77777777" w:rsidTr="00EB4444">
        <w:trPr>
          <w:trHeight w:val="399"/>
        </w:trPr>
        <w:tc>
          <w:tcPr>
            <w:tcW w:w="4514" w:type="dxa"/>
          </w:tcPr>
          <w:p w14:paraId="7CCB7BBE"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1600.jpg</w:t>
            </w:r>
          </w:p>
        </w:tc>
        <w:tc>
          <w:tcPr>
            <w:tcW w:w="4514" w:type="dxa"/>
          </w:tcPr>
          <w:p w14:paraId="255715B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7.37</w:t>
            </w:r>
          </w:p>
        </w:tc>
      </w:tr>
      <w:tr w:rsidR="00EB4444" w:rsidRPr="00EB4444" w14:paraId="5CBBAFE8" w14:textId="77777777" w:rsidTr="00EB4444">
        <w:trPr>
          <w:trHeight w:val="399"/>
        </w:trPr>
        <w:tc>
          <w:tcPr>
            <w:tcW w:w="4514" w:type="dxa"/>
          </w:tcPr>
          <w:p w14:paraId="3F4BC96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lastRenderedPageBreak/>
              <w:t>1721.jpg</w:t>
            </w:r>
          </w:p>
        </w:tc>
        <w:tc>
          <w:tcPr>
            <w:tcW w:w="4514" w:type="dxa"/>
          </w:tcPr>
          <w:p w14:paraId="597AF2A6"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7.30</w:t>
            </w:r>
          </w:p>
        </w:tc>
      </w:tr>
      <w:tr w:rsidR="00EB4444" w:rsidRPr="00EB4444" w14:paraId="4A608828" w14:textId="77777777" w:rsidTr="00EB4444">
        <w:trPr>
          <w:trHeight w:val="399"/>
        </w:trPr>
        <w:tc>
          <w:tcPr>
            <w:tcW w:w="4514" w:type="dxa"/>
          </w:tcPr>
          <w:p w14:paraId="27583CD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1500.jpg</w:t>
            </w:r>
          </w:p>
        </w:tc>
        <w:tc>
          <w:tcPr>
            <w:tcW w:w="4514" w:type="dxa"/>
          </w:tcPr>
          <w:p w14:paraId="7F21AFC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7.24</w:t>
            </w:r>
          </w:p>
        </w:tc>
      </w:tr>
      <w:tr w:rsidR="00EB4444" w:rsidRPr="00EB4444" w14:paraId="5CBD61FF" w14:textId="77777777" w:rsidTr="00EB4444">
        <w:trPr>
          <w:trHeight w:val="399"/>
        </w:trPr>
        <w:tc>
          <w:tcPr>
            <w:tcW w:w="4514" w:type="dxa"/>
          </w:tcPr>
          <w:p w14:paraId="745448E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1740.jpg</w:t>
            </w:r>
          </w:p>
        </w:tc>
        <w:tc>
          <w:tcPr>
            <w:tcW w:w="4514" w:type="dxa"/>
          </w:tcPr>
          <w:p w14:paraId="607DFF7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6.91</w:t>
            </w:r>
          </w:p>
        </w:tc>
      </w:tr>
      <w:tr w:rsidR="00EB4444" w:rsidRPr="00EB4444" w14:paraId="0BBD1C4B" w14:textId="77777777" w:rsidTr="00EB4444">
        <w:trPr>
          <w:trHeight w:val="399"/>
        </w:trPr>
        <w:tc>
          <w:tcPr>
            <w:tcW w:w="4514" w:type="dxa"/>
          </w:tcPr>
          <w:p w14:paraId="68656C9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1603.jpg</w:t>
            </w:r>
          </w:p>
        </w:tc>
        <w:tc>
          <w:tcPr>
            <w:tcW w:w="4514" w:type="dxa"/>
          </w:tcPr>
          <w:p w14:paraId="1602FD5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6.90</w:t>
            </w:r>
          </w:p>
        </w:tc>
      </w:tr>
      <w:tr w:rsidR="00EB4444" w:rsidRPr="00EB4444" w14:paraId="68BCBD45" w14:textId="77777777" w:rsidTr="00EB4444">
        <w:trPr>
          <w:trHeight w:val="399"/>
        </w:trPr>
        <w:tc>
          <w:tcPr>
            <w:tcW w:w="4514" w:type="dxa"/>
          </w:tcPr>
          <w:p w14:paraId="70F3132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1812.jpg</w:t>
            </w:r>
          </w:p>
        </w:tc>
        <w:tc>
          <w:tcPr>
            <w:tcW w:w="4514" w:type="dxa"/>
          </w:tcPr>
          <w:p w14:paraId="3831C76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6.83</w:t>
            </w:r>
          </w:p>
        </w:tc>
      </w:tr>
      <w:tr w:rsidR="00EB4444" w:rsidRPr="00EB4444" w14:paraId="49BA94A8" w14:textId="77777777" w:rsidTr="00EB4444">
        <w:trPr>
          <w:trHeight w:val="399"/>
        </w:trPr>
        <w:tc>
          <w:tcPr>
            <w:tcW w:w="4514" w:type="dxa"/>
          </w:tcPr>
          <w:p w14:paraId="2BB5F90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1720.jpg</w:t>
            </w:r>
          </w:p>
        </w:tc>
        <w:tc>
          <w:tcPr>
            <w:tcW w:w="4514" w:type="dxa"/>
          </w:tcPr>
          <w:p w14:paraId="7F1E554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6.79</w:t>
            </w:r>
          </w:p>
        </w:tc>
      </w:tr>
      <w:tr w:rsidR="00EB4444" w:rsidRPr="00EB4444" w14:paraId="423386F5" w14:textId="77777777" w:rsidTr="00EB4444">
        <w:trPr>
          <w:trHeight w:val="399"/>
        </w:trPr>
        <w:tc>
          <w:tcPr>
            <w:tcW w:w="4514" w:type="dxa"/>
          </w:tcPr>
          <w:p w14:paraId="15E5C14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1650.jpg</w:t>
            </w:r>
          </w:p>
        </w:tc>
        <w:tc>
          <w:tcPr>
            <w:tcW w:w="4514" w:type="dxa"/>
          </w:tcPr>
          <w:p w14:paraId="2A34AF3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6.65</w:t>
            </w:r>
          </w:p>
        </w:tc>
      </w:tr>
      <w:tr w:rsidR="00EB4444" w:rsidRPr="00EB4444" w14:paraId="3385156E" w14:textId="77777777" w:rsidTr="00EB4444">
        <w:trPr>
          <w:trHeight w:val="399"/>
        </w:trPr>
        <w:tc>
          <w:tcPr>
            <w:tcW w:w="4514" w:type="dxa"/>
          </w:tcPr>
          <w:p w14:paraId="4DCD500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1419.jpg</w:t>
            </w:r>
          </w:p>
        </w:tc>
        <w:tc>
          <w:tcPr>
            <w:tcW w:w="4514" w:type="dxa"/>
          </w:tcPr>
          <w:p w14:paraId="5882F886"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6.54</w:t>
            </w:r>
          </w:p>
        </w:tc>
      </w:tr>
      <w:tr w:rsidR="00EB4444" w:rsidRPr="00EB4444" w14:paraId="70CF9C8C" w14:textId="77777777" w:rsidTr="00EB4444">
        <w:trPr>
          <w:trHeight w:val="399"/>
        </w:trPr>
        <w:tc>
          <w:tcPr>
            <w:tcW w:w="4514" w:type="dxa"/>
          </w:tcPr>
          <w:p w14:paraId="1393F44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1333.jpg</w:t>
            </w:r>
          </w:p>
        </w:tc>
        <w:tc>
          <w:tcPr>
            <w:tcW w:w="4514" w:type="dxa"/>
          </w:tcPr>
          <w:p w14:paraId="2E0E2C8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6.11</w:t>
            </w:r>
          </w:p>
        </w:tc>
      </w:tr>
      <w:tr w:rsidR="00EB4444" w:rsidRPr="00EB4444" w14:paraId="555CD9B6" w14:textId="77777777" w:rsidTr="00EB4444">
        <w:trPr>
          <w:trHeight w:val="399"/>
        </w:trPr>
        <w:tc>
          <w:tcPr>
            <w:tcW w:w="4514" w:type="dxa"/>
          </w:tcPr>
          <w:p w14:paraId="67B58EB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1560.jpg</w:t>
            </w:r>
          </w:p>
        </w:tc>
        <w:tc>
          <w:tcPr>
            <w:tcW w:w="4514" w:type="dxa"/>
          </w:tcPr>
          <w:p w14:paraId="3B30ACA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5.97</w:t>
            </w:r>
          </w:p>
        </w:tc>
      </w:tr>
      <w:tr w:rsidR="00EB4444" w:rsidRPr="00EB4444" w14:paraId="07861CF7" w14:textId="77777777" w:rsidTr="00EB4444">
        <w:trPr>
          <w:trHeight w:val="399"/>
        </w:trPr>
        <w:tc>
          <w:tcPr>
            <w:tcW w:w="4514" w:type="dxa"/>
          </w:tcPr>
          <w:p w14:paraId="661900C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1670.jpg</w:t>
            </w:r>
          </w:p>
        </w:tc>
        <w:tc>
          <w:tcPr>
            <w:tcW w:w="4514" w:type="dxa"/>
          </w:tcPr>
          <w:p w14:paraId="6840583D"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5.82</w:t>
            </w:r>
          </w:p>
        </w:tc>
      </w:tr>
      <w:tr w:rsidR="00EB4444" w:rsidRPr="00EB4444" w14:paraId="18FDF30B" w14:textId="77777777" w:rsidTr="00EB4444">
        <w:trPr>
          <w:trHeight w:val="399"/>
        </w:trPr>
        <w:tc>
          <w:tcPr>
            <w:tcW w:w="4514" w:type="dxa"/>
          </w:tcPr>
          <w:p w14:paraId="3F11EC6C"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1121.jpg</w:t>
            </w:r>
          </w:p>
        </w:tc>
        <w:tc>
          <w:tcPr>
            <w:tcW w:w="4514" w:type="dxa"/>
          </w:tcPr>
          <w:p w14:paraId="2DA7CA0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5.79</w:t>
            </w:r>
          </w:p>
        </w:tc>
      </w:tr>
      <w:tr w:rsidR="00EB4444" w:rsidRPr="00EB4444" w14:paraId="0FEE5E91" w14:textId="77777777" w:rsidTr="00EB4444">
        <w:trPr>
          <w:trHeight w:val="399"/>
        </w:trPr>
        <w:tc>
          <w:tcPr>
            <w:tcW w:w="4514" w:type="dxa"/>
          </w:tcPr>
          <w:p w14:paraId="61619C9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1903.jpg</w:t>
            </w:r>
          </w:p>
        </w:tc>
        <w:tc>
          <w:tcPr>
            <w:tcW w:w="4514" w:type="dxa"/>
          </w:tcPr>
          <w:p w14:paraId="78C09A5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5.50</w:t>
            </w:r>
          </w:p>
        </w:tc>
      </w:tr>
      <w:tr w:rsidR="00EB4444" w:rsidRPr="00EB4444" w14:paraId="3B5533C8" w14:textId="77777777" w:rsidTr="00EB4444">
        <w:trPr>
          <w:trHeight w:val="399"/>
        </w:trPr>
        <w:tc>
          <w:tcPr>
            <w:tcW w:w="4514" w:type="dxa"/>
          </w:tcPr>
          <w:p w14:paraId="46AE9B7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1350.jpg</w:t>
            </w:r>
          </w:p>
        </w:tc>
        <w:tc>
          <w:tcPr>
            <w:tcW w:w="4514" w:type="dxa"/>
          </w:tcPr>
          <w:p w14:paraId="3390212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5.25</w:t>
            </w:r>
          </w:p>
        </w:tc>
      </w:tr>
      <w:tr w:rsidR="00EB4444" w:rsidRPr="00EB4444" w14:paraId="526F5DF1" w14:textId="77777777" w:rsidTr="00EB4444">
        <w:trPr>
          <w:trHeight w:val="399"/>
        </w:trPr>
        <w:tc>
          <w:tcPr>
            <w:tcW w:w="4514" w:type="dxa"/>
          </w:tcPr>
          <w:p w14:paraId="4EB04C3B"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1726.jpg</w:t>
            </w:r>
          </w:p>
        </w:tc>
        <w:tc>
          <w:tcPr>
            <w:tcW w:w="4514" w:type="dxa"/>
          </w:tcPr>
          <w:p w14:paraId="5C6965B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4.79</w:t>
            </w:r>
          </w:p>
        </w:tc>
      </w:tr>
      <w:tr w:rsidR="00EB4444" w:rsidRPr="00EB4444" w14:paraId="3CF5D124" w14:textId="77777777" w:rsidTr="00EB4444">
        <w:trPr>
          <w:trHeight w:val="399"/>
        </w:trPr>
        <w:tc>
          <w:tcPr>
            <w:tcW w:w="4514" w:type="dxa"/>
          </w:tcPr>
          <w:p w14:paraId="1573BF3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1945.jpg</w:t>
            </w:r>
          </w:p>
        </w:tc>
        <w:tc>
          <w:tcPr>
            <w:tcW w:w="4514" w:type="dxa"/>
          </w:tcPr>
          <w:p w14:paraId="147A9012"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4.59</w:t>
            </w:r>
          </w:p>
        </w:tc>
      </w:tr>
      <w:tr w:rsidR="00EB4444" w:rsidRPr="00EB4444" w14:paraId="5C625314" w14:textId="77777777" w:rsidTr="00EB4444">
        <w:trPr>
          <w:trHeight w:val="399"/>
        </w:trPr>
        <w:tc>
          <w:tcPr>
            <w:tcW w:w="4514" w:type="dxa"/>
          </w:tcPr>
          <w:p w14:paraId="3D651A4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1390.jpg</w:t>
            </w:r>
          </w:p>
        </w:tc>
        <w:tc>
          <w:tcPr>
            <w:tcW w:w="4514" w:type="dxa"/>
          </w:tcPr>
          <w:p w14:paraId="6AAF266F"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4.50</w:t>
            </w:r>
          </w:p>
        </w:tc>
      </w:tr>
      <w:tr w:rsidR="00EB4444" w:rsidRPr="00EB4444" w14:paraId="0F20C68E" w14:textId="77777777" w:rsidTr="00EB4444">
        <w:trPr>
          <w:trHeight w:val="399"/>
        </w:trPr>
        <w:tc>
          <w:tcPr>
            <w:tcW w:w="4514" w:type="dxa"/>
          </w:tcPr>
          <w:p w14:paraId="431A0F8A"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1321.jpg</w:t>
            </w:r>
          </w:p>
        </w:tc>
        <w:tc>
          <w:tcPr>
            <w:tcW w:w="4514" w:type="dxa"/>
          </w:tcPr>
          <w:p w14:paraId="59D302D7"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4.32</w:t>
            </w:r>
          </w:p>
        </w:tc>
      </w:tr>
      <w:tr w:rsidR="00EB4444" w:rsidRPr="00EB4444" w14:paraId="4425B8CD" w14:textId="77777777" w:rsidTr="00EB4444">
        <w:trPr>
          <w:trHeight w:val="399"/>
        </w:trPr>
        <w:tc>
          <w:tcPr>
            <w:tcW w:w="4514" w:type="dxa"/>
          </w:tcPr>
          <w:p w14:paraId="776DDDE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1930.jpg</w:t>
            </w:r>
          </w:p>
        </w:tc>
        <w:tc>
          <w:tcPr>
            <w:tcW w:w="4514" w:type="dxa"/>
          </w:tcPr>
          <w:p w14:paraId="4CE68FC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3.79</w:t>
            </w:r>
          </w:p>
        </w:tc>
      </w:tr>
      <w:tr w:rsidR="00EB4444" w:rsidRPr="00EB4444" w14:paraId="7DEBD808" w14:textId="77777777" w:rsidTr="00EB4444">
        <w:trPr>
          <w:trHeight w:val="399"/>
        </w:trPr>
        <w:tc>
          <w:tcPr>
            <w:tcW w:w="4514" w:type="dxa"/>
          </w:tcPr>
          <w:p w14:paraId="762F7A91"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1280.jpg</w:t>
            </w:r>
          </w:p>
        </w:tc>
        <w:tc>
          <w:tcPr>
            <w:tcW w:w="4514" w:type="dxa"/>
          </w:tcPr>
          <w:p w14:paraId="167E14AC"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3.66</w:t>
            </w:r>
          </w:p>
        </w:tc>
      </w:tr>
      <w:tr w:rsidR="00EB4444" w:rsidRPr="00EB4444" w14:paraId="0DB4E7B6" w14:textId="77777777" w:rsidTr="00EB4444">
        <w:trPr>
          <w:trHeight w:val="399"/>
        </w:trPr>
        <w:tc>
          <w:tcPr>
            <w:tcW w:w="4514" w:type="dxa"/>
          </w:tcPr>
          <w:p w14:paraId="5BCBAB08"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1300.jpg</w:t>
            </w:r>
          </w:p>
        </w:tc>
        <w:tc>
          <w:tcPr>
            <w:tcW w:w="4514" w:type="dxa"/>
          </w:tcPr>
          <w:p w14:paraId="2F6D4320"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3.55</w:t>
            </w:r>
          </w:p>
        </w:tc>
      </w:tr>
      <w:tr w:rsidR="00EB4444" w:rsidRPr="00EB4444" w14:paraId="187559C3" w14:textId="77777777" w:rsidTr="00EB4444">
        <w:trPr>
          <w:trHeight w:val="399"/>
        </w:trPr>
        <w:tc>
          <w:tcPr>
            <w:tcW w:w="4514" w:type="dxa"/>
          </w:tcPr>
          <w:p w14:paraId="7029F6B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1050.jpg</w:t>
            </w:r>
          </w:p>
        </w:tc>
        <w:tc>
          <w:tcPr>
            <w:tcW w:w="4514" w:type="dxa"/>
          </w:tcPr>
          <w:p w14:paraId="14EB0D99"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3.46</w:t>
            </w:r>
          </w:p>
        </w:tc>
      </w:tr>
      <w:tr w:rsidR="00EB4444" w:rsidRPr="00EB4444" w14:paraId="5FFF7515" w14:textId="77777777" w:rsidTr="00EB4444">
        <w:trPr>
          <w:trHeight w:val="399"/>
        </w:trPr>
        <w:tc>
          <w:tcPr>
            <w:tcW w:w="4514" w:type="dxa"/>
          </w:tcPr>
          <w:p w14:paraId="690143A3"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1202.jpg</w:t>
            </w:r>
          </w:p>
        </w:tc>
        <w:tc>
          <w:tcPr>
            <w:tcW w:w="4514" w:type="dxa"/>
          </w:tcPr>
          <w:p w14:paraId="708CAE16"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3.35</w:t>
            </w:r>
          </w:p>
        </w:tc>
      </w:tr>
      <w:tr w:rsidR="00EB4444" w:rsidRPr="00EB4444" w14:paraId="39ED0318" w14:textId="77777777" w:rsidTr="00EB4444">
        <w:trPr>
          <w:trHeight w:val="399"/>
        </w:trPr>
        <w:tc>
          <w:tcPr>
            <w:tcW w:w="4514" w:type="dxa"/>
          </w:tcPr>
          <w:p w14:paraId="663B8077"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1274.jpg</w:t>
            </w:r>
          </w:p>
        </w:tc>
        <w:tc>
          <w:tcPr>
            <w:tcW w:w="4514" w:type="dxa"/>
          </w:tcPr>
          <w:p w14:paraId="13BC4D45" w14:textId="77777777" w:rsidR="00EB4444" w:rsidRPr="00EB4444" w:rsidRDefault="00EB4444" w:rsidP="00EB4444">
            <w:pPr>
              <w:pStyle w:val="NoSpacing"/>
              <w:jc w:val="center"/>
              <w:rPr>
                <w:rFonts w:ascii="Times New Roman" w:hAnsi="Times New Roman" w:cs="Times New Roman"/>
              </w:rPr>
            </w:pPr>
            <w:r w:rsidRPr="00EB4444">
              <w:rPr>
                <w:rFonts w:ascii="Times New Roman" w:hAnsi="Times New Roman" w:cs="Times New Roman"/>
              </w:rPr>
              <w:t>3.17</w:t>
            </w:r>
          </w:p>
        </w:tc>
      </w:tr>
    </w:tbl>
    <w:p w14:paraId="549C7DF1" w14:textId="77777777" w:rsidR="00EB4444" w:rsidRPr="00EB4444" w:rsidRDefault="00EB4444" w:rsidP="00EB4444">
      <w:pPr>
        <w:pStyle w:val="NoSpacing"/>
        <w:rPr>
          <w:rFonts w:ascii="Times New Roman" w:hAnsi="Times New Roman" w:cs="Times New Roman"/>
        </w:rPr>
      </w:pPr>
    </w:p>
    <w:p w14:paraId="7E79AD0D" w14:textId="1CF0C1E3" w:rsidR="00093B56" w:rsidRPr="00EB4444" w:rsidRDefault="00093B56" w:rsidP="00093B56">
      <w:pPr>
        <w:pStyle w:val="NoSpacing"/>
        <w:rPr>
          <w:rFonts w:ascii="Times New Roman" w:hAnsi="Times New Roman" w:cs="Times New Roman"/>
        </w:rPr>
      </w:pPr>
    </w:p>
    <w:p w14:paraId="5B4AE62C" w14:textId="636D157A" w:rsidR="00093B56" w:rsidRPr="00EB4444" w:rsidRDefault="00093B56" w:rsidP="00093B56">
      <w:pPr>
        <w:pStyle w:val="NoSpacing"/>
        <w:rPr>
          <w:rFonts w:ascii="Times New Roman" w:hAnsi="Times New Roman" w:cs="Times New Roman"/>
        </w:rPr>
      </w:pPr>
    </w:p>
    <w:p w14:paraId="6ADDCDF2" w14:textId="439B67ED" w:rsidR="00093B56" w:rsidRDefault="00093B56" w:rsidP="00093B56">
      <w:pPr>
        <w:pStyle w:val="NoSpacing"/>
        <w:rPr>
          <w:rFonts w:ascii="Times New Roman" w:hAnsi="Times New Roman" w:cs="Times New Roman"/>
        </w:rPr>
      </w:pPr>
    </w:p>
    <w:p w14:paraId="3BEEC172" w14:textId="517FFDCB" w:rsidR="00EB4444" w:rsidRDefault="00EB4444" w:rsidP="00093B56">
      <w:pPr>
        <w:pStyle w:val="NoSpacing"/>
        <w:rPr>
          <w:rFonts w:ascii="Times New Roman" w:hAnsi="Times New Roman" w:cs="Times New Roman"/>
        </w:rPr>
      </w:pPr>
    </w:p>
    <w:p w14:paraId="3638243F" w14:textId="22D35403" w:rsidR="00EB4444" w:rsidRDefault="00EB4444" w:rsidP="00093B56">
      <w:pPr>
        <w:pStyle w:val="NoSpacing"/>
        <w:rPr>
          <w:rFonts w:ascii="Times New Roman" w:hAnsi="Times New Roman" w:cs="Times New Roman"/>
        </w:rPr>
      </w:pPr>
    </w:p>
    <w:p w14:paraId="204AC9BD" w14:textId="702A188C" w:rsidR="00EB4444" w:rsidRDefault="00EB4444" w:rsidP="00093B56">
      <w:pPr>
        <w:pStyle w:val="NoSpacing"/>
        <w:rPr>
          <w:rFonts w:ascii="Times New Roman" w:hAnsi="Times New Roman" w:cs="Times New Roman"/>
        </w:rPr>
      </w:pPr>
    </w:p>
    <w:p w14:paraId="19FC983D" w14:textId="0A692CDD" w:rsidR="00EB4444" w:rsidRDefault="00EB4444" w:rsidP="00093B56">
      <w:pPr>
        <w:pStyle w:val="NoSpacing"/>
        <w:rPr>
          <w:rFonts w:ascii="Times New Roman" w:hAnsi="Times New Roman" w:cs="Times New Roman"/>
        </w:rPr>
      </w:pPr>
    </w:p>
    <w:p w14:paraId="7FEABF72" w14:textId="6BBF7C36" w:rsidR="00EB4444" w:rsidRDefault="00EB4444" w:rsidP="00093B56">
      <w:pPr>
        <w:pStyle w:val="NoSpacing"/>
        <w:rPr>
          <w:rFonts w:ascii="Times New Roman" w:hAnsi="Times New Roman" w:cs="Times New Roman"/>
        </w:rPr>
      </w:pPr>
    </w:p>
    <w:p w14:paraId="2C0D10F0" w14:textId="0C4FA1A1" w:rsidR="00EB4444" w:rsidRDefault="00EB4444" w:rsidP="00093B56">
      <w:pPr>
        <w:pStyle w:val="NoSpacing"/>
        <w:rPr>
          <w:rFonts w:ascii="Times New Roman" w:hAnsi="Times New Roman" w:cs="Times New Roman"/>
        </w:rPr>
      </w:pPr>
    </w:p>
    <w:p w14:paraId="65F85A2E" w14:textId="03A87580" w:rsidR="00EB4444" w:rsidRDefault="00EB4444" w:rsidP="00093B56">
      <w:pPr>
        <w:pStyle w:val="NoSpacing"/>
        <w:rPr>
          <w:rFonts w:ascii="Times New Roman" w:hAnsi="Times New Roman" w:cs="Times New Roman"/>
        </w:rPr>
      </w:pPr>
    </w:p>
    <w:p w14:paraId="70B05A5B" w14:textId="3887515E" w:rsidR="00EB4444" w:rsidRDefault="00EB4444" w:rsidP="00093B56">
      <w:pPr>
        <w:pStyle w:val="NoSpacing"/>
        <w:rPr>
          <w:rFonts w:ascii="Times New Roman" w:hAnsi="Times New Roman" w:cs="Times New Roman"/>
        </w:rPr>
      </w:pPr>
    </w:p>
    <w:p w14:paraId="3A4943D0" w14:textId="27BB530A" w:rsidR="00EB4444" w:rsidRDefault="00EB4444" w:rsidP="00093B56">
      <w:pPr>
        <w:pStyle w:val="NoSpacing"/>
        <w:rPr>
          <w:rFonts w:ascii="Times New Roman" w:hAnsi="Times New Roman" w:cs="Times New Roman"/>
        </w:rPr>
      </w:pPr>
    </w:p>
    <w:p w14:paraId="0931D4EB" w14:textId="77777777" w:rsidR="00EB4444" w:rsidRPr="00EB4444" w:rsidRDefault="00EB4444" w:rsidP="00EB4444">
      <w:pPr>
        <w:pStyle w:val="NoSpacing"/>
        <w:spacing w:line="480" w:lineRule="auto"/>
        <w:rPr>
          <w:rFonts w:ascii="Times New Roman" w:hAnsi="Times New Roman" w:cs="Times New Roman"/>
          <w:b/>
          <w:bCs/>
        </w:rPr>
      </w:pPr>
      <w:r w:rsidRPr="00EB4444">
        <w:rPr>
          <w:rFonts w:ascii="Times New Roman" w:hAnsi="Times New Roman" w:cs="Times New Roman"/>
          <w:b/>
          <w:bCs/>
        </w:rPr>
        <w:lastRenderedPageBreak/>
        <w:t>2. Further detail on the experimental manipulation of mood</w:t>
      </w:r>
    </w:p>
    <w:p w14:paraId="57C1DEE3"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rPr>
        <w:t>The experimental manipulation of mood in this study used materials from a previous study which found they were effective in inducing happy and sad moods via online methods (</w:t>
      </w:r>
      <w:proofErr w:type="spellStart"/>
      <w:r w:rsidRPr="00EB4444">
        <w:rPr>
          <w:rFonts w:ascii="Times New Roman" w:hAnsi="Times New Roman" w:cs="Times New Roman"/>
        </w:rPr>
        <w:t>Marcusson-Clavertz</w:t>
      </w:r>
      <w:proofErr w:type="spellEnd"/>
      <w:r w:rsidRPr="00EB4444">
        <w:rPr>
          <w:rFonts w:ascii="Times New Roman" w:hAnsi="Times New Roman" w:cs="Times New Roman"/>
        </w:rPr>
        <w:t xml:space="preserve"> et al., 2019; please contact these author(s) for permission if you wish to access or use these materials).</w:t>
      </w:r>
    </w:p>
    <w:p w14:paraId="4390880D" w14:textId="77777777" w:rsidR="00EB4444" w:rsidRPr="00EB4444" w:rsidRDefault="00EB4444" w:rsidP="00EB4444">
      <w:pPr>
        <w:pStyle w:val="NoSpacing"/>
        <w:rPr>
          <w:rFonts w:ascii="Times New Roman" w:hAnsi="Times New Roman" w:cs="Times New Roman"/>
        </w:rPr>
      </w:pPr>
    </w:p>
    <w:p w14:paraId="1AC02F8B" w14:textId="77777777" w:rsidR="00EB4444" w:rsidRPr="00EB4444" w:rsidRDefault="00EB4444" w:rsidP="00EB4444">
      <w:pPr>
        <w:pStyle w:val="NoSpacing"/>
        <w:spacing w:line="480" w:lineRule="auto"/>
        <w:rPr>
          <w:rFonts w:ascii="Times New Roman" w:hAnsi="Times New Roman" w:cs="Times New Roman"/>
          <w:b/>
        </w:rPr>
      </w:pPr>
      <w:r w:rsidRPr="00EB4444">
        <w:rPr>
          <w:rFonts w:ascii="Times New Roman" w:hAnsi="Times New Roman" w:cs="Times New Roman"/>
          <w:b/>
        </w:rPr>
        <w:t>Positive mood induction (8 minutes in total)</w:t>
      </w:r>
    </w:p>
    <w:p w14:paraId="59ECB2A6"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i/>
          <w:iCs/>
        </w:rPr>
        <w:t>Video 1:</w:t>
      </w:r>
      <w:r w:rsidRPr="00EB4444">
        <w:rPr>
          <w:rFonts w:ascii="Times New Roman" w:hAnsi="Times New Roman" w:cs="Times New Roman"/>
        </w:rPr>
        <w:t xml:space="preserve"> Lion King: Timon &amp; Pumbaa - “Hakuna Matata” (4 minutes)</w:t>
      </w:r>
    </w:p>
    <w:p w14:paraId="688E6B42"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i/>
          <w:iCs/>
        </w:rPr>
        <w:t>Video 2:</w:t>
      </w:r>
      <w:r w:rsidRPr="00EB4444">
        <w:rPr>
          <w:rFonts w:ascii="Times New Roman" w:hAnsi="Times New Roman" w:cs="Times New Roman"/>
        </w:rPr>
        <w:t xml:space="preserve"> Music: </w:t>
      </w:r>
      <w:proofErr w:type="spellStart"/>
      <w:r w:rsidRPr="00EB4444">
        <w:rPr>
          <w:rFonts w:ascii="Times New Roman" w:hAnsi="Times New Roman" w:cs="Times New Roman"/>
        </w:rPr>
        <w:t>Coppelia</w:t>
      </w:r>
      <w:proofErr w:type="spellEnd"/>
      <w:r w:rsidRPr="00EB4444">
        <w:rPr>
          <w:rFonts w:ascii="Times New Roman" w:hAnsi="Times New Roman" w:cs="Times New Roman"/>
        </w:rPr>
        <w:t xml:space="preserve">, Act I: 1. Prelude et Mazurka (4 minutes) + 15 positive </w:t>
      </w:r>
      <w:proofErr w:type="spellStart"/>
      <w:r w:rsidRPr="00EB4444">
        <w:rPr>
          <w:rFonts w:ascii="Times New Roman" w:hAnsi="Times New Roman" w:cs="Times New Roman"/>
        </w:rPr>
        <w:t>Velten</w:t>
      </w:r>
      <w:proofErr w:type="spellEnd"/>
      <w:r w:rsidRPr="00EB4444">
        <w:rPr>
          <w:rFonts w:ascii="Times New Roman" w:hAnsi="Times New Roman" w:cs="Times New Roman"/>
        </w:rPr>
        <w:t xml:space="preserve"> statements (each presented for 16s)</w:t>
      </w:r>
    </w:p>
    <w:p w14:paraId="3AB5C4D4" w14:textId="77777777" w:rsidR="00EB4444" w:rsidRPr="00EB4444" w:rsidRDefault="00EB4444" w:rsidP="00EB4444">
      <w:pPr>
        <w:pStyle w:val="NoSpacing"/>
        <w:rPr>
          <w:rFonts w:ascii="Times New Roman" w:hAnsi="Times New Roman" w:cs="Times New Roman"/>
          <w:u w:val="single"/>
        </w:rPr>
      </w:pPr>
    </w:p>
    <w:p w14:paraId="6A4CCA89"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rPr>
        <w:t xml:space="preserve">Positive </w:t>
      </w:r>
      <w:proofErr w:type="spellStart"/>
      <w:r w:rsidRPr="00EB4444">
        <w:rPr>
          <w:rFonts w:ascii="Times New Roman" w:hAnsi="Times New Roman" w:cs="Times New Roman"/>
        </w:rPr>
        <w:t>Velten</w:t>
      </w:r>
      <w:proofErr w:type="spellEnd"/>
      <w:r w:rsidRPr="00EB4444">
        <w:rPr>
          <w:rFonts w:ascii="Times New Roman" w:hAnsi="Times New Roman" w:cs="Times New Roman"/>
        </w:rPr>
        <w:t xml:space="preserve"> statements:</w:t>
      </w:r>
    </w:p>
    <w:p w14:paraId="1F02DB97" w14:textId="0DD3D5F7" w:rsidR="00EB4444" w:rsidRPr="00EB4444" w:rsidRDefault="00000000" w:rsidP="00EB4444">
      <w:pPr>
        <w:pStyle w:val="NoSpacing"/>
        <w:numPr>
          <w:ilvl w:val="0"/>
          <w:numId w:val="20"/>
        </w:numPr>
        <w:spacing w:line="480" w:lineRule="auto"/>
        <w:rPr>
          <w:rFonts w:ascii="Times New Roman" w:hAnsi="Times New Roman" w:cs="Times New Roman"/>
          <w:iCs/>
        </w:rPr>
      </w:pPr>
      <w:sdt>
        <w:sdtPr>
          <w:rPr>
            <w:rFonts w:ascii="Times New Roman" w:hAnsi="Times New Roman" w:cs="Times New Roman"/>
          </w:rPr>
          <w:tag w:val="goog_rdk_0"/>
          <w:id w:val="-1094622098"/>
        </w:sdtPr>
        <w:sdtContent/>
      </w:sdt>
      <w:r w:rsidR="00EB4444" w:rsidRPr="00EB4444">
        <w:rPr>
          <w:rFonts w:ascii="Times New Roman" w:hAnsi="Times New Roman" w:cs="Times New Roman"/>
        </w:rPr>
        <w:t>“</w:t>
      </w:r>
      <w:r w:rsidR="00EB4444" w:rsidRPr="00EB4444">
        <w:rPr>
          <w:rFonts w:ascii="Times New Roman" w:hAnsi="Times New Roman" w:cs="Times New Roman"/>
          <w:i/>
        </w:rPr>
        <w:t>If I set my mind to it, I can make things turn out fine</w:t>
      </w:r>
      <w:r w:rsidR="00EB4444" w:rsidRPr="00EB4444">
        <w:rPr>
          <w:rFonts w:ascii="Times New Roman" w:hAnsi="Times New Roman" w:cs="Times New Roman"/>
          <w:iCs/>
        </w:rPr>
        <w:t>”</w:t>
      </w:r>
    </w:p>
    <w:p w14:paraId="4BAEDFF6"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Most people like me</w:t>
      </w:r>
      <w:r w:rsidRPr="00EB4444">
        <w:rPr>
          <w:rFonts w:ascii="Times New Roman" w:hAnsi="Times New Roman" w:cs="Times New Roman"/>
          <w:iCs/>
        </w:rPr>
        <w:t>”</w:t>
      </w:r>
    </w:p>
    <w:p w14:paraId="0ED2AB60"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When I have the right attitude, nothing can depress me</w:t>
      </w:r>
      <w:r w:rsidRPr="00EB4444">
        <w:rPr>
          <w:rFonts w:ascii="Times New Roman" w:hAnsi="Times New Roman" w:cs="Times New Roman"/>
          <w:iCs/>
        </w:rPr>
        <w:t>”</w:t>
      </w:r>
    </w:p>
    <w:p w14:paraId="43052E88"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The world is full of opportunities and I’m trying to take advantage of them</w:t>
      </w:r>
      <w:r w:rsidRPr="00EB4444">
        <w:rPr>
          <w:rFonts w:ascii="Times New Roman" w:hAnsi="Times New Roman" w:cs="Times New Roman"/>
          <w:iCs/>
        </w:rPr>
        <w:t>”</w:t>
      </w:r>
    </w:p>
    <w:p w14:paraId="38D6FB23"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feel creative</w:t>
      </w:r>
      <w:r w:rsidRPr="00EB4444">
        <w:rPr>
          <w:rFonts w:ascii="Times New Roman" w:hAnsi="Times New Roman" w:cs="Times New Roman"/>
          <w:iCs/>
        </w:rPr>
        <w:t>”</w:t>
      </w:r>
    </w:p>
    <w:p w14:paraId="2A6D3E7D"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can make things happen</w:t>
      </w:r>
      <w:r w:rsidRPr="00EB4444">
        <w:rPr>
          <w:rFonts w:ascii="Times New Roman" w:hAnsi="Times New Roman" w:cs="Times New Roman"/>
          <w:iCs/>
        </w:rPr>
        <w:t>”</w:t>
      </w:r>
    </w:p>
    <w:p w14:paraId="3C0313E8"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I’m in charge of my life and I like it that way</w:t>
      </w:r>
      <w:r w:rsidRPr="00EB4444">
        <w:rPr>
          <w:rFonts w:ascii="Times New Roman" w:hAnsi="Times New Roman" w:cs="Times New Roman"/>
          <w:iCs/>
        </w:rPr>
        <w:t>”</w:t>
      </w:r>
    </w:p>
    <w:p w14:paraId="5D1F8498"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I’m energized</w:t>
      </w:r>
      <w:r w:rsidRPr="00EB4444">
        <w:rPr>
          <w:rFonts w:ascii="Times New Roman" w:hAnsi="Times New Roman" w:cs="Times New Roman"/>
          <w:iCs/>
        </w:rPr>
        <w:t>”</w:t>
      </w:r>
    </w:p>
    <w:p w14:paraId="1D2EA8D7"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I’m pleased that most people are so friendly to me</w:t>
      </w:r>
      <w:r w:rsidRPr="00EB4444">
        <w:rPr>
          <w:rFonts w:ascii="Times New Roman" w:hAnsi="Times New Roman" w:cs="Times New Roman"/>
          <w:iCs/>
        </w:rPr>
        <w:t>”</w:t>
      </w:r>
    </w:p>
    <w:p w14:paraId="22100FFB"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know I can do it; I’m going to seize the day!</w:t>
      </w:r>
      <w:r w:rsidRPr="00EB4444">
        <w:rPr>
          <w:rFonts w:ascii="Times New Roman" w:hAnsi="Times New Roman" w:cs="Times New Roman"/>
          <w:iCs/>
        </w:rPr>
        <w:t>”</w:t>
      </w:r>
    </w:p>
    <w:p w14:paraId="5D41DBC9"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The relationships I have now are the best I’ve ever had</w:t>
      </w:r>
      <w:r w:rsidRPr="00EB4444">
        <w:rPr>
          <w:rFonts w:ascii="Times New Roman" w:hAnsi="Times New Roman" w:cs="Times New Roman"/>
          <w:iCs/>
        </w:rPr>
        <w:t>”</w:t>
      </w:r>
    </w:p>
    <w:p w14:paraId="4299926C"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I’ve got some good friends</w:t>
      </w:r>
      <w:r w:rsidRPr="00EB4444">
        <w:rPr>
          <w:rFonts w:ascii="Times New Roman" w:hAnsi="Times New Roman" w:cs="Times New Roman"/>
          <w:iCs/>
        </w:rPr>
        <w:t>”</w:t>
      </w:r>
    </w:p>
    <w:p w14:paraId="1893225D"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Life’s a blast: I can’t remember when I felt so good</w:t>
      </w:r>
      <w:r w:rsidRPr="00EB4444">
        <w:rPr>
          <w:rFonts w:ascii="Times New Roman" w:hAnsi="Times New Roman" w:cs="Times New Roman"/>
          <w:iCs/>
        </w:rPr>
        <w:t>”</w:t>
      </w:r>
    </w:p>
    <w:p w14:paraId="5F99F731"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Things look totally awesome</w:t>
      </w:r>
      <w:r w:rsidRPr="00EB4444">
        <w:rPr>
          <w:rFonts w:ascii="Times New Roman" w:hAnsi="Times New Roman" w:cs="Times New Roman"/>
          <w:iCs/>
        </w:rPr>
        <w:t>”</w:t>
      </w:r>
    </w:p>
    <w:p w14:paraId="30ACEF7D" w14:textId="77777777" w:rsidR="00EB4444" w:rsidRPr="00EB4444" w:rsidRDefault="00EB4444" w:rsidP="00EB4444">
      <w:pPr>
        <w:pStyle w:val="NoSpacing"/>
        <w:numPr>
          <w:ilvl w:val="0"/>
          <w:numId w:val="20"/>
        </w:numPr>
        <w:spacing w:line="480" w:lineRule="auto"/>
        <w:rPr>
          <w:rFonts w:ascii="Times New Roman" w:hAnsi="Times New Roman" w:cs="Times New Roman"/>
          <w:iCs/>
        </w:rPr>
      </w:pPr>
      <w:r w:rsidRPr="00EB4444">
        <w:rPr>
          <w:rFonts w:ascii="Times New Roman" w:hAnsi="Times New Roman" w:cs="Times New Roman"/>
          <w:iCs/>
        </w:rPr>
        <w:lastRenderedPageBreak/>
        <w:t>“</w:t>
      </w:r>
      <w:r w:rsidRPr="00EB4444">
        <w:rPr>
          <w:rFonts w:ascii="Times New Roman" w:hAnsi="Times New Roman" w:cs="Times New Roman"/>
          <w:i/>
        </w:rPr>
        <w:t>It’s great to be alive</w:t>
      </w:r>
      <w:r w:rsidRPr="00EB4444">
        <w:rPr>
          <w:rFonts w:ascii="Times New Roman" w:hAnsi="Times New Roman" w:cs="Times New Roman"/>
          <w:iCs/>
        </w:rPr>
        <w:t>”</w:t>
      </w:r>
    </w:p>
    <w:p w14:paraId="756C5C55" w14:textId="77777777" w:rsidR="00EB4444" w:rsidRPr="00EB4444" w:rsidRDefault="00EB4444" w:rsidP="00EB4444">
      <w:pPr>
        <w:pStyle w:val="NoSpacing"/>
        <w:rPr>
          <w:rFonts w:ascii="Times New Roman" w:hAnsi="Times New Roman" w:cs="Times New Roman"/>
          <w:iCs/>
        </w:rPr>
      </w:pPr>
    </w:p>
    <w:p w14:paraId="591F257C" w14:textId="59F914D0" w:rsidR="00EB4444" w:rsidRPr="00EB4444" w:rsidRDefault="00EB4444" w:rsidP="00EB4444">
      <w:pPr>
        <w:pStyle w:val="NoSpacing"/>
        <w:spacing w:line="480" w:lineRule="auto"/>
        <w:rPr>
          <w:rFonts w:ascii="Times New Roman" w:hAnsi="Times New Roman" w:cs="Times New Roman"/>
          <w:b/>
        </w:rPr>
      </w:pPr>
      <w:r w:rsidRPr="00EB4444">
        <w:rPr>
          <w:rFonts w:ascii="Times New Roman" w:hAnsi="Times New Roman" w:cs="Times New Roman"/>
          <w:b/>
        </w:rPr>
        <w:t>Negative mood induction (8 minutes in total)</w:t>
      </w:r>
    </w:p>
    <w:p w14:paraId="1AEDE296"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i/>
          <w:iCs/>
        </w:rPr>
        <w:t>Video 1:</w:t>
      </w:r>
      <w:r w:rsidRPr="00EB4444">
        <w:rPr>
          <w:rFonts w:ascii="Times New Roman" w:hAnsi="Times New Roman" w:cs="Times New Roman"/>
        </w:rPr>
        <w:t xml:space="preserve"> Lion King: Death of Mufasa (4 minutes)</w:t>
      </w:r>
    </w:p>
    <w:p w14:paraId="331A547B"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i/>
          <w:iCs/>
        </w:rPr>
        <w:t>Video 2</w:t>
      </w:r>
      <w:r w:rsidRPr="00EB4444">
        <w:rPr>
          <w:rFonts w:ascii="Times New Roman" w:hAnsi="Times New Roman" w:cs="Times New Roman"/>
        </w:rPr>
        <w:t xml:space="preserve">: Music: Barber’s Adagio for Strings (4 minutes) + 15 negative </w:t>
      </w:r>
      <w:proofErr w:type="spellStart"/>
      <w:r w:rsidRPr="00EB4444">
        <w:rPr>
          <w:rFonts w:ascii="Times New Roman" w:hAnsi="Times New Roman" w:cs="Times New Roman"/>
        </w:rPr>
        <w:t>Velten</w:t>
      </w:r>
      <w:proofErr w:type="spellEnd"/>
      <w:r w:rsidRPr="00EB4444">
        <w:rPr>
          <w:rFonts w:ascii="Times New Roman" w:hAnsi="Times New Roman" w:cs="Times New Roman"/>
        </w:rPr>
        <w:t xml:space="preserve"> statements (each presented for 16s)</w:t>
      </w:r>
    </w:p>
    <w:p w14:paraId="1427D12C" w14:textId="77777777" w:rsidR="00EB4444" w:rsidRPr="00EB4444" w:rsidRDefault="00EB4444" w:rsidP="00EB4444">
      <w:pPr>
        <w:pStyle w:val="NoSpacing"/>
        <w:rPr>
          <w:rFonts w:ascii="Times New Roman" w:hAnsi="Times New Roman" w:cs="Times New Roman"/>
        </w:rPr>
      </w:pPr>
    </w:p>
    <w:p w14:paraId="56903A55"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rPr>
        <w:t xml:space="preserve">Negative </w:t>
      </w:r>
      <w:proofErr w:type="spellStart"/>
      <w:r w:rsidRPr="00EB4444">
        <w:rPr>
          <w:rFonts w:ascii="Times New Roman" w:hAnsi="Times New Roman" w:cs="Times New Roman"/>
        </w:rPr>
        <w:t>Velten</w:t>
      </w:r>
      <w:proofErr w:type="spellEnd"/>
      <w:r w:rsidRPr="00EB4444">
        <w:rPr>
          <w:rFonts w:ascii="Times New Roman" w:hAnsi="Times New Roman" w:cs="Times New Roman"/>
        </w:rPr>
        <w:t xml:space="preserve"> statements:</w:t>
      </w:r>
    </w:p>
    <w:p w14:paraId="761AB54E"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Sometimes I feel really guilty about the way I’ve treated my parents</w:t>
      </w:r>
      <w:r w:rsidRPr="00EB4444">
        <w:rPr>
          <w:rFonts w:ascii="Times New Roman" w:hAnsi="Times New Roman" w:cs="Times New Roman"/>
          <w:iCs/>
        </w:rPr>
        <w:t>”</w:t>
      </w:r>
    </w:p>
    <w:p w14:paraId="79AA56C9"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 xml:space="preserve">I feel like my </w:t>
      </w:r>
      <w:proofErr w:type="gramStart"/>
      <w:r w:rsidRPr="00EB4444">
        <w:rPr>
          <w:rFonts w:ascii="Times New Roman" w:hAnsi="Times New Roman" w:cs="Times New Roman"/>
          <w:i/>
        </w:rPr>
        <w:t>life’s</w:t>
      </w:r>
      <w:proofErr w:type="gramEnd"/>
      <w:r w:rsidRPr="00EB4444">
        <w:rPr>
          <w:rFonts w:ascii="Times New Roman" w:hAnsi="Times New Roman" w:cs="Times New Roman"/>
          <w:i/>
        </w:rPr>
        <w:t xml:space="preserve"> in a rut that I’m never going to get out of</w:t>
      </w:r>
      <w:r w:rsidRPr="00EB4444">
        <w:rPr>
          <w:rFonts w:ascii="Times New Roman" w:hAnsi="Times New Roman" w:cs="Times New Roman"/>
          <w:iCs/>
        </w:rPr>
        <w:t>”</w:t>
      </w:r>
    </w:p>
    <w:p w14:paraId="16D05B20"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Nobody understands me or even tries to</w:t>
      </w:r>
      <w:r w:rsidRPr="00EB4444">
        <w:rPr>
          <w:rFonts w:ascii="Times New Roman" w:hAnsi="Times New Roman" w:cs="Times New Roman"/>
          <w:iCs/>
        </w:rPr>
        <w:t>”</w:t>
      </w:r>
    </w:p>
    <w:p w14:paraId="5244A913"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Life is such a heavy burden</w:t>
      </w:r>
      <w:r w:rsidRPr="00EB4444">
        <w:rPr>
          <w:rFonts w:ascii="Times New Roman" w:hAnsi="Times New Roman" w:cs="Times New Roman"/>
          <w:iCs/>
        </w:rPr>
        <w:t>”</w:t>
      </w:r>
    </w:p>
    <w:p w14:paraId="2F171E90"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wish I could be myself, but nobody likes me when I am</w:t>
      </w:r>
      <w:r w:rsidRPr="00EB4444">
        <w:rPr>
          <w:rFonts w:ascii="Times New Roman" w:hAnsi="Times New Roman" w:cs="Times New Roman"/>
          <w:iCs/>
        </w:rPr>
        <w:t>”</w:t>
      </w:r>
    </w:p>
    <w:p w14:paraId="24FC39EE"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Every time I turn around, something else has gone wrong</w:t>
      </w:r>
      <w:r w:rsidRPr="00EB4444">
        <w:rPr>
          <w:rFonts w:ascii="Times New Roman" w:hAnsi="Times New Roman" w:cs="Times New Roman"/>
          <w:iCs/>
        </w:rPr>
        <w:t>”</w:t>
      </w:r>
    </w:p>
    <w:p w14:paraId="7B471B1A" w14:textId="77777777" w:rsidR="00EB4444" w:rsidRPr="00EB4444" w:rsidRDefault="00EB4444" w:rsidP="00EB4444">
      <w:pPr>
        <w:pStyle w:val="NoSpacing"/>
        <w:numPr>
          <w:ilvl w:val="0"/>
          <w:numId w:val="21"/>
        </w:numPr>
        <w:spacing w:line="480" w:lineRule="auto"/>
        <w:rPr>
          <w:rFonts w:ascii="Times New Roman" w:hAnsi="Times New Roman" w:cs="Times New Roman"/>
          <w:iCs/>
        </w:rPr>
      </w:pPr>
      <w:bookmarkStart w:id="415" w:name="_Hlk92358139"/>
      <w:r w:rsidRPr="00EB4444">
        <w:rPr>
          <w:rFonts w:ascii="Times New Roman" w:hAnsi="Times New Roman" w:cs="Times New Roman"/>
          <w:iCs/>
        </w:rPr>
        <w:t>“</w:t>
      </w:r>
      <w:r w:rsidRPr="00EB4444">
        <w:rPr>
          <w:rFonts w:ascii="Times New Roman" w:hAnsi="Times New Roman" w:cs="Times New Roman"/>
          <w:i/>
        </w:rPr>
        <w:t>When I talk no one really listens</w:t>
      </w:r>
      <w:r w:rsidRPr="00EB4444">
        <w:rPr>
          <w:rFonts w:ascii="Times New Roman" w:hAnsi="Times New Roman" w:cs="Times New Roman"/>
          <w:iCs/>
        </w:rPr>
        <w:t>”</w:t>
      </w:r>
    </w:p>
    <w:bookmarkEnd w:id="415"/>
    <w:p w14:paraId="71E7A4C3"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don’t think things are ever going to get better</w:t>
      </w:r>
      <w:r w:rsidRPr="00EB4444">
        <w:rPr>
          <w:rFonts w:ascii="Times New Roman" w:hAnsi="Times New Roman" w:cs="Times New Roman"/>
          <w:iCs/>
        </w:rPr>
        <w:t>”</w:t>
      </w:r>
    </w:p>
    <w:p w14:paraId="5EA8B178"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feel cheated by life</w:t>
      </w:r>
      <w:r w:rsidRPr="00EB4444">
        <w:rPr>
          <w:rFonts w:ascii="Times New Roman" w:hAnsi="Times New Roman" w:cs="Times New Roman"/>
          <w:iCs/>
        </w:rPr>
        <w:t>”</w:t>
      </w:r>
    </w:p>
    <w:p w14:paraId="08AD2057"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My mistakes haunt me; I’ve made too many</w:t>
      </w:r>
      <w:r w:rsidRPr="00EB4444">
        <w:rPr>
          <w:rFonts w:ascii="Times New Roman" w:hAnsi="Times New Roman" w:cs="Times New Roman"/>
          <w:iCs/>
        </w:rPr>
        <w:t>”</w:t>
      </w:r>
    </w:p>
    <w:p w14:paraId="74BE519D"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I’m unhappy with myself</w:t>
      </w:r>
      <w:r w:rsidRPr="00EB4444">
        <w:rPr>
          <w:rFonts w:ascii="Times New Roman" w:hAnsi="Times New Roman" w:cs="Times New Roman"/>
          <w:iCs/>
        </w:rPr>
        <w:t>”</w:t>
      </w:r>
    </w:p>
    <w:p w14:paraId="444DF416"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feel I am being suffocated by the weight of my past mistakes</w:t>
      </w:r>
      <w:r w:rsidRPr="00EB4444">
        <w:rPr>
          <w:rFonts w:ascii="Times New Roman" w:hAnsi="Times New Roman" w:cs="Times New Roman"/>
          <w:iCs/>
        </w:rPr>
        <w:t>”</w:t>
      </w:r>
    </w:p>
    <w:p w14:paraId="7D99DA2A"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Sometimes I feel so guilty that I can’t sleep</w:t>
      </w:r>
      <w:r w:rsidRPr="00EB4444">
        <w:rPr>
          <w:rFonts w:ascii="Times New Roman" w:hAnsi="Times New Roman" w:cs="Times New Roman"/>
          <w:iCs/>
        </w:rPr>
        <w:t>”</w:t>
      </w:r>
    </w:p>
    <w:p w14:paraId="125365DC"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I’m completely alone</w:t>
      </w:r>
      <w:r w:rsidRPr="00EB4444">
        <w:rPr>
          <w:rFonts w:ascii="Times New Roman" w:hAnsi="Times New Roman" w:cs="Times New Roman"/>
          <w:iCs/>
        </w:rPr>
        <w:t>”</w:t>
      </w:r>
    </w:p>
    <w:p w14:paraId="24777247" w14:textId="77777777" w:rsidR="00EB4444" w:rsidRPr="00EB4444" w:rsidRDefault="00EB4444" w:rsidP="00EB4444">
      <w:pPr>
        <w:pStyle w:val="NoSpacing"/>
        <w:numPr>
          <w:ilvl w:val="0"/>
          <w:numId w:val="21"/>
        </w:numPr>
        <w:spacing w:line="480" w:lineRule="auto"/>
        <w:rPr>
          <w:rFonts w:ascii="Times New Roman" w:hAnsi="Times New Roman" w:cs="Times New Roman"/>
          <w:iCs/>
        </w:rPr>
      </w:pPr>
      <w:r w:rsidRPr="00EB4444">
        <w:rPr>
          <w:rFonts w:ascii="Times New Roman" w:hAnsi="Times New Roman" w:cs="Times New Roman"/>
          <w:iCs/>
        </w:rPr>
        <w:t>“</w:t>
      </w:r>
      <w:r w:rsidRPr="00EB4444">
        <w:rPr>
          <w:rFonts w:ascii="Times New Roman" w:hAnsi="Times New Roman" w:cs="Times New Roman"/>
          <w:i/>
        </w:rPr>
        <w:t>I feel worthless</w:t>
      </w:r>
      <w:r w:rsidRPr="00EB4444">
        <w:rPr>
          <w:rFonts w:ascii="Times New Roman" w:hAnsi="Times New Roman" w:cs="Times New Roman"/>
          <w:iCs/>
        </w:rPr>
        <w:t>”</w:t>
      </w:r>
    </w:p>
    <w:p w14:paraId="1567E0F7" w14:textId="77777777" w:rsidR="00EB4444" w:rsidRPr="00EB4444" w:rsidRDefault="00EB4444" w:rsidP="00EB4444">
      <w:pPr>
        <w:pStyle w:val="NoSpacing"/>
        <w:rPr>
          <w:rFonts w:ascii="Times New Roman" w:hAnsi="Times New Roman" w:cs="Times New Roman"/>
          <w:iCs/>
        </w:rPr>
      </w:pPr>
    </w:p>
    <w:p w14:paraId="1F9C75EF" w14:textId="77777777" w:rsidR="00EB4444" w:rsidRDefault="00EB4444" w:rsidP="00EB4444">
      <w:pPr>
        <w:pStyle w:val="NoSpacing"/>
        <w:rPr>
          <w:rFonts w:ascii="Times New Roman" w:hAnsi="Times New Roman" w:cs="Times New Roman"/>
          <w:b/>
          <w:bCs/>
        </w:rPr>
      </w:pPr>
    </w:p>
    <w:p w14:paraId="51240EA4" w14:textId="77777777" w:rsidR="00EB4444" w:rsidRDefault="00EB4444" w:rsidP="00EB4444">
      <w:pPr>
        <w:pStyle w:val="NoSpacing"/>
        <w:rPr>
          <w:rFonts w:ascii="Times New Roman" w:hAnsi="Times New Roman" w:cs="Times New Roman"/>
          <w:b/>
          <w:bCs/>
        </w:rPr>
      </w:pPr>
    </w:p>
    <w:p w14:paraId="4BEA2D25" w14:textId="77777777" w:rsidR="00EB4444" w:rsidRDefault="00EB4444" w:rsidP="00EB4444">
      <w:pPr>
        <w:pStyle w:val="NoSpacing"/>
        <w:rPr>
          <w:rFonts w:ascii="Times New Roman" w:hAnsi="Times New Roman" w:cs="Times New Roman"/>
          <w:b/>
          <w:bCs/>
        </w:rPr>
      </w:pPr>
    </w:p>
    <w:p w14:paraId="3EC90B96" w14:textId="77777777" w:rsidR="00EB4444" w:rsidRDefault="00EB4444" w:rsidP="00EB4444">
      <w:pPr>
        <w:pStyle w:val="NoSpacing"/>
        <w:rPr>
          <w:rFonts w:ascii="Times New Roman" w:hAnsi="Times New Roman" w:cs="Times New Roman"/>
          <w:b/>
          <w:bCs/>
        </w:rPr>
      </w:pPr>
    </w:p>
    <w:p w14:paraId="4D2E2F08" w14:textId="71D2CB2A" w:rsidR="00EB4444" w:rsidRPr="00EB4444" w:rsidRDefault="00EB4444" w:rsidP="00EB4444">
      <w:pPr>
        <w:pStyle w:val="NoSpacing"/>
        <w:spacing w:line="480" w:lineRule="auto"/>
        <w:rPr>
          <w:rFonts w:ascii="Times New Roman" w:hAnsi="Times New Roman" w:cs="Times New Roman"/>
          <w:b/>
          <w:bCs/>
        </w:rPr>
      </w:pPr>
      <w:r w:rsidRPr="00EB4444">
        <w:rPr>
          <w:rFonts w:ascii="Times New Roman" w:hAnsi="Times New Roman" w:cs="Times New Roman"/>
          <w:b/>
          <w:bCs/>
        </w:rPr>
        <w:lastRenderedPageBreak/>
        <w:t>3. CPT questionnaire details</w:t>
      </w:r>
    </w:p>
    <w:p w14:paraId="7FCF34CC" w14:textId="77777777" w:rsidR="00EB4444" w:rsidRPr="00EB4444" w:rsidRDefault="00EB4444" w:rsidP="00EB4444">
      <w:pPr>
        <w:pStyle w:val="NoSpacing"/>
        <w:spacing w:line="480" w:lineRule="auto"/>
        <w:rPr>
          <w:rFonts w:ascii="Times New Roman" w:hAnsi="Times New Roman" w:cs="Times New Roman"/>
        </w:rPr>
      </w:pPr>
      <w:r w:rsidRPr="00EB4444">
        <w:rPr>
          <w:rFonts w:ascii="Times New Roman" w:hAnsi="Times New Roman" w:cs="Times New Roman"/>
        </w:rPr>
        <w:t xml:space="preserve">Below are the exact price points that were used in the Cigarette Purchase Task (CPT) which are similar to those employed in recent research (Aston et al., 2021), however we modified the prices so that they are presented in pounds (£) rather than dollars ($) because our sample comprised people residing in the United Kingdom. </w:t>
      </w:r>
    </w:p>
    <w:p w14:paraId="4B296FB8" w14:textId="77777777" w:rsidR="00EB4444" w:rsidRPr="00EB4444" w:rsidRDefault="00EB4444" w:rsidP="00EB4444">
      <w:pPr>
        <w:pStyle w:val="NoSpacing"/>
        <w:spacing w:line="480" w:lineRule="auto"/>
        <w:rPr>
          <w:rFonts w:ascii="Times New Roman" w:hAnsi="Times New Roman" w:cs="Times New Roman"/>
        </w:rPr>
      </w:pPr>
    </w:p>
    <w:p w14:paraId="0FAFB831"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Free [£0/pack]</w:t>
      </w:r>
    </w:p>
    <w:p w14:paraId="6339FB2D"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1p each [20p/pack]</w:t>
      </w:r>
    </w:p>
    <w:p w14:paraId="4265E336"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5p each [£1/pack]</w:t>
      </w:r>
    </w:p>
    <w:p w14:paraId="59CA5DBD"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10p each [£2/pack]</w:t>
      </w:r>
    </w:p>
    <w:p w14:paraId="437B14AB"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20p each [£4/pack]</w:t>
      </w:r>
    </w:p>
    <w:p w14:paraId="63D4CB5F"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30p each [£6/pack]</w:t>
      </w:r>
    </w:p>
    <w:p w14:paraId="758AE0E3"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40p each [£8/pack]</w:t>
      </w:r>
    </w:p>
    <w:p w14:paraId="6BE25B73"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50p each [£10/pack]</w:t>
      </w:r>
    </w:p>
    <w:p w14:paraId="65DB35B3"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60p each [£12/pack]</w:t>
      </w:r>
    </w:p>
    <w:p w14:paraId="25A7F5A9"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70p each [£14/pack]</w:t>
      </w:r>
    </w:p>
    <w:p w14:paraId="378821DF"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80p each [£16/pack]</w:t>
      </w:r>
    </w:p>
    <w:p w14:paraId="7C883ACE"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90p each [£18/pack]</w:t>
      </w:r>
    </w:p>
    <w:p w14:paraId="1144E607"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£1 each [£20/pack]</w:t>
      </w:r>
    </w:p>
    <w:p w14:paraId="1B395151"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£2 each [£40/pack]</w:t>
      </w:r>
    </w:p>
    <w:p w14:paraId="00F161CD"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£3 each [£60/pack]</w:t>
      </w:r>
    </w:p>
    <w:p w14:paraId="4741B2FD"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£4 each [£80/pack]</w:t>
      </w:r>
    </w:p>
    <w:p w14:paraId="3E7C729F"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£5 each [£100/pack]</w:t>
      </w:r>
    </w:p>
    <w:p w14:paraId="4746137B"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£6 each [£120/pack]</w:t>
      </w:r>
    </w:p>
    <w:p w14:paraId="666627BA"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£7 each [£140/pack]</w:t>
      </w:r>
    </w:p>
    <w:p w14:paraId="780F06CC"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lastRenderedPageBreak/>
        <w:t>£8 each [£160/pack]</w:t>
      </w:r>
    </w:p>
    <w:p w14:paraId="7384C674"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£9 each [£180/pack]</w:t>
      </w:r>
    </w:p>
    <w:p w14:paraId="47BE4434" w14:textId="77777777" w:rsidR="00EB4444" w:rsidRPr="00EB4444" w:rsidRDefault="00EB4444" w:rsidP="00EB4444">
      <w:pPr>
        <w:pStyle w:val="NoSpacing"/>
        <w:numPr>
          <w:ilvl w:val="0"/>
          <w:numId w:val="22"/>
        </w:numPr>
        <w:spacing w:line="480" w:lineRule="auto"/>
        <w:rPr>
          <w:rFonts w:ascii="Times New Roman" w:hAnsi="Times New Roman" w:cs="Times New Roman"/>
        </w:rPr>
      </w:pPr>
      <w:r w:rsidRPr="00EB4444">
        <w:rPr>
          <w:rFonts w:ascii="Times New Roman" w:hAnsi="Times New Roman" w:cs="Times New Roman"/>
        </w:rPr>
        <w:t>£10 each [£200/pack]</w:t>
      </w:r>
    </w:p>
    <w:p w14:paraId="694B66AA" w14:textId="77777777" w:rsidR="00EB4444" w:rsidRPr="00EB4444" w:rsidRDefault="00EB4444" w:rsidP="00EB4444">
      <w:pPr>
        <w:pStyle w:val="NoSpacing"/>
        <w:spacing w:line="480" w:lineRule="auto"/>
        <w:rPr>
          <w:rFonts w:ascii="Times New Roman" w:hAnsi="Times New Roman" w:cs="Times New Roman"/>
        </w:rPr>
      </w:pPr>
    </w:p>
    <w:p w14:paraId="1C2D365D" w14:textId="7730927C" w:rsidR="00EB4444" w:rsidRDefault="00EB4444" w:rsidP="00EB4444">
      <w:pPr>
        <w:pStyle w:val="NoSpacing"/>
        <w:spacing w:line="480" w:lineRule="auto"/>
        <w:rPr>
          <w:rFonts w:ascii="Times New Roman" w:hAnsi="Times New Roman" w:cs="Times New Roman"/>
        </w:rPr>
      </w:pPr>
    </w:p>
    <w:p w14:paraId="1D709A4E" w14:textId="03DC7489" w:rsidR="00B77ABF" w:rsidRDefault="00B77ABF" w:rsidP="00EB4444">
      <w:pPr>
        <w:pStyle w:val="NoSpacing"/>
        <w:spacing w:line="480" w:lineRule="auto"/>
        <w:rPr>
          <w:rFonts w:ascii="Times New Roman" w:hAnsi="Times New Roman" w:cs="Times New Roman"/>
        </w:rPr>
      </w:pPr>
    </w:p>
    <w:p w14:paraId="3B6F6936" w14:textId="3C24145C" w:rsidR="00B77ABF" w:rsidRDefault="00B77ABF" w:rsidP="00EB4444">
      <w:pPr>
        <w:pStyle w:val="NoSpacing"/>
        <w:spacing w:line="480" w:lineRule="auto"/>
        <w:rPr>
          <w:rFonts w:ascii="Times New Roman" w:hAnsi="Times New Roman" w:cs="Times New Roman"/>
        </w:rPr>
      </w:pPr>
    </w:p>
    <w:p w14:paraId="4F2DDBCC" w14:textId="2D55FACD" w:rsidR="00B77ABF" w:rsidRDefault="00B77ABF" w:rsidP="00EB4444">
      <w:pPr>
        <w:pStyle w:val="NoSpacing"/>
        <w:spacing w:line="480" w:lineRule="auto"/>
        <w:rPr>
          <w:rFonts w:ascii="Times New Roman" w:hAnsi="Times New Roman" w:cs="Times New Roman"/>
        </w:rPr>
      </w:pPr>
    </w:p>
    <w:p w14:paraId="56834E35" w14:textId="065C28E4" w:rsidR="00B77ABF" w:rsidRDefault="00B77ABF" w:rsidP="00EB4444">
      <w:pPr>
        <w:pStyle w:val="NoSpacing"/>
        <w:spacing w:line="480" w:lineRule="auto"/>
        <w:rPr>
          <w:rFonts w:ascii="Times New Roman" w:hAnsi="Times New Roman" w:cs="Times New Roman"/>
        </w:rPr>
      </w:pPr>
    </w:p>
    <w:p w14:paraId="189959F2" w14:textId="4E1C4559" w:rsidR="00B77ABF" w:rsidRDefault="00B77ABF" w:rsidP="00EB4444">
      <w:pPr>
        <w:pStyle w:val="NoSpacing"/>
        <w:spacing w:line="480" w:lineRule="auto"/>
        <w:rPr>
          <w:rFonts w:ascii="Times New Roman" w:hAnsi="Times New Roman" w:cs="Times New Roman"/>
        </w:rPr>
      </w:pPr>
    </w:p>
    <w:p w14:paraId="2D9D3628" w14:textId="033379AC" w:rsidR="00B77ABF" w:rsidRDefault="00B77ABF" w:rsidP="00EB4444">
      <w:pPr>
        <w:pStyle w:val="NoSpacing"/>
        <w:spacing w:line="480" w:lineRule="auto"/>
        <w:rPr>
          <w:rFonts w:ascii="Times New Roman" w:hAnsi="Times New Roman" w:cs="Times New Roman"/>
        </w:rPr>
      </w:pPr>
    </w:p>
    <w:p w14:paraId="68CF667E" w14:textId="779BD3A7" w:rsidR="00B77ABF" w:rsidRDefault="00B77ABF" w:rsidP="00EB4444">
      <w:pPr>
        <w:pStyle w:val="NoSpacing"/>
        <w:spacing w:line="480" w:lineRule="auto"/>
        <w:rPr>
          <w:rFonts w:ascii="Times New Roman" w:hAnsi="Times New Roman" w:cs="Times New Roman"/>
        </w:rPr>
      </w:pPr>
    </w:p>
    <w:p w14:paraId="3013A362" w14:textId="7C6FA7DC" w:rsidR="00B77ABF" w:rsidRDefault="00B77ABF" w:rsidP="00EB4444">
      <w:pPr>
        <w:pStyle w:val="NoSpacing"/>
        <w:spacing w:line="480" w:lineRule="auto"/>
        <w:rPr>
          <w:rFonts w:ascii="Times New Roman" w:hAnsi="Times New Roman" w:cs="Times New Roman"/>
        </w:rPr>
      </w:pPr>
    </w:p>
    <w:p w14:paraId="6287AB24" w14:textId="09BD669D" w:rsidR="00B77ABF" w:rsidRDefault="00B77ABF" w:rsidP="00EB4444">
      <w:pPr>
        <w:pStyle w:val="NoSpacing"/>
        <w:spacing w:line="480" w:lineRule="auto"/>
        <w:rPr>
          <w:rFonts w:ascii="Times New Roman" w:hAnsi="Times New Roman" w:cs="Times New Roman"/>
        </w:rPr>
      </w:pPr>
    </w:p>
    <w:p w14:paraId="4216430B" w14:textId="6B16C4B3" w:rsidR="00B77ABF" w:rsidRDefault="00B77ABF" w:rsidP="00EB4444">
      <w:pPr>
        <w:pStyle w:val="NoSpacing"/>
        <w:spacing w:line="480" w:lineRule="auto"/>
        <w:rPr>
          <w:rFonts w:ascii="Times New Roman" w:hAnsi="Times New Roman" w:cs="Times New Roman"/>
        </w:rPr>
      </w:pPr>
    </w:p>
    <w:p w14:paraId="638500B6" w14:textId="00791F5C" w:rsidR="00B77ABF" w:rsidRDefault="00B77ABF" w:rsidP="00EB4444">
      <w:pPr>
        <w:pStyle w:val="NoSpacing"/>
        <w:spacing w:line="480" w:lineRule="auto"/>
        <w:rPr>
          <w:rFonts w:ascii="Times New Roman" w:hAnsi="Times New Roman" w:cs="Times New Roman"/>
        </w:rPr>
      </w:pPr>
    </w:p>
    <w:p w14:paraId="41B4CCB6" w14:textId="501E361D" w:rsidR="00B77ABF" w:rsidRDefault="00B77ABF" w:rsidP="00EB4444">
      <w:pPr>
        <w:pStyle w:val="NoSpacing"/>
        <w:spacing w:line="480" w:lineRule="auto"/>
        <w:rPr>
          <w:rFonts w:ascii="Times New Roman" w:hAnsi="Times New Roman" w:cs="Times New Roman"/>
        </w:rPr>
      </w:pPr>
    </w:p>
    <w:p w14:paraId="320ECD3A" w14:textId="7CE409FA" w:rsidR="00B77ABF" w:rsidRDefault="00B77ABF" w:rsidP="00EB4444">
      <w:pPr>
        <w:pStyle w:val="NoSpacing"/>
        <w:spacing w:line="480" w:lineRule="auto"/>
        <w:rPr>
          <w:rFonts w:ascii="Times New Roman" w:hAnsi="Times New Roman" w:cs="Times New Roman"/>
        </w:rPr>
      </w:pPr>
    </w:p>
    <w:p w14:paraId="535FA8D7" w14:textId="17DD2509" w:rsidR="00B77ABF" w:rsidRDefault="00B77ABF" w:rsidP="00EB4444">
      <w:pPr>
        <w:pStyle w:val="NoSpacing"/>
        <w:spacing w:line="480" w:lineRule="auto"/>
        <w:rPr>
          <w:rFonts w:ascii="Times New Roman" w:hAnsi="Times New Roman" w:cs="Times New Roman"/>
        </w:rPr>
      </w:pPr>
    </w:p>
    <w:p w14:paraId="19E29773" w14:textId="24D8CDB4" w:rsidR="00B77ABF" w:rsidRDefault="00B77ABF" w:rsidP="00EB4444">
      <w:pPr>
        <w:pStyle w:val="NoSpacing"/>
        <w:spacing w:line="480" w:lineRule="auto"/>
        <w:rPr>
          <w:rFonts w:ascii="Times New Roman" w:hAnsi="Times New Roman" w:cs="Times New Roman"/>
        </w:rPr>
      </w:pPr>
    </w:p>
    <w:p w14:paraId="2C582B56" w14:textId="4D835DE1" w:rsidR="00B77ABF" w:rsidRDefault="00B77ABF" w:rsidP="00EB4444">
      <w:pPr>
        <w:pStyle w:val="NoSpacing"/>
        <w:spacing w:line="480" w:lineRule="auto"/>
        <w:rPr>
          <w:rFonts w:ascii="Times New Roman" w:hAnsi="Times New Roman" w:cs="Times New Roman"/>
        </w:rPr>
      </w:pPr>
    </w:p>
    <w:p w14:paraId="43B56032" w14:textId="203847BE" w:rsidR="00B77ABF" w:rsidRDefault="00B77ABF" w:rsidP="00EB4444">
      <w:pPr>
        <w:pStyle w:val="NoSpacing"/>
        <w:spacing w:line="480" w:lineRule="auto"/>
        <w:rPr>
          <w:rFonts w:ascii="Times New Roman" w:hAnsi="Times New Roman" w:cs="Times New Roman"/>
        </w:rPr>
      </w:pPr>
    </w:p>
    <w:p w14:paraId="2A24F4E1" w14:textId="66D31FB2" w:rsidR="00B77ABF" w:rsidRDefault="00B77ABF" w:rsidP="00EB4444">
      <w:pPr>
        <w:pStyle w:val="NoSpacing"/>
        <w:spacing w:line="480" w:lineRule="auto"/>
        <w:rPr>
          <w:rFonts w:ascii="Times New Roman" w:hAnsi="Times New Roman" w:cs="Times New Roman"/>
        </w:rPr>
      </w:pPr>
    </w:p>
    <w:p w14:paraId="4C73E633" w14:textId="15531A02" w:rsidR="00B77ABF" w:rsidRDefault="00B77ABF" w:rsidP="00EB4444">
      <w:pPr>
        <w:pStyle w:val="NoSpacing"/>
        <w:spacing w:line="480" w:lineRule="auto"/>
        <w:rPr>
          <w:rFonts w:ascii="Times New Roman" w:hAnsi="Times New Roman" w:cs="Times New Roman"/>
        </w:rPr>
      </w:pPr>
    </w:p>
    <w:p w14:paraId="30196C49" w14:textId="5A5BF0C7" w:rsidR="00B77ABF" w:rsidRDefault="00B77ABF" w:rsidP="00EB4444">
      <w:pPr>
        <w:pStyle w:val="NoSpacing"/>
        <w:spacing w:line="480" w:lineRule="auto"/>
        <w:rPr>
          <w:rFonts w:ascii="Times New Roman" w:hAnsi="Times New Roman" w:cs="Times New Roman"/>
        </w:rPr>
      </w:pPr>
    </w:p>
    <w:p w14:paraId="4ED049BF" w14:textId="1E1FE1AD"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rPr>
        <w:lastRenderedPageBreak/>
        <w:t>4. Core analyses split by difficulty level</w:t>
      </w:r>
    </w:p>
    <w:p w14:paraId="2B2EB35F" w14:textId="77777777" w:rsidR="00B77ABF" w:rsidRDefault="00B77ABF" w:rsidP="00B77ABF">
      <w:pPr>
        <w:pStyle w:val="NoSpacing"/>
        <w:spacing w:line="480" w:lineRule="auto"/>
        <w:rPr>
          <w:rFonts w:ascii="Times New Roman" w:hAnsi="Times New Roman" w:cs="Times New Roman"/>
          <w:i/>
          <w:iCs/>
        </w:rPr>
      </w:pPr>
      <w:r w:rsidRPr="00B77ABF">
        <w:rPr>
          <w:rFonts w:ascii="Times New Roman" w:hAnsi="Times New Roman" w:cs="Times New Roman"/>
          <w:b/>
          <w:bCs/>
        </w:rPr>
        <w:t>Table S5.3</w:t>
      </w:r>
      <w:r w:rsidRPr="00B77ABF">
        <w:rPr>
          <w:rFonts w:ascii="Times New Roman" w:hAnsi="Times New Roman" w:cs="Times New Roman"/>
          <w:i/>
          <w:iCs/>
        </w:rPr>
        <w:t xml:space="preserve"> </w:t>
      </w:r>
    </w:p>
    <w:p w14:paraId="0C9F453D" w14:textId="552FF659" w:rsidR="00B77ABF" w:rsidRPr="00B77ABF" w:rsidRDefault="00B77ABF" w:rsidP="00B77ABF">
      <w:pPr>
        <w:pStyle w:val="NoSpacing"/>
        <w:spacing w:line="480" w:lineRule="auto"/>
        <w:rPr>
          <w:rFonts w:ascii="Times New Roman" w:hAnsi="Times New Roman" w:cs="Times New Roman"/>
          <w:i/>
          <w:iCs/>
        </w:rPr>
      </w:pPr>
      <w:r w:rsidRPr="00B77ABF">
        <w:rPr>
          <w:rFonts w:ascii="Times New Roman" w:hAnsi="Times New Roman" w:cs="Times New Roman"/>
          <w:i/>
          <w:iCs/>
        </w:rPr>
        <w:t>A table displaying the p-value and effect size for each of the hypotheses split by difficulty level</w:t>
      </w:r>
    </w:p>
    <w:tbl>
      <w:tblPr>
        <w:tblW w:w="9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843"/>
        <w:gridCol w:w="1843"/>
        <w:gridCol w:w="1918"/>
      </w:tblGrid>
      <w:tr w:rsidR="00B77ABF" w:rsidRPr="00B77ABF" w14:paraId="6C2F9EF9" w14:textId="77777777" w:rsidTr="002A1E63">
        <w:trPr>
          <w:trHeight w:val="930"/>
        </w:trPr>
        <w:tc>
          <w:tcPr>
            <w:tcW w:w="3539" w:type="dxa"/>
            <w:shd w:val="clear" w:color="auto" w:fill="auto"/>
            <w:tcMar>
              <w:left w:w="108" w:type="dxa"/>
            </w:tcMar>
          </w:tcPr>
          <w:p w14:paraId="34B552EE"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Contrast</w:t>
            </w:r>
          </w:p>
        </w:tc>
        <w:tc>
          <w:tcPr>
            <w:tcW w:w="1843" w:type="dxa"/>
            <w:shd w:val="clear" w:color="auto" w:fill="auto"/>
            <w:tcMar>
              <w:left w:w="108" w:type="dxa"/>
            </w:tcMar>
          </w:tcPr>
          <w:p w14:paraId="2B3B55A5"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Easy trials</w:t>
            </w:r>
          </w:p>
        </w:tc>
        <w:tc>
          <w:tcPr>
            <w:tcW w:w="1843" w:type="dxa"/>
            <w:shd w:val="clear" w:color="auto" w:fill="auto"/>
            <w:tcMar>
              <w:left w:w="108" w:type="dxa"/>
            </w:tcMar>
          </w:tcPr>
          <w:p w14:paraId="1E5164F9"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Medium trials</w:t>
            </w:r>
          </w:p>
        </w:tc>
        <w:tc>
          <w:tcPr>
            <w:tcW w:w="1918" w:type="dxa"/>
            <w:shd w:val="clear" w:color="auto" w:fill="auto"/>
            <w:tcMar>
              <w:left w:w="108" w:type="dxa"/>
            </w:tcMar>
          </w:tcPr>
          <w:p w14:paraId="339B699E"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Difficult trials</w:t>
            </w:r>
          </w:p>
        </w:tc>
      </w:tr>
      <w:tr w:rsidR="00B77ABF" w:rsidRPr="00B77ABF" w14:paraId="79528D00" w14:textId="77777777" w:rsidTr="002A1E63">
        <w:trPr>
          <w:trHeight w:val="490"/>
        </w:trPr>
        <w:tc>
          <w:tcPr>
            <w:tcW w:w="3539" w:type="dxa"/>
            <w:shd w:val="clear" w:color="auto" w:fill="auto"/>
            <w:tcMar>
              <w:left w:w="108" w:type="dxa"/>
            </w:tcMar>
          </w:tcPr>
          <w:p w14:paraId="79F2A8B8" w14:textId="77777777" w:rsidR="00B77ABF" w:rsidRPr="00B77ABF" w:rsidRDefault="00B77ABF" w:rsidP="00B77ABF">
            <w:pPr>
              <w:pStyle w:val="NoSpacing"/>
              <w:spacing w:line="480" w:lineRule="auto"/>
              <w:rPr>
                <w:rFonts w:ascii="Times New Roman" w:hAnsi="Times New Roman" w:cs="Times New Roman"/>
                <w:b/>
              </w:rPr>
            </w:pPr>
            <w:r w:rsidRPr="00B77ABF">
              <w:rPr>
                <w:rFonts w:ascii="Times New Roman" w:hAnsi="Times New Roman" w:cs="Times New Roman"/>
                <w:b/>
              </w:rPr>
              <w:t>Drift / EA rate</w:t>
            </w:r>
          </w:p>
        </w:tc>
        <w:tc>
          <w:tcPr>
            <w:tcW w:w="1843" w:type="dxa"/>
            <w:shd w:val="clear" w:color="auto" w:fill="auto"/>
            <w:tcMar>
              <w:left w:w="108" w:type="dxa"/>
            </w:tcMar>
          </w:tcPr>
          <w:p w14:paraId="6D3F9B32" w14:textId="77777777" w:rsidR="00B77ABF" w:rsidRPr="00B77ABF" w:rsidRDefault="00B77ABF" w:rsidP="00B77ABF">
            <w:pPr>
              <w:pStyle w:val="NoSpacing"/>
              <w:spacing w:line="480" w:lineRule="auto"/>
              <w:rPr>
                <w:rFonts w:ascii="Times New Roman" w:hAnsi="Times New Roman" w:cs="Times New Roman"/>
                <w:u w:val="single"/>
              </w:rPr>
            </w:pPr>
          </w:p>
        </w:tc>
        <w:tc>
          <w:tcPr>
            <w:tcW w:w="1843" w:type="dxa"/>
            <w:shd w:val="clear" w:color="auto" w:fill="auto"/>
            <w:tcMar>
              <w:left w:w="108" w:type="dxa"/>
            </w:tcMar>
          </w:tcPr>
          <w:p w14:paraId="3C31ACD9" w14:textId="77777777" w:rsidR="00B77ABF" w:rsidRPr="00B77ABF" w:rsidRDefault="00B77ABF" w:rsidP="00B77ABF">
            <w:pPr>
              <w:pStyle w:val="NoSpacing"/>
              <w:spacing w:line="480" w:lineRule="auto"/>
              <w:rPr>
                <w:rFonts w:ascii="Times New Roman" w:hAnsi="Times New Roman" w:cs="Times New Roman"/>
                <w:u w:val="single"/>
              </w:rPr>
            </w:pPr>
          </w:p>
        </w:tc>
        <w:tc>
          <w:tcPr>
            <w:tcW w:w="1918" w:type="dxa"/>
            <w:shd w:val="clear" w:color="auto" w:fill="auto"/>
            <w:tcMar>
              <w:left w:w="108" w:type="dxa"/>
            </w:tcMar>
          </w:tcPr>
          <w:p w14:paraId="58C0D905" w14:textId="77777777" w:rsidR="00B77ABF" w:rsidRPr="00B77ABF" w:rsidRDefault="00B77ABF" w:rsidP="00B77ABF">
            <w:pPr>
              <w:pStyle w:val="NoSpacing"/>
              <w:spacing w:line="480" w:lineRule="auto"/>
              <w:rPr>
                <w:rFonts w:ascii="Times New Roman" w:hAnsi="Times New Roman" w:cs="Times New Roman"/>
                <w:u w:val="single"/>
              </w:rPr>
            </w:pPr>
          </w:p>
        </w:tc>
      </w:tr>
      <w:tr w:rsidR="00B77ABF" w:rsidRPr="00B77ABF" w14:paraId="117A59BE" w14:textId="77777777" w:rsidTr="002A1E63">
        <w:trPr>
          <w:trHeight w:val="930"/>
        </w:trPr>
        <w:tc>
          <w:tcPr>
            <w:tcW w:w="3539" w:type="dxa"/>
            <w:shd w:val="clear" w:color="auto" w:fill="auto"/>
            <w:tcMar>
              <w:left w:w="108" w:type="dxa"/>
            </w:tcMar>
          </w:tcPr>
          <w:p w14:paraId="6EF82053"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Positive condition: tobacco vs. animal</w:t>
            </w:r>
          </w:p>
        </w:tc>
        <w:tc>
          <w:tcPr>
            <w:tcW w:w="1843" w:type="dxa"/>
            <w:shd w:val="clear" w:color="auto" w:fill="auto"/>
            <w:tcMar>
              <w:left w:w="108" w:type="dxa"/>
            </w:tcMar>
          </w:tcPr>
          <w:p w14:paraId="3FFCFC93" w14:textId="77777777"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i/>
              </w:rPr>
              <w:t>p</w:t>
            </w:r>
            <w:r w:rsidRPr="00B77ABF">
              <w:rPr>
                <w:rFonts w:ascii="Times New Roman" w:hAnsi="Times New Roman" w:cs="Times New Roman"/>
                <w:b/>
                <w:bCs/>
              </w:rPr>
              <w:t xml:space="preserve"> = .01, </w:t>
            </w:r>
            <w:r w:rsidRPr="00B77ABF">
              <w:rPr>
                <w:rFonts w:ascii="Times New Roman" w:hAnsi="Times New Roman" w:cs="Times New Roman"/>
                <w:b/>
                <w:bCs/>
                <w:i/>
              </w:rPr>
              <w:t>d</w:t>
            </w:r>
            <w:r w:rsidRPr="00B77ABF">
              <w:rPr>
                <w:rFonts w:ascii="Times New Roman" w:hAnsi="Times New Roman" w:cs="Times New Roman"/>
                <w:b/>
                <w:bCs/>
              </w:rPr>
              <w:t xml:space="preserve"> =.34</w:t>
            </w:r>
          </w:p>
        </w:tc>
        <w:tc>
          <w:tcPr>
            <w:tcW w:w="1843" w:type="dxa"/>
            <w:shd w:val="clear" w:color="auto" w:fill="auto"/>
            <w:tcMar>
              <w:left w:w="108" w:type="dxa"/>
            </w:tcMar>
          </w:tcPr>
          <w:p w14:paraId="677266F2" w14:textId="77777777"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i/>
              </w:rPr>
              <w:t>p</w:t>
            </w:r>
            <w:r w:rsidRPr="00B77ABF">
              <w:rPr>
                <w:rFonts w:ascii="Times New Roman" w:hAnsi="Times New Roman" w:cs="Times New Roman"/>
                <w:b/>
                <w:bCs/>
              </w:rPr>
              <w:t xml:space="preserve"> &lt; .001 </w:t>
            </w:r>
            <w:r w:rsidRPr="00B77ABF">
              <w:rPr>
                <w:rFonts w:ascii="Times New Roman" w:hAnsi="Times New Roman" w:cs="Times New Roman"/>
                <w:b/>
                <w:bCs/>
                <w:i/>
              </w:rPr>
              <w:t>d</w:t>
            </w:r>
            <w:r w:rsidRPr="00B77ABF">
              <w:rPr>
                <w:rFonts w:ascii="Times New Roman" w:hAnsi="Times New Roman" w:cs="Times New Roman"/>
                <w:b/>
                <w:bCs/>
              </w:rPr>
              <w:t xml:space="preserve"> = .81</w:t>
            </w:r>
          </w:p>
        </w:tc>
        <w:tc>
          <w:tcPr>
            <w:tcW w:w="1918" w:type="dxa"/>
            <w:shd w:val="clear" w:color="auto" w:fill="auto"/>
            <w:tcMar>
              <w:left w:w="108" w:type="dxa"/>
            </w:tcMar>
          </w:tcPr>
          <w:p w14:paraId="2AE4400F" w14:textId="77777777"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i/>
              </w:rPr>
              <w:t>p</w:t>
            </w:r>
            <w:r w:rsidRPr="00B77ABF">
              <w:rPr>
                <w:rFonts w:ascii="Times New Roman" w:hAnsi="Times New Roman" w:cs="Times New Roman"/>
                <w:b/>
                <w:bCs/>
              </w:rPr>
              <w:t xml:space="preserve"> &lt; .001, </w:t>
            </w:r>
            <w:r w:rsidRPr="00B77ABF">
              <w:rPr>
                <w:rFonts w:ascii="Times New Roman" w:hAnsi="Times New Roman" w:cs="Times New Roman"/>
                <w:b/>
                <w:bCs/>
                <w:i/>
              </w:rPr>
              <w:t>d</w:t>
            </w:r>
            <w:r w:rsidRPr="00B77ABF">
              <w:rPr>
                <w:rFonts w:ascii="Times New Roman" w:hAnsi="Times New Roman" w:cs="Times New Roman"/>
                <w:b/>
                <w:bCs/>
              </w:rPr>
              <w:t xml:space="preserve"> = .71</w:t>
            </w:r>
          </w:p>
        </w:tc>
      </w:tr>
      <w:tr w:rsidR="00B77ABF" w:rsidRPr="00B77ABF" w14:paraId="11E487F4" w14:textId="77777777" w:rsidTr="002A1E63">
        <w:trPr>
          <w:trHeight w:val="930"/>
        </w:trPr>
        <w:tc>
          <w:tcPr>
            <w:tcW w:w="3539" w:type="dxa"/>
            <w:shd w:val="clear" w:color="auto" w:fill="auto"/>
            <w:tcMar>
              <w:left w:w="108" w:type="dxa"/>
            </w:tcMar>
          </w:tcPr>
          <w:p w14:paraId="1DD17CC8"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Negative condition: tobacco vs. animal</w:t>
            </w:r>
          </w:p>
        </w:tc>
        <w:tc>
          <w:tcPr>
            <w:tcW w:w="1843" w:type="dxa"/>
            <w:shd w:val="clear" w:color="auto" w:fill="auto"/>
            <w:tcMar>
              <w:left w:w="108" w:type="dxa"/>
            </w:tcMar>
          </w:tcPr>
          <w:p w14:paraId="08ACC553" w14:textId="77777777" w:rsidR="00B77ABF" w:rsidRPr="00B77ABF" w:rsidRDefault="00B77ABF" w:rsidP="00B77ABF">
            <w:pPr>
              <w:pStyle w:val="NoSpacing"/>
              <w:spacing w:line="480" w:lineRule="auto"/>
              <w:rPr>
                <w:rFonts w:ascii="Times New Roman" w:hAnsi="Times New Roman" w:cs="Times New Roman"/>
                <w:bCs/>
              </w:rPr>
            </w:pPr>
            <w:r w:rsidRPr="00B77ABF">
              <w:rPr>
                <w:rFonts w:ascii="Times New Roman" w:hAnsi="Times New Roman" w:cs="Times New Roman"/>
                <w:bCs/>
                <w:i/>
              </w:rPr>
              <w:t>p</w:t>
            </w:r>
            <w:r w:rsidRPr="00B77ABF">
              <w:rPr>
                <w:rFonts w:ascii="Times New Roman" w:hAnsi="Times New Roman" w:cs="Times New Roman"/>
                <w:bCs/>
              </w:rPr>
              <w:t xml:space="preserve"> = .81, </w:t>
            </w:r>
            <w:r w:rsidRPr="00B77ABF">
              <w:rPr>
                <w:rFonts w:ascii="Times New Roman" w:hAnsi="Times New Roman" w:cs="Times New Roman"/>
                <w:bCs/>
                <w:i/>
              </w:rPr>
              <w:t>d</w:t>
            </w:r>
            <w:r w:rsidRPr="00B77ABF">
              <w:rPr>
                <w:rFonts w:ascii="Times New Roman" w:hAnsi="Times New Roman" w:cs="Times New Roman"/>
                <w:bCs/>
              </w:rPr>
              <w:t xml:space="preserve"> = .13</w:t>
            </w:r>
          </w:p>
        </w:tc>
        <w:tc>
          <w:tcPr>
            <w:tcW w:w="1843" w:type="dxa"/>
            <w:shd w:val="clear" w:color="auto" w:fill="auto"/>
            <w:tcMar>
              <w:left w:w="108" w:type="dxa"/>
            </w:tcMar>
          </w:tcPr>
          <w:p w14:paraId="671AAB43" w14:textId="77777777" w:rsidR="00B77ABF" w:rsidRPr="00B77ABF" w:rsidRDefault="00B77ABF" w:rsidP="00B77ABF">
            <w:pPr>
              <w:pStyle w:val="NoSpacing"/>
              <w:spacing w:line="480" w:lineRule="auto"/>
              <w:rPr>
                <w:rFonts w:ascii="Times New Roman" w:hAnsi="Times New Roman" w:cs="Times New Roman"/>
                <w:bCs/>
              </w:rPr>
            </w:pPr>
            <w:r w:rsidRPr="00B77ABF">
              <w:rPr>
                <w:rFonts w:ascii="Times New Roman" w:hAnsi="Times New Roman" w:cs="Times New Roman"/>
                <w:bCs/>
                <w:i/>
              </w:rPr>
              <w:t>p</w:t>
            </w:r>
            <w:r w:rsidRPr="00B77ABF">
              <w:rPr>
                <w:rFonts w:ascii="Times New Roman" w:hAnsi="Times New Roman" w:cs="Times New Roman"/>
                <w:bCs/>
              </w:rPr>
              <w:t xml:space="preserve"> = 1.00, </w:t>
            </w:r>
            <w:r w:rsidRPr="00B77ABF">
              <w:rPr>
                <w:rFonts w:ascii="Times New Roman" w:hAnsi="Times New Roman" w:cs="Times New Roman"/>
                <w:bCs/>
                <w:i/>
              </w:rPr>
              <w:t xml:space="preserve">d </w:t>
            </w:r>
            <w:r w:rsidRPr="00B77ABF">
              <w:rPr>
                <w:rFonts w:ascii="Times New Roman" w:hAnsi="Times New Roman" w:cs="Times New Roman"/>
                <w:bCs/>
              </w:rPr>
              <w:t>= .76</w:t>
            </w:r>
          </w:p>
        </w:tc>
        <w:tc>
          <w:tcPr>
            <w:tcW w:w="1918" w:type="dxa"/>
            <w:shd w:val="clear" w:color="auto" w:fill="auto"/>
            <w:tcMar>
              <w:left w:w="108" w:type="dxa"/>
            </w:tcMar>
          </w:tcPr>
          <w:p w14:paraId="05290654" w14:textId="77777777" w:rsidR="00B77ABF" w:rsidRPr="00B77ABF" w:rsidRDefault="00B77ABF" w:rsidP="00B77ABF">
            <w:pPr>
              <w:pStyle w:val="NoSpacing"/>
              <w:spacing w:line="480" w:lineRule="auto"/>
              <w:rPr>
                <w:rFonts w:ascii="Times New Roman" w:hAnsi="Times New Roman" w:cs="Times New Roman"/>
                <w:bCs/>
              </w:rPr>
            </w:pPr>
            <w:r w:rsidRPr="00B77ABF">
              <w:rPr>
                <w:rFonts w:ascii="Times New Roman" w:hAnsi="Times New Roman" w:cs="Times New Roman"/>
                <w:bCs/>
                <w:i/>
              </w:rPr>
              <w:t>p</w:t>
            </w:r>
            <w:r w:rsidRPr="00B77ABF">
              <w:rPr>
                <w:rFonts w:ascii="Times New Roman" w:hAnsi="Times New Roman" w:cs="Times New Roman"/>
                <w:bCs/>
              </w:rPr>
              <w:t xml:space="preserve"> = 1.00, </w:t>
            </w:r>
            <w:r w:rsidRPr="00B77ABF">
              <w:rPr>
                <w:rFonts w:ascii="Times New Roman" w:hAnsi="Times New Roman" w:cs="Times New Roman"/>
                <w:bCs/>
                <w:i/>
              </w:rPr>
              <w:t>d</w:t>
            </w:r>
            <w:r w:rsidRPr="00B77ABF">
              <w:rPr>
                <w:rFonts w:ascii="Times New Roman" w:hAnsi="Times New Roman" w:cs="Times New Roman"/>
                <w:bCs/>
              </w:rPr>
              <w:t xml:space="preserve"> = .74</w:t>
            </w:r>
          </w:p>
        </w:tc>
      </w:tr>
      <w:tr w:rsidR="00B77ABF" w:rsidRPr="00B77ABF" w14:paraId="7FB73E39" w14:textId="77777777" w:rsidTr="002A1E63">
        <w:trPr>
          <w:trHeight w:val="956"/>
        </w:trPr>
        <w:tc>
          <w:tcPr>
            <w:tcW w:w="3539" w:type="dxa"/>
            <w:shd w:val="clear" w:color="auto" w:fill="auto"/>
            <w:tcMar>
              <w:left w:w="108" w:type="dxa"/>
            </w:tcMar>
          </w:tcPr>
          <w:p w14:paraId="07406167"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Tobacco: positive vs. negative condition</w:t>
            </w:r>
          </w:p>
        </w:tc>
        <w:tc>
          <w:tcPr>
            <w:tcW w:w="1843" w:type="dxa"/>
            <w:shd w:val="clear" w:color="auto" w:fill="auto"/>
            <w:tcMar>
              <w:left w:w="108" w:type="dxa"/>
            </w:tcMar>
          </w:tcPr>
          <w:p w14:paraId="4BE56404"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.35, </w:t>
            </w:r>
            <w:r w:rsidRPr="00B77ABF">
              <w:rPr>
                <w:rFonts w:ascii="Times New Roman" w:hAnsi="Times New Roman" w:cs="Times New Roman"/>
                <w:i/>
              </w:rPr>
              <w:t xml:space="preserve">d </w:t>
            </w:r>
            <w:r w:rsidRPr="00B77ABF">
              <w:rPr>
                <w:rFonts w:ascii="Times New Roman" w:hAnsi="Times New Roman" w:cs="Times New Roman"/>
              </w:rPr>
              <w:t>= .05</w:t>
            </w:r>
          </w:p>
        </w:tc>
        <w:tc>
          <w:tcPr>
            <w:tcW w:w="1843" w:type="dxa"/>
            <w:shd w:val="clear" w:color="auto" w:fill="auto"/>
            <w:tcMar>
              <w:left w:w="108" w:type="dxa"/>
            </w:tcMar>
          </w:tcPr>
          <w:p w14:paraId="3A3ABEC0"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.23, </w:t>
            </w:r>
            <w:r w:rsidRPr="00B77ABF">
              <w:rPr>
                <w:rFonts w:ascii="Times New Roman" w:hAnsi="Times New Roman" w:cs="Times New Roman"/>
                <w:i/>
              </w:rPr>
              <w:t>d</w:t>
            </w:r>
            <w:r w:rsidRPr="00B77ABF">
              <w:rPr>
                <w:rFonts w:ascii="Times New Roman" w:hAnsi="Times New Roman" w:cs="Times New Roman"/>
              </w:rPr>
              <w:t xml:space="preserve"> = .11</w:t>
            </w:r>
          </w:p>
        </w:tc>
        <w:tc>
          <w:tcPr>
            <w:tcW w:w="1918" w:type="dxa"/>
            <w:shd w:val="clear" w:color="auto" w:fill="auto"/>
            <w:tcMar>
              <w:left w:w="108" w:type="dxa"/>
            </w:tcMar>
          </w:tcPr>
          <w:p w14:paraId="7AB4A8A8" w14:textId="77777777"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i/>
              </w:rPr>
              <w:t>p</w:t>
            </w:r>
            <w:r w:rsidRPr="00B77ABF">
              <w:rPr>
                <w:rFonts w:ascii="Times New Roman" w:hAnsi="Times New Roman" w:cs="Times New Roman"/>
                <w:b/>
                <w:bCs/>
              </w:rPr>
              <w:t xml:space="preserve"> = .03, </w:t>
            </w:r>
            <w:r w:rsidRPr="00B77ABF">
              <w:rPr>
                <w:rFonts w:ascii="Times New Roman" w:hAnsi="Times New Roman" w:cs="Times New Roman"/>
                <w:b/>
                <w:bCs/>
                <w:i/>
              </w:rPr>
              <w:t xml:space="preserve">d </w:t>
            </w:r>
            <w:r w:rsidRPr="00B77ABF">
              <w:rPr>
                <w:rFonts w:ascii="Times New Roman" w:hAnsi="Times New Roman" w:cs="Times New Roman"/>
                <w:b/>
                <w:bCs/>
              </w:rPr>
              <w:t>= .28</w:t>
            </w:r>
          </w:p>
        </w:tc>
      </w:tr>
      <w:tr w:rsidR="00B77ABF" w:rsidRPr="00B77ABF" w14:paraId="09BA91A4" w14:textId="77777777" w:rsidTr="002A1E63">
        <w:trPr>
          <w:trHeight w:val="930"/>
        </w:trPr>
        <w:tc>
          <w:tcPr>
            <w:tcW w:w="3539" w:type="dxa"/>
            <w:shd w:val="clear" w:color="auto" w:fill="auto"/>
            <w:tcMar>
              <w:left w:w="108" w:type="dxa"/>
            </w:tcMar>
          </w:tcPr>
          <w:p w14:paraId="33DB0107"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Animal: positive vs. negative condition</w:t>
            </w:r>
          </w:p>
        </w:tc>
        <w:tc>
          <w:tcPr>
            <w:tcW w:w="1843" w:type="dxa"/>
            <w:shd w:val="clear" w:color="auto" w:fill="auto"/>
            <w:tcMar>
              <w:left w:w="108" w:type="dxa"/>
            </w:tcMar>
          </w:tcPr>
          <w:p w14:paraId="73C327CE"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.18, </w:t>
            </w:r>
            <w:r w:rsidRPr="00B77ABF">
              <w:rPr>
                <w:rFonts w:ascii="Times New Roman" w:hAnsi="Times New Roman" w:cs="Times New Roman"/>
                <w:i/>
              </w:rPr>
              <w:t>d</w:t>
            </w:r>
            <w:r w:rsidRPr="00B77ABF">
              <w:rPr>
                <w:rFonts w:ascii="Times New Roman" w:hAnsi="Times New Roman" w:cs="Times New Roman"/>
              </w:rPr>
              <w:t xml:space="preserve"> = .13</w:t>
            </w:r>
          </w:p>
        </w:tc>
        <w:tc>
          <w:tcPr>
            <w:tcW w:w="1843" w:type="dxa"/>
            <w:shd w:val="clear" w:color="auto" w:fill="auto"/>
            <w:tcMar>
              <w:left w:w="108" w:type="dxa"/>
            </w:tcMar>
          </w:tcPr>
          <w:p w14:paraId="20DB07DE" w14:textId="77777777" w:rsidR="00B77ABF" w:rsidRPr="00B77ABF" w:rsidRDefault="00B77ABF" w:rsidP="00B77ABF">
            <w:pPr>
              <w:pStyle w:val="NoSpacing"/>
              <w:spacing w:line="480" w:lineRule="auto"/>
              <w:rPr>
                <w:rFonts w:ascii="Times New Roman" w:hAnsi="Times New Roman" w:cs="Times New Roman"/>
                <w:bCs/>
              </w:rPr>
            </w:pPr>
            <w:r w:rsidRPr="00B77ABF">
              <w:rPr>
                <w:rFonts w:ascii="Times New Roman" w:hAnsi="Times New Roman" w:cs="Times New Roman"/>
                <w:bCs/>
                <w:i/>
              </w:rPr>
              <w:t>p</w:t>
            </w:r>
            <w:r w:rsidRPr="00B77ABF">
              <w:rPr>
                <w:rFonts w:ascii="Times New Roman" w:hAnsi="Times New Roman" w:cs="Times New Roman"/>
                <w:bCs/>
              </w:rPr>
              <w:t xml:space="preserve"> = .46, </w:t>
            </w:r>
            <w:r w:rsidRPr="00B77ABF">
              <w:rPr>
                <w:rFonts w:ascii="Times New Roman" w:hAnsi="Times New Roman" w:cs="Times New Roman"/>
                <w:bCs/>
                <w:i/>
              </w:rPr>
              <w:t xml:space="preserve">d </w:t>
            </w:r>
            <w:r w:rsidRPr="00B77ABF">
              <w:rPr>
                <w:rFonts w:ascii="Times New Roman" w:hAnsi="Times New Roman" w:cs="Times New Roman"/>
                <w:bCs/>
              </w:rPr>
              <w:t>= .02</w:t>
            </w:r>
          </w:p>
        </w:tc>
        <w:tc>
          <w:tcPr>
            <w:tcW w:w="1918" w:type="dxa"/>
            <w:shd w:val="clear" w:color="auto" w:fill="auto"/>
            <w:tcMar>
              <w:left w:w="108" w:type="dxa"/>
            </w:tcMar>
          </w:tcPr>
          <w:p w14:paraId="0DC99735"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.91,</w:t>
            </w:r>
            <w:r w:rsidRPr="00B77ABF">
              <w:rPr>
                <w:rFonts w:ascii="Times New Roman" w:hAnsi="Times New Roman" w:cs="Times New Roman"/>
                <w:i/>
              </w:rPr>
              <w:t xml:space="preserve"> d</w:t>
            </w:r>
            <w:r w:rsidRPr="00B77ABF">
              <w:rPr>
                <w:rFonts w:ascii="Times New Roman" w:hAnsi="Times New Roman" w:cs="Times New Roman"/>
              </w:rPr>
              <w:t xml:space="preserve"> = .19</w:t>
            </w:r>
          </w:p>
        </w:tc>
      </w:tr>
      <w:tr w:rsidR="00B77ABF" w:rsidRPr="00B77ABF" w14:paraId="3863FFC4" w14:textId="77777777" w:rsidTr="002A1E63">
        <w:trPr>
          <w:trHeight w:val="465"/>
        </w:trPr>
        <w:tc>
          <w:tcPr>
            <w:tcW w:w="3539" w:type="dxa"/>
            <w:shd w:val="clear" w:color="auto" w:fill="auto"/>
            <w:tcMar>
              <w:left w:w="108" w:type="dxa"/>
            </w:tcMar>
          </w:tcPr>
          <w:p w14:paraId="5571FBB2" w14:textId="77777777" w:rsidR="00B77ABF" w:rsidRPr="00B77ABF" w:rsidRDefault="00B77ABF" w:rsidP="00B77ABF">
            <w:pPr>
              <w:pStyle w:val="NoSpacing"/>
              <w:spacing w:line="480" w:lineRule="auto"/>
              <w:rPr>
                <w:rFonts w:ascii="Times New Roman" w:hAnsi="Times New Roman" w:cs="Times New Roman"/>
                <w:b/>
              </w:rPr>
            </w:pPr>
            <w:r w:rsidRPr="00B77ABF">
              <w:rPr>
                <w:rFonts w:ascii="Times New Roman" w:hAnsi="Times New Roman" w:cs="Times New Roman"/>
                <w:b/>
              </w:rPr>
              <w:t>Response threshold</w:t>
            </w:r>
          </w:p>
        </w:tc>
        <w:tc>
          <w:tcPr>
            <w:tcW w:w="1843" w:type="dxa"/>
            <w:shd w:val="clear" w:color="auto" w:fill="auto"/>
            <w:tcMar>
              <w:left w:w="108" w:type="dxa"/>
            </w:tcMar>
          </w:tcPr>
          <w:p w14:paraId="10D1C192" w14:textId="77777777" w:rsidR="00B77ABF" w:rsidRPr="00B77ABF" w:rsidRDefault="00B77ABF" w:rsidP="00B77ABF">
            <w:pPr>
              <w:pStyle w:val="NoSpacing"/>
              <w:spacing w:line="480" w:lineRule="auto"/>
              <w:rPr>
                <w:rFonts w:ascii="Times New Roman" w:hAnsi="Times New Roman" w:cs="Times New Roman"/>
                <w:u w:val="single"/>
              </w:rPr>
            </w:pPr>
          </w:p>
        </w:tc>
        <w:tc>
          <w:tcPr>
            <w:tcW w:w="1843" w:type="dxa"/>
            <w:shd w:val="clear" w:color="auto" w:fill="auto"/>
            <w:tcMar>
              <w:left w:w="108" w:type="dxa"/>
            </w:tcMar>
          </w:tcPr>
          <w:p w14:paraId="59FBB2B6" w14:textId="77777777" w:rsidR="00B77ABF" w:rsidRPr="00B77ABF" w:rsidRDefault="00B77ABF" w:rsidP="00B77ABF">
            <w:pPr>
              <w:pStyle w:val="NoSpacing"/>
              <w:spacing w:line="480" w:lineRule="auto"/>
              <w:rPr>
                <w:rFonts w:ascii="Times New Roman" w:hAnsi="Times New Roman" w:cs="Times New Roman"/>
                <w:u w:val="single"/>
              </w:rPr>
            </w:pPr>
          </w:p>
        </w:tc>
        <w:tc>
          <w:tcPr>
            <w:tcW w:w="1918" w:type="dxa"/>
            <w:shd w:val="clear" w:color="auto" w:fill="auto"/>
            <w:tcMar>
              <w:left w:w="108" w:type="dxa"/>
            </w:tcMar>
          </w:tcPr>
          <w:p w14:paraId="2803E48F" w14:textId="77777777" w:rsidR="00B77ABF" w:rsidRPr="00B77ABF" w:rsidRDefault="00B77ABF" w:rsidP="00B77ABF">
            <w:pPr>
              <w:pStyle w:val="NoSpacing"/>
              <w:spacing w:line="480" w:lineRule="auto"/>
              <w:rPr>
                <w:rFonts w:ascii="Times New Roman" w:hAnsi="Times New Roman" w:cs="Times New Roman"/>
                <w:u w:val="single"/>
              </w:rPr>
            </w:pPr>
          </w:p>
        </w:tc>
      </w:tr>
      <w:tr w:rsidR="00B77ABF" w:rsidRPr="00B77ABF" w14:paraId="6C9EB1E4" w14:textId="77777777" w:rsidTr="002A1E63">
        <w:trPr>
          <w:trHeight w:val="956"/>
        </w:trPr>
        <w:tc>
          <w:tcPr>
            <w:tcW w:w="3539" w:type="dxa"/>
            <w:shd w:val="clear" w:color="auto" w:fill="auto"/>
            <w:tcMar>
              <w:left w:w="108" w:type="dxa"/>
            </w:tcMar>
          </w:tcPr>
          <w:p w14:paraId="6F57D66C"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Positive condition: tobacco vs. animal</w:t>
            </w:r>
          </w:p>
        </w:tc>
        <w:tc>
          <w:tcPr>
            <w:tcW w:w="1843" w:type="dxa"/>
            <w:shd w:val="clear" w:color="auto" w:fill="auto"/>
            <w:tcMar>
              <w:left w:w="108" w:type="dxa"/>
            </w:tcMar>
          </w:tcPr>
          <w:p w14:paraId="17C9CD5F"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 xml:space="preserve">p </w:t>
            </w:r>
            <w:r w:rsidRPr="00B77ABF">
              <w:rPr>
                <w:rFonts w:ascii="Times New Roman" w:hAnsi="Times New Roman" w:cs="Times New Roman"/>
              </w:rPr>
              <w:t xml:space="preserve">= .30, </w:t>
            </w:r>
            <w:r w:rsidRPr="00B77ABF">
              <w:rPr>
                <w:rFonts w:ascii="Times New Roman" w:hAnsi="Times New Roman" w:cs="Times New Roman"/>
                <w:i/>
              </w:rPr>
              <w:t>d</w:t>
            </w:r>
            <w:r w:rsidRPr="00B77ABF">
              <w:rPr>
                <w:rFonts w:ascii="Times New Roman" w:hAnsi="Times New Roman" w:cs="Times New Roman"/>
              </w:rPr>
              <w:t xml:space="preserve"> = .08</w:t>
            </w:r>
          </w:p>
        </w:tc>
        <w:tc>
          <w:tcPr>
            <w:tcW w:w="1843" w:type="dxa"/>
            <w:shd w:val="clear" w:color="auto" w:fill="auto"/>
            <w:tcMar>
              <w:left w:w="108" w:type="dxa"/>
            </w:tcMar>
          </w:tcPr>
          <w:p w14:paraId="33D86AC9"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.75, </w:t>
            </w:r>
            <w:r w:rsidRPr="00B77ABF">
              <w:rPr>
                <w:rFonts w:ascii="Times New Roman" w:hAnsi="Times New Roman" w:cs="Times New Roman"/>
                <w:i/>
              </w:rPr>
              <w:t>d</w:t>
            </w:r>
            <w:r w:rsidRPr="00B77ABF">
              <w:rPr>
                <w:rFonts w:ascii="Times New Roman" w:hAnsi="Times New Roman" w:cs="Times New Roman"/>
              </w:rPr>
              <w:t xml:space="preserve"> = .10</w:t>
            </w:r>
          </w:p>
        </w:tc>
        <w:tc>
          <w:tcPr>
            <w:tcW w:w="1918" w:type="dxa"/>
            <w:shd w:val="clear" w:color="auto" w:fill="auto"/>
            <w:tcMar>
              <w:left w:w="108" w:type="dxa"/>
            </w:tcMar>
          </w:tcPr>
          <w:p w14:paraId="1085807B"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i/>
              </w:rPr>
              <w:t>p</w:t>
            </w:r>
            <w:r w:rsidRPr="00B77ABF">
              <w:rPr>
                <w:rFonts w:ascii="Times New Roman" w:hAnsi="Times New Roman" w:cs="Times New Roman"/>
              </w:rPr>
              <w:t xml:space="preserve"> = .90, </w:t>
            </w:r>
            <w:r w:rsidRPr="00B77ABF">
              <w:rPr>
                <w:rFonts w:ascii="Times New Roman" w:hAnsi="Times New Roman" w:cs="Times New Roman"/>
                <w:i/>
              </w:rPr>
              <w:t>d</w:t>
            </w:r>
            <w:r w:rsidRPr="00B77ABF">
              <w:rPr>
                <w:rFonts w:ascii="Times New Roman" w:hAnsi="Times New Roman" w:cs="Times New Roman"/>
              </w:rPr>
              <w:t xml:space="preserve"> = .19</w:t>
            </w:r>
          </w:p>
        </w:tc>
      </w:tr>
      <w:tr w:rsidR="00B77ABF" w:rsidRPr="00B77ABF" w14:paraId="7014D30E" w14:textId="77777777" w:rsidTr="002A1E63">
        <w:trPr>
          <w:trHeight w:val="930"/>
        </w:trPr>
        <w:tc>
          <w:tcPr>
            <w:tcW w:w="3539" w:type="dxa"/>
            <w:shd w:val="clear" w:color="auto" w:fill="auto"/>
            <w:tcMar>
              <w:left w:w="108" w:type="dxa"/>
            </w:tcMar>
          </w:tcPr>
          <w:p w14:paraId="1F1B7569"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Negative condition: tobacco vs. animal</w:t>
            </w:r>
          </w:p>
        </w:tc>
        <w:tc>
          <w:tcPr>
            <w:tcW w:w="1843" w:type="dxa"/>
            <w:shd w:val="clear" w:color="auto" w:fill="auto"/>
            <w:tcMar>
              <w:left w:w="108" w:type="dxa"/>
            </w:tcMar>
          </w:tcPr>
          <w:p w14:paraId="7B74011A"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.54, </w:t>
            </w:r>
            <w:r w:rsidRPr="00B77ABF">
              <w:rPr>
                <w:rFonts w:ascii="Times New Roman" w:hAnsi="Times New Roman" w:cs="Times New Roman"/>
                <w:i/>
              </w:rPr>
              <w:t>d</w:t>
            </w:r>
            <w:r w:rsidRPr="00B77ABF">
              <w:rPr>
                <w:rFonts w:ascii="Times New Roman" w:hAnsi="Times New Roman" w:cs="Times New Roman"/>
              </w:rPr>
              <w:t xml:space="preserve"> = .02</w:t>
            </w:r>
          </w:p>
        </w:tc>
        <w:tc>
          <w:tcPr>
            <w:tcW w:w="1843" w:type="dxa"/>
            <w:shd w:val="clear" w:color="auto" w:fill="auto"/>
            <w:tcMar>
              <w:left w:w="108" w:type="dxa"/>
            </w:tcMar>
          </w:tcPr>
          <w:p w14:paraId="2C5B38FC"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.55, </w:t>
            </w:r>
            <w:r w:rsidRPr="00B77ABF">
              <w:rPr>
                <w:rFonts w:ascii="Times New Roman" w:hAnsi="Times New Roman" w:cs="Times New Roman"/>
                <w:i/>
              </w:rPr>
              <w:t>d</w:t>
            </w:r>
            <w:r w:rsidRPr="00B77ABF">
              <w:rPr>
                <w:rFonts w:ascii="Times New Roman" w:hAnsi="Times New Roman" w:cs="Times New Roman"/>
              </w:rPr>
              <w:t xml:space="preserve"> = .02</w:t>
            </w:r>
          </w:p>
        </w:tc>
        <w:tc>
          <w:tcPr>
            <w:tcW w:w="1918" w:type="dxa"/>
            <w:shd w:val="clear" w:color="auto" w:fill="auto"/>
            <w:tcMar>
              <w:left w:w="108" w:type="dxa"/>
            </w:tcMar>
          </w:tcPr>
          <w:p w14:paraId="42A5DCCF"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.25, </w:t>
            </w:r>
            <w:r w:rsidRPr="00B77ABF">
              <w:rPr>
                <w:rFonts w:ascii="Times New Roman" w:hAnsi="Times New Roman" w:cs="Times New Roman"/>
                <w:i/>
              </w:rPr>
              <w:t>d</w:t>
            </w:r>
            <w:r w:rsidRPr="00B77ABF">
              <w:rPr>
                <w:rFonts w:ascii="Times New Roman" w:hAnsi="Times New Roman" w:cs="Times New Roman"/>
              </w:rPr>
              <w:t xml:space="preserve"> = .10</w:t>
            </w:r>
          </w:p>
        </w:tc>
      </w:tr>
      <w:tr w:rsidR="00B77ABF" w:rsidRPr="00B77ABF" w14:paraId="368D8C88" w14:textId="77777777" w:rsidTr="002A1E63">
        <w:trPr>
          <w:trHeight w:val="956"/>
        </w:trPr>
        <w:tc>
          <w:tcPr>
            <w:tcW w:w="3539" w:type="dxa"/>
            <w:shd w:val="clear" w:color="auto" w:fill="auto"/>
            <w:tcMar>
              <w:left w:w="108" w:type="dxa"/>
            </w:tcMar>
          </w:tcPr>
          <w:p w14:paraId="69F1A277"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Tobacco: positive vs. negative condition</w:t>
            </w:r>
          </w:p>
        </w:tc>
        <w:tc>
          <w:tcPr>
            <w:tcW w:w="1843" w:type="dxa"/>
            <w:shd w:val="clear" w:color="auto" w:fill="auto"/>
            <w:tcMar>
              <w:left w:w="108" w:type="dxa"/>
            </w:tcMar>
          </w:tcPr>
          <w:p w14:paraId="75F29C19"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.50, </w:t>
            </w:r>
            <w:r w:rsidRPr="00B77ABF">
              <w:rPr>
                <w:rFonts w:ascii="Times New Roman" w:hAnsi="Times New Roman" w:cs="Times New Roman"/>
                <w:i/>
              </w:rPr>
              <w:t>d</w:t>
            </w:r>
            <w:r w:rsidRPr="00B77ABF">
              <w:rPr>
                <w:rFonts w:ascii="Times New Roman" w:hAnsi="Times New Roman" w:cs="Times New Roman"/>
              </w:rPr>
              <w:t xml:space="preserve"> = .00</w:t>
            </w:r>
          </w:p>
        </w:tc>
        <w:tc>
          <w:tcPr>
            <w:tcW w:w="1843" w:type="dxa"/>
            <w:shd w:val="clear" w:color="auto" w:fill="auto"/>
            <w:tcMar>
              <w:left w:w="108" w:type="dxa"/>
            </w:tcMar>
          </w:tcPr>
          <w:p w14:paraId="775B685C"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.95, </w:t>
            </w:r>
            <w:r w:rsidRPr="00B77ABF">
              <w:rPr>
                <w:rFonts w:ascii="Times New Roman" w:hAnsi="Times New Roman" w:cs="Times New Roman"/>
                <w:i/>
              </w:rPr>
              <w:t xml:space="preserve">d </w:t>
            </w:r>
            <w:r w:rsidRPr="00B77ABF">
              <w:rPr>
                <w:rFonts w:ascii="Times New Roman" w:hAnsi="Times New Roman" w:cs="Times New Roman"/>
              </w:rPr>
              <w:t>= .24</w:t>
            </w:r>
          </w:p>
        </w:tc>
        <w:tc>
          <w:tcPr>
            <w:tcW w:w="1918" w:type="dxa"/>
            <w:shd w:val="clear" w:color="auto" w:fill="auto"/>
            <w:tcMar>
              <w:left w:w="108" w:type="dxa"/>
            </w:tcMar>
          </w:tcPr>
          <w:p w14:paraId="08BF863D"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.83, </w:t>
            </w:r>
            <w:r w:rsidRPr="00B77ABF">
              <w:rPr>
                <w:rFonts w:ascii="Times New Roman" w:hAnsi="Times New Roman" w:cs="Times New Roman"/>
                <w:i/>
              </w:rPr>
              <w:t>d</w:t>
            </w:r>
            <w:r w:rsidRPr="00B77ABF">
              <w:rPr>
                <w:rFonts w:ascii="Times New Roman" w:hAnsi="Times New Roman" w:cs="Times New Roman"/>
              </w:rPr>
              <w:t xml:space="preserve"> = .14</w:t>
            </w:r>
          </w:p>
        </w:tc>
      </w:tr>
      <w:tr w:rsidR="00B77ABF" w:rsidRPr="00B77ABF" w14:paraId="7754D630" w14:textId="77777777" w:rsidTr="002A1E63">
        <w:trPr>
          <w:trHeight w:val="930"/>
        </w:trPr>
        <w:tc>
          <w:tcPr>
            <w:tcW w:w="3539" w:type="dxa"/>
            <w:shd w:val="clear" w:color="auto" w:fill="auto"/>
            <w:tcMar>
              <w:left w:w="108" w:type="dxa"/>
            </w:tcMar>
          </w:tcPr>
          <w:p w14:paraId="6F5503FC"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Animal: positive vs. negative condition</w:t>
            </w:r>
          </w:p>
        </w:tc>
        <w:tc>
          <w:tcPr>
            <w:tcW w:w="1843" w:type="dxa"/>
            <w:shd w:val="clear" w:color="auto" w:fill="auto"/>
            <w:tcMar>
              <w:left w:w="108" w:type="dxa"/>
            </w:tcMar>
          </w:tcPr>
          <w:p w14:paraId="2B86DECC"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.32, </w:t>
            </w:r>
            <w:r w:rsidRPr="00B77ABF">
              <w:rPr>
                <w:rFonts w:ascii="Times New Roman" w:hAnsi="Times New Roman" w:cs="Times New Roman"/>
                <w:i/>
              </w:rPr>
              <w:t>d</w:t>
            </w:r>
            <w:r w:rsidRPr="00B77ABF">
              <w:rPr>
                <w:rFonts w:ascii="Times New Roman" w:hAnsi="Times New Roman" w:cs="Times New Roman"/>
              </w:rPr>
              <w:t xml:space="preserve"> = .07</w:t>
            </w:r>
          </w:p>
        </w:tc>
        <w:tc>
          <w:tcPr>
            <w:tcW w:w="1843" w:type="dxa"/>
            <w:shd w:val="clear" w:color="auto" w:fill="auto"/>
            <w:tcMar>
              <w:left w:w="108" w:type="dxa"/>
            </w:tcMar>
          </w:tcPr>
          <w:p w14:paraId="701E0283"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.12, </w:t>
            </w:r>
            <w:r w:rsidRPr="00B77ABF">
              <w:rPr>
                <w:rFonts w:ascii="Times New Roman" w:hAnsi="Times New Roman" w:cs="Times New Roman"/>
                <w:i/>
              </w:rPr>
              <w:t>d</w:t>
            </w:r>
            <w:r w:rsidRPr="00B77ABF">
              <w:rPr>
                <w:rFonts w:ascii="Times New Roman" w:hAnsi="Times New Roman" w:cs="Times New Roman"/>
              </w:rPr>
              <w:t xml:space="preserve"> = .17</w:t>
            </w:r>
          </w:p>
        </w:tc>
        <w:tc>
          <w:tcPr>
            <w:tcW w:w="1918" w:type="dxa"/>
            <w:shd w:val="clear" w:color="auto" w:fill="auto"/>
            <w:tcMar>
              <w:left w:w="108" w:type="dxa"/>
            </w:tcMar>
          </w:tcPr>
          <w:p w14:paraId="4A534397"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i/>
              </w:rPr>
              <w:t>p</w:t>
            </w:r>
            <w:r w:rsidRPr="00B77ABF">
              <w:rPr>
                <w:rFonts w:ascii="Times New Roman" w:hAnsi="Times New Roman" w:cs="Times New Roman"/>
              </w:rPr>
              <w:t xml:space="preserve"> = .40, </w:t>
            </w:r>
            <w:r w:rsidRPr="00B77ABF">
              <w:rPr>
                <w:rFonts w:ascii="Times New Roman" w:hAnsi="Times New Roman" w:cs="Times New Roman"/>
                <w:i/>
              </w:rPr>
              <w:t>d</w:t>
            </w:r>
            <w:r w:rsidRPr="00B77ABF">
              <w:rPr>
                <w:rFonts w:ascii="Times New Roman" w:hAnsi="Times New Roman" w:cs="Times New Roman"/>
              </w:rPr>
              <w:t xml:space="preserve"> = .04</w:t>
            </w:r>
          </w:p>
        </w:tc>
      </w:tr>
    </w:tbl>
    <w:p w14:paraId="0CA9E394"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i/>
          <w:iCs/>
        </w:rPr>
        <w:lastRenderedPageBreak/>
        <w:t>Note.</w:t>
      </w:r>
      <w:r w:rsidRPr="00B77ABF">
        <w:rPr>
          <w:rFonts w:ascii="Times New Roman" w:hAnsi="Times New Roman" w:cs="Times New Roman"/>
        </w:rPr>
        <w:t xml:space="preserve"> Significant findings are in bold. </w:t>
      </w:r>
      <w:bookmarkStart w:id="416" w:name="_Hlk108619615"/>
      <w:r w:rsidRPr="00B77ABF">
        <w:rPr>
          <w:rFonts w:ascii="Times New Roman" w:hAnsi="Times New Roman" w:cs="Times New Roman"/>
        </w:rPr>
        <w:t xml:space="preserve">Positive condition refers to the induction of positive mood intended to lower tobacco value. Negative condition refers to the induction of negative mood intended to elevate tobacco value.  </w:t>
      </w:r>
    </w:p>
    <w:bookmarkEnd w:id="416"/>
    <w:p w14:paraId="6C8C6D38" w14:textId="77777777" w:rsidR="00B77ABF" w:rsidRPr="00B77ABF" w:rsidRDefault="00B77ABF" w:rsidP="00B77ABF">
      <w:pPr>
        <w:pStyle w:val="NoSpacing"/>
        <w:spacing w:line="480" w:lineRule="auto"/>
        <w:rPr>
          <w:rFonts w:ascii="Times New Roman" w:hAnsi="Times New Roman" w:cs="Times New Roman"/>
          <w:u w:val="single"/>
        </w:rPr>
      </w:pPr>
    </w:p>
    <w:p w14:paraId="6246EFFB"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b/>
          <w:bCs/>
        </w:rPr>
        <w:t>Brief summary:</w:t>
      </w:r>
      <w:r w:rsidRPr="00B77ABF">
        <w:rPr>
          <w:rFonts w:ascii="Times New Roman" w:hAnsi="Times New Roman" w:cs="Times New Roman"/>
        </w:rPr>
        <w:t xml:space="preserve"> In the positive mood condition the data strongly support hypothesis 2 (although this is likely because animal EA rates are always higher than tobacco which makes this difficult to interpret). Although there were no significant differences in tobacco EA rates in the negative versus positive mood induction conditions, </w:t>
      </w:r>
      <w:bookmarkStart w:id="417" w:name="_Hlk108627545"/>
      <w:r w:rsidRPr="00B77ABF">
        <w:rPr>
          <w:rFonts w:ascii="Times New Roman" w:hAnsi="Times New Roman" w:cs="Times New Roman"/>
        </w:rPr>
        <w:t xml:space="preserve">we can see here that in trials that are </w:t>
      </w:r>
      <w:r w:rsidRPr="00B77ABF">
        <w:rPr>
          <w:rFonts w:ascii="Times New Roman" w:hAnsi="Times New Roman" w:cs="Times New Roman"/>
          <w:u w:val="single"/>
        </w:rPr>
        <w:t>difficult</w:t>
      </w:r>
      <w:r w:rsidRPr="00B77ABF">
        <w:rPr>
          <w:rFonts w:ascii="Times New Roman" w:hAnsi="Times New Roman" w:cs="Times New Roman"/>
        </w:rPr>
        <w:t xml:space="preserve">, the hypothesised effect is observed. </w:t>
      </w:r>
      <w:bookmarkStart w:id="418" w:name="_Hlk108627589"/>
      <w:bookmarkEnd w:id="417"/>
      <w:r w:rsidRPr="00B77ABF">
        <w:rPr>
          <w:rFonts w:ascii="Times New Roman" w:hAnsi="Times New Roman" w:cs="Times New Roman"/>
        </w:rPr>
        <w:t xml:space="preserve">In other words, tobacco EA rates increased (M = 1.09, SD = .41) when negative mood was induced compared to when positive mood was induced (M = .97, SD = .41). </w:t>
      </w:r>
    </w:p>
    <w:p w14:paraId="56716D17" w14:textId="77777777" w:rsidR="00B77ABF" w:rsidRPr="00B77ABF" w:rsidRDefault="00B77ABF" w:rsidP="00B77ABF">
      <w:pPr>
        <w:pStyle w:val="NoSpacing"/>
        <w:spacing w:line="480" w:lineRule="auto"/>
        <w:rPr>
          <w:rFonts w:ascii="Times New Roman" w:hAnsi="Times New Roman" w:cs="Times New Roman"/>
        </w:rPr>
      </w:pPr>
    </w:p>
    <w:bookmarkEnd w:id="418"/>
    <w:p w14:paraId="5872DD53" w14:textId="77777777" w:rsidR="00B77ABF" w:rsidRPr="00B77ABF" w:rsidRDefault="00B77ABF" w:rsidP="00B77ABF">
      <w:pPr>
        <w:pStyle w:val="NoSpacing"/>
        <w:spacing w:line="480" w:lineRule="auto"/>
        <w:rPr>
          <w:rFonts w:ascii="Times New Roman" w:hAnsi="Times New Roman" w:cs="Times New Roman"/>
        </w:rPr>
      </w:pPr>
    </w:p>
    <w:p w14:paraId="49A1AE6A" w14:textId="77777777" w:rsidR="00B77ABF" w:rsidRPr="00B77ABF" w:rsidRDefault="00B77ABF" w:rsidP="00B77ABF">
      <w:pPr>
        <w:pStyle w:val="NoSpacing"/>
        <w:spacing w:line="480" w:lineRule="auto"/>
        <w:rPr>
          <w:rFonts w:ascii="Times New Roman" w:hAnsi="Times New Roman" w:cs="Times New Roman"/>
        </w:rPr>
      </w:pPr>
    </w:p>
    <w:p w14:paraId="5AACFC9C" w14:textId="77777777" w:rsidR="00B77ABF" w:rsidRPr="00B77ABF" w:rsidRDefault="00B77ABF" w:rsidP="00B77ABF">
      <w:pPr>
        <w:pStyle w:val="NoSpacing"/>
        <w:rPr>
          <w:rFonts w:ascii="Times New Roman" w:hAnsi="Times New Roman" w:cs="Times New Roman"/>
        </w:rPr>
      </w:pPr>
    </w:p>
    <w:p w14:paraId="1430EE58" w14:textId="77777777" w:rsidR="00B77ABF" w:rsidRPr="00EB4444" w:rsidRDefault="00B77ABF" w:rsidP="00EB4444">
      <w:pPr>
        <w:pStyle w:val="NoSpacing"/>
        <w:spacing w:line="480" w:lineRule="auto"/>
        <w:rPr>
          <w:rFonts w:ascii="Times New Roman" w:hAnsi="Times New Roman" w:cs="Times New Roman"/>
        </w:rPr>
      </w:pPr>
    </w:p>
    <w:p w14:paraId="0D8B54F8" w14:textId="77777777" w:rsidR="00EB4444" w:rsidRPr="00EB4444" w:rsidRDefault="00EB4444" w:rsidP="00EB4444">
      <w:pPr>
        <w:pStyle w:val="NoSpacing"/>
        <w:spacing w:line="480" w:lineRule="auto"/>
        <w:rPr>
          <w:rFonts w:ascii="Times New Roman" w:hAnsi="Times New Roman" w:cs="Times New Roman"/>
        </w:rPr>
      </w:pPr>
    </w:p>
    <w:p w14:paraId="586D5D41" w14:textId="475986F3" w:rsidR="00EB4444" w:rsidRDefault="00EB4444" w:rsidP="00093B56">
      <w:pPr>
        <w:pStyle w:val="NoSpacing"/>
        <w:rPr>
          <w:rFonts w:ascii="Times New Roman" w:hAnsi="Times New Roman" w:cs="Times New Roman"/>
        </w:rPr>
      </w:pPr>
    </w:p>
    <w:p w14:paraId="509AF1BE" w14:textId="6338DB37" w:rsidR="00B77ABF" w:rsidRDefault="00B77ABF" w:rsidP="00093B56">
      <w:pPr>
        <w:pStyle w:val="NoSpacing"/>
        <w:rPr>
          <w:rFonts w:ascii="Times New Roman" w:hAnsi="Times New Roman" w:cs="Times New Roman"/>
        </w:rPr>
      </w:pPr>
    </w:p>
    <w:p w14:paraId="173EBAFA" w14:textId="5C97D52C" w:rsidR="00B77ABF" w:rsidRDefault="00B77ABF" w:rsidP="00093B56">
      <w:pPr>
        <w:pStyle w:val="NoSpacing"/>
        <w:rPr>
          <w:rFonts w:ascii="Times New Roman" w:hAnsi="Times New Roman" w:cs="Times New Roman"/>
        </w:rPr>
      </w:pPr>
    </w:p>
    <w:p w14:paraId="47D9D658" w14:textId="0B00D440" w:rsidR="00B77ABF" w:rsidRDefault="00B77ABF" w:rsidP="00093B56">
      <w:pPr>
        <w:pStyle w:val="NoSpacing"/>
        <w:rPr>
          <w:rFonts w:ascii="Times New Roman" w:hAnsi="Times New Roman" w:cs="Times New Roman"/>
        </w:rPr>
      </w:pPr>
    </w:p>
    <w:p w14:paraId="39DB4C67" w14:textId="2D0EEB41" w:rsidR="00B77ABF" w:rsidRDefault="00B77ABF" w:rsidP="00093B56">
      <w:pPr>
        <w:pStyle w:val="NoSpacing"/>
        <w:rPr>
          <w:rFonts w:ascii="Times New Roman" w:hAnsi="Times New Roman" w:cs="Times New Roman"/>
        </w:rPr>
      </w:pPr>
    </w:p>
    <w:p w14:paraId="3063DC4E" w14:textId="02075EF4" w:rsidR="00B77ABF" w:rsidRDefault="00B77ABF" w:rsidP="00093B56">
      <w:pPr>
        <w:pStyle w:val="NoSpacing"/>
        <w:rPr>
          <w:rFonts w:ascii="Times New Roman" w:hAnsi="Times New Roman" w:cs="Times New Roman"/>
        </w:rPr>
      </w:pPr>
    </w:p>
    <w:p w14:paraId="6FD2561C" w14:textId="733E551A" w:rsidR="00B77ABF" w:rsidRDefault="00B77ABF" w:rsidP="00093B56">
      <w:pPr>
        <w:pStyle w:val="NoSpacing"/>
        <w:rPr>
          <w:rFonts w:ascii="Times New Roman" w:hAnsi="Times New Roman" w:cs="Times New Roman"/>
        </w:rPr>
      </w:pPr>
    </w:p>
    <w:p w14:paraId="3953AAA0" w14:textId="59C5906B" w:rsidR="00B77ABF" w:rsidRDefault="00B77ABF" w:rsidP="00093B56">
      <w:pPr>
        <w:pStyle w:val="NoSpacing"/>
        <w:rPr>
          <w:rFonts w:ascii="Times New Roman" w:hAnsi="Times New Roman" w:cs="Times New Roman"/>
        </w:rPr>
      </w:pPr>
    </w:p>
    <w:p w14:paraId="0B423FFA" w14:textId="079D0AE7" w:rsidR="00B77ABF" w:rsidRDefault="00B77ABF" w:rsidP="00093B56">
      <w:pPr>
        <w:pStyle w:val="NoSpacing"/>
        <w:rPr>
          <w:rFonts w:ascii="Times New Roman" w:hAnsi="Times New Roman" w:cs="Times New Roman"/>
        </w:rPr>
      </w:pPr>
    </w:p>
    <w:p w14:paraId="2EB7F26C" w14:textId="61DBDD0B" w:rsidR="00B77ABF" w:rsidRDefault="00B77ABF" w:rsidP="00093B56">
      <w:pPr>
        <w:pStyle w:val="NoSpacing"/>
        <w:rPr>
          <w:rFonts w:ascii="Times New Roman" w:hAnsi="Times New Roman" w:cs="Times New Roman"/>
        </w:rPr>
      </w:pPr>
    </w:p>
    <w:p w14:paraId="4ABBD798" w14:textId="234AD1F0" w:rsidR="00B77ABF" w:rsidRDefault="00B77ABF" w:rsidP="00093B56">
      <w:pPr>
        <w:pStyle w:val="NoSpacing"/>
        <w:rPr>
          <w:rFonts w:ascii="Times New Roman" w:hAnsi="Times New Roman" w:cs="Times New Roman"/>
        </w:rPr>
      </w:pPr>
    </w:p>
    <w:p w14:paraId="0864B75D" w14:textId="1ADB0FBA" w:rsidR="00B77ABF" w:rsidRDefault="00B77ABF" w:rsidP="00093B56">
      <w:pPr>
        <w:pStyle w:val="NoSpacing"/>
        <w:rPr>
          <w:rFonts w:ascii="Times New Roman" w:hAnsi="Times New Roman" w:cs="Times New Roman"/>
        </w:rPr>
      </w:pPr>
    </w:p>
    <w:p w14:paraId="60F71B19" w14:textId="02D787B2" w:rsidR="00B77ABF" w:rsidRDefault="00B77ABF" w:rsidP="00093B56">
      <w:pPr>
        <w:pStyle w:val="NoSpacing"/>
        <w:rPr>
          <w:rFonts w:ascii="Times New Roman" w:hAnsi="Times New Roman" w:cs="Times New Roman"/>
        </w:rPr>
      </w:pPr>
    </w:p>
    <w:p w14:paraId="217D6393" w14:textId="6261C2D0" w:rsidR="00B77ABF" w:rsidRDefault="00B77ABF" w:rsidP="00093B56">
      <w:pPr>
        <w:pStyle w:val="NoSpacing"/>
        <w:rPr>
          <w:rFonts w:ascii="Times New Roman" w:hAnsi="Times New Roman" w:cs="Times New Roman"/>
        </w:rPr>
      </w:pPr>
    </w:p>
    <w:p w14:paraId="5B7B902F" w14:textId="2E57471F" w:rsidR="00B77ABF" w:rsidRDefault="00B77ABF" w:rsidP="00093B56">
      <w:pPr>
        <w:pStyle w:val="NoSpacing"/>
        <w:rPr>
          <w:rFonts w:ascii="Times New Roman" w:hAnsi="Times New Roman" w:cs="Times New Roman"/>
        </w:rPr>
      </w:pPr>
    </w:p>
    <w:p w14:paraId="65504740" w14:textId="53CA5E08" w:rsidR="00B77ABF" w:rsidRDefault="00B77ABF" w:rsidP="00093B56">
      <w:pPr>
        <w:pStyle w:val="NoSpacing"/>
        <w:rPr>
          <w:rFonts w:ascii="Times New Roman" w:hAnsi="Times New Roman" w:cs="Times New Roman"/>
        </w:rPr>
      </w:pPr>
    </w:p>
    <w:p w14:paraId="58BD1667" w14:textId="77777777" w:rsidR="00B77ABF" w:rsidRPr="00B77ABF" w:rsidRDefault="00B77ABF" w:rsidP="00B77ABF">
      <w:pPr>
        <w:pStyle w:val="NoSpacing"/>
        <w:spacing w:line="480" w:lineRule="auto"/>
        <w:rPr>
          <w:rFonts w:ascii="Times New Roman" w:hAnsi="Times New Roman" w:cs="Times New Roman"/>
          <w:b/>
          <w:bCs/>
        </w:rPr>
      </w:pPr>
      <w:r w:rsidRPr="00B77ABF">
        <w:rPr>
          <w:rFonts w:ascii="Times New Roman" w:hAnsi="Times New Roman" w:cs="Times New Roman"/>
          <w:b/>
          <w:bCs/>
        </w:rPr>
        <w:lastRenderedPageBreak/>
        <w:t>5. Order of experimental manipulation of mood: does this matter?</w:t>
      </w:r>
    </w:p>
    <w:p w14:paraId="69114BE6" w14:textId="49F8DA42" w:rsidR="00B77ABF" w:rsidRPr="00B77ABF" w:rsidRDefault="00B77ABF" w:rsidP="00E60EFD">
      <w:pPr>
        <w:pStyle w:val="NoSpacing"/>
        <w:spacing w:line="480" w:lineRule="auto"/>
        <w:rPr>
          <w:rFonts w:ascii="Times New Roman" w:hAnsi="Times New Roman" w:cs="Times New Roman"/>
        </w:rPr>
      </w:pPr>
      <w:bookmarkStart w:id="419" w:name="_Hlk108636266"/>
      <w:r w:rsidRPr="00B77ABF">
        <w:rPr>
          <w:rFonts w:ascii="Times New Roman" w:hAnsi="Times New Roman" w:cs="Times New Roman"/>
        </w:rPr>
        <w:t xml:space="preserve">The order of experimental manipulation of mood was counterbalanced, </w:t>
      </w:r>
      <w:bookmarkStart w:id="420" w:name="_Hlk108636327"/>
      <w:r w:rsidRPr="00B77ABF">
        <w:rPr>
          <w:rFonts w:ascii="Times New Roman" w:hAnsi="Times New Roman" w:cs="Times New Roman"/>
        </w:rPr>
        <w:t xml:space="preserve">such that for half of the sample, negative mood was induced first, while for the other half positive mood was induced first. </w:t>
      </w:r>
      <w:bookmarkEnd w:id="420"/>
      <w:r w:rsidRPr="00B77ABF">
        <w:rPr>
          <w:rFonts w:ascii="Times New Roman" w:hAnsi="Times New Roman" w:cs="Times New Roman"/>
        </w:rPr>
        <w:t xml:space="preserve">To explore whether the order by which participants completed the study impacted the findings, we conducted mixed two-way ANOVAs between condition (2: positive mood; negative mood) and order of experimental manipulation (2: negative first; positive first) on EA rates and response thresholds. </w:t>
      </w:r>
      <w:bookmarkEnd w:id="419"/>
      <w:r w:rsidRPr="00B77ABF">
        <w:rPr>
          <w:rFonts w:ascii="Times New Roman" w:hAnsi="Times New Roman" w:cs="Times New Roman"/>
        </w:rPr>
        <w:t xml:space="preserve">In the data, negative first is coded as 1 and positive first is coded as 2. </w:t>
      </w:r>
      <w:bookmarkStart w:id="421" w:name="_Hlk108687170"/>
      <w:r w:rsidRPr="00B77ABF">
        <w:rPr>
          <w:rFonts w:ascii="Times New Roman" w:hAnsi="Times New Roman" w:cs="Times New Roman"/>
        </w:rPr>
        <w:t xml:space="preserve">As in the </w:t>
      </w:r>
      <w:r w:rsidR="00E60EFD">
        <w:rPr>
          <w:rFonts w:ascii="Times New Roman" w:hAnsi="Times New Roman" w:cs="Times New Roman"/>
        </w:rPr>
        <w:t>C</w:t>
      </w:r>
      <w:r w:rsidRPr="00B77ABF">
        <w:rPr>
          <w:rFonts w:ascii="Times New Roman" w:hAnsi="Times New Roman" w:cs="Times New Roman"/>
        </w:rPr>
        <w:t>hapter</w:t>
      </w:r>
      <w:r w:rsidR="00E60EFD">
        <w:rPr>
          <w:rFonts w:ascii="Times New Roman" w:hAnsi="Times New Roman" w:cs="Times New Roman"/>
        </w:rPr>
        <w:t xml:space="preserve"> 5</w:t>
      </w:r>
      <w:r w:rsidRPr="00B77ABF">
        <w:rPr>
          <w:rFonts w:ascii="Times New Roman" w:hAnsi="Times New Roman" w:cs="Times New Roman"/>
        </w:rPr>
        <w:t>, if data violated assumptions of sphericity, F values were derived using a correction (Huynh-Feldt correction if the Greenhouse-</w:t>
      </w:r>
      <w:proofErr w:type="spellStart"/>
      <w:r w:rsidRPr="00B77ABF">
        <w:rPr>
          <w:rFonts w:ascii="Times New Roman" w:hAnsi="Times New Roman" w:cs="Times New Roman"/>
        </w:rPr>
        <w:t>Geisser</w:t>
      </w:r>
      <w:proofErr w:type="spellEnd"/>
      <w:r w:rsidRPr="00B77ABF">
        <w:rPr>
          <w:rFonts w:ascii="Times New Roman" w:hAnsi="Times New Roman" w:cs="Times New Roman"/>
        </w:rPr>
        <w:t xml:space="preserve"> epsilon (ε) &gt; 0.75, otherwise if ε &lt; 0.75 the Greenhouse-</w:t>
      </w:r>
      <w:proofErr w:type="spellStart"/>
      <w:r w:rsidRPr="00B77ABF">
        <w:rPr>
          <w:rFonts w:ascii="Times New Roman" w:hAnsi="Times New Roman" w:cs="Times New Roman"/>
        </w:rPr>
        <w:t>Geisser</w:t>
      </w:r>
      <w:proofErr w:type="spellEnd"/>
      <w:r w:rsidRPr="00B77ABF">
        <w:rPr>
          <w:rFonts w:ascii="Times New Roman" w:hAnsi="Times New Roman" w:cs="Times New Roman"/>
        </w:rPr>
        <w:t xml:space="preserve"> correction was used). </w:t>
      </w:r>
    </w:p>
    <w:bookmarkEnd w:id="421"/>
    <w:p w14:paraId="5799B8A1" w14:textId="77777777" w:rsidR="00B77ABF" w:rsidRPr="00B77ABF" w:rsidRDefault="00B77ABF" w:rsidP="00B77ABF">
      <w:pPr>
        <w:pStyle w:val="NoSpacing"/>
        <w:spacing w:line="480" w:lineRule="auto"/>
        <w:rPr>
          <w:rFonts w:ascii="Times New Roman" w:hAnsi="Times New Roman" w:cs="Times New Roman"/>
        </w:rPr>
      </w:pPr>
    </w:p>
    <w:p w14:paraId="3F4CDEEA" w14:textId="77777777" w:rsidR="00B77ABF" w:rsidRPr="00B77ABF" w:rsidRDefault="00B77ABF" w:rsidP="00B77ABF">
      <w:pPr>
        <w:pStyle w:val="NoSpacing"/>
        <w:spacing w:line="480" w:lineRule="auto"/>
        <w:rPr>
          <w:rFonts w:ascii="Times New Roman" w:hAnsi="Times New Roman" w:cs="Times New Roman"/>
          <w:u w:val="single"/>
        </w:rPr>
      </w:pPr>
      <w:bookmarkStart w:id="422" w:name="_Hlk98399690"/>
      <w:r w:rsidRPr="00B77ABF">
        <w:rPr>
          <w:rFonts w:ascii="Times New Roman" w:hAnsi="Times New Roman" w:cs="Times New Roman"/>
          <w:u w:val="single"/>
        </w:rPr>
        <w:t>Tobacco-unrelated (animal) EA rates</w:t>
      </w:r>
    </w:p>
    <w:p w14:paraId="03109C77" w14:textId="77777777" w:rsidR="00B77ABF" w:rsidRPr="00B77ABF" w:rsidRDefault="00B77ABF" w:rsidP="00B77ABF">
      <w:pPr>
        <w:pStyle w:val="NoSpacing"/>
        <w:spacing w:line="480" w:lineRule="auto"/>
        <w:rPr>
          <w:rFonts w:ascii="Times New Roman" w:hAnsi="Times New Roman" w:cs="Times New Roman"/>
        </w:rPr>
      </w:pPr>
      <w:bookmarkStart w:id="423" w:name="_Hlk98353254"/>
      <w:bookmarkEnd w:id="422"/>
      <w:r w:rsidRPr="00B77ABF">
        <w:rPr>
          <w:rFonts w:ascii="Times New Roman" w:hAnsi="Times New Roman" w:cs="Times New Roman"/>
        </w:rPr>
        <w:t>There was a significant interaction between condition and order on animal EA rates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30.05,</w:t>
      </w:r>
      <w:r w:rsidRPr="00B77ABF">
        <w:rPr>
          <w:rFonts w:ascii="Times New Roman" w:hAnsi="Times New Roman" w:cs="Times New Roman"/>
          <w:i/>
        </w:rPr>
        <w:t xml:space="preserve"> p</w:t>
      </w:r>
      <w:r w:rsidRPr="00B77ABF">
        <w:rPr>
          <w:rFonts w:ascii="Times New Roman" w:hAnsi="Times New Roman" w:cs="Times New Roman"/>
        </w:rPr>
        <w:t xml:space="preserve"> &lt; .001,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xml:space="preserve">= .39). Post-hoc tests revealed that in the negative mood condition, animal EA rates were significantly higher in order 2 (M = 2.38, SD = .34) compared to order 1 (M = 1.89, SD = .41, </w:t>
      </w:r>
      <w:r w:rsidRPr="00B77ABF">
        <w:rPr>
          <w:rFonts w:ascii="Times New Roman" w:hAnsi="Times New Roman" w:cs="Times New Roman"/>
          <w:i/>
          <w:iCs/>
        </w:rPr>
        <w:t>p</w:t>
      </w:r>
      <w:r w:rsidRPr="00B77ABF">
        <w:rPr>
          <w:rFonts w:ascii="Times New Roman" w:hAnsi="Times New Roman" w:cs="Times New Roman"/>
        </w:rPr>
        <w:t xml:space="preserve"> &lt; .001). In the positive mood condition, there were no significant differences in animal EA rates between order 1 (M = 2.23, SD = .45) and order 2 (M = 2.05, SD = .42, </w:t>
      </w:r>
      <w:r w:rsidRPr="00B77ABF">
        <w:rPr>
          <w:rFonts w:ascii="Times New Roman" w:hAnsi="Times New Roman" w:cs="Times New Roman"/>
          <w:i/>
          <w:iCs/>
        </w:rPr>
        <w:t>p</w:t>
      </w:r>
      <w:r w:rsidRPr="00B77ABF">
        <w:rPr>
          <w:rFonts w:ascii="Times New Roman" w:hAnsi="Times New Roman" w:cs="Times New Roman"/>
        </w:rPr>
        <w:t xml:space="preserve"> = .38). In order 1, animal EA rates were significantly increased in the positive mood condition compared to in the negative mood condition (</w:t>
      </w:r>
      <w:r w:rsidRPr="00B77ABF">
        <w:rPr>
          <w:rFonts w:ascii="Times New Roman" w:hAnsi="Times New Roman" w:cs="Times New Roman"/>
          <w:i/>
          <w:iCs/>
        </w:rPr>
        <w:t>p</w:t>
      </w:r>
      <w:r w:rsidRPr="00B77ABF">
        <w:rPr>
          <w:rFonts w:ascii="Times New Roman" w:hAnsi="Times New Roman" w:cs="Times New Roman"/>
        </w:rPr>
        <w:t xml:space="preserve"> &lt; .01). In order 2, animal EA rates were significantly increased in the negative mood condition compared to in the positive mood condition (</w:t>
      </w:r>
      <w:r w:rsidRPr="00B77ABF">
        <w:rPr>
          <w:rFonts w:ascii="Times New Roman" w:hAnsi="Times New Roman" w:cs="Times New Roman"/>
          <w:i/>
          <w:iCs/>
        </w:rPr>
        <w:t>p</w:t>
      </w:r>
      <w:r w:rsidRPr="00B77ABF">
        <w:rPr>
          <w:rFonts w:ascii="Times New Roman" w:hAnsi="Times New Roman" w:cs="Times New Roman"/>
        </w:rPr>
        <w:t xml:space="preserve"> &lt; .01). </w:t>
      </w:r>
      <w:bookmarkStart w:id="424" w:name="_Hlk98399842"/>
      <w:r w:rsidRPr="00B77ABF">
        <w:rPr>
          <w:rFonts w:ascii="Times New Roman" w:hAnsi="Times New Roman" w:cs="Times New Roman"/>
        </w:rPr>
        <w:t>Another way to interpret these analyses is that animal EA rates were higher in the experimental condition that was completed second. There were no significant main effects of condition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.00,</w:t>
      </w:r>
      <w:r w:rsidRPr="00B77ABF">
        <w:rPr>
          <w:rFonts w:ascii="Times New Roman" w:hAnsi="Times New Roman" w:cs="Times New Roman"/>
          <w:i/>
        </w:rPr>
        <w:t xml:space="preserve"> p</w:t>
      </w:r>
      <w:r w:rsidRPr="00B77ABF">
        <w:rPr>
          <w:rFonts w:ascii="Times New Roman" w:hAnsi="Times New Roman" w:cs="Times New Roman"/>
        </w:rPr>
        <w:t xml:space="preserve"> = .99,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.00) or order (</w:t>
      </w:r>
      <w:r w:rsidRPr="00B77ABF">
        <w:rPr>
          <w:rFonts w:ascii="Times New Roman" w:hAnsi="Times New Roman" w:cs="Times New Roman"/>
          <w:i/>
          <w:iCs/>
        </w:rPr>
        <w:t>F</w:t>
      </w:r>
      <w:r w:rsidRPr="00B77ABF">
        <w:rPr>
          <w:rFonts w:ascii="Times New Roman" w:hAnsi="Times New Roman" w:cs="Times New Roman"/>
        </w:rPr>
        <w:t xml:space="preserve">(1, 47) = 2.44, </w:t>
      </w:r>
      <w:r w:rsidRPr="00B77ABF">
        <w:rPr>
          <w:rFonts w:ascii="Times New Roman" w:hAnsi="Times New Roman" w:cs="Times New Roman"/>
          <w:i/>
        </w:rPr>
        <w:t xml:space="preserve">p </w:t>
      </w:r>
      <w:r w:rsidRPr="00B77ABF">
        <w:rPr>
          <w:rFonts w:ascii="Times New Roman" w:hAnsi="Times New Roman" w:cs="Times New Roman"/>
        </w:rPr>
        <w:t>= .13,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.05) on animal EA rates.</w:t>
      </w:r>
    </w:p>
    <w:bookmarkEnd w:id="423"/>
    <w:bookmarkEnd w:id="424"/>
    <w:p w14:paraId="2F4F3276" w14:textId="77777777" w:rsidR="00B77ABF" w:rsidRPr="00B77ABF" w:rsidRDefault="00B77ABF" w:rsidP="00B77ABF">
      <w:pPr>
        <w:pStyle w:val="NoSpacing"/>
        <w:spacing w:line="480" w:lineRule="auto"/>
        <w:rPr>
          <w:rFonts w:ascii="Times New Roman" w:hAnsi="Times New Roman" w:cs="Times New Roman"/>
        </w:rPr>
      </w:pPr>
    </w:p>
    <w:p w14:paraId="0C4F9950"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Tobacco EA rates</w:t>
      </w:r>
    </w:p>
    <w:p w14:paraId="64B93E45"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rPr>
        <w:t>There was a significant interaction between condition and order on tobacco EA rates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 xml:space="preserve">1, 47) = 24.29, </w:t>
      </w:r>
      <w:r w:rsidRPr="00B77ABF">
        <w:rPr>
          <w:rFonts w:ascii="Times New Roman" w:hAnsi="Times New Roman" w:cs="Times New Roman"/>
          <w:i/>
          <w:iCs/>
        </w:rPr>
        <w:t>p</w:t>
      </w:r>
      <w:r w:rsidRPr="00B77ABF">
        <w:rPr>
          <w:rFonts w:ascii="Times New Roman" w:hAnsi="Times New Roman" w:cs="Times New Roman"/>
        </w:rPr>
        <w:t xml:space="preserve"> &lt; .001, η</w:t>
      </w:r>
      <w:r w:rsidRPr="00B77ABF">
        <w:rPr>
          <w:rFonts w:ascii="Times New Roman" w:hAnsi="Times New Roman" w:cs="Times New Roman"/>
          <w:vertAlign w:val="subscript"/>
        </w:rPr>
        <w:t>p</w:t>
      </w:r>
      <w:r w:rsidRPr="00B77ABF">
        <w:rPr>
          <w:rFonts w:ascii="Times New Roman" w:hAnsi="Times New Roman" w:cs="Times New Roman"/>
          <w:vertAlign w:val="superscript"/>
        </w:rPr>
        <w:t>2</w:t>
      </w:r>
      <w:r w:rsidRPr="00B77ABF">
        <w:rPr>
          <w:rFonts w:ascii="Times New Roman" w:hAnsi="Times New Roman" w:cs="Times New Roman"/>
        </w:rPr>
        <w:t xml:space="preserve"> = .34). Post-hoc tests revealed that in the negative mood condition, tobacco EA rates were </w:t>
      </w:r>
      <w:r w:rsidRPr="00B77ABF">
        <w:rPr>
          <w:rFonts w:ascii="Times New Roman" w:hAnsi="Times New Roman" w:cs="Times New Roman"/>
          <w:i/>
          <w:iCs/>
        </w:rPr>
        <w:t>marginally</w:t>
      </w:r>
      <w:r w:rsidRPr="00B77ABF">
        <w:rPr>
          <w:rFonts w:ascii="Times New Roman" w:hAnsi="Times New Roman" w:cs="Times New Roman"/>
        </w:rPr>
        <w:t xml:space="preserve"> higher in order 2 (M = 2.01, SD = .42) compared to order 1 (M = 1.66, SD = .50, </w:t>
      </w:r>
      <w:r w:rsidRPr="00B77ABF">
        <w:rPr>
          <w:rFonts w:ascii="Times New Roman" w:hAnsi="Times New Roman" w:cs="Times New Roman"/>
          <w:i/>
          <w:iCs/>
        </w:rPr>
        <w:t>p</w:t>
      </w:r>
      <w:r w:rsidRPr="00B77ABF">
        <w:rPr>
          <w:rFonts w:ascii="Times New Roman" w:hAnsi="Times New Roman" w:cs="Times New Roman"/>
        </w:rPr>
        <w:t xml:space="preserve"> = .05). In the positive mood condition, there were no significant differences in tobacco EA rates between order 1 (M = 1.85, SD = .55) and order 2 (M = 1.65, SD = .39, </w:t>
      </w:r>
      <w:r w:rsidRPr="00B77ABF">
        <w:rPr>
          <w:rFonts w:ascii="Times New Roman" w:hAnsi="Times New Roman" w:cs="Times New Roman"/>
          <w:i/>
          <w:iCs/>
        </w:rPr>
        <w:t>p</w:t>
      </w:r>
      <w:r w:rsidRPr="00B77ABF">
        <w:rPr>
          <w:rFonts w:ascii="Times New Roman" w:hAnsi="Times New Roman" w:cs="Times New Roman"/>
        </w:rPr>
        <w:t xml:space="preserve"> = .44). In order 1, there were no significant differences in tobacco EA rates in the positive mood condition compared to in the negative mood condition (</w:t>
      </w:r>
      <w:r w:rsidRPr="00B77ABF">
        <w:rPr>
          <w:rFonts w:ascii="Times New Roman" w:hAnsi="Times New Roman" w:cs="Times New Roman"/>
          <w:i/>
          <w:iCs/>
        </w:rPr>
        <w:t>p</w:t>
      </w:r>
      <w:r w:rsidRPr="00B77ABF">
        <w:rPr>
          <w:rFonts w:ascii="Times New Roman" w:hAnsi="Times New Roman" w:cs="Times New Roman"/>
        </w:rPr>
        <w:t xml:space="preserve"> = .07). However, in order 2, tobacco EA rates were significantly increased in the negative mood condition compared to in the positive mood condition (</w:t>
      </w:r>
      <w:r w:rsidRPr="00B77ABF">
        <w:rPr>
          <w:rFonts w:ascii="Times New Roman" w:hAnsi="Times New Roman" w:cs="Times New Roman"/>
          <w:i/>
          <w:iCs/>
        </w:rPr>
        <w:t>p</w:t>
      </w:r>
      <w:r w:rsidRPr="00B77ABF">
        <w:rPr>
          <w:rFonts w:ascii="Times New Roman" w:hAnsi="Times New Roman" w:cs="Times New Roman"/>
        </w:rPr>
        <w:t xml:space="preserve"> &lt; .001). This analysis shows that tobacco EA rates were higher when the negative mood induction was completed second. There were no significant main effects of condition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 xml:space="preserve">1, 47) = 2.24, </w:t>
      </w:r>
      <w:r w:rsidRPr="00B77ABF">
        <w:rPr>
          <w:rFonts w:ascii="Times New Roman" w:hAnsi="Times New Roman" w:cs="Times New Roman"/>
          <w:i/>
          <w:iCs/>
        </w:rPr>
        <w:t>p</w:t>
      </w:r>
      <w:r w:rsidRPr="00B77ABF">
        <w:rPr>
          <w:rFonts w:ascii="Times New Roman" w:hAnsi="Times New Roman" w:cs="Times New Roman"/>
        </w:rPr>
        <w:t xml:space="preserve"> = .14, η</w:t>
      </w:r>
      <w:r w:rsidRPr="00B77ABF">
        <w:rPr>
          <w:rFonts w:ascii="Times New Roman" w:hAnsi="Times New Roman" w:cs="Times New Roman"/>
          <w:vertAlign w:val="subscript"/>
        </w:rPr>
        <w:t>p</w:t>
      </w:r>
      <w:r w:rsidRPr="00B77ABF">
        <w:rPr>
          <w:rFonts w:ascii="Times New Roman" w:hAnsi="Times New Roman" w:cs="Times New Roman"/>
          <w:vertAlign w:val="superscript"/>
        </w:rPr>
        <w:t>2</w:t>
      </w:r>
      <w:r w:rsidRPr="00B77ABF">
        <w:rPr>
          <w:rFonts w:ascii="Times New Roman" w:hAnsi="Times New Roman" w:cs="Times New Roman"/>
        </w:rPr>
        <w:t xml:space="preserve"> = .05) or order (</w:t>
      </w:r>
      <w:r w:rsidRPr="00B77ABF">
        <w:rPr>
          <w:rFonts w:ascii="Times New Roman" w:hAnsi="Times New Roman" w:cs="Times New Roman"/>
          <w:i/>
          <w:iCs/>
        </w:rPr>
        <w:t>F</w:t>
      </w:r>
      <w:r w:rsidRPr="00B77ABF">
        <w:rPr>
          <w:rFonts w:ascii="Times New Roman" w:hAnsi="Times New Roman" w:cs="Times New Roman"/>
        </w:rPr>
        <w:t xml:space="preserve">(1, 47) = .41, </w:t>
      </w:r>
      <w:r w:rsidRPr="00B77ABF">
        <w:rPr>
          <w:rFonts w:ascii="Times New Roman" w:hAnsi="Times New Roman" w:cs="Times New Roman"/>
          <w:i/>
          <w:iCs/>
        </w:rPr>
        <w:t>p</w:t>
      </w:r>
      <w:r w:rsidRPr="00B77ABF">
        <w:rPr>
          <w:rFonts w:ascii="Times New Roman" w:hAnsi="Times New Roman" w:cs="Times New Roman"/>
        </w:rPr>
        <w:t xml:space="preserve"> = .53, η</w:t>
      </w:r>
      <w:r w:rsidRPr="00B77ABF">
        <w:rPr>
          <w:rFonts w:ascii="Times New Roman" w:hAnsi="Times New Roman" w:cs="Times New Roman"/>
          <w:vertAlign w:val="subscript"/>
        </w:rPr>
        <w:t>p</w:t>
      </w:r>
      <w:r w:rsidRPr="00B77ABF">
        <w:rPr>
          <w:rFonts w:ascii="Times New Roman" w:hAnsi="Times New Roman" w:cs="Times New Roman"/>
          <w:vertAlign w:val="superscript"/>
        </w:rPr>
        <w:t>2</w:t>
      </w:r>
      <w:r w:rsidRPr="00B77ABF">
        <w:rPr>
          <w:rFonts w:ascii="Times New Roman" w:hAnsi="Times New Roman" w:cs="Times New Roman"/>
        </w:rPr>
        <w:t xml:space="preserve"> = .01) on tobacco EA rates.</w:t>
      </w:r>
    </w:p>
    <w:p w14:paraId="3196BD5A" w14:textId="77777777" w:rsidR="00B77ABF" w:rsidRPr="00B77ABF" w:rsidRDefault="00B77ABF" w:rsidP="00B77ABF">
      <w:pPr>
        <w:pStyle w:val="NoSpacing"/>
        <w:spacing w:line="480" w:lineRule="auto"/>
        <w:rPr>
          <w:rFonts w:ascii="Times New Roman" w:hAnsi="Times New Roman" w:cs="Times New Roman"/>
        </w:rPr>
      </w:pPr>
    </w:p>
    <w:p w14:paraId="7EEAE8D4" w14:textId="77777777" w:rsidR="00B77ABF" w:rsidRPr="00B77ABF" w:rsidRDefault="00B77ABF" w:rsidP="00B77ABF">
      <w:pPr>
        <w:pStyle w:val="NoSpacing"/>
        <w:spacing w:line="480" w:lineRule="auto"/>
        <w:rPr>
          <w:rFonts w:ascii="Times New Roman" w:hAnsi="Times New Roman" w:cs="Times New Roman"/>
          <w:u w:val="single"/>
        </w:rPr>
      </w:pPr>
      <w:bookmarkStart w:id="425" w:name="_Hlk98353706"/>
      <w:r w:rsidRPr="00B77ABF">
        <w:rPr>
          <w:rFonts w:ascii="Times New Roman" w:hAnsi="Times New Roman" w:cs="Times New Roman"/>
          <w:u w:val="single"/>
        </w:rPr>
        <w:t>Tobacco-unrelated (animal) response thresholds</w:t>
      </w:r>
    </w:p>
    <w:p w14:paraId="14F303A1"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rPr>
        <w:t>There was a significant interaction between condition and order on animal response thresholds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11.22,</w:t>
      </w:r>
      <w:r w:rsidRPr="00B77ABF">
        <w:rPr>
          <w:rFonts w:ascii="Times New Roman" w:hAnsi="Times New Roman" w:cs="Times New Roman"/>
          <w:i/>
        </w:rPr>
        <w:t xml:space="preserve"> p</w:t>
      </w:r>
      <w:r w:rsidRPr="00B77ABF">
        <w:rPr>
          <w:rFonts w:ascii="Times New Roman" w:hAnsi="Times New Roman" w:cs="Times New Roman"/>
        </w:rPr>
        <w:t xml:space="preserve"> = .002,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xml:space="preserve">= .19). Post-hoc tests revealed that in the negative mood condition, there were no significant differences in animal response thresholds between order 1 (M = 1.66, SD = .30) and order 2 (M = 1.47, SD = .30, </w:t>
      </w:r>
      <w:r w:rsidRPr="00B77ABF">
        <w:rPr>
          <w:rFonts w:ascii="Times New Roman" w:hAnsi="Times New Roman" w:cs="Times New Roman"/>
          <w:i/>
          <w:iCs/>
        </w:rPr>
        <w:t>p</w:t>
      </w:r>
      <w:r w:rsidRPr="00B77ABF">
        <w:rPr>
          <w:rFonts w:ascii="Times New Roman" w:hAnsi="Times New Roman" w:cs="Times New Roman"/>
        </w:rPr>
        <w:t xml:space="preserve"> = .15). Similarly, in the positive mood condition, there were no significant differences in animal response thresholds between order 1 (M = 1.51, SD = .27) and order 2 (M = 1.56, SD = .32, </w:t>
      </w:r>
      <w:r w:rsidRPr="00B77ABF">
        <w:rPr>
          <w:rFonts w:ascii="Times New Roman" w:hAnsi="Times New Roman" w:cs="Times New Roman"/>
          <w:i/>
          <w:iCs/>
        </w:rPr>
        <w:t>p</w:t>
      </w:r>
      <w:r w:rsidRPr="00B77ABF">
        <w:rPr>
          <w:rFonts w:ascii="Times New Roman" w:hAnsi="Times New Roman" w:cs="Times New Roman"/>
        </w:rPr>
        <w:t xml:space="preserve"> = 1.00). In order 1, animal response thresholds were significantly increased in the negative mood condition compared to in the positive mood condition (</w:t>
      </w:r>
      <w:r w:rsidRPr="00B77ABF">
        <w:rPr>
          <w:rFonts w:ascii="Times New Roman" w:hAnsi="Times New Roman" w:cs="Times New Roman"/>
          <w:i/>
          <w:iCs/>
        </w:rPr>
        <w:t>p</w:t>
      </w:r>
      <w:r w:rsidRPr="00B77ABF">
        <w:rPr>
          <w:rFonts w:ascii="Times New Roman" w:hAnsi="Times New Roman" w:cs="Times New Roman"/>
        </w:rPr>
        <w:t xml:space="preserve"> = .02). This analysis shows that animal response thresholds were higher when the negative mood induction was completed first. </w:t>
      </w:r>
      <w:r w:rsidRPr="00B77ABF">
        <w:rPr>
          <w:rFonts w:ascii="Times New Roman" w:hAnsi="Times New Roman" w:cs="Times New Roman"/>
        </w:rPr>
        <w:lastRenderedPageBreak/>
        <w:t>However, in order 2, there were no significant differences in animal response thresholds in the negative mood condition compared to in the positive mood condition (</w:t>
      </w:r>
      <w:r w:rsidRPr="00B77ABF">
        <w:rPr>
          <w:rFonts w:ascii="Times New Roman" w:hAnsi="Times New Roman" w:cs="Times New Roman"/>
          <w:i/>
          <w:iCs/>
        </w:rPr>
        <w:t>p</w:t>
      </w:r>
      <w:r w:rsidRPr="00B77ABF">
        <w:rPr>
          <w:rFonts w:ascii="Times New Roman" w:hAnsi="Times New Roman" w:cs="Times New Roman"/>
        </w:rPr>
        <w:t xml:space="preserve"> = .38). There were no significant main effects of condition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.82,</w:t>
      </w:r>
      <w:r w:rsidRPr="00B77ABF">
        <w:rPr>
          <w:rFonts w:ascii="Times New Roman" w:hAnsi="Times New Roman" w:cs="Times New Roman"/>
          <w:i/>
        </w:rPr>
        <w:t xml:space="preserve"> p</w:t>
      </w:r>
      <w:r w:rsidRPr="00B77ABF">
        <w:rPr>
          <w:rFonts w:ascii="Times New Roman" w:hAnsi="Times New Roman" w:cs="Times New Roman"/>
        </w:rPr>
        <w:t xml:space="preserve"> = .37,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.02) or order (</w:t>
      </w:r>
      <w:r w:rsidRPr="00B77ABF">
        <w:rPr>
          <w:rFonts w:ascii="Times New Roman" w:hAnsi="Times New Roman" w:cs="Times New Roman"/>
          <w:i/>
          <w:iCs/>
        </w:rPr>
        <w:t>F</w:t>
      </w:r>
      <w:r w:rsidRPr="00B77ABF">
        <w:rPr>
          <w:rFonts w:ascii="Times New Roman" w:hAnsi="Times New Roman" w:cs="Times New Roman"/>
        </w:rPr>
        <w:t xml:space="preserve">(1, 47) = .80, </w:t>
      </w:r>
      <w:r w:rsidRPr="00B77ABF">
        <w:rPr>
          <w:rFonts w:ascii="Times New Roman" w:hAnsi="Times New Roman" w:cs="Times New Roman"/>
          <w:i/>
        </w:rPr>
        <w:t xml:space="preserve">p </w:t>
      </w:r>
      <w:r w:rsidRPr="00B77ABF">
        <w:rPr>
          <w:rFonts w:ascii="Times New Roman" w:hAnsi="Times New Roman" w:cs="Times New Roman"/>
        </w:rPr>
        <w:t>= .37,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.02) on animal response thresholds.</w:t>
      </w:r>
      <w:bookmarkEnd w:id="425"/>
    </w:p>
    <w:p w14:paraId="49DEFFA5" w14:textId="77777777" w:rsidR="00B77ABF" w:rsidRPr="00B77ABF" w:rsidRDefault="00B77ABF" w:rsidP="00B77ABF">
      <w:pPr>
        <w:pStyle w:val="NoSpacing"/>
        <w:spacing w:line="480" w:lineRule="auto"/>
        <w:rPr>
          <w:rFonts w:ascii="Times New Roman" w:hAnsi="Times New Roman" w:cs="Times New Roman"/>
        </w:rPr>
      </w:pPr>
    </w:p>
    <w:p w14:paraId="0B0233B6" w14:textId="77777777" w:rsidR="00B77ABF" w:rsidRPr="00B77ABF" w:rsidRDefault="00B77ABF" w:rsidP="00B77ABF">
      <w:pPr>
        <w:pStyle w:val="NoSpacing"/>
        <w:spacing w:line="480" w:lineRule="auto"/>
        <w:rPr>
          <w:rFonts w:ascii="Times New Roman" w:hAnsi="Times New Roman" w:cs="Times New Roman"/>
          <w:u w:val="single"/>
        </w:rPr>
      </w:pPr>
      <w:r w:rsidRPr="00B77ABF">
        <w:rPr>
          <w:rFonts w:ascii="Times New Roman" w:hAnsi="Times New Roman" w:cs="Times New Roman"/>
          <w:u w:val="single"/>
        </w:rPr>
        <w:t>Tobacco response thresholds</w:t>
      </w:r>
    </w:p>
    <w:p w14:paraId="6E868DA1" w14:textId="77777777" w:rsidR="00B77ABF" w:rsidRPr="00B77ABF" w:rsidRDefault="00B77ABF" w:rsidP="00B77ABF">
      <w:pPr>
        <w:pStyle w:val="NoSpacing"/>
        <w:spacing w:line="480" w:lineRule="auto"/>
        <w:rPr>
          <w:rFonts w:ascii="Times New Roman" w:hAnsi="Times New Roman" w:cs="Times New Roman"/>
        </w:rPr>
      </w:pPr>
      <w:r w:rsidRPr="00B77ABF">
        <w:rPr>
          <w:rFonts w:ascii="Times New Roman" w:hAnsi="Times New Roman" w:cs="Times New Roman"/>
        </w:rPr>
        <w:t xml:space="preserve">There was a </w:t>
      </w:r>
      <w:r w:rsidRPr="00B77ABF">
        <w:rPr>
          <w:rFonts w:ascii="Times New Roman" w:hAnsi="Times New Roman" w:cs="Times New Roman"/>
          <w:i/>
          <w:iCs/>
        </w:rPr>
        <w:t>marginally</w:t>
      </w:r>
      <w:r w:rsidRPr="00B77ABF">
        <w:rPr>
          <w:rFonts w:ascii="Times New Roman" w:hAnsi="Times New Roman" w:cs="Times New Roman"/>
        </w:rPr>
        <w:t xml:space="preserve"> significant interaction between condition and order on tobacco response thresholds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3.99,</w:t>
      </w:r>
      <w:r w:rsidRPr="00B77ABF">
        <w:rPr>
          <w:rFonts w:ascii="Times New Roman" w:hAnsi="Times New Roman" w:cs="Times New Roman"/>
          <w:i/>
        </w:rPr>
        <w:t xml:space="preserve"> p</w:t>
      </w:r>
      <w:r w:rsidRPr="00B77ABF">
        <w:rPr>
          <w:rFonts w:ascii="Times New Roman" w:hAnsi="Times New Roman" w:cs="Times New Roman"/>
        </w:rPr>
        <w:t xml:space="preserve"> = .05,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xml:space="preserve">= .08). Post-hoc tests revealed that in the negative mood condition, there were no significant differences in tobacco response thresholds between order 1 (M = 1.64, SD = .30) and order 2 (M = 1.49, SD = .30, </w:t>
      </w:r>
      <w:r w:rsidRPr="00B77ABF">
        <w:rPr>
          <w:rFonts w:ascii="Times New Roman" w:hAnsi="Times New Roman" w:cs="Times New Roman"/>
          <w:i/>
          <w:iCs/>
        </w:rPr>
        <w:t>p</w:t>
      </w:r>
      <w:r w:rsidRPr="00B77ABF">
        <w:rPr>
          <w:rFonts w:ascii="Times New Roman" w:hAnsi="Times New Roman" w:cs="Times New Roman"/>
        </w:rPr>
        <w:t xml:space="preserve"> = .48). Similarly, in the positive mood condition, there were no significant differences in tobacco response thresholds between order 1 (M = 1.51, SD = .31) and order 2 (M = 1.52, SD = .29, </w:t>
      </w:r>
      <w:r w:rsidRPr="00B77ABF">
        <w:rPr>
          <w:rFonts w:ascii="Times New Roman" w:hAnsi="Times New Roman" w:cs="Times New Roman"/>
          <w:i/>
          <w:iCs/>
        </w:rPr>
        <w:t>p</w:t>
      </w:r>
      <w:r w:rsidRPr="00B77ABF">
        <w:rPr>
          <w:rFonts w:ascii="Times New Roman" w:hAnsi="Times New Roman" w:cs="Times New Roman"/>
        </w:rPr>
        <w:t xml:space="preserve"> = 1.00). In order 1, there were no significant differences in tobacco response thresholds in the negative mood condition compared to in the positive mood condition (</w:t>
      </w:r>
      <w:r w:rsidRPr="00B77ABF">
        <w:rPr>
          <w:rFonts w:ascii="Times New Roman" w:hAnsi="Times New Roman" w:cs="Times New Roman"/>
          <w:i/>
          <w:iCs/>
        </w:rPr>
        <w:t>p</w:t>
      </w:r>
      <w:r w:rsidRPr="00B77ABF">
        <w:rPr>
          <w:rFonts w:ascii="Times New Roman" w:hAnsi="Times New Roman" w:cs="Times New Roman"/>
        </w:rPr>
        <w:t xml:space="preserve"> = .15). </w:t>
      </w:r>
      <w:bookmarkStart w:id="426" w:name="_Hlk98353914"/>
      <w:r w:rsidRPr="00B77ABF">
        <w:rPr>
          <w:rFonts w:ascii="Times New Roman" w:hAnsi="Times New Roman" w:cs="Times New Roman"/>
        </w:rPr>
        <w:t xml:space="preserve">Similarly, in order 2, there were no significant differences in tobacco response thresholds in the negative mood condition compared to in the positive mood condition </w:t>
      </w:r>
      <w:bookmarkEnd w:id="426"/>
      <w:r w:rsidRPr="00B77ABF">
        <w:rPr>
          <w:rFonts w:ascii="Times New Roman" w:hAnsi="Times New Roman" w:cs="Times New Roman"/>
        </w:rPr>
        <w:t>(</w:t>
      </w:r>
      <w:r w:rsidRPr="00B77ABF">
        <w:rPr>
          <w:rFonts w:ascii="Times New Roman" w:hAnsi="Times New Roman" w:cs="Times New Roman"/>
          <w:i/>
          <w:iCs/>
        </w:rPr>
        <w:t>p</w:t>
      </w:r>
      <w:r w:rsidRPr="00B77ABF">
        <w:rPr>
          <w:rFonts w:ascii="Times New Roman" w:hAnsi="Times New Roman" w:cs="Times New Roman"/>
        </w:rPr>
        <w:t xml:space="preserve"> = 1.00). There were no significant main effects of condition (</w:t>
      </w:r>
      <w:proofErr w:type="gramStart"/>
      <w:r w:rsidRPr="00B77ABF">
        <w:rPr>
          <w:rFonts w:ascii="Times New Roman" w:hAnsi="Times New Roman" w:cs="Times New Roman"/>
          <w:i/>
          <w:iCs/>
        </w:rPr>
        <w:t>F</w:t>
      </w:r>
      <w:r w:rsidRPr="00B77ABF">
        <w:rPr>
          <w:rFonts w:ascii="Times New Roman" w:hAnsi="Times New Roman" w:cs="Times New Roman"/>
        </w:rPr>
        <w:t>(</w:t>
      </w:r>
      <w:proofErr w:type="gramEnd"/>
      <w:r w:rsidRPr="00B77ABF">
        <w:rPr>
          <w:rFonts w:ascii="Times New Roman" w:hAnsi="Times New Roman" w:cs="Times New Roman"/>
        </w:rPr>
        <w:t>1, 47) = 1.53,</w:t>
      </w:r>
      <w:r w:rsidRPr="00B77ABF">
        <w:rPr>
          <w:rFonts w:ascii="Times New Roman" w:hAnsi="Times New Roman" w:cs="Times New Roman"/>
          <w:i/>
        </w:rPr>
        <w:t xml:space="preserve"> p</w:t>
      </w:r>
      <w:r w:rsidRPr="00B77ABF">
        <w:rPr>
          <w:rFonts w:ascii="Times New Roman" w:hAnsi="Times New Roman" w:cs="Times New Roman"/>
        </w:rPr>
        <w:t xml:space="preserve"> = .22,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.03) or order (</w:t>
      </w:r>
      <w:r w:rsidRPr="00B77ABF">
        <w:rPr>
          <w:rFonts w:ascii="Times New Roman" w:hAnsi="Times New Roman" w:cs="Times New Roman"/>
          <w:i/>
          <w:iCs/>
        </w:rPr>
        <w:t>F</w:t>
      </w:r>
      <w:r w:rsidRPr="00B77ABF">
        <w:rPr>
          <w:rFonts w:ascii="Times New Roman" w:hAnsi="Times New Roman" w:cs="Times New Roman"/>
        </w:rPr>
        <w:t xml:space="preserve">(1, 47) = .73, </w:t>
      </w:r>
      <w:r w:rsidRPr="00B77ABF">
        <w:rPr>
          <w:rFonts w:ascii="Times New Roman" w:hAnsi="Times New Roman" w:cs="Times New Roman"/>
          <w:i/>
        </w:rPr>
        <w:t xml:space="preserve">p </w:t>
      </w:r>
      <w:r w:rsidRPr="00B77ABF">
        <w:rPr>
          <w:rFonts w:ascii="Times New Roman" w:hAnsi="Times New Roman" w:cs="Times New Roman"/>
        </w:rPr>
        <w:t>= .40, η</w:t>
      </w:r>
      <w:r w:rsidRPr="00B77ABF">
        <w:rPr>
          <w:rFonts w:ascii="Times New Roman" w:hAnsi="Times New Roman" w:cs="Times New Roman"/>
          <w:vertAlign w:val="subscript"/>
        </w:rPr>
        <w:t>p</w:t>
      </w:r>
      <w:r w:rsidRPr="00B77ABF">
        <w:rPr>
          <w:rFonts w:ascii="Times New Roman" w:hAnsi="Times New Roman" w:cs="Times New Roman"/>
          <w:vertAlign w:val="superscript"/>
        </w:rPr>
        <w:t xml:space="preserve">2 </w:t>
      </w:r>
      <w:r w:rsidRPr="00B77ABF">
        <w:rPr>
          <w:rFonts w:ascii="Times New Roman" w:hAnsi="Times New Roman" w:cs="Times New Roman"/>
        </w:rPr>
        <w:t>= .02) on tobacco response thresholds.</w:t>
      </w:r>
    </w:p>
    <w:p w14:paraId="3AF44263" w14:textId="77777777" w:rsidR="00B77ABF" w:rsidRPr="00B77ABF" w:rsidRDefault="00B77ABF" w:rsidP="00B77ABF">
      <w:pPr>
        <w:pStyle w:val="NoSpacing"/>
        <w:spacing w:line="480" w:lineRule="auto"/>
        <w:rPr>
          <w:rFonts w:ascii="Times New Roman" w:hAnsi="Times New Roman" w:cs="Times New Roman"/>
        </w:rPr>
      </w:pPr>
    </w:p>
    <w:p w14:paraId="47A3B531" w14:textId="77777777" w:rsidR="00B77ABF" w:rsidRPr="00B77ABF" w:rsidRDefault="00B77ABF" w:rsidP="00B77ABF">
      <w:pPr>
        <w:pStyle w:val="NoSpacing"/>
        <w:rPr>
          <w:rFonts w:ascii="Times New Roman" w:hAnsi="Times New Roman" w:cs="Times New Roman"/>
        </w:rPr>
      </w:pPr>
    </w:p>
    <w:p w14:paraId="6E6B01D9" w14:textId="77777777" w:rsidR="00B77ABF" w:rsidRPr="00B77ABF" w:rsidRDefault="00B77ABF" w:rsidP="00B77ABF">
      <w:pPr>
        <w:pStyle w:val="NoSpacing"/>
        <w:rPr>
          <w:rFonts w:ascii="Times New Roman" w:hAnsi="Times New Roman" w:cs="Times New Roman"/>
        </w:rPr>
      </w:pPr>
    </w:p>
    <w:p w14:paraId="1A32D500" w14:textId="77777777" w:rsidR="00B77ABF" w:rsidRPr="00B77ABF" w:rsidRDefault="00B77ABF" w:rsidP="00B77ABF">
      <w:pPr>
        <w:pStyle w:val="NoSpacing"/>
        <w:rPr>
          <w:rFonts w:ascii="Times New Roman" w:hAnsi="Times New Roman" w:cs="Times New Roman"/>
        </w:rPr>
      </w:pPr>
    </w:p>
    <w:p w14:paraId="2B221B85" w14:textId="77777777" w:rsidR="00B77ABF" w:rsidRPr="00B77ABF" w:rsidRDefault="00B77ABF" w:rsidP="00B77ABF">
      <w:pPr>
        <w:pStyle w:val="NoSpacing"/>
        <w:rPr>
          <w:rFonts w:ascii="Times New Roman" w:hAnsi="Times New Roman" w:cs="Times New Roman"/>
        </w:rPr>
      </w:pPr>
    </w:p>
    <w:p w14:paraId="568691D6" w14:textId="77777777" w:rsidR="00B77ABF" w:rsidRPr="00B77ABF" w:rsidRDefault="00B77ABF" w:rsidP="00B77ABF">
      <w:pPr>
        <w:pStyle w:val="NoSpacing"/>
        <w:rPr>
          <w:rFonts w:ascii="Times New Roman" w:hAnsi="Times New Roman" w:cs="Times New Roman"/>
        </w:rPr>
      </w:pPr>
    </w:p>
    <w:p w14:paraId="15863572" w14:textId="77777777" w:rsidR="00B77ABF" w:rsidRDefault="00B77ABF" w:rsidP="00093B56">
      <w:pPr>
        <w:pStyle w:val="NoSpacing"/>
        <w:rPr>
          <w:rFonts w:ascii="Times New Roman" w:hAnsi="Times New Roman" w:cs="Times New Roman"/>
        </w:rPr>
      </w:pPr>
    </w:p>
    <w:p w14:paraId="5DA85844" w14:textId="1E4F06BE" w:rsidR="00EB4444" w:rsidRDefault="00EB4444" w:rsidP="00093B56">
      <w:pPr>
        <w:pStyle w:val="NoSpacing"/>
        <w:rPr>
          <w:rFonts w:ascii="Times New Roman" w:hAnsi="Times New Roman" w:cs="Times New Roman"/>
        </w:rPr>
      </w:pPr>
    </w:p>
    <w:p w14:paraId="58C258ED" w14:textId="32DA54E4" w:rsidR="00EB4444" w:rsidRDefault="00EB4444" w:rsidP="00093B56">
      <w:pPr>
        <w:pStyle w:val="NoSpacing"/>
        <w:rPr>
          <w:rFonts w:ascii="Times New Roman" w:hAnsi="Times New Roman" w:cs="Times New Roman"/>
        </w:rPr>
      </w:pPr>
    </w:p>
    <w:p w14:paraId="7CF76BAB" w14:textId="3AEA6BD8" w:rsidR="00EB4444" w:rsidRDefault="00EB4444" w:rsidP="00093B56">
      <w:pPr>
        <w:pStyle w:val="NoSpacing"/>
        <w:rPr>
          <w:rFonts w:ascii="Times New Roman" w:hAnsi="Times New Roman" w:cs="Times New Roman"/>
        </w:rPr>
      </w:pPr>
    </w:p>
    <w:p w14:paraId="4E380686" w14:textId="565F2057" w:rsidR="00EB4444" w:rsidRDefault="00EB4444" w:rsidP="00093B56">
      <w:pPr>
        <w:pStyle w:val="NoSpacing"/>
        <w:rPr>
          <w:rFonts w:ascii="Times New Roman" w:hAnsi="Times New Roman" w:cs="Times New Roman"/>
        </w:rPr>
      </w:pPr>
    </w:p>
    <w:p w14:paraId="3A23AC8A" w14:textId="059F021A" w:rsidR="00EB4444" w:rsidRDefault="00EB4444" w:rsidP="00093B56">
      <w:pPr>
        <w:pStyle w:val="NoSpacing"/>
        <w:rPr>
          <w:rFonts w:ascii="Times New Roman" w:hAnsi="Times New Roman" w:cs="Times New Roman"/>
        </w:rPr>
      </w:pPr>
    </w:p>
    <w:p w14:paraId="1E9D0C71" w14:textId="77777777" w:rsidR="00E60EFD" w:rsidRPr="00E60EFD" w:rsidRDefault="00E60EFD" w:rsidP="00E60EFD">
      <w:pPr>
        <w:pStyle w:val="NoSpacing"/>
        <w:spacing w:line="480" w:lineRule="auto"/>
        <w:rPr>
          <w:rFonts w:ascii="Times New Roman" w:hAnsi="Times New Roman" w:cs="Times New Roman"/>
          <w:b/>
          <w:bCs/>
        </w:rPr>
      </w:pPr>
      <w:bookmarkStart w:id="427" w:name="_Hlk108621005"/>
      <w:r w:rsidRPr="00E60EFD">
        <w:rPr>
          <w:rFonts w:ascii="Times New Roman" w:hAnsi="Times New Roman" w:cs="Times New Roman"/>
          <w:b/>
          <w:bCs/>
        </w:rPr>
        <w:lastRenderedPageBreak/>
        <w:t>6. Order of trial block completion: does this matter?</w:t>
      </w:r>
    </w:p>
    <w:p w14:paraId="09F320B3" w14:textId="77777777" w:rsidR="00E60EFD" w:rsidRPr="00E60EFD" w:rsidRDefault="00E60EFD" w:rsidP="00E60EFD">
      <w:pPr>
        <w:pStyle w:val="NoSpacing"/>
        <w:spacing w:line="480" w:lineRule="auto"/>
        <w:rPr>
          <w:rFonts w:ascii="Times New Roman" w:hAnsi="Times New Roman" w:cs="Times New Roman"/>
        </w:rPr>
      </w:pPr>
      <w:bookmarkStart w:id="428" w:name="_Hlk108699375"/>
      <w:bookmarkEnd w:id="427"/>
      <w:r w:rsidRPr="00E60EFD">
        <w:rPr>
          <w:rFonts w:ascii="Times New Roman" w:hAnsi="Times New Roman" w:cs="Times New Roman"/>
        </w:rPr>
        <w:t xml:space="preserve">The order of blocks in the decision-making task were randomised, such that for some participants the tobacco-unrelated (animal) trials were completed first, whilst for others the tobacco-related trials were completed first. To explore the importance of order of blocks presented in the decision-making task, we conducted independent samples </w:t>
      </w:r>
      <w:r w:rsidRPr="00E60EFD">
        <w:rPr>
          <w:rFonts w:ascii="Times New Roman" w:hAnsi="Times New Roman" w:cs="Times New Roman"/>
          <w:i/>
          <w:iCs/>
        </w:rPr>
        <w:t>t</w:t>
      </w:r>
      <w:r w:rsidRPr="00E60EFD">
        <w:rPr>
          <w:rFonts w:ascii="Times New Roman" w:hAnsi="Times New Roman" w:cs="Times New Roman"/>
        </w:rPr>
        <w:t xml:space="preserve">-tests on EA rates and response thresholds with block order (2: animal first; tobacco first) as the between-subjects variable. In the data, animal first is coded as 1 and tobacco first is coded as 2. The within-subject design of this study means that each participant completed the VBDM task twice (once in each experimental condition), and therefore we split the analyses below by experimental condition. This is because a participant may have completed the animal block of trials first (and tobacco block of trials second) in the negative mood condition, but then completed the tobacco block of trials first (and animal block of trials second) in the positive mood condition. </w:t>
      </w:r>
      <w:bookmarkStart w:id="429" w:name="_Hlk108702848"/>
      <w:bookmarkEnd w:id="428"/>
      <w:r w:rsidRPr="00E60EFD">
        <w:rPr>
          <w:rFonts w:ascii="Times New Roman" w:hAnsi="Times New Roman" w:cs="Times New Roman"/>
        </w:rPr>
        <w:t>Overall, for EA rates and response thresholds for both animal and tobacco decisions, there was minimal evidence to suggest that the order in which participants completed the blocks altered the decision-parameters (see below).</w:t>
      </w:r>
      <w:bookmarkEnd w:id="429"/>
    </w:p>
    <w:p w14:paraId="4F3A17BE" w14:textId="77777777" w:rsidR="00E60EFD" w:rsidRPr="00E60EFD" w:rsidRDefault="00E60EFD" w:rsidP="00E60EFD">
      <w:pPr>
        <w:pStyle w:val="NoSpacing"/>
        <w:spacing w:line="480" w:lineRule="auto"/>
        <w:rPr>
          <w:rFonts w:ascii="Times New Roman" w:hAnsi="Times New Roman" w:cs="Times New Roman"/>
          <w:u w:val="single"/>
        </w:rPr>
      </w:pPr>
    </w:p>
    <w:p w14:paraId="02ADAE04" w14:textId="77777777" w:rsidR="00E60EFD" w:rsidRPr="00E60EFD" w:rsidRDefault="00E60EFD" w:rsidP="00E60EFD">
      <w:pPr>
        <w:pStyle w:val="NoSpacing"/>
        <w:spacing w:line="480" w:lineRule="auto"/>
        <w:rPr>
          <w:rFonts w:ascii="Times New Roman" w:hAnsi="Times New Roman" w:cs="Times New Roman"/>
          <w:u w:val="single"/>
        </w:rPr>
      </w:pPr>
      <w:r w:rsidRPr="00E60EFD">
        <w:rPr>
          <w:rFonts w:ascii="Times New Roman" w:hAnsi="Times New Roman" w:cs="Times New Roman"/>
          <w:u w:val="single"/>
        </w:rPr>
        <w:t>Positive mood condition</w:t>
      </w:r>
    </w:p>
    <w:p w14:paraId="5BF988B2" w14:textId="77777777" w:rsidR="00E60EFD" w:rsidRPr="00E60EFD" w:rsidRDefault="00E60EFD" w:rsidP="00E60EFD">
      <w:pPr>
        <w:pStyle w:val="NoSpacing"/>
        <w:spacing w:line="480" w:lineRule="auto"/>
        <w:rPr>
          <w:rFonts w:ascii="Times New Roman" w:hAnsi="Times New Roman" w:cs="Times New Roman"/>
        </w:rPr>
      </w:pPr>
      <w:bookmarkStart w:id="430" w:name="_Hlk108702924"/>
      <w:r w:rsidRPr="00E60EFD">
        <w:rPr>
          <w:rFonts w:ascii="Times New Roman" w:hAnsi="Times New Roman" w:cs="Times New Roman"/>
        </w:rPr>
        <w:t>There were no significant differences between those who completed the animal block first compared to those who completed the tobacco block first for tobacco EA rates (</w:t>
      </w:r>
      <w:proofErr w:type="gramStart"/>
      <w:r w:rsidRPr="00E60EFD">
        <w:rPr>
          <w:rFonts w:ascii="Times New Roman" w:hAnsi="Times New Roman" w:cs="Times New Roman"/>
          <w:i/>
          <w:iCs/>
        </w:rPr>
        <w:t>t</w:t>
      </w:r>
      <w:r w:rsidRPr="00E60EFD">
        <w:rPr>
          <w:rFonts w:ascii="Times New Roman" w:hAnsi="Times New Roman" w:cs="Times New Roman"/>
        </w:rPr>
        <w:t>(</w:t>
      </w:r>
      <w:proofErr w:type="gramEnd"/>
      <w:r w:rsidRPr="00E60EFD">
        <w:rPr>
          <w:rFonts w:ascii="Times New Roman" w:hAnsi="Times New Roman" w:cs="Times New Roman"/>
        </w:rPr>
        <w:t xml:space="preserve">47) = .51, </w:t>
      </w:r>
      <w:r w:rsidRPr="00E60EFD">
        <w:rPr>
          <w:rFonts w:ascii="Times New Roman" w:hAnsi="Times New Roman" w:cs="Times New Roman"/>
          <w:i/>
          <w:iCs/>
        </w:rPr>
        <w:t>p</w:t>
      </w:r>
      <w:r w:rsidRPr="00E60EFD">
        <w:rPr>
          <w:rFonts w:ascii="Times New Roman" w:hAnsi="Times New Roman" w:cs="Times New Roman"/>
        </w:rPr>
        <w:t xml:space="preserve"> = .61, </w:t>
      </w:r>
      <w:r w:rsidRPr="00E60EFD">
        <w:rPr>
          <w:rFonts w:ascii="Times New Roman" w:hAnsi="Times New Roman" w:cs="Times New Roman"/>
          <w:i/>
          <w:iCs/>
        </w:rPr>
        <w:t>d</w:t>
      </w:r>
      <w:r w:rsidRPr="00E60EFD">
        <w:rPr>
          <w:rFonts w:ascii="Times New Roman" w:hAnsi="Times New Roman" w:cs="Times New Roman"/>
        </w:rPr>
        <w:t xml:space="preserve"> = .14), tobacco-unrelated (animal) EA rates (</w:t>
      </w:r>
      <w:r w:rsidRPr="00E60EFD">
        <w:rPr>
          <w:rFonts w:ascii="Times New Roman" w:hAnsi="Times New Roman" w:cs="Times New Roman"/>
          <w:i/>
          <w:iCs/>
        </w:rPr>
        <w:t>t</w:t>
      </w:r>
      <w:r w:rsidRPr="00E60EFD">
        <w:rPr>
          <w:rFonts w:ascii="Times New Roman" w:hAnsi="Times New Roman" w:cs="Times New Roman"/>
        </w:rPr>
        <w:t xml:space="preserve">(47) = -.02, </w:t>
      </w:r>
      <w:r w:rsidRPr="00E60EFD">
        <w:rPr>
          <w:rFonts w:ascii="Times New Roman" w:hAnsi="Times New Roman" w:cs="Times New Roman"/>
          <w:i/>
          <w:iCs/>
        </w:rPr>
        <w:t>p</w:t>
      </w:r>
      <w:r w:rsidRPr="00E60EFD">
        <w:rPr>
          <w:rFonts w:ascii="Times New Roman" w:hAnsi="Times New Roman" w:cs="Times New Roman"/>
        </w:rPr>
        <w:t xml:space="preserve"> = .99, </w:t>
      </w:r>
      <w:r w:rsidRPr="00E60EFD">
        <w:rPr>
          <w:rFonts w:ascii="Times New Roman" w:hAnsi="Times New Roman" w:cs="Times New Roman"/>
          <w:i/>
          <w:iCs/>
        </w:rPr>
        <w:t>d</w:t>
      </w:r>
      <w:r w:rsidRPr="00E60EFD">
        <w:rPr>
          <w:rFonts w:ascii="Times New Roman" w:hAnsi="Times New Roman" w:cs="Times New Roman"/>
        </w:rPr>
        <w:t xml:space="preserve"> = .01), or tobacco response thresholds (</w:t>
      </w:r>
      <w:r w:rsidRPr="00E60EFD">
        <w:rPr>
          <w:rFonts w:ascii="Times New Roman" w:hAnsi="Times New Roman" w:cs="Times New Roman"/>
          <w:i/>
          <w:iCs/>
        </w:rPr>
        <w:t>t</w:t>
      </w:r>
      <w:r w:rsidRPr="00E60EFD">
        <w:rPr>
          <w:rFonts w:ascii="Times New Roman" w:hAnsi="Times New Roman" w:cs="Times New Roman"/>
        </w:rPr>
        <w:t xml:space="preserve">(47) = .54, </w:t>
      </w:r>
      <w:r w:rsidRPr="00E60EFD">
        <w:rPr>
          <w:rFonts w:ascii="Times New Roman" w:hAnsi="Times New Roman" w:cs="Times New Roman"/>
          <w:i/>
          <w:iCs/>
        </w:rPr>
        <w:t>p</w:t>
      </w:r>
      <w:r w:rsidRPr="00E60EFD">
        <w:rPr>
          <w:rFonts w:ascii="Times New Roman" w:hAnsi="Times New Roman" w:cs="Times New Roman"/>
        </w:rPr>
        <w:t xml:space="preserve"> = .59, </w:t>
      </w:r>
      <w:r w:rsidRPr="00E60EFD">
        <w:rPr>
          <w:rFonts w:ascii="Times New Roman" w:hAnsi="Times New Roman" w:cs="Times New Roman"/>
          <w:i/>
          <w:iCs/>
        </w:rPr>
        <w:t>d</w:t>
      </w:r>
      <w:r w:rsidRPr="00E60EFD">
        <w:rPr>
          <w:rFonts w:ascii="Times New Roman" w:hAnsi="Times New Roman" w:cs="Times New Roman"/>
        </w:rPr>
        <w:t xml:space="preserve"> = .15). </w:t>
      </w:r>
      <w:bookmarkEnd w:id="430"/>
      <w:r w:rsidRPr="00E60EFD">
        <w:rPr>
          <w:rFonts w:ascii="Times New Roman" w:hAnsi="Times New Roman" w:cs="Times New Roman"/>
        </w:rPr>
        <w:t>There was however a marginally significant difference for tobacco-unrelated (animal) response thresholds (</w:t>
      </w:r>
      <w:proofErr w:type="gramStart"/>
      <w:r w:rsidRPr="00E60EFD">
        <w:rPr>
          <w:rFonts w:ascii="Times New Roman" w:hAnsi="Times New Roman" w:cs="Times New Roman"/>
          <w:i/>
          <w:iCs/>
        </w:rPr>
        <w:t>t</w:t>
      </w:r>
      <w:r w:rsidRPr="00E60EFD">
        <w:rPr>
          <w:rFonts w:ascii="Times New Roman" w:hAnsi="Times New Roman" w:cs="Times New Roman"/>
        </w:rPr>
        <w:t>(</w:t>
      </w:r>
      <w:proofErr w:type="gramEnd"/>
      <w:r w:rsidRPr="00E60EFD">
        <w:rPr>
          <w:rFonts w:ascii="Times New Roman" w:hAnsi="Times New Roman" w:cs="Times New Roman"/>
        </w:rPr>
        <w:t xml:space="preserve">47) = 2.02, </w:t>
      </w:r>
      <w:r w:rsidRPr="00E60EFD">
        <w:rPr>
          <w:rFonts w:ascii="Times New Roman" w:hAnsi="Times New Roman" w:cs="Times New Roman"/>
          <w:i/>
          <w:iCs/>
        </w:rPr>
        <w:t>p</w:t>
      </w:r>
      <w:r w:rsidRPr="00E60EFD">
        <w:rPr>
          <w:rFonts w:ascii="Times New Roman" w:hAnsi="Times New Roman" w:cs="Times New Roman"/>
        </w:rPr>
        <w:t xml:space="preserve"> = .05, </w:t>
      </w:r>
      <w:r w:rsidRPr="00E60EFD">
        <w:rPr>
          <w:rFonts w:ascii="Times New Roman" w:hAnsi="Times New Roman" w:cs="Times New Roman"/>
          <w:i/>
          <w:iCs/>
        </w:rPr>
        <w:t>d</w:t>
      </w:r>
      <w:r w:rsidRPr="00E60EFD">
        <w:rPr>
          <w:rFonts w:ascii="Times New Roman" w:hAnsi="Times New Roman" w:cs="Times New Roman"/>
        </w:rPr>
        <w:t xml:space="preserve"> = .58), with the mean being slightly higher when the animal block was completed first. </w:t>
      </w:r>
    </w:p>
    <w:p w14:paraId="0EFE0C2E" w14:textId="77777777" w:rsidR="00E60EFD" w:rsidRPr="00E60EFD" w:rsidRDefault="00E60EFD" w:rsidP="00E60EFD">
      <w:pPr>
        <w:pStyle w:val="NoSpacing"/>
        <w:spacing w:line="480" w:lineRule="auto"/>
        <w:rPr>
          <w:rFonts w:ascii="Times New Roman" w:hAnsi="Times New Roman" w:cs="Times New Roman"/>
        </w:rPr>
      </w:pPr>
    </w:p>
    <w:p w14:paraId="43260053" w14:textId="77777777" w:rsidR="00E60EFD" w:rsidRPr="00E60EFD" w:rsidRDefault="00E60EFD" w:rsidP="00E60EFD">
      <w:pPr>
        <w:pStyle w:val="NoSpacing"/>
        <w:spacing w:line="480" w:lineRule="auto"/>
        <w:rPr>
          <w:rFonts w:ascii="Times New Roman" w:hAnsi="Times New Roman" w:cs="Times New Roman"/>
          <w:u w:val="single"/>
        </w:rPr>
      </w:pPr>
      <w:r w:rsidRPr="00E60EFD">
        <w:rPr>
          <w:rFonts w:ascii="Times New Roman" w:hAnsi="Times New Roman" w:cs="Times New Roman"/>
          <w:u w:val="single"/>
        </w:rPr>
        <w:t>Negative mood condition</w:t>
      </w:r>
    </w:p>
    <w:p w14:paraId="23E75229" w14:textId="77777777" w:rsidR="00E60EFD" w:rsidRPr="00E60EFD" w:rsidRDefault="00E60EFD" w:rsidP="00E60EFD">
      <w:pPr>
        <w:pStyle w:val="NoSpacing"/>
        <w:spacing w:line="480" w:lineRule="auto"/>
        <w:rPr>
          <w:rFonts w:ascii="Times New Roman" w:hAnsi="Times New Roman" w:cs="Times New Roman"/>
        </w:rPr>
      </w:pPr>
      <w:r w:rsidRPr="00E60EFD">
        <w:rPr>
          <w:rFonts w:ascii="Times New Roman" w:hAnsi="Times New Roman" w:cs="Times New Roman"/>
        </w:rPr>
        <w:lastRenderedPageBreak/>
        <w:t>There were no significant differences between those who completed the animal block first compared to those who completed the tobacco block first for tobacco EA rates (</w:t>
      </w:r>
      <w:proofErr w:type="gramStart"/>
      <w:r w:rsidRPr="00E60EFD">
        <w:rPr>
          <w:rFonts w:ascii="Times New Roman" w:hAnsi="Times New Roman" w:cs="Times New Roman"/>
          <w:i/>
          <w:iCs/>
        </w:rPr>
        <w:t>t</w:t>
      </w:r>
      <w:r w:rsidRPr="00E60EFD">
        <w:rPr>
          <w:rFonts w:ascii="Times New Roman" w:hAnsi="Times New Roman" w:cs="Times New Roman"/>
        </w:rPr>
        <w:t>(</w:t>
      </w:r>
      <w:proofErr w:type="gramEnd"/>
      <w:r w:rsidRPr="00E60EFD">
        <w:rPr>
          <w:rFonts w:ascii="Times New Roman" w:hAnsi="Times New Roman" w:cs="Times New Roman"/>
        </w:rPr>
        <w:t xml:space="preserve">47) = -1.48, </w:t>
      </w:r>
      <w:r w:rsidRPr="00E60EFD">
        <w:rPr>
          <w:rFonts w:ascii="Times New Roman" w:hAnsi="Times New Roman" w:cs="Times New Roman"/>
          <w:i/>
          <w:iCs/>
        </w:rPr>
        <w:t>p</w:t>
      </w:r>
      <w:r w:rsidRPr="00E60EFD">
        <w:rPr>
          <w:rFonts w:ascii="Times New Roman" w:hAnsi="Times New Roman" w:cs="Times New Roman"/>
        </w:rPr>
        <w:t xml:space="preserve"> = .15, </w:t>
      </w:r>
      <w:r w:rsidRPr="00E60EFD">
        <w:rPr>
          <w:rFonts w:ascii="Times New Roman" w:hAnsi="Times New Roman" w:cs="Times New Roman"/>
          <w:i/>
          <w:iCs/>
        </w:rPr>
        <w:t>d</w:t>
      </w:r>
      <w:r w:rsidRPr="00E60EFD">
        <w:rPr>
          <w:rFonts w:ascii="Times New Roman" w:hAnsi="Times New Roman" w:cs="Times New Roman"/>
        </w:rPr>
        <w:t xml:space="preserve"> = .42), tobacco response thresholds (</w:t>
      </w:r>
      <w:r w:rsidRPr="00E60EFD">
        <w:rPr>
          <w:rFonts w:ascii="Times New Roman" w:hAnsi="Times New Roman" w:cs="Times New Roman"/>
          <w:i/>
          <w:iCs/>
        </w:rPr>
        <w:t>t</w:t>
      </w:r>
      <w:r w:rsidRPr="00E60EFD">
        <w:rPr>
          <w:rFonts w:ascii="Times New Roman" w:hAnsi="Times New Roman" w:cs="Times New Roman"/>
        </w:rPr>
        <w:t xml:space="preserve">(47) = -.13, </w:t>
      </w:r>
      <w:r w:rsidRPr="00E60EFD">
        <w:rPr>
          <w:rFonts w:ascii="Times New Roman" w:hAnsi="Times New Roman" w:cs="Times New Roman"/>
          <w:i/>
          <w:iCs/>
        </w:rPr>
        <w:t>p</w:t>
      </w:r>
      <w:r w:rsidRPr="00E60EFD">
        <w:rPr>
          <w:rFonts w:ascii="Times New Roman" w:hAnsi="Times New Roman" w:cs="Times New Roman"/>
        </w:rPr>
        <w:t xml:space="preserve"> = .90, </w:t>
      </w:r>
      <w:r w:rsidRPr="00E60EFD">
        <w:rPr>
          <w:rFonts w:ascii="Times New Roman" w:hAnsi="Times New Roman" w:cs="Times New Roman"/>
          <w:i/>
          <w:iCs/>
        </w:rPr>
        <w:t>d</w:t>
      </w:r>
      <w:r w:rsidRPr="00E60EFD">
        <w:rPr>
          <w:rFonts w:ascii="Times New Roman" w:hAnsi="Times New Roman" w:cs="Times New Roman"/>
        </w:rPr>
        <w:t xml:space="preserve"> = .04), and tobacco-unrelated (animal) response thresholds (</w:t>
      </w:r>
      <w:r w:rsidRPr="00E60EFD">
        <w:rPr>
          <w:rFonts w:ascii="Times New Roman" w:hAnsi="Times New Roman" w:cs="Times New Roman"/>
          <w:i/>
          <w:iCs/>
        </w:rPr>
        <w:t>t</w:t>
      </w:r>
      <w:r w:rsidRPr="00E60EFD">
        <w:rPr>
          <w:rFonts w:ascii="Times New Roman" w:hAnsi="Times New Roman" w:cs="Times New Roman"/>
        </w:rPr>
        <w:t xml:space="preserve">(47) = 1.85, </w:t>
      </w:r>
      <w:r w:rsidRPr="00E60EFD">
        <w:rPr>
          <w:rFonts w:ascii="Times New Roman" w:hAnsi="Times New Roman" w:cs="Times New Roman"/>
          <w:i/>
          <w:iCs/>
        </w:rPr>
        <w:t xml:space="preserve">p </w:t>
      </w:r>
      <w:r w:rsidRPr="00E60EFD">
        <w:rPr>
          <w:rFonts w:ascii="Times New Roman" w:hAnsi="Times New Roman" w:cs="Times New Roman"/>
        </w:rPr>
        <w:t xml:space="preserve">= .07, </w:t>
      </w:r>
      <w:r w:rsidRPr="00E60EFD">
        <w:rPr>
          <w:rFonts w:ascii="Times New Roman" w:hAnsi="Times New Roman" w:cs="Times New Roman"/>
          <w:i/>
          <w:iCs/>
        </w:rPr>
        <w:t>d</w:t>
      </w:r>
      <w:r w:rsidRPr="00E60EFD">
        <w:rPr>
          <w:rFonts w:ascii="Times New Roman" w:hAnsi="Times New Roman" w:cs="Times New Roman"/>
        </w:rPr>
        <w:t xml:space="preserve"> = .53). There was however a significant difference for tobacco-unrelated (animal) EA rates (</w:t>
      </w:r>
      <w:proofErr w:type="gramStart"/>
      <w:r w:rsidRPr="00E60EFD">
        <w:rPr>
          <w:rFonts w:ascii="Times New Roman" w:hAnsi="Times New Roman" w:cs="Times New Roman"/>
          <w:i/>
          <w:iCs/>
        </w:rPr>
        <w:t>t</w:t>
      </w:r>
      <w:r w:rsidRPr="00E60EFD">
        <w:rPr>
          <w:rFonts w:ascii="Times New Roman" w:hAnsi="Times New Roman" w:cs="Times New Roman"/>
        </w:rPr>
        <w:t>(</w:t>
      </w:r>
      <w:proofErr w:type="gramEnd"/>
      <w:r w:rsidRPr="00E60EFD">
        <w:rPr>
          <w:rFonts w:ascii="Times New Roman" w:hAnsi="Times New Roman" w:cs="Times New Roman"/>
        </w:rPr>
        <w:t xml:space="preserve">47) = 2.97, </w:t>
      </w:r>
      <w:r w:rsidRPr="00E60EFD">
        <w:rPr>
          <w:rFonts w:ascii="Times New Roman" w:hAnsi="Times New Roman" w:cs="Times New Roman"/>
          <w:i/>
          <w:iCs/>
        </w:rPr>
        <w:t>p</w:t>
      </w:r>
      <w:r w:rsidRPr="00E60EFD">
        <w:rPr>
          <w:rFonts w:ascii="Times New Roman" w:hAnsi="Times New Roman" w:cs="Times New Roman"/>
        </w:rPr>
        <w:t xml:space="preserve"> &lt; .01, </w:t>
      </w:r>
      <w:r w:rsidRPr="00E60EFD">
        <w:rPr>
          <w:rFonts w:ascii="Times New Roman" w:hAnsi="Times New Roman" w:cs="Times New Roman"/>
          <w:i/>
          <w:iCs/>
        </w:rPr>
        <w:t>d</w:t>
      </w:r>
      <w:r w:rsidRPr="00E60EFD">
        <w:rPr>
          <w:rFonts w:ascii="Times New Roman" w:hAnsi="Times New Roman" w:cs="Times New Roman"/>
        </w:rPr>
        <w:t xml:space="preserve"> = .85), with the mean being higher when the animal block was completed second.</w:t>
      </w:r>
    </w:p>
    <w:p w14:paraId="7C47B8D8" w14:textId="77777777" w:rsidR="00E60EFD" w:rsidRPr="00E60EFD" w:rsidRDefault="00E60EFD" w:rsidP="00E60EFD">
      <w:pPr>
        <w:pStyle w:val="NoSpacing"/>
        <w:spacing w:line="480" w:lineRule="auto"/>
        <w:rPr>
          <w:rFonts w:ascii="Times New Roman" w:hAnsi="Times New Roman" w:cs="Times New Roman"/>
        </w:rPr>
      </w:pPr>
    </w:p>
    <w:p w14:paraId="668B4162" w14:textId="77777777" w:rsidR="00E60EFD" w:rsidRPr="00E60EFD" w:rsidRDefault="00E60EFD" w:rsidP="00E60EFD">
      <w:pPr>
        <w:pStyle w:val="NoSpacing"/>
        <w:spacing w:line="480" w:lineRule="auto"/>
        <w:rPr>
          <w:rFonts w:ascii="Times New Roman" w:hAnsi="Times New Roman" w:cs="Times New Roman"/>
        </w:rPr>
      </w:pPr>
    </w:p>
    <w:p w14:paraId="075843D1" w14:textId="77777777" w:rsidR="00E60EFD" w:rsidRPr="00E60EFD" w:rsidRDefault="00E60EFD" w:rsidP="00E60EFD">
      <w:pPr>
        <w:pStyle w:val="NoSpacing"/>
        <w:spacing w:line="480" w:lineRule="auto"/>
        <w:rPr>
          <w:rFonts w:ascii="Times New Roman" w:hAnsi="Times New Roman" w:cs="Times New Roman"/>
        </w:rPr>
      </w:pPr>
    </w:p>
    <w:p w14:paraId="602E5C06" w14:textId="77777777" w:rsidR="00E60EFD" w:rsidRPr="00E60EFD" w:rsidRDefault="00E60EFD" w:rsidP="00E60EFD">
      <w:pPr>
        <w:pStyle w:val="NoSpacing"/>
        <w:spacing w:line="480" w:lineRule="auto"/>
        <w:rPr>
          <w:rFonts w:ascii="Times New Roman" w:hAnsi="Times New Roman" w:cs="Times New Roman"/>
        </w:rPr>
      </w:pPr>
    </w:p>
    <w:p w14:paraId="6D8D4DBC" w14:textId="77777777" w:rsidR="00E60EFD" w:rsidRPr="00E60EFD" w:rsidRDefault="00E60EFD" w:rsidP="00E60EFD">
      <w:pPr>
        <w:pStyle w:val="NoSpacing"/>
        <w:rPr>
          <w:rFonts w:ascii="Times New Roman" w:hAnsi="Times New Roman" w:cs="Times New Roman"/>
        </w:rPr>
      </w:pPr>
    </w:p>
    <w:p w14:paraId="60EC134A" w14:textId="77777777" w:rsidR="00E60EFD" w:rsidRPr="00E60EFD" w:rsidRDefault="00E60EFD" w:rsidP="00E60EFD">
      <w:pPr>
        <w:pStyle w:val="NoSpacing"/>
        <w:rPr>
          <w:rFonts w:ascii="Times New Roman" w:hAnsi="Times New Roman" w:cs="Times New Roman"/>
        </w:rPr>
      </w:pPr>
    </w:p>
    <w:p w14:paraId="5BACF099" w14:textId="77777777" w:rsidR="00E60EFD" w:rsidRPr="00E60EFD" w:rsidRDefault="00E60EFD" w:rsidP="00E60EFD">
      <w:pPr>
        <w:pStyle w:val="NoSpacing"/>
        <w:rPr>
          <w:rFonts w:ascii="Times New Roman" w:hAnsi="Times New Roman" w:cs="Times New Roman"/>
        </w:rPr>
      </w:pPr>
    </w:p>
    <w:p w14:paraId="1496FAF2" w14:textId="77777777" w:rsidR="00E60EFD" w:rsidRPr="00E60EFD" w:rsidRDefault="00E60EFD" w:rsidP="00E60EFD">
      <w:pPr>
        <w:pStyle w:val="NoSpacing"/>
        <w:rPr>
          <w:rFonts w:ascii="Times New Roman" w:hAnsi="Times New Roman" w:cs="Times New Roman"/>
        </w:rPr>
      </w:pPr>
    </w:p>
    <w:p w14:paraId="7F25D5D3" w14:textId="77777777" w:rsidR="00E60EFD" w:rsidRPr="00E60EFD" w:rsidRDefault="00E60EFD" w:rsidP="00E60EFD">
      <w:pPr>
        <w:pStyle w:val="NoSpacing"/>
        <w:rPr>
          <w:rFonts w:ascii="Times New Roman" w:hAnsi="Times New Roman" w:cs="Times New Roman"/>
        </w:rPr>
      </w:pPr>
    </w:p>
    <w:p w14:paraId="6988FD88" w14:textId="77777777" w:rsidR="00E60EFD" w:rsidRPr="00E60EFD" w:rsidRDefault="00E60EFD" w:rsidP="00E60EFD">
      <w:pPr>
        <w:pStyle w:val="NoSpacing"/>
        <w:rPr>
          <w:rFonts w:ascii="Times New Roman" w:hAnsi="Times New Roman" w:cs="Times New Roman"/>
        </w:rPr>
      </w:pPr>
    </w:p>
    <w:p w14:paraId="47732A3D" w14:textId="77777777" w:rsidR="00E60EFD" w:rsidRPr="00E60EFD" w:rsidRDefault="00E60EFD" w:rsidP="00E60EFD">
      <w:pPr>
        <w:pStyle w:val="NoSpacing"/>
        <w:rPr>
          <w:rFonts w:ascii="Times New Roman" w:hAnsi="Times New Roman" w:cs="Times New Roman"/>
        </w:rPr>
      </w:pPr>
    </w:p>
    <w:p w14:paraId="28284C37" w14:textId="77777777" w:rsidR="00E60EFD" w:rsidRPr="00E60EFD" w:rsidRDefault="00E60EFD" w:rsidP="00E60EFD">
      <w:pPr>
        <w:pStyle w:val="NoSpacing"/>
        <w:rPr>
          <w:rFonts w:ascii="Times New Roman" w:hAnsi="Times New Roman" w:cs="Times New Roman"/>
        </w:rPr>
      </w:pPr>
    </w:p>
    <w:p w14:paraId="40205C5D" w14:textId="3484291D" w:rsidR="00EB4444" w:rsidRDefault="00EB4444" w:rsidP="00093B56">
      <w:pPr>
        <w:pStyle w:val="NoSpacing"/>
        <w:rPr>
          <w:rFonts w:ascii="Times New Roman" w:hAnsi="Times New Roman" w:cs="Times New Roman"/>
        </w:rPr>
      </w:pPr>
    </w:p>
    <w:p w14:paraId="4D2A0265" w14:textId="5FAAB3C2" w:rsidR="00EB4444" w:rsidRDefault="00EB4444" w:rsidP="00093B56">
      <w:pPr>
        <w:pStyle w:val="NoSpacing"/>
        <w:rPr>
          <w:rFonts w:ascii="Times New Roman" w:hAnsi="Times New Roman" w:cs="Times New Roman"/>
        </w:rPr>
      </w:pPr>
    </w:p>
    <w:p w14:paraId="32BEF5DD" w14:textId="62EAF7B3" w:rsidR="00EB4444" w:rsidRDefault="00EB4444" w:rsidP="00093B56">
      <w:pPr>
        <w:pStyle w:val="NoSpacing"/>
        <w:rPr>
          <w:rFonts w:ascii="Times New Roman" w:hAnsi="Times New Roman" w:cs="Times New Roman"/>
        </w:rPr>
      </w:pPr>
    </w:p>
    <w:p w14:paraId="6B2D74C0" w14:textId="49E4EB13" w:rsidR="00EB4444" w:rsidRDefault="00EB4444" w:rsidP="00093B56">
      <w:pPr>
        <w:pStyle w:val="NoSpacing"/>
        <w:rPr>
          <w:rFonts w:ascii="Times New Roman" w:hAnsi="Times New Roman" w:cs="Times New Roman"/>
        </w:rPr>
      </w:pPr>
    </w:p>
    <w:p w14:paraId="6E1B2585" w14:textId="227B558E" w:rsidR="00EB4444" w:rsidRDefault="00EB4444" w:rsidP="00093B56">
      <w:pPr>
        <w:pStyle w:val="NoSpacing"/>
        <w:rPr>
          <w:rFonts w:ascii="Times New Roman" w:hAnsi="Times New Roman" w:cs="Times New Roman"/>
        </w:rPr>
      </w:pPr>
    </w:p>
    <w:p w14:paraId="708DF456" w14:textId="10E37996" w:rsidR="00EB4444" w:rsidRDefault="00EB4444" w:rsidP="00093B56">
      <w:pPr>
        <w:pStyle w:val="NoSpacing"/>
        <w:rPr>
          <w:rFonts w:ascii="Times New Roman" w:hAnsi="Times New Roman" w:cs="Times New Roman"/>
        </w:rPr>
      </w:pPr>
    </w:p>
    <w:p w14:paraId="01BC2A2A" w14:textId="2AAA495A" w:rsidR="00EB4444" w:rsidRDefault="00EB4444" w:rsidP="00093B56">
      <w:pPr>
        <w:pStyle w:val="NoSpacing"/>
        <w:rPr>
          <w:rFonts w:ascii="Times New Roman" w:hAnsi="Times New Roman" w:cs="Times New Roman"/>
        </w:rPr>
      </w:pPr>
    </w:p>
    <w:p w14:paraId="61CCCF19" w14:textId="77777777" w:rsidR="00EB4444" w:rsidRPr="00EB4444" w:rsidRDefault="00EB4444" w:rsidP="00093B56">
      <w:pPr>
        <w:pStyle w:val="NoSpacing"/>
        <w:rPr>
          <w:rFonts w:ascii="Times New Roman" w:hAnsi="Times New Roman" w:cs="Times New Roman"/>
        </w:rPr>
      </w:pPr>
    </w:p>
    <w:p w14:paraId="673A9D78" w14:textId="4EB7F057" w:rsidR="00093B56" w:rsidRPr="00EB4444" w:rsidRDefault="00093B56" w:rsidP="00093B56">
      <w:pPr>
        <w:pStyle w:val="NoSpacing"/>
        <w:rPr>
          <w:rFonts w:ascii="Times New Roman" w:hAnsi="Times New Roman" w:cs="Times New Roman"/>
        </w:rPr>
      </w:pPr>
    </w:p>
    <w:p w14:paraId="018C1B17" w14:textId="76F800E4" w:rsidR="00093B56" w:rsidRPr="00EB4444" w:rsidRDefault="00093B56" w:rsidP="00093B56">
      <w:pPr>
        <w:pStyle w:val="NoSpacing"/>
        <w:rPr>
          <w:rFonts w:ascii="Times New Roman" w:hAnsi="Times New Roman" w:cs="Times New Roman"/>
        </w:rPr>
      </w:pPr>
    </w:p>
    <w:p w14:paraId="23472C3C" w14:textId="7C78AD1F" w:rsidR="00093B56" w:rsidRDefault="00093B56" w:rsidP="00093B56">
      <w:pPr>
        <w:pStyle w:val="NoSpacing"/>
      </w:pPr>
    </w:p>
    <w:p w14:paraId="3C96685C" w14:textId="712E730D" w:rsidR="00093B56" w:rsidRDefault="00093B56" w:rsidP="00093B56">
      <w:pPr>
        <w:pStyle w:val="NoSpacing"/>
      </w:pPr>
    </w:p>
    <w:p w14:paraId="1E00AD90" w14:textId="1B0F4043" w:rsidR="00093B56" w:rsidRDefault="00093B56" w:rsidP="00093B56">
      <w:pPr>
        <w:pStyle w:val="NoSpacing"/>
      </w:pPr>
    </w:p>
    <w:p w14:paraId="332100BD" w14:textId="1426278F" w:rsidR="00093B56" w:rsidRDefault="00093B56" w:rsidP="00093B56">
      <w:pPr>
        <w:pStyle w:val="NoSpacing"/>
      </w:pPr>
    </w:p>
    <w:p w14:paraId="16C844B6" w14:textId="1C00B098" w:rsidR="00093B56" w:rsidRDefault="00093B56" w:rsidP="00093B56">
      <w:pPr>
        <w:pStyle w:val="NoSpacing"/>
      </w:pPr>
    </w:p>
    <w:p w14:paraId="61836CB7" w14:textId="09EE9CD9" w:rsidR="00093B56" w:rsidRDefault="00093B56" w:rsidP="00093B56">
      <w:pPr>
        <w:pStyle w:val="NoSpacing"/>
      </w:pPr>
    </w:p>
    <w:p w14:paraId="2203E7AF" w14:textId="0ADBD68E" w:rsidR="00093B56" w:rsidRDefault="00093B56" w:rsidP="00093B56">
      <w:pPr>
        <w:pStyle w:val="NoSpacing"/>
      </w:pPr>
    </w:p>
    <w:p w14:paraId="2EC2BEFB" w14:textId="5600E704" w:rsidR="00093B56" w:rsidRDefault="00093B56" w:rsidP="00093B56">
      <w:pPr>
        <w:pStyle w:val="NoSpacing"/>
      </w:pPr>
    </w:p>
    <w:p w14:paraId="7BAB6170" w14:textId="78C5EF7C" w:rsidR="00E60EFD" w:rsidRDefault="00E60EFD" w:rsidP="00093B56">
      <w:pPr>
        <w:pStyle w:val="NoSpacing"/>
      </w:pPr>
    </w:p>
    <w:p w14:paraId="1AEB681D" w14:textId="77777777" w:rsidR="00E60EFD" w:rsidRDefault="00E60EFD" w:rsidP="00093B56">
      <w:pPr>
        <w:pStyle w:val="NoSpacing"/>
        <w:sectPr w:rsidR="00E60EFD" w:rsidSect="00A10E32">
          <w:pgSz w:w="11900" w:h="16840"/>
          <w:pgMar w:top="1440" w:right="1440" w:bottom="1440" w:left="1440" w:header="708" w:footer="708" w:gutter="0"/>
          <w:cols w:space="708"/>
          <w:docGrid w:linePitch="360"/>
        </w:sectPr>
      </w:pPr>
    </w:p>
    <w:p w14:paraId="201FEB6F" w14:textId="1B9BAB2A" w:rsidR="00E60EFD" w:rsidRPr="00E60EFD" w:rsidRDefault="00E60EFD" w:rsidP="00E60EFD">
      <w:pPr>
        <w:pStyle w:val="NoSpacing"/>
        <w:spacing w:line="480" w:lineRule="auto"/>
        <w:rPr>
          <w:rFonts w:ascii="Times New Roman" w:hAnsi="Times New Roman" w:cs="Times New Roman"/>
          <w:b/>
          <w:bCs/>
        </w:rPr>
      </w:pPr>
      <w:r w:rsidRPr="00E60EFD">
        <w:rPr>
          <w:rFonts w:ascii="Times New Roman" w:hAnsi="Times New Roman" w:cs="Times New Roman"/>
          <w:b/>
          <w:bCs/>
        </w:rPr>
        <w:lastRenderedPageBreak/>
        <w:t>7. Exploratory correlations</w:t>
      </w:r>
    </w:p>
    <w:p w14:paraId="5BE50554" w14:textId="77777777" w:rsidR="00E60EFD" w:rsidRDefault="00E60EFD" w:rsidP="00E60EFD">
      <w:pPr>
        <w:pStyle w:val="NoSpacing"/>
        <w:spacing w:line="480" w:lineRule="auto"/>
        <w:rPr>
          <w:rFonts w:ascii="Times New Roman" w:hAnsi="Times New Roman" w:cs="Times New Roman"/>
          <w:b/>
          <w:bCs/>
        </w:rPr>
      </w:pPr>
      <w:r w:rsidRPr="00E60EFD">
        <w:rPr>
          <w:rFonts w:ascii="Times New Roman" w:hAnsi="Times New Roman" w:cs="Times New Roman"/>
          <w:b/>
          <w:bCs/>
        </w:rPr>
        <w:t>Table S5.4</w:t>
      </w:r>
    </w:p>
    <w:p w14:paraId="3025EDE3" w14:textId="0F44C277" w:rsidR="00E60EFD" w:rsidRPr="00E60EFD" w:rsidRDefault="00E60EFD" w:rsidP="00E60EFD">
      <w:pPr>
        <w:pStyle w:val="NoSpacing"/>
        <w:spacing w:line="480" w:lineRule="auto"/>
        <w:rPr>
          <w:rFonts w:ascii="Times New Roman" w:hAnsi="Times New Roman" w:cs="Times New Roman"/>
          <w:b/>
          <w:bCs/>
        </w:rPr>
      </w:pPr>
      <w:r w:rsidRPr="00E60EFD">
        <w:rPr>
          <w:rFonts w:ascii="Times New Roman" w:hAnsi="Times New Roman" w:cs="Times New Roman"/>
          <w:i/>
          <w:iCs/>
        </w:rPr>
        <w:t>Exploratory correlations between variables measured in Chapter 5</w:t>
      </w:r>
    </w:p>
    <w:tbl>
      <w:tblPr>
        <w:tblStyle w:val="TableGrid4"/>
        <w:tblW w:w="15244" w:type="dxa"/>
        <w:tblInd w:w="-572" w:type="dxa"/>
        <w:tblLook w:val="04A0" w:firstRow="1" w:lastRow="0" w:firstColumn="1" w:lastColumn="0" w:noHBand="0" w:noVBand="1"/>
      </w:tblPr>
      <w:tblGrid>
        <w:gridCol w:w="1257"/>
        <w:gridCol w:w="710"/>
        <w:gridCol w:w="656"/>
        <w:gridCol w:w="656"/>
        <w:gridCol w:w="695"/>
        <w:gridCol w:w="695"/>
        <w:gridCol w:w="694"/>
        <w:gridCol w:w="663"/>
        <w:gridCol w:w="663"/>
        <w:gridCol w:w="713"/>
        <w:gridCol w:w="630"/>
        <w:gridCol w:w="630"/>
        <w:gridCol w:w="661"/>
        <w:gridCol w:w="634"/>
        <w:gridCol w:w="630"/>
        <w:gridCol w:w="630"/>
        <w:gridCol w:w="630"/>
        <w:gridCol w:w="647"/>
        <w:gridCol w:w="710"/>
        <w:gridCol w:w="710"/>
        <w:gridCol w:w="710"/>
        <w:gridCol w:w="620"/>
      </w:tblGrid>
      <w:tr w:rsidR="00E60EFD" w:rsidRPr="00E60EFD" w14:paraId="52E3CC08" w14:textId="77777777" w:rsidTr="00E60EFD">
        <w:trPr>
          <w:trHeight w:val="391"/>
        </w:trPr>
        <w:tc>
          <w:tcPr>
            <w:tcW w:w="1257" w:type="dxa"/>
            <w:tcBorders>
              <w:top w:val="single" w:sz="18" w:space="0" w:color="auto"/>
              <w:left w:val="nil"/>
              <w:right w:val="nil"/>
            </w:tcBorders>
          </w:tcPr>
          <w:p w14:paraId="2584E4CB" w14:textId="77777777" w:rsidR="00E60EFD" w:rsidRPr="00E60EFD" w:rsidRDefault="00E60EFD" w:rsidP="00E60EFD">
            <w:pPr>
              <w:rPr>
                <w:rFonts w:ascii="Times New Roman" w:hAnsi="Times New Roman" w:cs="Times New Roman"/>
                <w:sz w:val="16"/>
                <w:szCs w:val="16"/>
              </w:rPr>
            </w:pPr>
          </w:p>
        </w:tc>
        <w:tc>
          <w:tcPr>
            <w:tcW w:w="710" w:type="dxa"/>
            <w:tcBorders>
              <w:top w:val="single" w:sz="18" w:space="0" w:color="auto"/>
              <w:left w:val="nil"/>
              <w:right w:val="nil"/>
            </w:tcBorders>
          </w:tcPr>
          <w:p w14:paraId="764A1084"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w:t>
            </w:r>
          </w:p>
        </w:tc>
        <w:tc>
          <w:tcPr>
            <w:tcW w:w="656" w:type="dxa"/>
            <w:tcBorders>
              <w:top w:val="single" w:sz="18" w:space="0" w:color="auto"/>
              <w:left w:val="nil"/>
              <w:right w:val="nil"/>
            </w:tcBorders>
          </w:tcPr>
          <w:p w14:paraId="126890D1"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2</w:t>
            </w:r>
          </w:p>
        </w:tc>
        <w:tc>
          <w:tcPr>
            <w:tcW w:w="656" w:type="dxa"/>
            <w:tcBorders>
              <w:top w:val="single" w:sz="18" w:space="0" w:color="auto"/>
              <w:left w:val="nil"/>
              <w:right w:val="nil"/>
            </w:tcBorders>
          </w:tcPr>
          <w:p w14:paraId="508854F4"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3</w:t>
            </w:r>
          </w:p>
        </w:tc>
        <w:tc>
          <w:tcPr>
            <w:tcW w:w="695" w:type="dxa"/>
            <w:tcBorders>
              <w:top w:val="single" w:sz="18" w:space="0" w:color="auto"/>
              <w:left w:val="nil"/>
              <w:right w:val="nil"/>
            </w:tcBorders>
          </w:tcPr>
          <w:p w14:paraId="192FE2DE"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4</w:t>
            </w:r>
          </w:p>
        </w:tc>
        <w:tc>
          <w:tcPr>
            <w:tcW w:w="695" w:type="dxa"/>
            <w:tcBorders>
              <w:top w:val="single" w:sz="18" w:space="0" w:color="auto"/>
              <w:left w:val="nil"/>
              <w:right w:val="nil"/>
            </w:tcBorders>
          </w:tcPr>
          <w:p w14:paraId="5D1F2A66"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5</w:t>
            </w:r>
          </w:p>
        </w:tc>
        <w:tc>
          <w:tcPr>
            <w:tcW w:w="694" w:type="dxa"/>
            <w:tcBorders>
              <w:top w:val="single" w:sz="18" w:space="0" w:color="auto"/>
              <w:left w:val="nil"/>
              <w:right w:val="nil"/>
            </w:tcBorders>
          </w:tcPr>
          <w:p w14:paraId="0FAA7D66"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6</w:t>
            </w:r>
          </w:p>
        </w:tc>
        <w:tc>
          <w:tcPr>
            <w:tcW w:w="663" w:type="dxa"/>
            <w:tcBorders>
              <w:top w:val="single" w:sz="18" w:space="0" w:color="auto"/>
              <w:left w:val="nil"/>
              <w:right w:val="nil"/>
            </w:tcBorders>
          </w:tcPr>
          <w:p w14:paraId="1A996C94"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7</w:t>
            </w:r>
          </w:p>
        </w:tc>
        <w:tc>
          <w:tcPr>
            <w:tcW w:w="663" w:type="dxa"/>
            <w:tcBorders>
              <w:top w:val="single" w:sz="18" w:space="0" w:color="auto"/>
              <w:left w:val="nil"/>
              <w:right w:val="nil"/>
            </w:tcBorders>
          </w:tcPr>
          <w:p w14:paraId="0AE717ED"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8</w:t>
            </w:r>
          </w:p>
        </w:tc>
        <w:tc>
          <w:tcPr>
            <w:tcW w:w="713" w:type="dxa"/>
            <w:tcBorders>
              <w:top w:val="single" w:sz="18" w:space="0" w:color="auto"/>
              <w:left w:val="nil"/>
              <w:right w:val="nil"/>
            </w:tcBorders>
          </w:tcPr>
          <w:p w14:paraId="5E8D8E60"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9</w:t>
            </w:r>
          </w:p>
        </w:tc>
        <w:tc>
          <w:tcPr>
            <w:tcW w:w="630" w:type="dxa"/>
            <w:tcBorders>
              <w:top w:val="single" w:sz="18" w:space="0" w:color="auto"/>
              <w:left w:val="nil"/>
              <w:right w:val="nil"/>
            </w:tcBorders>
          </w:tcPr>
          <w:p w14:paraId="779BEA50"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10</w:t>
            </w:r>
          </w:p>
        </w:tc>
        <w:tc>
          <w:tcPr>
            <w:tcW w:w="630" w:type="dxa"/>
            <w:tcBorders>
              <w:top w:val="single" w:sz="18" w:space="0" w:color="auto"/>
              <w:left w:val="nil"/>
              <w:right w:val="nil"/>
            </w:tcBorders>
          </w:tcPr>
          <w:p w14:paraId="3378FF6A"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11</w:t>
            </w:r>
          </w:p>
        </w:tc>
        <w:tc>
          <w:tcPr>
            <w:tcW w:w="661" w:type="dxa"/>
            <w:tcBorders>
              <w:top w:val="single" w:sz="18" w:space="0" w:color="auto"/>
              <w:left w:val="nil"/>
              <w:right w:val="nil"/>
            </w:tcBorders>
          </w:tcPr>
          <w:p w14:paraId="43EB6531"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12</w:t>
            </w:r>
          </w:p>
        </w:tc>
        <w:tc>
          <w:tcPr>
            <w:tcW w:w="634" w:type="dxa"/>
            <w:tcBorders>
              <w:top w:val="single" w:sz="18" w:space="0" w:color="auto"/>
              <w:left w:val="nil"/>
              <w:right w:val="nil"/>
            </w:tcBorders>
          </w:tcPr>
          <w:p w14:paraId="3895E0EB"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13</w:t>
            </w:r>
          </w:p>
        </w:tc>
        <w:tc>
          <w:tcPr>
            <w:tcW w:w="630" w:type="dxa"/>
            <w:tcBorders>
              <w:top w:val="single" w:sz="18" w:space="0" w:color="auto"/>
              <w:left w:val="nil"/>
              <w:right w:val="nil"/>
            </w:tcBorders>
          </w:tcPr>
          <w:p w14:paraId="68E26239"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14</w:t>
            </w:r>
          </w:p>
        </w:tc>
        <w:tc>
          <w:tcPr>
            <w:tcW w:w="630" w:type="dxa"/>
            <w:tcBorders>
              <w:top w:val="single" w:sz="18" w:space="0" w:color="auto"/>
              <w:left w:val="nil"/>
              <w:right w:val="nil"/>
            </w:tcBorders>
          </w:tcPr>
          <w:p w14:paraId="4FDF1027"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15</w:t>
            </w:r>
          </w:p>
        </w:tc>
        <w:tc>
          <w:tcPr>
            <w:tcW w:w="630" w:type="dxa"/>
            <w:tcBorders>
              <w:top w:val="single" w:sz="18" w:space="0" w:color="auto"/>
              <w:left w:val="nil"/>
              <w:right w:val="nil"/>
            </w:tcBorders>
          </w:tcPr>
          <w:p w14:paraId="3B7B9424"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16</w:t>
            </w:r>
          </w:p>
        </w:tc>
        <w:tc>
          <w:tcPr>
            <w:tcW w:w="647" w:type="dxa"/>
            <w:tcBorders>
              <w:top w:val="single" w:sz="18" w:space="0" w:color="auto"/>
              <w:left w:val="nil"/>
              <w:right w:val="nil"/>
            </w:tcBorders>
          </w:tcPr>
          <w:p w14:paraId="0EEEF91B"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17</w:t>
            </w:r>
          </w:p>
        </w:tc>
        <w:tc>
          <w:tcPr>
            <w:tcW w:w="710" w:type="dxa"/>
            <w:tcBorders>
              <w:top w:val="single" w:sz="18" w:space="0" w:color="auto"/>
              <w:left w:val="nil"/>
              <w:right w:val="nil"/>
            </w:tcBorders>
          </w:tcPr>
          <w:p w14:paraId="00D733FD"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18</w:t>
            </w:r>
          </w:p>
        </w:tc>
        <w:tc>
          <w:tcPr>
            <w:tcW w:w="710" w:type="dxa"/>
            <w:tcBorders>
              <w:top w:val="single" w:sz="18" w:space="0" w:color="auto"/>
              <w:left w:val="nil"/>
              <w:right w:val="nil"/>
            </w:tcBorders>
          </w:tcPr>
          <w:p w14:paraId="5AF226B5"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19</w:t>
            </w:r>
          </w:p>
        </w:tc>
        <w:tc>
          <w:tcPr>
            <w:tcW w:w="710" w:type="dxa"/>
            <w:tcBorders>
              <w:top w:val="single" w:sz="18" w:space="0" w:color="auto"/>
              <w:left w:val="nil"/>
              <w:right w:val="nil"/>
            </w:tcBorders>
          </w:tcPr>
          <w:p w14:paraId="16C3D7A2"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20</w:t>
            </w:r>
          </w:p>
        </w:tc>
        <w:tc>
          <w:tcPr>
            <w:tcW w:w="620" w:type="dxa"/>
            <w:tcBorders>
              <w:top w:val="single" w:sz="18" w:space="0" w:color="auto"/>
              <w:left w:val="nil"/>
              <w:right w:val="nil"/>
            </w:tcBorders>
          </w:tcPr>
          <w:p w14:paraId="723413AD" w14:textId="77777777" w:rsidR="00E60EFD" w:rsidRPr="00E60EFD" w:rsidRDefault="00E60EFD" w:rsidP="00E60EFD">
            <w:pPr>
              <w:jc w:val="center"/>
              <w:rPr>
                <w:rFonts w:ascii="Times New Roman" w:hAnsi="Times New Roman" w:cs="Times New Roman"/>
                <w:sz w:val="20"/>
                <w:szCs w:val="20"/>
              </w:rPr>
            </w:pPr>
            <w:r w:rsidRPr="00E60EFD">
              <w:rPr>
                <w:rFonts w:ascii="Times New Roman" w:hAnsi="Times New Roman" w:cs="Times New Roman"/>
                <w:sz w:val="20"/>
                <w:szCs w:val="20"/>
              </w:rPr>
              <w:t>21</w:t>
            </w:r>
          </w:p>
        </w:tc>
      </w:tr>
      <w:tr w:rsidR="00E60EFD" w:rsidRPr="00E60EFD" w14:paraId="5BBF9A9B" w14:textId="77777777" w:rsidTr="00E60EFD">
        <w:trPr>
          <w:trHeight w:val="521"/>
        </w:trPr>
        <w:tc>
          <w:tcPr>
            <w:tcW w:w="1257" w:type="dxa"/>
            <w:tcBorders>
              <w:left w:val="nil"/>
              <w:bottom w:val="nil"/>
              <w:right w:val="nil"/>
            </w:tcBorders>
          </w:tcPr>
          <w:p w14:paraId="0817363C"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 Animal drift (N)</w:t>
            </w:r>
          </w:p>
        </w:tc>
        <w:tc>
          <w:tcPr>
            <w:tcW w:w="710" w:type="dxa"/>
            <w:tcBorders>
              <w:left w:val="nil"/>
              <w:bottom w:val="nil"/>
              <w:right w:val="nil"/>
            </w:tcBorders>
          </w:tcPr>
          <w:p w14:paraId="7D8861C7" w14:textId="77777777" w:rsidR="00E60EFD" w:rsidRPr="00E60EFD" w:rsidRDefault="00E60EFD" w:rsidP="00E60EFD">
            <w:pPr>
              <w:jc w:val="center"/>
              <w:rPr>
                <w:rFonts w:ascii="Times New Roman" w:hAnsi="Times New Roman" w:cs="Times New Roman"/>
                <w:sz w:val="16"/>
                <w:szCs w:val="16"/>
              </w:rPr>
            </w:pPr>
          </w:p>
        </w:tc>
        <w:tc>
          <w:tcPr>
            <w:tcW w:w="656" w:type="dxa"/>
            <w:tcBorders>
              <w:left w:val="nil"/>
              <w:bottom w:val="nil"/>
              <w:right w:val="nil"/>
            </w:tcBorders>
          </w:tcPr>
          <w:p w14:paraId="741C0228" w14:textId="77777777" w:rsidR="00E60EFD" w:rsidRPr="00E60EFD" w:rsidRDefault="00E60EFD" w:rsidP="00E60EFD">
            <w:pPr>
              <w:jc w:val="center"/>
              <w:rPr>
                <w:rFonts w:ascii="Times New Roman" w:hAnsi="Times New Roman" w:cs="Times New Roman"/>
                <w:sz w:val="16"/>
                <w:szCs w:val="16"/>
              </w:rPr>
            </w:pPr>
          </w:p>
        </w:tc>
        <w:tc>
          <w:tcPr>
            <w:tcW w:w="656" w:type="dxa"/>
            <w:tcBorders>
              <w:left w:val="nil"/>
              <w:bottom w:val="nil"/>
              <w:right w:val="nil"/>
            </w:tcBorders>
          </w:tcPr>
          <w:p w14:paraId="718BA3E7" w14:textId="77777777" w:rsidR="00E60EFD" w:rsidRPr="00E60EFD" w:rsidRDefault="00E60EFD" w:rsidP="00E60EFD">
            <w:pPr>
              <w:jc w:val="center"/>
              <w:rPr>
                <w:rFonts w:ascii="Times New Roman" w:hAnsi="Times New Roman" w:cs="Times New Roman"/>
                <w:sz w:val="16"/>
                <w:szCs w:val="16"/>
              </w:rPr>
            </w:pPr>
          </w:p>
        </w:tc>
        <w:tc>
          <w:tcPr>
            <w:tcW w:w="695" w:type="dxa"/>
            <w:tcBorders>
              <w:left w:val="nil"/>
              <w:bottom w:val="nil"/>
              <w:right w:val="nil"/>
            </w:tcBorders>
          </w:tcPr>
          <w:p w14:paraId="151BBA00" w14:textId="77777777" w:rsidR="00E60EFD" w:rsidRPr="00E60EFD" w:rsidRDefault="00E60EFD" w:rsidP="00E60EFD">
            <w:pPr>
              <w:jc w:val="center"/>
              <w:rPr>
                <w:rFonts w:ascii="Times New Roman" w:hAnsi="Times New Roman" w:cs="Times New Roman"/>
                <w:sz w:val="16"/>
                <w:szCs w:val="16"/>
              </w:rPr>
            </w:pPr>
          </w:p>
        </w:tc>
        <w:tc>
          <w:tcPr>
            <w:tcW w:w="695" w:type="dxa"/>
            <w:tcBorders>
              <w:left w:val="nil"/>
              <w:bottom w:val="nil"/>
              <w:right w:val="nil"/>
            </w:tcBorders>
          </w:tcPr>
          <w:p w14:paraId="63BB46D3" w14:textId="77777777" w:rsidR="00E60EFD" w:rsidRPr="00E60EFD" w:rsidRDefault="00E60EFD" w:rsidP="00E60EFD">
            <w:pPr>
              <w:jc w:val="center"/>
              <w:rPr>
                <w:rFonts w:ascii="Times New Roman" w:hAnsi="Times New Roman" w:cs="Times New Roman"/>
                <w:sz w:val="16"/>
                <w:szCs w:val="16"/>
              </w:rPr>
            </w:pPr>
          </w:p>
        </w:tc>
        <w:tc>
          <w:tcPr>
            <w:tcW w:w="694" w:type="dxa"/>
            <w:tcBorders>
              <w:left w:val="nil"/>
              <w:bottom w:val="nil"/>
              <w:right w:val="nil"/>
            </w:tcBorders>
          </w:tcPr>
          <w:p w14:paraId="2298E8AB" w14:textId="77777777" w:rsidR="00E60EFD" w:rsidRPr="00E60EFD" w:rsidRDefault="00E60EFD" w:rsidP="00E60EFD">
            <w:pPr>
              <w:jc w:val="center"/>
              <w:rPr>
                <w:rFonts w:ascii="Times New Roman" w:hAnsi="Times New Roman" w:cs="Times New Roman"/>
                <w:sz w:val="16"/>
                <w:szCs w:val="16"/>
              </w:rPr>
            </w:pPr>
          </w:p>
        </w:tc>
        <w:tc>
          <w:tcPr>
            <w:tcW w:w="663" w:type="dxa"/>
            <w:tcBorders>
              <w:left w:val="nil"/>
              <w:bottom w:val="nil"/>
              <w:right w:val="nil"/>
            </w:tcBorders>
          </w:tcPr>
          <w:p w14:paraId="5F229DB1" w14:textId="77777777" w:rsidR="00E60EFD" w:rsidRPr="00E60EFD" w:rsidRDefault="00E60EFD" w:rsidP="00E60EFD">
            <w:pPr>
              <w:jc w:val="center"/>
              <w:rPr>
                <w:rFonts w:ascii="Times New Roman" w:hAnsi="Times New Roman" w:cs="Times New Roman"/>
                <w:sz w:val="16"/>
                <w:szCs w:val="16"/>
              </w:rPr>
            </w:pPr>
          </w:p>
        </w:tc>
        <w:tc>
          <w:tcPr>
            <w:tcW w:w="663" w:type="dxa"/>
            <w:tcBorders>
              <w:left w:val="nil"/>
              <w:bottom w:val="nil"/>
              <w:right w:val="nil"/>
            </w:tcBorders>
          </w:tcPr>
          <w:p w14:paraId="4E088AA2" w14:textId="77777777" w:rsidR="00E60EFD" w:rsidRPr="00E60EFD" w:rsidRDefault="00E60EFD" w:rsidP="00E60EFD">
            <w:pPr>
              <w:jc w:val="center"/>
              <w:rPr>
                <w:rFonts w:ascii="Times New Roman" w:hAnsi="Times New Roman" w:cs="Times New Roman"/>
                <w:sz w:val="16"/>
                <w:szCs w:val="16"/>
              </w:rPr>
            </w:pPr>
          </w:p>
        </w:tc>
        <w:tc>
          <w:tcPr>
            <w:tcW w:w="713" w:type="dxa"/>
            <w:tcBorders>
              <w:left w:val="nil"/>
              <w:bottom w:val="nil"/>
              <w:right w:val="nil"/>
            </w:tcBorders>
          </w:tcPr>
          <w:p w14:paraId="38BB41F1" w14:textId="77777777" w:rsidR="00E60EFD" w:rsidRPr="00E60EFD" w:rsidRDefault="00E60EFD" w:rsidP="00E60EFD">
            <w:pPr>
              <w:jc w:val="center"/>
              <w:rPr>
                <w:rFonts w:ascii="Times New Roman" w:hAnsi="Times New Roman" w:cs="Times New Roman"/>
                <w:sz w:val="16"/>
                <w:szCs w:val="16"/>
              </w:rPr>
            </w:pPr>
          </w:p>
        </w:tc>
        <w:tc>
          <w:tcPr>
            <w:tcW w:w="630" w:type="dxa"/>
            <w:tcBorders>
              <w:left w:val="nil"/>
              <w:bottom w:val="nil"/>
              <w:right w:val="nil"/>
            </w:tcBorders>
          </w:tcPr>
          <w:p w14:paraId="02DD9345" w14:textId="77777777" w:rsidR="00E60EFD" w:rsidRPr="00E60EFD" w:rsidRDefault="00E60EFD" w:rsidP="00E60EFD">
            <w:pPr>
              <w:jc w:val="center"/>
              <w:rPr>
                <w:rFonts w:ascii="Times New Roman" w:hAnsi="Times New Roman" w:cs="Times New Roman"/>
                <w:sz w:val="16"/>
                <w:szCs w:val="16"/>
              </w:rPr>
            </w:pPr>
          </w:p>
        </w:tc>
        <w:tc>
          <w:tcPr>
            <w:tcW w:w="630" w:type="dxa"/>
            <w:tcBorders>
              <w:left w:val="nil"/>
              <w:bottom w:val="nil"/>
              <w:right w:val="nil"/>
            </w:tcBorders>
          </w:tcPr>
          <w:p w14:paraId="096773F2" w14:textId="77777777" w:rsidR="00E60EFD" w:rsidRPr="00E60EFD" w:rsidRDefault="00E60EFD" w:rsidP="00E60EFD">
            <w:pPr>
              <w:jc w:val="center"/>
              <w:rPr>
                <w:rFonts w:ascii="Times New Roman" w:hAnsi="Times New Roman" w:cs="Times New Roman"/>
                <w:sz w:val="16"/>
                <w:szCs w:val="16"/>
              </w:rPr>
            </w:pPr>
          </w:p>
        </w:tc>
        <w:tc>
          <w:tcPr>
            <w:tcW w:w="661" w:type="dxa"/>
            <w:tcBorders>
              <w:left w:val="nil"/>
              <w:bottom w:val="nil"/>
              <w:right w:val="nil"/>
            </w:tcBorders>
          </w:tcPr>
          <w:p w14:paraId="60D7AF08" w14:textId="77777777" w:rsidR="00E60EFD" w:rsidRPr="00E60EFD" w:rsidRDefault="00E60EFD" w:rsidP="00E60EFD">
            <w:pPr>
              <w:jc w:val="center"/>
              <w:rPr>
                <w:rFonts w:ascii="Times New Roman" w:hAnsi="Times New Roman" w:cs="Times New Roman"/>
                <w:sz w:val="16"/>
                <w:szCs w:val="16"/>
              </w:rPr>
            </w:pPr>
          </w:p>
        </w:tc>
        <w:tc>
          <w:tcPr>
            <w:tcW w:w="634" w:type="dxa"/>
            <w:tcBorders>
              <w:left w:val="nil"/>
              <w:bottom w:val="nil"/>
              <w:right w:val="nil"/>
            </w:tcBorders>
          </w:tcPr>
          <w:p w14:paraId="4D62A581" w14:textId="77777777" w:rsidR="00E60EFD" w:rsidRPr="00E60EFD" w:rsidRDefault="00E60EFD" w:rsidP="00E60EFD">
            <w:pPr>
              <w:jc w:val="center"/>
              <w:rPr>
                <w:rFonts w:ascii="Times New Roman" w:hAnsi="Times New Roman" w:cs="Times New Roman"/>
                <w:sz w:val="16"/>
                <w:szCs w:val="16"/>
              </w:rPr>
            </w:pPr>
          </w:p>
        </w:tc>
        <w:tc>
          <w:tcPr>
            <w:tcW w:w="630" w:type="dxa"/>
            <w:tcBorders>
              <w:left w:val="nil"/>
              <w:bottom w:val="nil"/>
              <w:right w:val="nil"/>
            </w:tcBorders>
          </w:tcPr>
          <w:p w14:paraId="5C742E16" w14:textId="77777777" w:rsidR="00E60EFD" w:rsidRPr="00E60EFD" w:rsidRDefault="00E60EFD" w:rsidP="00E60EFD">
            <w:pPr>
              <w:jc w:val="center"/>
              <w:rPr>
                <w:rFonts w:ascii="Times New Roman" w:hAnsi="Times New Roman" w:cs="Times New Roman"/>
                <w:sz w:val="16"/>
                <w:szCs w:val="16"/>
              </w:rPr>
            </w:pPr>
          </w:p>
        </w:tc>
        <w:tc>
          <w:tcPr>
            <w:tcW w:w="630" w:type="dxa"/>
            <w:tcBorders>
              <w:left w:val="nil"/>
              <w:bottom w:val="nil"/>
              <w:right w:val="nil"/>
            </w:tcBorders>
          </w:tcPr>
          <w:p w14:paraId="7018F53B" w14:textId="77777777" w:rsidR="00E60EFD" w:rsidRPr="00E60EFD" w:rsidRDefault="00E60EFD" w:rsidP="00E60EFD">
            <w:pPr>
              <w:jc w:val="center"/>
              <w:rPr>
                <w:rFonts w:ascii="Times New Roman" w:hAnsi="Times New Roman" w:cs="Times New Roman"/>
                <w:sz w:val="16"/>
                <w:szCs w:val="16"/>
              </w:rPr>
            </w:pPr>
          </w:p>
        </w:tc>
        <w:tc>
          <w:tcPr>
            <w:tcW w:w="630" w:type="dxa"/>
            <w:tcBorders>
              <w:left w:val="nil"/>
              <w:bottom w:val="nil"/>
              <w:right w:val="nil"/>
            </w:tcBorders>
          </w:tcPr>
          <w:p w14:paraId="0884C037" w14:textId="77777777" w:rsidR="00E60EFD" w:rsidRPr="00E60EFD" w:rsidRDefault="00E60EFD" w:rsidP="00E60EFD">
            <w:pPr>
              <w:jc w:val="center"/>
              <w:rPr>
                <w:rFonts w:ascii="Times New Roman" w:hAnsi="Times New Roman" w:cs="Times New Roman"/>
                <w:sz w:val="16"/>
                <w:szCs w:val="16"/>
              </w:rPr>
            </w:pPr>
          </w:p>
        </w:tc>
        <w:tc>
          <w:tcPr>
            <w:tcW w:w="647" w:type="dxa"/>
            <w:tcBorders>
              <w:left w:val="nil"/>
              <w:bottom w:val="nil"/>
              <w:right w:val="nil"/>
            </w:tcBorders>
          </w:tcPr>
          <w:p w14:paraId="67CEA11F" w14:textId="77777777" w:rsidR="00E60EFD" w:rsidRPr="00E60EFD" w:rsidRDefault="00E60EFD" w:rsidP="00E60EFD">
            <w:pPr>
              <w:jc w:val="center"/>
              <w:rPr>
                <w:rFonts w:ascii="Times New Roman" w:hAnsi="Times New Roman" w:cs="Times New Roman"/>
                <w:sz w:val="16"/>
                <w:szCs w:val="16"/>
              </w:rPr>
            </w:pPr>
          </w:p>
        </w:tc>
        <w:tc>
          <w:tcPr>
            <w:tcW w:w="710" w:type="dxa"/>
            <w:tcBorders>
              <w:left w:val="nil"/>
              <w:bottom w:val="nil"/>
              <w:right w:val="nil"/>
            </w:tcBorders>
          </w:tcPr>
          <w:p w14:paraId="7D08035E" w14:textId="77777777" w:rsidR="00E60EFD" w:rsidRPr="00E60EFD" w:rsidRDefault="00E60EFD" w:rsidP="00E60EFD">
            <w:pPr>
              <w:jc w:val="center"/>
              <w:rPr>
                <w:rFonts w:ascii="Times New Roman" w:hAnsi="Times New Roman" w:cs="Times New Roman"/>
                <w:sz w:val="16"/>
                <w:szCs w:val="16"/>
              </w:rPr>
            </w:pPr>
          </w:p>
        </w:tc>
        <w:tc>
          <w:tcPr>
            <w:tcW w:w="710" w:type="dxa"/>
            <w:tcBorders>
              <w:left w:val="nil"/>
              <w:bottom w:val="nil"/>
              <w:right w:val="nil"/>
            </w:tcBorders>
          </w:tcPr>
          <w:p w14:paraId="37761693" w14:textId="77777777" w:rsidR="00E60EFD" w:rsidRPr="00E60EFD" w:rsidRDefault="00E60EFD" w:rsidP="00E60EFD">
            <w:pPr>
              <w:jc w:val="center"/>
              <w:rPr>
                <w:rFonts w:ascii="Times New Roman" w:hAnsi="Times New Roman" w:cs="Times New Roman"/>
                <w:sz w:val="16"/>
                <w:szCs w:val="16"/>
              </w:rPr>
            </w:pPr>
          </w:p>
        </w:tc>
        <w:tc>
          <w:tcPr>
            <w:tcW w:w="710" w:type="dxa"/>
            <w:tcBorders>
              <w:left w:val="nil"/>
              <w:bottom w:val="nil"/>
              <w:right w:val="nil"/>
            </w:tcBorders>
          </w:tcPr>
          <w:p w14:paraId="484CCEC2" w14:textId="77777777" w:rsidR="00E60EFD" w:rsidRPr="00E60EFD" w:rsidRDefault="00E60EFD" w:rsidP="00E60EFD">
            <w:pPr>
              <w:jc w:val="center"/>
              <w:rPr>
                <w:rFonts w:ascii="Times New Roman" w:hAnsi="Times New Roman" w:cs="Times New Roman"/>
                <w:sz w:val="16"/>
                <w:szCs w:val="16"/>
              </w:rPr>
            </w:pPr>
          </w:p>
        </w:tc>
        <w:tc>
          <w:tcPr>
            <w:tcW w:w="620" w:type="dxa"/>
            <w:tcBorders>
              <w:left w:val="nil"/>
              <w:bottom w:val="nil"/>
              <w:right w:val="nil"/>
            </w:tcBorders>
          </w:tcPr>
          <w:p w14:paraId="45A4BBA6" w14:textId="77777777" w:rsidR="00E60EFD" w:rsidRPr="00E60EFD" w:rsidRDefault="00E60EFD" w:rsidP="00E60EFD">
            <w:pPr>
              <w:jc w:val="center"/>
              <w:rPr>
                <w:rFonts w:ascii="Times New Roman" w:hAnsi="Times New Roman" w:cs="Times New Roman"/>
                <w:sz w:val="16"/>
                <w:szCs w:val="16"/>
              </w:rPr>
            </w:pPr>
          </w:p>
        </w:tc>
      </w:tr>
      <w:tr w:rsidR="00E60EFD" w:rsidRPr="00E60EFD" w14:paraId="46A70795" w14:textId="77777777" w:rsidTr="00E60EFD">
        <w:trPr>
          <w:trHeight w:val="493"/>
        </w:trPr>
        <w:tc>
          <w:tcPr>
            <w:tcW w:w="1257" w:type="dxa"/>
            <w:tcBorders>
              <w:top w:val="nil"/>
              <w:left w:val="nil"/>
              <w:bottom w:val="nil"/>
              <w:right w:val="nil"/>
            </w:tcBorders>
          </w:tcPr>
          <w:p w14:paraId="609B1B33"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2. Animal threshold (N)</w:t>
            </w:r>
          </w:p>
        </w:tc>
        <w:tc>
          <w:tcPr>
            <w:tcW w:w="710" w:type="dxa"/>
            <w:tcBorders>
              <w:top w:val="nil"/>
              <w:left w:val="nil"/>
              <w:bottom w:val="nil"/>
              <w:right w:val="nil"/>
            </w:tcBorders>
          </w:tcPr>
          <w:p w14:paraId="396F6D23"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-.48***</w:t>
            </w:r>
          </w:p>
        </w:tc>
        <w:tc>
          <w:tcPr>
            <w:tcW w:w="656" w:type="dxa"/>
            <w:tcBorders>
              <w:top w:val="nil"/>
              <w:left w:val="nil"/>
              <w:bottom w:val="nil"/>
              <w:right w:val="nil"/>
            </w:tcBorders>
          </w:tcPr>
          <w:p w14:paraId="02BAA9FD" w14:textId="77777777" w:rsidR="00E60EFD" w:rsidRPr="00E60EFD" w:rsidRDefault="00E60EFD" w:rsidP="00E60EFD">
            <w:pPr>
              <w:jc w:val="center"/>
              <w:rPr>
                <w:rFonts w:ascii="Times New Roman" w:hAnsi="Times New Roman" w:cs="Times New Roman"/>
                <w:sz w:val="16"/>
                <w:szCs w:val="16"/>
              </w:rPr>
            </w:pPr>
          </w:p>
        </w:tc>
        <w:tc>
          <w:tcPr>
            <w:tcW w:w="656" w:type="dxa"/>
            <w:tcBorders>
              <w:top w:val="nil"/>
              <w:left w:val="nil"/>
              <w:bottom w:val="nil"/>
              <w:right w:val="nil"/>
            </w:tcBorders>
          </w:tcPr>
          <w:p w14:paraId="4E181352" w14:textId="77777777" w:rsidR="00E60EFD" w:rsidRPr="00E60EFD" w:rsidRDefault="00E60EFD" w:rsidP="00E60EFD">
            <w:pPr>
              <w:jc w:val="center"/>
              <w:rPr>
                <w:rFonts w:ascii="Times New Roman" w:hAnsi="Times New Roman" w:cs="Times New Roman"/>
                <w:sz w:val="16"/>
                <w:szCs w:val="16"/>
              </w:rPr>
            </w:pPr>
          </w:p>
        </w:tc>
        <w:tc>
          <w:tcPr>
            <w:tcW w:w="695" w:type="dxa"/>
            <w:tcBorders>
              <w:top w:val="nil"/>
              <w:left w:val="nil"/>
              <w:bottom w:val="nil"/>
              <w:right w:val="nil"/>
            </w:tcBorders>
          </w:tcPr>
          <w:p w14:paraId="0CAA046A" w14:textId="77777777" w:rsidR="00E60EFD" w:rsidRPr="00E60EFD" w:rsidRDefault="00E60EFD" w:rsidP="00E60EFD">
            <w:pPr>
              <w:jc w:val="center"/>
              <w:rPr>
                <w:rFonts w:ascii="Times New Roman" w:hAnsi="Times New Roman" w:cs="Times New Roman"/>
                <w:sz w:val="16"/>
                <w:szCs w:val="16"/>
              </w:rPr>
            </w:pPr>
          </w:p>
        </w:tc>
        <w:tc>
          <w:tcPr>
            <w:tcW w:w="695" w:type="dxa"/>
            <w:tcBorders>
              <w:top w:val="nil"/>
              <w:left w:val="nil"/>
              <w:bottom w:val="nil"/>
              <w:right w:val="nil"/>
            </w:tcBorders>
          </w:tcPr>
          <w:p w14:paraId="717815E5" w14:textId="77777777" w:rsidR="00E60EFD" w:rsidRPr="00E60EFD" w:rsidRDefault="00E60EFD" w:rsidP="00E60EFD">
            <w:pPr>
              <w:jc w:val="center"/>
              <w:rPr>
                <w:rFonts w:ascii="Times New Roman" w:hAnsi="Times New Roman" w:cs="Times New Roman"/>
                <w:sz w:val="16"/>
                <w:szCs w:val="16"/>
              </w:rPr>
            </w:pPr>
          </w:p>
        </w:tc>
        <w:tc>
          <w:tcPr>
            <w:tcW w:w="694" w:type="dxa"/>
            <w:tcBorders>
              <w:top w:val="nil"/>
              <w:left w:val="nil"/>
              <w:bottom w:val="nil"/>
              <w:right w:val="nil"/>
            </w:tcBorders>
          </w:tcPr>
          <w:p w14:paraId="26ECE5A8"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6933346C"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6C6EFDA1"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790506F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0EA21B4"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11BD1BA"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6349B684"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1DEBE004"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CFDA8CE"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A41DF3F"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C1E49D4"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710330F7"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27A639A"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C4BC5C3"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11EEBA3C"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0E6B54F6" w14:textId="77777777" w:rsidR="00E60EFD" w:rsidRPr="00E60EFD" w:rsidRDefault="00E60EFD" w:rsidP="00E60EFD">
            <w:pPr>
              <w:jc w:val="center"/>
              <w:rPr>
                <w:rFonts w:ascii="Times New Roman" w:hAnsi="Times New Roman" w:cs="Times New Roman"/>
                <w:sz w:val="16"/>
                <w:szCs w:val="16"/>
              </w:rPr>
            </w:pPr>
          </w:p>
        </w:tc>
      </w:tr>
      <w:tr w:rsidR="00E60EFD" w:rsidRPr="00E60EFD" w14:paraId="65D84A36" w14:textId="77777777" w:rsidTr="00E60EFD">
        <w:trPr>
          <w:trHeight w:val="542"/>
        </w:trPr>
        <w:tc>
          <w:tcPr>
            <w:tcW w:w="1257" w:type="dxa"/>
            <w:tcBorders>
              <w:top w:val="nil"/>
              <w:left w:val="nil"/>
              <w:bottom w:val="nil"/>
              <w:right w:val="nil"/>
            </w:tcBorders>
          </w:tcPr>
          <w:p w14:paraId="10DAAB09"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3. Tobacco drift (N)</w:t>
            </w:r>
          </w:p>
        </w:tc>
        <w:tc>
          <w:tcPr>
            <w:tcW w:w="710" w:type="dxa"/>
            <w:tcBorders>
              <w:top w:val="nil"/>
              <w:left w:val="nil"/>
              <w:bottom w:val="nil"/>
              <w:right w:val="nil"/>
            </w:tcBorders>
          </w:tcPr>
          <w:p w14:paraId="2FE02BD2"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.44**</w:t>
            </w:r>
          </w:p>
        </w:tc>
        <w:tc>
          <w:tcPr>
            <w:tcW w:w="656" w:type="dxa"/>
            <w:tcBorders>
              <w:top w:val="nil"/>
              <w:left w:val="nil"/>
              <w:bottom w:val="nil"/>
              <w:right w:val="nil"/>
            </w:tcBorders>
          </w:tcPr>
          <w:p w14:paraId="45FDEFE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56" w:type="dxa"/>
            <w:tcBorders>
              <w:top w:val="nil"/>
              <w:left w:val="nil"/>
              <w:bottom w:val="nil"/>
              <w:right w:val="nil"/>
            </w:tcBorders>
          </w:tcPr>
          <w:p w14:paraId="39EA52BB" w14:textId="77777777" w:rsidR="00E60EFD" w:rsidRPr="00E60EFD" w:rsidRDefault="00E60EFD" w:rsidP="00E60EFD">
            <w:pPr>
              <w:jc w:val="center"/>
              <w:rPr>
                <w:rFonts w:ascii="Times New Roman" w:hAnsi="Times New Roman" w:cs="Times New Roman"/>
                <w:sz w:val="16"/>
                <w:szCs w:val="16"/>
              </w:rPr>
            </w:pPr>
          </w:p>
        </w:tc>
        <w:tc>
          <w:tcPr>
            <w:tcW w:w="695" w:type="dxa"/>
            <w:tcBorders>
              <w:top w:val="nil"/>
              <w:left w:val="nil"/>
              <w:bottom w:val="nil"/>
              <w:right w:val="nil"/>
            </w:tcBorders>
          </w:tcPr>
          <w:p w14:paraId="6D749E88" w14:textId="77777777" w:rsidR="00E60EFD" w:rsidRPr="00E60EFD" w:rsidRDefault="00E60EFD" w:rsidP="00E60EFD">
            <w:pPr>
              <w:jc w:val="center"/>
              <w:rPr>
                <w:rFonts w:ascii="Times New Roman" w:hAnsi="Times New Roman" w:cs="Times New Roman"/>
                <w:sz w:val="16"/>
                <w:szCs w:val="16"/>
              </w:rPr>
            </w:pPr>
          </w:p>
        </w:tc>
        <w:tc>
          <w:tcPr>
            <w:tcW w:w="695" w:type="dxa"/>
            <w:tcBorders>
              <w:top w:val="nil"/>
              <w:left w:val="nil"/>
              <w:bottom w:val="nil"/>
              <w:right w:val="nil"/>
            </w:tcBorders>
          </w:tcPr>
          <w:p w14:paraId="2DF2B600" w14:textId="77777777" w:rsidR="00E60EFD" w:rsidRPr="00E60EFD" w:rsidRDefault="00E60EFD" w:rsidP="00E60EFD">
            <w:pPr>
              <w:jc w:val="center"/>
              <w:rPr>
                <w:rFonts w:ascii="Times New Roman" w:hAnsi="Times New Roman" w:cs="Times New Roman"/>
                <w:sz w:val="16"/>
                <w:szCs w:val="16"/>
              </w:rPr>
            </w:pPr>
          </w:p>
        </w:tc>
        <w:tc>
          <w:tcPr>
            <w:tcW w:w="694" w:type="dxa"/>
            <w:tcBorders>
              <w:top w:val="nil"/>
              <w:left w:val="nil"/>
              <w:bottom w:val="nil"/>
              <w:right w:val="nil"/>
            </w:tcBorders>
          </w:tcPr>
          <w:p w14:paraId="533CFBBC"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65923E0D"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366361FF"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1DB35558"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03DDE56B"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2B6E22E"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6D0FF445"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181AFB1F"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E209812"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376D324"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08ED56F"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229ED67F"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2979171"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BB36495"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C267B60"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2B57E426" w14:textId="77777777" w:rsidR="00E60EFD" w:rsidRPr="00E60EFD" w:rsidRDefault="00E60EFD" w:rsidP="00E60EFD">
            <w:pPr>
              <w:jc w:val="center"/>
              <w:rPr>
                <w:rFonts w:ascii="Times New Roman" w:hAnsi="Times New Roman" w:cs="Times New Roman"/>
                <w:sz w:val="16"/>
                <w:szCs w:val="16"/>
              </w:rPr>
            </w:pPr>
          </w:p>
        </w:tc>
      </w:tr>
      <w:tr w:rsidR="00E60EFD" w:rsidRPr="00E60EFD" w14:paraId="768FAD5C" w14:textId="77777777" w:rsidTr="00E60EFD">
        <w:trPr>
          <w:trHeight w:val="578"/>
        </w:trPr>
        <w:tc>
          <w:tcPr>
            <w:tcW w:w="1257" w:type="dxa"/>
            <w:tcBorders>
              <w:top w:val="nil"/>
              <w:left w:val="nil"/>
              <w:bottom w:val="nil"/>
              <w:right w:val="nil"/>
            </w:tcBorders>
          </w:tcPr>
          <w:p w14:paraId="35A3F39A"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4. Tobacco threshold (N)</w:t>
            </w:r>
          </w:p>
        </w:tc>
        <w:tc>
          <w:tcPr>
            <w:tcW w:w="710" w:type="dxa"/>
            <w:tcBorders>
              <w:top w:val="nil"/>
              <w:left w:val="nil"/>
              <w:bottom w:val="nil"/>
              <w:right w:val="nil"/>
            </w:tcBorders>
          </w:tcPr>
          <w:p w14:paraId="6DC529B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-.21</w:t>
            </w:r>
          </w:p>
        </w:tc>
        <w:tc>
          <w:tcPr>
            <w:tcW w:w="656" w:type="dxa"/>
            <w:tcBorders>
              <w:top w:val="nil"/>
              <w:left w:val="nil"/>
              <w:bottom w:val="nil"/>
              <w:right w:val="nil"/>
            </w:tcBorders>
          </w:tcPr>
          <w:p w14:paraId="3FDD67D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w:t>
            </w:r>
            <w:r w:rsidRPr="00E60EFD">
              <w:rPr>
                <w:rFonts w:ascii="Times New Roman" w:hAnsi="Times New Roman" w:cs="Times New Roman"/>
                <w:b/>
                <w:bCs/>
                <w:sz w:val="16"/>
                <w:szCs w:val="16"/>
              </w:rPr>
              <w:t>53***</w:t>
            </w:r>
          </w:p>
        </w:tc>
        <w:tc>
          <w:tcPr>
            <w:tcW w:w="656" w:type="dxa"/>
            <w:tcBorders>
              <w:top w:val="nil"/>
              <w:left w:val="nil"/>
              <w:bottom w:val="nil"/>
              <w:right w:val="nil"/>
            </w:tcBorders>
          </w:tcPr>
          <w:p w14:paraId="2BE52C0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-.25</w:t>
            </w:r>
          </w:p>
        </w:tc>
        <w:tc>
          <w:tcPr>
            <w:tcW w:w="695" w:type="dxa"/>
            <w:tcBorders>
              <w:top w:val="nil"/>
              <w:left w:val="nil"/>
              <w:bottom w:val="nil"/>
              <w:right w:val="nil"/>
            </w:tcBorders>
          </w:tcPr>
          <w:p w14:paraId="11D6AD43" w14:textId="77777777" w:rsidR="00E60EFD" w:rsidRPr="00E60EFD" w:rsidRDefault="00E60EFD" w:rsidP="00E60EFD">
            <w:pPr>
              <w:jc w:val="center"/>
              <w:rPr>
                <w:rFonts w:ascii="Times New Roman" w:hAnsi="Times New Roman" w:cs="Times New Roman"/>
                <w:sz w:val="16"/>
                <w:szCs w:val="16"/>
              </w:rPr>
            </w:pPr>
          </w:p>
        </w:tc>
        <w:tc>
          <w:tcPr>
            <w:tcW w:w="695" w:type="dxa"/>
            <w:tcBorders>
              <w:top w:val="nil"/>
              <w:left w:val="nil"/>
              <w:bottom w:val="nil"/>
              <w:right w:val="nil"/>
            </w:tcBorders>
          </w:tcPr>
          <w:p w14:paraId="73C196F6" w14:textId="77777777" w:rsidR="00E60EFD" w:rsidRPr="00E60EFD" w:rsidRDefault="00E60EFD" w:rsidP="00E60EFD">
            <w:pPr>
              <w:jc w:val="center"/>
              <w:rPr>
                <w:rFonts w:ascii="Times New Roman" w:hAnsi="Times New Roman" w:cs="Times New Roman"/>
                <w:sz w:val="16"/>
                <w:szCs w:val="16"/>
              </w:rPr>
            </w:pPr>
          </w:p>
        </w:tc>
        <w:tc>
          <w:tcPr>
            <w:tcW w:w="694" w:type="dxa"/>
            <w:tcBorders>
              <w:top w:val="nil"/>
              <w:left w:val="nil"/>
              <w:bottom w:val="nil"/>
              <w:right w:val="nil"/>
            </w:tcBorders>
          </w:tcPr>
          <w:p w14:paraId="64C96156"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1CA817C1"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77A41616"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6CF03510"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6309661"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105F2EA"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7C44AF28"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72007B8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790D154"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9BB35CB"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0E0B8205"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6A87A20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7060BB50"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9FEF029"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45037B9"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2476A474" w14:textId="77777777" w:rsidR="00E60EFD" w:rsidRPr="00E60EFD" w:rsidRDefault="00E60EFD" w:rsidP="00E60EFD">
            <w:pPr>
              <w:jc w:val="center"/>
              <w:rPr>
                <w:rFonts w:ascii="Times New Roman" w:hAnsi="Times New Roman" w:cs="Times New Roman"/>
                <w:sz w:val="16"/>
                <w:szCs w:val="16"/>
              </w:rPr>
            </w:pPr>
          </w:p>
        </w:tc>
      </w:tr>
      <w:tr w:rsidR="00E60EFD" w:rsidRPr="00E60EFD" w14:paraId="56891F7D" w14:textId="77777777" w:rsidTr="00E60EFD">
        <w:trPr>
          <w:trHeight w:val="542"/>
        </w:trPr>
        <w:tc>
          <w:tcPr>
            <w:tcW w:w="1257" w:type="dxa"/>
            <w:tcBorders>
              <w:top w:val="nil"/>
              <w:left w:val="nil"/>
              <w:bottom w:val="nil"/>
              <w:right w:val="nil"/>
            </w:tcBorders>
          </w:tcPr>
          <w:p w14:paraId="00FA9D9C"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5. Animal drift (P)</w:t>
            </w:r>
          </w:p>
        </w:tc>
        <w:tc>
          <w:tcPr>
            <w:tcW w:w="710" w:type="dxa"/>
            <w:tcBorders>
              <w:top w:val="nil"/>
              <w:left w:val="nil"/>
              <w:bottom w:val="nil"/>
              <w:right w:val="nil"/>
            </w:tcBorders>
          </w:tcPr>
          <w:p w14:paraId="297D0E7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.26</w:t>
            </w:r>
          </w:p>
        </w:tc>
        <w:tc>
          <w:tcPr>
            <w:tcW w:w="656" w:type="dxa"/>
            <w:tcBorders>
              <w:top w:val="nil"/>
              <w:left w:val="nil"/>
              <w:bottom w:val="nil"/>
              <w:right w:val="nil"/>
            </w:tcBorders>
          </w:tcPr>
          <w:p w14:paraId="3DA0A5D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56" w:type="dxa"/>
            <w:tcBorders>
              <w:top w:val="nil"/>
              <w:left w:val="nil"/>
              <w:bottom w:val="nil"/>
              <w:right w:val="nil"/>
            </w:tcBorders>
          </w:tcPr>
          <w:p w14:paraId="570676A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.15</w:t>
            </w:r>
          </w:p>
        </w:tc>
        <w:tc>
          <w:tcPr>
            <w:tcW w:w="695" w:type="dxa"/>
            <w:tcBorders>
              <w:top w:val="nil"/>
              <w:left w:val="nil"/>
              <w:bottom w:val="nil"/>
              <w:right w:val="nil"/>
            </w:tcBorders>
          </w:tcPr>
          <w:p w14:paraId="2E0251C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95" w:type="dxa"/>
            <w:tcBorders>
              <w:top w:val="nil"/>
              <w:left w:val="nil"/>
              <w:bottom w:val="nil"/>
              <w:right w:val="nil"/>
            </w:tcBorders>
          </w:tcPr>
          <w:p w14:paraId="2A086E8D" w14:textId="77777777" w:rsidR="00E60EFD" w:rsidRPr="00E60EFD" w:rsidRDefault="00E60EFD" w:rsidP="00E60EFD">
            <w:pPr>
              <w:jc w:val="center"/>
              <w:rPr>
                <w:rFonts w:ascii="Times New Roman" w:hAnsi="Times New Roman" w:cs="Times New Roman"/>
                <w:sz w:val="16"/>
                <w:szCs w:val="16"/>
              </w:rPr>
            </w:pPr>
          </w:p>
        </w:tc>
        <w:tc>
          <w:tcPr>
            <w:tcW w:w="694" w:type="dxa"/>
            <w:tcBorders>
              <w:top w:val="nil"/>
              <w:left w:val="nil"/>
              <w:bottom w:val="nil"/>
              <w:right w:val="nil"/>
            </w:tcBorders>
          </w:tcPr>
          <w:p w14:paraId="2085EB98"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4CABEDED"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7AD3706A"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1C8C921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7CE22E6"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A1DAC85"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7F70316B"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0E24E48A"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8602F9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D0F7DB0"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655B91B"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11AB176E"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BAE8989"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1DF3DEA"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0C56F847"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7F7F6D18" w14:textId="77777777" w:rsidR="00E60EFD" w:rsidRPr="00E60EFD" w:rsidRDefault="00E60EFD" w:rsidP="00E60EFD">
            <w:pPr>
              <w:jc w:val="center"/>
              <w:rPr>
                <w:rFonts w:ascii="Times New Roman" w:hAnsi="Times New Roman" w:cs="Times New Roman"/>
                <w:sz w:val="16"/>
                <w:szCs w:val="16"/>
              </w:rPr>
            </w:pPr>
          </w:p>
        </w:tc>
      </w:tr>
      <w:tr w:rsidR="00E60EFD" w:rsidRPr="00E60EFD" w14:paraId="49116D5C" w14:textId="77777777" w:rsidTr="00E60EFD">
        <w:trPr>
          <w:trHeight w:val="566"/>
        </w:trPr>
        <w:tc>
          <w:tcPr>
            <w:tcW w:w="1257" w:type="dxa"/>
            <w:tcBorders>
              <w:top w:val="nil"/>
              <w:left w:val="nil"/>
              <w:bottom w:val="nil"/>
              <w:right w:val="nil"/>
            </w:tcBorders>
          </w:tcPr>
          <w:p w14:paraId="6589DC4B"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6. Animal threshold (P)</w:t>
            </w:r>
          </w:p>
        </w:tc>
        <w:tc>
          <w:tcPr>
            <w:tcW w:w="710" w:type="dxa"/>
            <w:tcBorders>
              <w:top w:val="nil"/>
              <w:left w:val="nil"/>
              <w:bottom w:val="nil"/>
              <w:right w:val="nil"/>
            </w:tcBorders>
          </w:tcPr>
          <w:p w14:paraId="74D519E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56" w:type="dxa"/>
            <w:tcBorders>
              <w:top w:val="nil"/>
              <w:left w:val="nil"/>
              <w:bottom w:val="nil"/>
              <w:right w:val="nil"/>
            </w:tcBorders>
          </w:tcPr>
          <w:p w14:paraId="2E50ED39"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.59***</w:t>
            </w:r>
          </w:p>
        </w:tc>
        <w:tc>
          <w:tcPr>
            <w:tcW w:w="656" w:type="dxa"/>
            <w:tcBorders>
              <w:top w:val="nil"/>
              <w:left w:val="nil"/>
              <w:bottom w:val="nil"/>
              <w:right w:val="nil"/>
            </w:tcBorders>
          </w:tcPr>
          <w:p w14:paraId="71A95FD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95" w:type="dxa"/>
            <w:tcBorders>
              <w:top w:val="nil"/>
              <w:left w:val="nil"/>
              <w:bottom w:val="nil"/>
              <w:right w:val="nil"/>
            </w:tcBorders>
          </w:tcPr>
          <w:p w14:paraId="09CFE8BF"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.53***</w:t>
            </w:r>
          </w:p>
        </w:tc>
        <w:tc>
          <w:tcPr>
            <w:tcW w:w="695" w:type="dxa"/>
            <w:tcBorders>
              <w:top w:val="nil"/>
              <w:left w:val="nil"/>
              <w:bottom w:val="nil"/>
              <w:right w:val="nil"/>
            </w:tcBorders>
          </w:tcPr>
          <w:p w14:paraId="0820AF3F"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-.37**</w:t>
            </w:r>
          </w:p>
        </w:tc>
        <w:tc>
          <w:tcPr>
            <w:tcW w:w="694" w:type="dxa"/>
            <w:tcBorders>
              <w:top w:val="nil"/>
              <w:left w:val="nil"/>
              <w:bottom w:val="nil"/>
              <w:right w:val="nil"/>
            </w:tcBorders>
          </w:tcPr>
          <w:p w14:paraId="68EFBEC7"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5076CFA7"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79092111"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6E467C7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122B63B"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BB5C1C9"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16D81962"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7B528483"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7B29379"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08D0426E"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89135A7"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35C40A48"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CCB31F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A499BD6"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4EC5448"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096A2B72" w14:textId="77777777" w:rsidR="00E60EFD" w:rsidRPr="00E60EFD" w:rsidRDefault="00E60EFD" w:rsidP="00E60EFD">
            <w:pPr>
              <w:jc w:val="center"/>
              <w:rPr>
                <w:rFonts w:ascii="Times New Roman" w:hAnsi="Times New Roman" w:cs="Times New Roman"/>
                <w:sz w:val="16"/>
                <w:szCs w:val="16"/>
              </w:rPr>
            </w:pPr>
          </w:p>
        </w:tc>
      </w:tr>
      <w:tr w:rsidR="00E60EFD" w:rsidRPr="00E60EFD" w14:paraId="5BB5412B" w14:textId="77777777" w:rsidTr="00E60EFD">
        <w:trPr>
          <w:trHeight w:val="546"/>
        </w:trPr>
        <w:tc>
          <w:tcPr>
            <w:tcW w:w="1257" w:type="dxa"/>
            <w:tcBorders>
              <w:top w:val="nil"/>
              <w:left w:val="nil"/>
              <w:bottom w:val="nil"/>
              <w:right w:val="nil"/>
            </w:tcBorders>
          </w:tcPr>
          <w:p w14:paraId="3C9D3E0F"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7. Tobacco drift (P)</w:t>
            </w:r>
          </w:p>
        </w:tc>
        <w:tc>
          <w:tcPr>
            <w:tcW w:w="710" w:type="dxa"/>
            <w:tcBorders>
              <w:top w:val="nil"/>
              <w:left w:val="nil"/>
              <w:bottom w:val="nil"/>
              <w:right w:val="nil"/>
            </w:tcBorders>
          </w:tcPr>
          <w:p w14:paraId="7762A4E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56" w:type="dxa"/>
            <w:tcBorders>
              <w:top w:val="nil"/>
              <w:left w:val="nil"/>
              <w:bottom w:val="nil"/>
              <w:right w:val="nil"/>
            </w:tcBorders>
          </w:tcPr>
          <w:p w14:paraId="1E5D41D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56" w:type="dxa"/>
            <w:tcBorders>
              <w:top w:val="nil"/>
              <w:left w:val="nil"/>
              <w:bottom w:val="nil"/>
              <w:right w:val="nil"/>
            </w:tcBorders>
          </w:tcPr>
          <w:p w14:paraId="7AB445D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b/>
                <w:bCs/>
                <w:sz w:val="16"/>
                <w:szCs w:val="16"/>
              </w:rPr>
              <w:t>.41**</w:t>
            </w:r>
          </w:p>
        </w:tc>
        <w:tc>
          <w:tcPr>
            <w:tcW w:w="695" w:type="dxa"/>
            <w:tcBorders>
              <w:top w:val="nil"/>
              <w:left w:val="nil"/>
              <w:bottom w:val="nil"/>
              <w:right w:val="nil"/>
            </w:tcBorders>
          </w:tcPr>
          <w:p w14:paraId="70E8871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95" w:type="dxa"/>
            <w:tcBorders>
              <w:top w:val="nil"/>
              <w:left w:val="nil"/>
              <w:bottom w:val="nil"/>
              <w:right w:val="nil"/>
            </w:tcBorders>
          </w:tcPr>
          <w:p w14:paraId="2394A2AE"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.50***</w:t>
            </w:r>
          </w:p>
        </w:tc>
        <w:tc>
          <w:tcPr>
            <w:tcW w:w="694" w:type="dxa"/>
            <w:tcBorders>
              <w:top w:val="nil"/>
              <w:left w:val="nil"/>
              <w:bottom w:val="nil"/>
              <w:right w:val="nil"/>
            </w:tcBorders>
          </w:tcPr>
          <w:p w14:paraId="1831AEC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-.22</w:t>
            </w:r>
          </w:p>
        </w:tc>
        <w:tc>
          <w:tcPr>
            <w:tcW w:w="663" w:type="dxa"/>
            <w:tcBorders>
              <w:top w:val="nil"/>
              <w:left w:val="nil"/>
              <w:bottom w:val="nil"/>
              <w:right w:val="nil"/>
            </w:tcBorders>
          </w:tcPr>
          <w:p w14:paraId="450AB94C" w14:textId="77777777" w:rsidR="00E60EFD" w:rsidRPr="00E60EFD" w:rsidRDefault="00E60EFD" w:rsidP="00E60EFD">
            <w:pPr>
              <w:jc w:val="center"/>
              <w:rPr>
                <w:rFonts w:ascii="Times New Roman" w:hAnsi="Times New Roman" w:cs="Times New Roman"/>
                <w:sz w:val="16"/>
                <w:szCs w:val="16"/>
              </w:rPr>
            </w:pPr>
          </w:p>
        </w:tc>
        <w:tc>
          <w:tcPr>
            <w:tcW w:w="663" w:type="dxa"/>
            <w:tcBorders>
              <w:top w:val="nil"/>
              <w:left w:val="nil"/>
              <w:bottom w:val="nil"/>
              <w:right w:val="nil"/>
            </w:tcBorders>
          </w:tcPr>
          <w:p w14:paraId="47736A82"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31C9C529"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49D77C2"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8081A5A"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79E7D678"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4E1BA963"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63E151B"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66BC73F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66BAA02D"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209FD470"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EA58A5B"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1FB98B58"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C2370FB"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66B227FF" w14:textId="77777777" w:rsidR="00E60EFD" w:rsidRPr="00E60EFD" w:rsidRDefault="00E60EFD" w:rsidP="00E60EFD">
            <w:pPr>
              <w:jc w:val="center"/>
              <w:rPr>
                <w:rFonts w:ascii="Times New Roman" w:hAnsi="Times New Roman" w:cs="Times New Roman"/>
                <w:sz w:val="16"/>
                <w:szCs w:val="16"/>
              </w:rPr>
            </w:pPr>
          </w:p>
        </w:tc>
      </w:tr>
      <w:tr w:rsidR="00E60EFD" w:rsidRPr="00E60EFD" w14:paraId="46A9EFD1" w14:textId="77777777" w:rsidTr="00E60EFD">
        <w:trPr>
          <w:trHeight w:val="568"/>
        </w:trPr>
        <w:tc>
          <w:tcPr>
            <w:tcW w:w="1257" w:type="dxa"/>
            <w:tcBorders>
              <w:top w:val="nil"/>
              <w:left w:val="nil"/>
              <w:bottom w:val="nil"/>
              <w:right w:val="nil"/>
            </w:tcBorders>
          </w:tcPr>
          <w:p w14:paraId="5391FF2A"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8. Tobacco threshold (P)</w:t>
            </w:r>
          </w:p>
        </w:tc>
        <w:tc>
          <w:tcPr>
            <w:tcW w:w="710" w:type="dxa"/>
            <w:tcBorders>
              <w:top w:val="nil"/>
              <w:left w:val="nil"/>
              <w:bottom w:val="nil"/>
              <w:right w:val="nil"/>
            </w:tcBorders>
          </w:tcPr>
          <w:p w14:paraId="22F6C15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-.20</w:t>
            </w:r>
          </w:p>
        </w:tc>
        <w:tc>
          <w:tcPr>
            <w:tcW w:w="656" w:type="dxa"/>
            <w:tcBorders>
              <w:top w:val="nil"/>
              <w:left w:val="nil"/>
              <w:bottom w:val="nil"/>
              <w:right w:val="nil"/>
            </w:tcBorders>
          </w:tcPr>
          <w:p w14:paraId="6F648464"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.64***</w:t>
            </w:r>
          </w:p>
        </w:tc>
        <w:tc>
          <w:tcPr>
            <w:tcW w:w="656" w:type="dxa"/>
            <w:tcBorders>
              <w:top w:val="nil"/>
              <w:left w:val="nil"/>
              <w:bottom w:val="nil"/>
              <w:right w:val="nil"/>
            </w:tcBorders>
          </w:tcPr>
          <w:p w14:paraId="7E37E35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95" w:type="dxa"/>
            <w:tcBorders>
              <w:top w:val="nil"/>
              <w:left w:val="nil"/>
              <w:bottom w:val="nil"/>
              <w:right w:val="nil"/>
            </w:tcBorders>
          </w:tcPr>
          <w:p w14:paraId="411979EA"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.55***</w:t>
            </w:r>
          </w:p>
        </w:tc>
        <w:tc>
          <w:tcPr>
            <w:tcW w:w="695" w:type="dxa"/>
            <w:tcBorders>
              <w:top w:val="nil"/>
              <w:left w:val="nil"/>
              <w:bottom w:val="nil"/>
              <w:right w:val="nil"/>
            </w:tcBorders>
          </w:tcPr>
          <w:p w14:paraId="0966E2D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94" w:type="dxa"/>
            <w:tcBorders>
              <w:top w:val="nil"/>
              <w:left w:val="nil"/>
              <w:bottom w:val="nil"/>
              <w:right w:val="nil"/>
            </w:tcBorders>
          </w:tcPr>
          <w:p w14:paraId="4B195455"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.61***</w:t>
            </w:r>
          </w:p>
        </w:tc>
        <w:tc>
          <w:tcPr>
            <w:tcW w:w="663" w:type="dxa"/>
            <w:tcBorders>
              <w:top w:val="nil"/>
              <w:left w:val="nil"/>
              <w:bottom w:val="nil"/>
              <w:right w:val="nil"/>
            </w:tcBorders>
          </w:tcPr>
          <w:p w14:paraId="25C50EE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63" w:type="dxa"/>
            <w:tcBorders>
              <w:top w:val="nil"/>
              <w:left w:val="nil"/>
              <w:bottom w:val="nil"/>
              <w:right w:val="nil"/>
            </w:tcBorders>
          </w:tcPr>
          <w:p w14:paraId="13D8AAF4" w14:textId="77777777" w:rsidR="00E60EFD" w:rsidRPr="00E60EFD" w:rsidRDefault="00E60EFD" w:rsidP="00E60EFD">
            <w:pPr>
              <w:jc w:val="center"/>
              <w:rPr>
                <w:rFonts w:ascii="Times New Roman" w:hAnsi="Times New Roman" w:cs="Times New Roman"/>
                <w:sz w:val="16"/>
                <w:szCs w:val="16"/>
              </w:rPr>
            </w:pPr>
          </w:p>
        </w:tc>
        <w:tc>
          <w:tcPr>
            <w:tcW w:w="713" w:type="dxa"/>
            <w:tcBorders>
              <w:top w:val="nil"/>
              <w:left w:val="nil"/>
              <w:bottom w:val="nil"/>
              <w:right w:val="nil"/>
            </w:tcBorders>
          </w:tcPr>
          <w:p w14:paraId="7A23049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C750129"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FBA3AC4"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466D45DF"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691E5F97"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D460D0E"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36FACD4"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E45F338"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1C9079A5"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D9781A9"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8561E9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AE14E5E"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4088441D" w14:textId="77777777" w:rsidR="00E60EFD" w:rsidRPr="00E60EFD" w:rsidRDefault="00E60EFD" w:rsidP="00E60EFD">
            <w:pPr>
              <w:jc w:val="center"/>
              <w:rPr>
                <w:rFonts w:ascii="Times New Roman" w:hAnsi="Times New Roman" w:cs="Times New Roman"/>
                <w:sz w:val="16"/>
                <w:szCs w:val="16"/>
              </w:rPr>
            </w:pPr>
          </w:p>
        </w:tc>
      </w:tr>
      <w:tr w:rsidR="00E60EFD" w:rsidRPr="00E60EFD" w14:paraId="26A531DD" w14:textId="77777777" w:rsidTr="00E60EFD">
        <w:trPr>
          <w:trHeight w:val="391"/>
        </w:trPr>
        <w:tc>
          <w:tcPr>
            <w:tcW w:w="1257" w:type="dxa"/>
            <w:tcBorders>
              <w:top w:val="nil"/>
              <w:left w:val="nil"/>
              <w:bottom w:val="nil"/>
              <w:right w:val="nil"/>
            </w:tcBorders>
          </w:tcPr>
          <w:p w14:paraId="0061F242"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9. Age</w:t>
            </w:r>
          </w:p>
        </w:tc>
        <w:tc>
          <w:tcPr>
            <w:tcW w:w="710" w:type="dxa"/>
            <w:tcBorders>
              <w:top w:val="nil"/>
              <w:left w:val="nil"/>
              <w:bottom w:val="nil"/>
              <w:right w:val="nil"/>
            </w:tcBorders>
          </w:tcPr>
          <w:p w14:paraId="48976C79"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.33*</w:t>
            </w:r>
          </w:p>
        </w:tc>
        <w:tc>
          <w:tcPr>
            <w:tcW w:w="656" w:type="dxa"/>
            <w:tcBorders>
              <w:top w:val="nil"/>
              <w:left w:val="nil"/>
              <w:bottom w:val="nil"/>
              <w:right w:val="nil"/>
            </w:tcBorders>
          </w:tcPr>
          <w:p w14:paraId="7429350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56" w:type="dxa"/>
            <w:tcBorders>
              <w:top w:val="nil"/>
              <w:left w:val="nil"/>
              <w:bottom w:val="nil"/>
              <w:right w:val="nil"/>
            </w:tcBorders>
          </w:tcPr>
          <w:p w14:paraId="6BE411F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95" w:type="dxa"/>
            <w:tcBorders>
              <w:top w:val="nil"/>
              <w:left w:val="nil"/>
              <w:bottom w:val="nil"/>
              <w:right w:val="nil"/>
            </w:tcBorders>
          </w:tcPr>
          <w:p w14:paraId="2791915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95" w:type="dxa"/>
            <w:tcBorders>
              <w:top w:val="nil"/>
              <w:left w:val="nil"/>
              <w:bottom w:val="nil"/>
              <w:right w:val="nil"/>
            </w:tcBorders>
          </w:tcPr>
          <w:p w14:paraId="1681660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94" w:type="dxa"/>
            <w:tcBorders>
              <w:top w:val="nil"/>
              <w:left w:val="nil"/>
              <w:bottom w:val="nil"/>
              <w:right w:val="nil"/>
            </w:tcBorders>
          </w:tcPr>
          <w:p w14:paraId="7D34404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63" w:type="dxa"/>
            <w:tcBorders>
              <w:top w:val="nil"/>
              <w:left w:val="nil"/>
              <w:bottom w:val="nil"/>
              <w:right w:val="nil"/>
            </w:tcBorders>
          </w:tcPr>
          <w:p w14:paraId="5893024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63" w:type="dxa"/>
            <w:tcBorders>
              <w:top w:val="nil"/>
              <w:left w:val="nil"/>
              <w:bottom w:val="nil"/>
              <w:right w:val="nil"/>
            </w:tcBorders>
          </w:tcPr>
          <w:p w14:paraId="1ACACB2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713" w:type="dxa"/>
            <w:tcBorders>
              <w:top w:val="nil"/>
              <w:left w:val="nil"/>
              <w:bottom w:val="nil"/>
              <w:right w:val="nil"/>
            </w:tcBorders>
          </w:tcPr>
          <w:p w14:paraId="70DFCEC9"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50CE363"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6A7C3C3B"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3B1F9985"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46516758"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BF6879E"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BBD7A68"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F0DE8F5"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43AEDE8A"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69C1E50"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E43B628"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16B0073B"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7A122F15" w14:textId="77777777" w:rsidR="00E60EFD" w:rsidRPr="00E60EFD" w:rsidRDefault="00E60EFD" w:rsidP="00E60EFD">
            <w:pPr>
              <w:jc w:val="center"/>
              <w:rPr>
                <w:rFonts w:ascii="Times New Roman" w:hAnsi="Times New Roman" w:cs="Times New Roman"/>
                <w:sz w:val="16"/>
                <w:szCs w:val="16"/>
              </w:rPr>
            </w:pPr>
          </w:p>
        </w:tc>
      </w:tr>
      <w:tr w:rsidR="00E60EFD" w:rsidRPr="00E60EFD" w14:paraId="6B1BA70B" w14:textId="77777777" w:rsidTr="00E60EFD">
        <w:trPr>
          <w:trHeight w:val="582"/>
        </w:trPr>
        <w:tc>
          <w:tcPr>
            <w:tcW w:w="1257" w:type="dxa"/>
            <w:tcBorders>
              <w:top w:val="nil"/>
              <w:left w:val="nil"/>
              <w:bottom w:val="nil"/>
              <w:right w:val="nil"/>
            </w:tcBorders>
          </w:tcPr>
          <w:p w14:paraId="2A76C13B"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10. Age of initiation</w:t>
            </w:r>
          </w:p>
        </w:tc>
        <w:tc>
          <w:tcPr>
            <w:tcW w:w="710" w:type="dxa"/>
            <w:tcBorders>
              <w:top w:val="nil"/>
              <w:left w:val="nil"/>
              <w:bottom w:val="nil"/>
              <w:right w:val="nil"/>
            </w:tcBorders>
          </w:tcPr>
          <w:p w14:paraId="28DFB50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56" w:type="dxa"/>
            <w:tcBorders>
              <w:top w:val="nil"/>
              <w:left w:val="nil"/>
              <w:bottom w:val="nil"/>
              <w:right w:val="nil"/>
            </w:tcBorders>
          </w:tcPr>
          <w:p w14:paraId="293070B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56" w:type="dxa"/>
            <w:tcBorders>
              <w:top w:val="nil"/>
              <w:left w:val="nil"/>
              <w:bottom w:val="nil"/>
              <w:right w:val="nil"/>
            </w:tcBorders>
          </w:tcPr>
          <w:p w14:paraId="425FCAA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.23</w:t>
            </w:r>
          </w:p>
        </w:tc>
        <w:tc>
          <w:tcPr>
            <w:tcW w:w="695" w:type="dxa"/>
            <w:tcBorders>
              <w:top w:val="nil"/>
              <w:left w:val="nil"/>
              <w:bottom w:val="nil"/>
              <w:right w:val="nil"/>
            </w:tcBorders>
          </w:tcPr>
          <w:p w14:paraId="6FEF5EA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95" w:type="dxa"/>
            <w:tcBorders>
              <w:top w:val="nil"/>
              <w:left w:val="nil"/>
              <w:bottom w:val="nil"/>
              <w:right w:val="nil"/>
            </w:tcBorders>
          </w:tcPr>
          <w:p w14:paraId="4D0E5C7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694" w:type="dxa"/>
            <w:tcBorders>
              <w:top w:val="nil"/>
              <w:left w:val="nil"/>
              <w:bottom w:val="nil"/>
              <w:right w:val="nil"/>
            </w:tcBorders>
          </w:tcPr>
          <w:p w14:paraId="3AFF407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-.20</w:t>
            </w:r>
          </w:p>
        </w:tc>
        <w:tc>
          <w:tcPr>
            <w:tcW w:w="663" w:type="dxa"/>
            <w:tcBorders>
              <w:top w:val="nil"/>
              <w:left w:val="nil"/>
              <w:bottom w:val="nil"/>
              <w:right w:val="nil"/>
            </w:tcBorders>
          </w:tcPr>
          <w:p w14:paraId="6D59D8C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663" w:type="dxa"/>
            <w:tcBorders>
              <w:top w:val="nil"/>
              <w:left w:val="nil"/>
              <w:bottom w:val="nil"/>
              <w:right w:val="nil"/>
            </w:tcBorders>
          </w:tcPr>
          <w:p w14:paraId="2ADDE3D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713" w:type="dxa"/>
            <w:tcBorders>
              <w:top w:val="nil"/>
              <w:left w:val="nil"/>
              <w:bottom w:val="nil"/>
              <w:right w:val="nil"/>
            </w:tcBorders>
          </w:tcPr>
          <w:p w14:paraId="1D7AAD1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.22</w:t>
            </w:r>
          </w:p>
        </w:tc>
        <w:tc>
          <w:tcPr>
            <w:tcW w:w="630" w:type="dxa"/>
            <w:tcBorders>
              <w:top w:val="nil"/>
              <w:left w:val="nil"/>
              <w:bottom w:val="nil"/>
              <w:right w:val="nil"/>
            </w:tcBorders>
          </w:tcPr>
          <w:p w14:paraId="064DFF41"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9461C2E"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11B3FA10"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408CFA46"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B6A2DB0"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367A61C"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2A5C4CAD"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31F64DC8"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112CFB1"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9B69191"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BFB4077"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00E4F871" w14:textId="77777777" w:rsidR="00E60EFD" w:rsidRPr="00E60EFD" w:rsidRDefault="00E60EFD" w:rsidP="00E60EFD">
            <w:pPr>
              <w:jc w:val="center"/>
              <w:rPr>
                <w:rFonts w:ascii="Times New Roman" w:hAnsi="Times New Roman" w:cs="Times New Roman"/>
                <w:sz w:val="16"/>
                <w:szCs w:val="16"/>
              </w:rPr>
            </w:pPr>
          </w:p>
        </w:tc>
      </w:tr>
      <w:tr w:rsidR="00E60EFD" w:rsidRPr="00E60EFD" w14:paraId="7C5F3DFD" w14:textId="77777777" w:rsidTr="00E60EFD">
        <w:trPr>
          <w:trHeight w:val="561"/>
        </w:trPr>
        <w:tc>
          <w:tcPr>
            <w:tcW w:w="1257" w:type="dxa"/>
            <w:tcBorders>
              <w:top w:val="nil"/>
              <w:left w:val="nil"/>
              <w:bottom w:val="nil"/>
              <w:right w:val="nil"/>
            </w:tcBorders>
          </w:tcPr>
          <w:p w14:paraId="1EE44058"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11. Years smoked</w:t>
            </w:r>
          </w:p>
        </w:tc>
        <w:tc>
          <w:tcPr>
            <w:tcW w:w="710" w:type="dxa"/>
            <w:tcBorders>
              <w:top w:val="nil"/>
              <w:left w:val="nil"/>
              <w:bottom w:val="nil"/>
              <w:right w:val="nil"/>
            </w:tcBorders>
          </w:tcPr>
          <w:p w14:paraId="35852BD6"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.32*</w:t>
            </w:r>
          </w:p>
        </w:tc>
        <w:tc>
          <w:tcPr>
            <w:tcW w:w="656" w:type="dxa"/>
            <w:tcBorders>
              <w:top w:val="nil"/>
              <w:left w:val="nil"/>
              <w:bottom w:val="nil"/>
              <w:right w:val="nil"/>
            </w:tcBorders>
          </w:tcPr>
          <w:p w14:paraId="50EF8F9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56" w:type="dxa"/>
            <w:tcBorders>
              <w:top w:val="nil"/>
              <w:left w:val="nil"/>
              <w:bottom w:val="nil"/>
              <w:right w:val="nil"/>
            </w:tcBorders>
          </w:tcPr>
          <w:p w14:paraId="1164DF2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95" w:type="dxa"/>
            <w:tcBorders>
              <w:top w:val="nil"/>
              <w:left w:val="nil"/>
              <w:bottom w:val="nil"/>
              <w:right w:val="nil"/>
            </w:tcBorders>
          </w:tcPr>
          <w:p w14:paraId="65D1138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695" w:type="dxa"/>
            <w:tcBorders>
              <w:top w:val="nil"/>
              <w:left w:val="nil"/>
              <w:bottom w:val="nil"/>
              <w:right w:val="nil"/>
            </w:tcBorders>
          </w:tcPr>
          <w:p w14:paraId="20E7561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94" w:type="dxa"/>
            <w:tcBorders>
              <w:top w:val="nil"/>
              <w:left w:val="nil"/>
              <w:bottom w:val="nil"/>
              <w:right w:val="nil"/>
            </w:tcBorders>
          </w:tcPr>
          <w:p w14:paraId="65DEC31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63" w:type="dxa"/>
            <w:tcBorders>
              <w:top w:val="nil"/>
              <w:left w:val="nil"/>
              <w:bottom w:val="nil"/>
              <w:right w:val="nil"/>
            </w:tcBorders>
          </w:tcPr>
          <w:p w14:paraId="2DEE2FA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663" w:type="dxa"/>
            <w:tcBorders>
              <w:top w:val="nil"/>
              <w:left w:val="nil"/>
              <w:bottom w:val="nil"/>
              <w:right w:val="nil"/>
            </w:tcBorders>
          </w:tcPr>
          <w:p w14:paraId="25A7EB2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713" w:type="dxa"/>
            <w:tcBorders>
              <w:top w:val="nil"/>
              <w:left w:val="nil"/>
              <w:bottom w:val="nil"/>
              <w:right w:val="nil"/>
            </w:tcBorders>
          </w:tcPr>
          <w:p w14:paraId="35F4C87A"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.96***</w:t>
            </w:r>
          </w:p>
        </w:tc>
        <w:tc>
          <w:tcPr>
            <w:tcW w:w="630" w:type="dxa"/>
            <w:tcBorders>
              <w:top w:val="nil"/>
              <w:left w:val="nil"/>
              <w:bottom w:val="nil"/>
              <w:right w:val="nil"/>
            </w:tcBorders>
          </w:tcPr>
          <w:p w14:paraId="0ABBC89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30" w:type="dxa"/>
            <w:tcBorders>
              <w:top w:val="nil"/>
              <w:left w:val="nil"/>
              <w:bottom w:val="nil"/>
              <w:right w:val="nil"/>
            </w:tcBorders>
          </w:tcPr>
          <w:p w14:paraId="610AFB48" w14:textId="77777777" w:rsidR="00E60EFD" w:rsidRPr="00E60EFD" w:rsidRDefault="00E60EFD" w:rsidP="00E60EFD">
            <w:pPr>
              <w:jc w:val="center"/>
              <w:rPr>
                <w:rFonts w:ascii="Times New Roman" w:hAnsi="Times New Roman" w:cs="Times New Roman"/>
                <w:sz w:val="16"/>
                <w:szCs w:val="16"/>
              </w:rPr>
            </w:pPr>
          </w:p>
        </w:tc>
        <w:tc>
          <w:tcPr>
            <w:tcW w:w="661" w:type="dxa"/>
            <w:tcBorders>
              <w:top w:val="nil"/>
              <w:left w:val="nil"/>
              <w:bottom w:val="nil"/>
              <w:right w:val="nil"/>
            </w:tcBorders>
          </w:tcPr>
          <w:p w14:paraId="7D56DC5C"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0850A226"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8692E80"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6299BCD"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554ABCE5"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2F3D8A97"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6FA7DD2"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2B9DF9F"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1FC493AE"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53624789" w14:textId="77777777" w:rsidR="00E60EFD" w:rsidRPr="00E60EFD" w:rsidRDefault="00E60EFD" w:rsidP="00E60EFD">
            <w:pPr>
              <w:jc w:val="center"/>
              <w:rPr>
                <w:rFonts w:ascii="Times New Roman" w:hAnsi="Times New Roman" w:cs="Times New Roman"/>
                <w:sz w:val="16"/>
                <w:szCs w:val="16"/>
              </w:rPr>
            </w:pPr>
          </w:p>
        </w:tc>
      </w:tr>
      <w:tr w:rsidR="00E60EFD" w:rsidRPr="00E60EFD" w14:paraId="33077427" w14:textId="77777777" w:rsidTr="00E60EFD">
        <w:trPr>
          <w:trHeight w:val="684"/>
        </w:trPr>
        <w:tc>
          <w:tcPr>
            <w:tcW w:w="1257" w:type="dxa"/>
            <w:tcBorders>
              <w:top w:val="nil"/>
              <w:left w:val="nil"/>
              <w:bottom w:val="nil"/>
              <w:right w:val="nil"/>
            </w:tcBorders>
          </w:tcPr>
          <w:p w14:paraId="6CDA1056"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lastRenderedPageBreak/>
              <w:t>12. Cigarettes per day</w:t>
            </w:r>
          </w:p>
        </w:tc>
        <w:tc>
          <w:tcPr>
            <w:tcW w:w="710" w:type="dxa"/>
            <w:tcBorders>
              <w:top w:val="nil"/>
              <w:left w:val="nil"/>
              <w:bottom w:val="nil"/>
              <w:right w:val="nil"/>
            </w:tcBorders>
          </w:tcPr>
          <w:p w14:paraId="04B1B62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56" w:type="dxa"/>
            <w:tcBorders>
              <w:top w:val="nil"/>
              <w:left w:val="nil"/>
              <w:bottom w:val="nil"/>
              <w:right w:val="nil"/>
            </w:tcBorders>
          </w:tcPr>
          <w:p w14:paraId="30A5698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56" w:type="dxa"/>
            <w:tcBorders>
              <w:top w:val="nil"/>
              <w:left w:val="nil"/>
              <w:bottom w:val="nil"/>
              <w:right w:val="nil"/>
            </w:tcBorders>
          </w:tcPr>
          <w:p w14:paraId="54CD5F5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695" w:type="dxa"/>
            <w:tcBorders>
              <w:top w:val="nil"/>
              <w:left w:val="nil"/>
              <w:bottom w:val="nil"/>
              <w:right w:val="nil"/>
            </w:tcBorders>
          </w:tcPr>
          <w:p w14:paraId="65CE7E0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95" w:type="dxa"/>
            <w:tcBorders>
              <w:top w:val="nil"/>
              <w:left w:val="nil"/>
              <w:bottom w:val="nil"/>
              <w:right w:val="nil"/>
            </w:tcBorders>
          </w:tcPr>
          <w:p w14:paraId="3DC5464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94" w:type="dxa"/>
            <w:tcBorders>
              <w:top w:val="nil"/>
              <w:left w:val="nil"/>
              <w:bottom w:val="nil"/>
              <w:right w:val="nil"/>
            </w:tcBorders>
          </w:tcPr>
          <w:p w14:paraId="54250D8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63" w:type="dxa"/>
            <w:tcBorders>
              <w:top w:val="nil"/>
              <w:left w:val="nil"/>
              <w:bottom w:val="nil"/>
              <w:right w:val="nil"/>
            </w:tcBorders>
          </w:tcPr>
          <w:p w14:paraId="2C8576D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63" w:type="dxa"/>
            <w:tcBorders>
              <w:top w:val="nil"/>
              <w:left w:val="nil"/>
              <w:bottom w:val="nil"/>
              <w:right w:val="nil"/>
            </w:tcBorders>
          </w:tcPr>
          <w:p w14:paraId="172D252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713" w:type="dxa"/>
            <w:tcBorders>
              <w:top w:val="nil"/>
              <w:left w:val="nil"/>
              <w:bottom w:val="nil"/>
              <w:right w:val="nil"/>
            </w:tcBorders>
          </w:tcPr>
          <w:p w14:paraId="39F6CCC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30" w:type="dxa"/>
            <w:tcBorders>
              <w:top w:val="nil"/>
              <w:left w:val="nil"/>
              <w:bottom w:val="nil"/>
              <w:right w:val="nil"/>
            </w:tcBorders>
          </w:tcPr>
          <w:p w14:paraId="4C1A4A4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30" w:type="dxa"/>
            <w:tcBorders>
              <w:top w:val="nil"/>
              <w:left w:val="nil"/>
              <w:bottom w:val="nil"/>
              <w:right w:val="nil"/>
            </w:tcBorders>
          </w:tcPr>
          <w:p w14:paraId="279F6B4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61" w:type="dxa"/>
            <w:tcBorders>
              <w:top w:val="nil"/>
              <w:left w:val="nil"/>
              <w:bottom w:val="nil"/>
              <w:right w:val="nil"/>
            </w:tcBorders>
          </w:tcPr>
          <w:p w14:paraId="29E3E142" w14:textId="77777777" w:rsidR="00E60EFD" w:rsidRPr="00E60EFD" w:rsidRDefault="00E60EFD" w:rsidP="00E60EFD">
            <w:pPr>
              <w:jc w:val="center"/>
              <w:rPr>
                <w:rFonts w:ascii="Times New Roman" w:hAnsi="Times New Roman" w:cs="Times New Roman"/>
                <w:sz w:val="16"/>
                <w:szCs w:val="16"/>
              </w:rPr>
            </w:pPr>
          </w:p>
        </w:tc>
        <w:tc>
          <w:tcPr>
            <w:tcW w:w="634" w:type="dxa"/>
            <w:tcBorders>
              <w:top w:val="nil"/>
              <w:left w:val="nil"/>
              <w:bottom w:val="nil"/>
              <w:right w:val="nil"/>
            </w:tcBorders>
          </w:tcPr>
          <w:p w14:paraId="26455F9E"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E72048B"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072521AA"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36893014"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48064762"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3ED4575"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08E5E97"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0CF8C76"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154C8142" w14:textId="77777777" w:rsidR="00E60EFD" w:rsidRPr="00E60EFD" w:rsidRDefault="00E60EFD" w:rsidP="00E60EFD">
            <w:pPr>
              <w:jc w:val="center"/>
              <w:rPr>
                <w:rFonts w:ascii="Times New Roman" w:hAnsi="Times New Roman" w:cs="Times New Roman"/>
                <w:sz w:val="16"/>
                <w:szCs w:val="16"/>
              </w:rPr>
            </w:pPr>
          </w:p>
        </w:tc>
      </w:tr>
      <w:tr w:rsidR="00E60EFD" w:rsidRPr="00E60EFD" w14:paraId="474944A8" w14:textId="77777777" w:rsidTr="00E60EFD">
        <w:trPr>
          <w:trHeight w:val="566"/>
        </w:trPr>
        <w:tc>
          <w:tcPr>
            <w:tcW w:w="1257" w:type="dxa"/>
            <w:tcBorders>
              <w:top w:val="nil"/>
              <w:left w:val="nil"/>
              <w:bottom w:val="nil"/>
              <w:right w:val="nil"/>
            </w:tcBorders>
          </w:tcPr>
          <w:p w14:paraId="3FFFD855"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13. Quit attempts</w:t>
            </w:r>
          </w:p>
        </w:tc>
        <w:tc>
          <w:tcPr>
            <w:tcW w:w="710" w:type="dxa"/>
            <w:tcBorders>
              <w:top w:val="nil"/>
              <w:left w:val="nil"/>
              <w:bottom w:val="nil"/>
              <w:right w:val="nil"/>
            </w:tcBorders>
          </w:tcPr>
          <w:p w14:paraId="551AF86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56" w:type="dxa"/>
            <w:tcBorders>
              <w:top w:val="nil"/>
              <w:left w:val="nil"/>
              <w:bottom w:val="nil"/>
              <w:right w:val="nil"/>
            </w:tcBorders>
          </w:tcPr>
          <w:p w14:paraId="06B7E10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56" w:type="dxa"/>
            <w:tcBorders>
              <w:top w:val="nil"/>
              <w:left w:val="nil"/>
              <w:bottom w:val="nil"/>
              <w:right w:val="nil"/>
            </w:tcBorders>
          </w:tcPr>
          <w:p w14:paraId="5741AFE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95" w:type="dxa"/>
            <w:tcBorders>
              <w:top w:val="nil"/>
              <w:left w:val="nil"/>
              <w:bottom w:val="nil"/>
              <w:right w:val="nil"/>
            </w:tcBorders>
          </w:tcPr>
          <w:p w14:paraId="0E06E8C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95" w:type="dxa"/>
            <w:tcBorders>
              <w:top w:val="nil"/>
              <w:left w:val="nil"/>
              <w:bottom w:val="nil"/>
              <w:right w:val="nil"/>
            </w:tcBorders>
          </w:tcPr>
          <w:p w14:paraId="3A1CA6F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94" w:type="dxa"/>
            <w:tcBorders>
              <w:top w:val="nil"/>
              <w:left w:val="nil"/>
              <w:bottom w:val="nil"/>
              <w:right w:val="nil"/>
            </w:tcBorders>
          </w:tcPr>
          <w:p w14:paraId="783DD33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.26</w:t>
            </w:r>
          </w:p>
        </w:tc>
        <w:tc>
          <w:tcPr>
            <w:tcW w:w="663" w:type="dxa"/>
            <w:tcBorders>
              <w:top w:val="nil"/>
              <w:left w:val="nil"/>
              <w:bottom w:val="nil"/>
              <w:right w:val="nil"/>
            </w:tcBorders>
          </w:tcPr>
          <w:p w14:paraId="76DD4A2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663" w:type="dxa"/>
            <w:tcBorders>
              <w:top w:val="nil"/>
              <w:left w:val="nil"/>
              <w:bottom w:val="nil"/>
              <w:right w:val="nil"/>
            </w:tcBorders>
          </w:tcPr>
          <w:p w14:paraId="2273DF7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.24</w:t>
            </w:r>
          </w:p>
        </w:tc>
        <w:tc>
          <w:tcPr>
            <w:tcW w:w="713" w:type="dxa"/>
            <w:tcBorders>
              <w:top w:val="nil"/>
              <w:left w:val="nil"/>
              <w:bottom w:val="nil"/>
              <w:right w:val="nil"/>
            </w:tcBorders>
          </w:tcPr>
          <w:p w14:paraId="5251A65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.21</w:t>
            </w:r>
          </w:p>
        </w:tc>
        <w:tc>
          <w:tcPr>
            <w:tcW w:w="630" w:type="dxa"/>
            <w:tcBorders>
              <w:top w:val="nil"/>
              <w:left w:val="nil"/>
              <w:bottom w:val="nil"/>
              <w:right w:val="nil"/>
            </w:tcBorders>
          </w:tcPr>
          <w:p w14:paraId="2167089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30" w:type="dxa"/>
            <w:tcBorders>
              <w:top w:val="nil"/>
              <w:left w:val="nil"/>
              <w:bottom w:val="nil"/>
              <w:right w:val="nil"/>
            </w:tcBorders>
          </w:tcPr>
          <w:p w14:paraId="08C21A9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.22</w:t>
            </w:r>
          </w:p>
        </w:tc>
        <w:tc>
          <w:tcPr>
            <w:tcW w:w="661" w:type="dxa"/>
            <w:tcBorders>
              <w:top w:val="nil"/>
              <w:left w:val="nil"/>
              <w:bottom w:val="nil"/>
              <w:right w:val="nil"/>
            </w:tcBorders>
          </w:tcPr>
          <w:p w14:paraId="19821AF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34" w:type="dxa"/>
            <w:tcBorders>
              <w:top w:val="nil"/>
              <w:left w:val="nil"/>
              <w:bottom w:val="nil"/>
              <w:right w:val="nil"/>
            </w:tcBorders>
          </w:tcPr>
          <w:p w14:paraId="2F518452"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654E0AAA"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DFC0388"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48206833"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1E4A46AB"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285D54E"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0354DA3F"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9454C3F"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228AF0EC" w14:textId="77777777" w:rsidR="00E60EFD" w:rsidRPr="00E60EFD" w:rsidRDefault="00E60EFD" w:rsidP="00E60EFD">
            <w:pPr>
              <w:jc w:val="center"/>
              <w:rPr>
                <w:rFonts w:ascii="Times New Roman" w:hAnsi="Times New Roman" w:cs="Times New Roman"/>
                <w:sz w:val="16"/>
                <w:szCs w:val="16"/>
              </w:rPr>
            </w:pPr>
          </w:p>
        </w:tc>
      </w:tr>
      <w:tr w:rsidR="00E60EFD" w:rsidRPr="00E60EFD" w14:paraId="58F47DF8" w14:textId="77777777" w:rsidTr="00E60EFD">
        <w:trPr>
          <w:trHeight w:val="693"/>
        </w:trPr>
        <w:tc>
          <w:tcPr>
            <w:tcW w:w="1257" w:type="dxa"/>
            <w:tcBorders>
              <w:top w:val="nil"/>
              <w:left w:val="nil"/>
              <w:bottom w:val="nil"/>
              <w:right w:val="nil"/>
            </w:tcBorders>
          </w:tcPr>
          <w:p w14:paraId="60DBC057"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14. Motivation to quit</w:t>
            </w:r>
          </w:p>
        </w:tc>
        <w:tc>
          <w:tcPr>
            <w:tcW w:w="710" w:type="dxa"/>
            <w:tcBorders>
              <w:top w:val="nil"/>
              <w:left w:val="nil"/>
              <w:bottom w:val="nil"/>
              <w:right w:val="nil"/>
            </w:tcBorders>
          </w:tcPr>
          <w:p w14:paraId="696EA53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56" w:type="dxa"/>
            <w:tcBorders>
              <w:top w:val="nil"/>
              <w:left w:val="nil"/>
              <w:bottom w:val="nil"/>
              <w:right w:val="nil"/>
            </w:tcBorders>
          </w:tcPr>
          <w:p w14:paraId="54C61AF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56" w:type="dxa"/>
            <w:tcBorders>
              <w:top w:val="nil"/>
              <w:left w:val="nil"/>
              <w:bottom w:val="nil"/>
              <w:right w:val="nil"/>
            </w:tcBorders>
          </w:tcPr>
          <w:p w14:paraId="4F05F8C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-.23</w:t>
            </w:r>
          </w:p>
        </w:tc>
        <w:tc>
          <w:tcPr>
            <w:tcW w:w="695" w:type="dxa"/>
            <w:tcBorders>
              <w:top w:val="nil"/>
              <w:left w:val="nil"/>
              <w:bottom w:val="nil"/>
              <w:right w:val="nil"/>
            </w:tcBorders>
          </w:tcPr>
          <w:p w14:paraId="332501B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95" w:type="dxa"/>
            <w:tcBorders>
              <w:top w:val="nil"/>
              <w:left w:val="nil"/>
              <w:bottom w:val="nil"/>
              <w:right w:val="nil"/>
            </w:tcBorders>
          </w:tcPr>
          <w:p w14:paraId="2DBECDA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94" w:type="dxa"/>
            <w:tcBorders>
              <w:top w:val="nil"/>
              <w:left w:val="nil"/>
              <w:bottom w:val="nil"/>
              <w:right w:val="nil"/>
            </w:tcBorders>
          </w:tcPr>
          <w:p w14:paraId="0BE3434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63" w:type="dxa"/>
            <w:tcBorders>
              <w:top w:val="nil"/>
              <w:left w:val="nil"/>
              <w:bottom w:val="nil"/>
              <w:right w:val="nil"/>
            </w:tcBorders>
          </w:tcPr>
          <w:p w14:paraId="2899A21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63" w:type="dxa"/>
            <w:tcBorders>
              <w:top w:val="nil"/>
              <w:left w:val="nil"/>
              <w:bottom w:val="nil"/>
              <w:right w:val="nil"/>
            </w:tcBorders>
          </w:tcPr>
          <w:p w14:paraId="28EBF9E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.18</w:t>
            </w:r>
          </w:p>
        </w:tc>
        <w:tc>
          <w:tcPr>
            <w:tcW w:w="713" w:type="dxa"/>
            <w:tcBorders>
              <w:top w:val="nil"/>
              <w:left w:val="nil"/>
              <w:bottom w:val="nil"/>
              <w:right w:val="nil"/>
            </w:tcBorders>
          </w:tcPr>
          <w:p w14:paraId="7FDF4A4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3430FEC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56A9E2E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661" w:type="dxa"/>
            <w:tcBorders>
              <w:top w:val="nil"/>
              <w:left w:val="nil"/>
              <w:bottom w:val="nil"/>
              <w:right w:val="nil"/>
            </w:tcBorders>
          </w:tcPr>
          <w:p w14:paraId="4E72282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-.15</w:t>
            </w:r>
          </w:p>
        </w:tc>
        <w:tc>
          <w:tcPr>
            <w:tcW w:w="634" w:type="dxa"/>
            <w:tcBorders>
              <w:top w:val="nil"/>
              <w:left w:val="nil"/>
              <w:bottom w:val="nil"/>
              <w:right w:val="nil"/>
            </w:tcBorders>
          </w:tcPr>
          <w:p w14:paraId="0C7C675F"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.29*</w:t>
            </w:r>
          </w:p>
        </w:tc>
        <w:tc>
          <w:tcPr>
            <w:tcW w:w="630" w:type="dxa"/>
            <w:tcBorders>
              <w:top w:val="nil"/>
              <w:left w:val="nil"/>
              <w:bottom w:val="nil"/>
              <w:right w:val="nil"/>
            </w:tcBorders>
          </w:tcPr>
          <w:p w14:paraId="1B966841"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42A36B0"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1280FD2B"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797D1E94"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00B0A4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2971399"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08D7B671"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567EC911" w14:textId="77777777" w:rsidR="00E60EFD" w:rsidRPr="00E60EFD" w:rsidRDefault="00E60EFD" w:rsidP="00E60EFD">
            <w:pPr>
              <w:jc w:val="center"/>
              <w:rPr>
                <w:rFonts w:ascii="Times New Roman" w:hAnsi="Times New Roman" w:cs="Times New Roman"/>
                <w:sz w:val="16"/>
                <w:szCs w:val="16"/>
              </w:rPr>
            </w:pPr>
          </w:p>
        </w:tc>
      </w:tr>
      <w:tr w:rsidR="00E60EFD" w:rsidRPr="00E60EFD" w14:paraId="613E0D94" w14:textId="77777777" w:rsidTr="00E60EFD">
        <w:trPr>
          <w:trHeight w:val="561"/>
        </w:trPr>
        <w:tc>
          <w:tcPr>
            <w:tcW w:w="1257" w:type="dxa"/>
            <w:tcBorders>
              <w:top w:val="nil"/>
              <w:left w:val="nil"/>
              <w:bottom w:val="nil"/>
              <w:right w:val="nil"/>
            </w:tcBorders>
          </w:tcPr>
          <w:p w14:paraId="36918968"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15. Self-control</w:t>
            </w:r>
          </w:p>
        </w:tc>
        <w:tc>
          <w:tcPr>
            <w:tcW w:w="710" w:type="dxa"/>
            <w:tcBorders>
              <w:top w:val="nil"/>
              <w:left w:val="nil"/>
              <w:bottom w:val="nil"/>
              <w:right w:val="nil"/>
            </w:tcBorders>
          </w:tcPr>
          <w:p w14:paraId="08512D5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.21</w:t>
            </w:r>
          </w:p>
        </w:tc>
        <w:tc>
          <w:tcPr>
            <w:tcW w:w="656" w:type="dxa"/>
            <w:tcBorders>
              <w:top w:val="nil"/>
              <w:left w:val="nil"/>
              <w:bottom w:val="nil"/>
              <w:right w:val="nil"/>
            </w:tcBorders>
          </w:tcPr>
          <w:p w14:paraId="2D45B5F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56" w:type="dxa"/>
            <w:tcBorders>
              <w:top w:val="nil"/>
              <w:left w:val="nil"/>
              <w:bottom w:val="nil"/>
              <w:right w:val="nil"/>
            </w:tcBorders>
          </w:tcPr>
          <w:p w14:paraId="6663215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.23</w:t>
            </w:r>
          </w:p>
        </w:tc>
        <w:tc>
          <w:tcPr>
            <w:tcW w:w="695" w:type="dxa"/>
            <w:tcBorders>
              <w:top w:val="nil"/>
              <w:left w:val="nil"/>
              <w:bottom w:val="nil"/>
              <w:right w:val="nil"/>
            </w:tcBorders>
          </w:tcPr>
          <w:p w14:paraId="0402170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-.24</w:t>
            </w:r>
          </w:p>
        </w:tc>
        <w:tc>
          <w:tcPr>
            <w:tcW w:w="695" w:type="dxa"/>
            <w:tcBorders>
              <w:top w:val="nil"/>
              <w:left w:val="nil"/>
              <w:bottom w:val="nil"/>
              <w:right w:val="nil"/>
            </w:tcBorders>
          </w:tcPr>
          <w:p w14:paraId="5F3AA2B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.00</w:t>
            </w:r>
          </w:p>
        </w:tc>
        <w:tc>
          <w:tcPr>
            <w:tcW w:w="694" w:type="dxa"/>
            <w:tcBorders>
              <w:top w:val="nil"/>
              <w:left w:val="nil"/>
              <w:bottom w:val="nil"/>
              <w:right w:val="nil"/>
            </w:tcBorders>
          </w:tcPr>
          <w:p w14:paraId="6781164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63" w:type="dxa"/>
            <w:tcBorders>
              <w:top w:val="nil"/>
              <w:left w:val="nil"/>
              <w:bottom w:val="nil"/>
              <w:right w:val="nil"/>
            </w:tcBorders>
          </w:tcPr>
          <w:p w14:paraId="5E408CC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63" w:type="dxa"/>
            <w:tcBorders>
              <w:top w:val="nil"/>
              <w:left w:val="nil"/>
              <w:bottom w:val="nil"/>
              <w:right w:val="nil"/>
            </w:tcBorders>
          </w:tcPr>
          <w:p w14:paraId="6D6609E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713" w:type="dxa"/>
            <w:tcBorders>
              <w:top w:val="nil"/>
              <w:left w:val="nil"/>
              <w:bottom w:val="nil"/>
              <w:right w:val="nil"/>
            </w:tcBorders>
          </w:tcPr>
          <w:p w14:paraId="7E96F207"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.29*</w:t>
            </w:r>
          </w:p>
        </w:tc>
        <w:tc>
          <w:tcPr>
            <w:tcW w:w="630" w:type="dxa"/>
            <w:tcBorders>
              <w:top w:val="nil"/>
              <w:left w:val="nil"/>
              <w:bottom w:val="nil"/>
              <w:right w:val="nil"/>
            </w:tcBorders>
          </w:tcPr>
          <w:p w14:paraId="7FCFF45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30" w:type="dxa"/>
            <w:tcBorders>
              <w:top w:val="nil"/>
              <w:left w:val="nil"/>
              <w:bottom w:val="nil"/>
              <w:right w:val="nil"/>
            </w:tcBorders>
          </w:tcPr>
          <w:p w14:paraId="67DDD34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.27</w:t>
            </w:r>
          </w:p>
        </w:tc>
        <w:tc>
          <w:tcPr>
            <w:tcW w:w="661" w:type="dxa"/>
            <w:tcBorders>
              <w:top w:val="nil"/>
              <w:left w:val="nil"/>
              <w:bottom w:val="nil"/>
              <w:right w:val="nil"/>
            </w:tcBorders>
          </w:tcPr>
          <w:p w14:paraId="43FEEF4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34" w:type="dxa"/>
            <w:tcBorders>
              <w:top w:val="nil"/>
              <w:left w:val="nil"/>
              <w:bottom w:val="nil"/>
              <w:right w:val="nil"/>
            </w:tcBorders>
          </w:tcPr>
          <w:p w14:paraId="262E889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30" w:type="dxa"/>
            <w:tcBorders>
              <w:top w:val="nil"/>
              <w:left w:val="nil"/>
              <w:bottom w:val="nil"/>
              <w:right w:val="nil"/>
            </w:tcBorders>
          </w:tcPr>
          <w:p w14:paraId="623B67E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-.25</w:t>
            </w:r>
          </w:p>
        </w:tc>
        <w:tc>
          <w:tcPr>
            <w:tcW w:w="630" w:type="dxa"/>
            <w:tcBorders>
              <w:top w:val="nil"/>
              <w:left w:val="nil"/>
              <w:bottom w:val="nil"/>
              <w:right w:val="nil"/>
            </w:tcBorders>
          </w:tcPr>
          <w:p w14:paraId="1C0E7266" w14:textId="77777777" w:rsidR="00E60EFD" w:rsidRPr="00E60EFD" w:rsidRDefault="00E60EFD" w:rsidP="00E60EFD">
            <w:pPr>
              <w:jc w:val="center"/>
              <w:rPr>
                <w:rFonts w:ascii="Times New Roman" w:hAnsi="Times New Roman" w:cs="Times New Roman"/>
                <w:sz w:val="16"/>
                <w:szCs w:val="16"/>
              </w:rPr>
            </w:pPr>
          </w:p>
        </w:tc>
        <w:tc>
          <w:tcPr>
            <w:tcW w:w="630" w:type="dxa"/>
            <w:tcBorders>
              <w:top w:val="nil"/>
              <w:left w:val="nil"/>
              <w:bottom w:val="nil"/>
              <w:right w:val="nil"/>
            </w:tcBorders>
          </w:tcPr>
          <w:p w14:paraId="7147663A"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5B29C198"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BF4CE3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998FB30"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6CE9322F"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4937156F" w14:textId="77777777" w:rsidR="00E60EFD" w:rsidRPr="00E60EFD" w:rsidRDefault="00E60EFD" w:rsidP="00E60EFD">
            <w:pPr>
              <w:jc w:val="center"/>
              <w:rPr>
                <w:rFonts w:ascii="Times New Roman" w:hAnsi="Times New Roman" w:cs="Times New Roman"/>
                <w:sz w:val="16"/>
                <w:szCs w:val="16"/>
              </w:rPr>
            </w:pPr>
          </w:p>
        </w:tc>
      </w:tr>
      <w:tr w:rsidR="00E60EFD" w:rsidRPr="00E60EFD" w14:paraId="3BFE67AE" w14:textId="77777777" w:rsidTr="00E60EFD">
        <w:trPr>
          <w:trHeight w:val="434"/>
        </w:trPr>
        <w:tc>
          <w:tcPr>
            <w:tcW w:w="1257" w:type="dxa"/>
            <w:tcBorders>
              <w:top w:val="nil"/>
              <w:left w:val="nil"/>
              <w:bottom w:val="nil"/>
              <w:right w:val="nil"/>
            </w:tcBorders>
          </w:tcPr>
          <w:p w14:paraId="249BC0D5"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16. Dependence</w:t>
            </w:r>
          </w:p>
        </w:tc>
        <w:tc>
          <w:tcPr>
            <w:tcW w:w="710" w:type="dxa"/>
            <w:tcBorders>
              <w:top w:val="nil"/>
              <w:left w:val="nil"/>
              <w:bottom w:val="nil"/>
              <w:right w:val="nil"/>
            </w:tcBorders>
          </w:tcPr>
          <w:p w14:paraId="06416B9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56" w:type="dxa"/>
            <w:tcBorders>
              <w:top w:val="nil"/>
              <w:left w:val="nil"/>
              <w:bottom w:val="nil"/>
              <w:right w:val="nil"/>
            </w:tcBorders>
          </w:tcPr>
          <w:p w14:paraId="16C9733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56" w:type="dxa"/>
            <w:tcBorders>
              <w:top w:val="nil"/>
              <w:left w:val="nil"/>
              <w:bottom w:val="nil"/>
              <w:right w:val="nil"/>
            </w:tcBorders>
          </w:tcPr>
          <w:p w14:paraId="4957073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95" w:type="dxa"/>
            <w:tcBorders>
              <w:top w:val="nil"/>
              <w:left w:val="nil"/>
              <w:bottom w:val="nil"/>
              <w:right w:val="nil"/>
            </w:tcBorders>
          </w:tcPr>
          <w:p w14:paraId="2ABD705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.00</w:t>
            </w:r>
          </w:p>
        </w:tc>
        <w:tc>
          <w:tcPr>
            <w:tcW w:w="695" w:type="dxa"/>
            <w:tcBorders>
              <w:top w:val="nil"/>
              <w:left w:val="nil"/>
              <w:bottom w:val="nil"/>
              <w:right w:val="nil"/>
            </w:tcBorders>
          </w:tcPr>
          <w:p w14:paraId="408BE13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94" w:type="dxa"/>
            <w:tcBorders>
              <w:top w:val="nil"/>
              <w:left w:val="nil"/>
              <w:bottom w:val="nil"/>
              <w:right w:val="nil"/>
            </w:tcBorders>
          </w:tcPr>
          <w:p w14:paraId="514C07D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63" w:type="dxa"/>
            <w:tcBorders>
              <w:top w:val="nil"/>
              <w:left w:val="nil"/>
              <w:bottom w:val="nil"/>
              <w:right w:val="nil"/>
            </w:tcBorders>
          </w:tcPr>
          <w:p w14:paraId="6CD5D5E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-.00</w:t>
            </w:r>
          </w:p>
        </w:tc>
        <w:tc>
          <w:tcPr>
            <w:tcW w:w="663" w:type="dxa"/>
            <w:tcBorders>
              <w:top w:val="nil"/>
              <w:left w:val="nil"/>
              <w:bottom w:val="nil"/>
              <w:right w:val="nil"/>
            </w:tcBorders>
          </w:tcPr>
          <w:p w14:paraId="627B5F4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713" w:type="dxa"/>
            <w:tcBorders>
              <w:top w:val="nil"/>
              <w:left w:val="nil"/>
              <w:bottom w:val="nil"/>
              <w:right w:val="nil"/>
            </w:tcBorders>
          </w:tcPr>
          <w:p w14:paraId="3203CDF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30" w:type="dxa"/>
            <w:tcBorders>
              <w:top w:val="nil"/>
              <w:left w:val="nil"/>
              <w:bottom w:val="nil"/>
              <w:right w:val="nil"/>
            </w:tcBorders>
          </w:tcPr>
          <w:p w14:paraId="5700362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630" w:type="dxa"/>
            <w:tcBorders>
              <w:top w:val="nil"/>
              <w:left w:val="nil"/>
              <w:bottom w:val="nil"/>
              <w:right w:val="nil"/>
            </w:tcBorders>
          </w:tcPr>
          <w:p w14:paraId="3E2B027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61" w:type="dxa"/>
            <w:tcBorders>
              <w:top w:val="nil"/>
              <w:left w:val="nil"/>
              <w:bottom w:val="nil"/>
              <w:right w:val="nil"/>
            </w:tcBorders>
          </w:tcPr>
          <w:p w14:paraId="130B3A59"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.51***</w:t>
            </w:r>
          </w:p>
        </w:tc>
        <w:tc>
          <w:tcPr>
            <w:tcW w:w="634" w:type="dxa"/>
            <w:tcBorders>
              <w:top w:val="nil"/>
              <w:left w:val="nil"/>
              <w:bottom w:val="nil"/>
              <w:right w:val="nil"/>
            </w:tcBorders>
          </w:tcPr>
          <w:p w14:paraId="30CA200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630" w:type="dxa"/>
            <w:tcBorders>
              <w:top w:val="nil"/>
              <w:left w:val="nil"/>
              <w:bottom w:val="nil"/>
              <w:right w:val="nil"/>
            </w:tcBorders>
          </w:tcPr>
          <w:p w14:paraId="553A9EA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30" w:type="dxa"/>
            <w:tcBorders>
              <w:top w:val="nil"/>
              <w:left w:val="nil"/>
              <w:bottom w:val="nil"/>
              <w:right w:val="nil"/>
            </w:tcBorders>
          </w:tcPr>
          <w:p w14:paraId="44E45F4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-.25</w:t>
            </w:r>
          </w:p>
        </w:tc>
        <w:tc>
          <w:tcPr>
            <w:tcW w:w="630" w:type="dxa"/>
            <w:tcBorders>
              <w:top w:val="nil"/>
              <w:left w:val="nil"/>
              <w:bottom w:val="nil"/>
              <w:right w:val="nil"/>
            </w:tcBorders>
          </w:tcPr>
          <w:p w14:paraId="08280A00" w14:textId="77777777" w:rsidR="00E60EFD" w:rsidRPr="00E60EFD" w:rsidRDefault="00E60EFD" w:rsidP="00E60EFD">
            <w:pPr>
              <w:jc w:val="center"/>
              <w:rPr>
                <w:rFonts w:ascii="Times New Roman" w:hAnsi="Times New Roman" w:cs="Times New Roman"/>
                <w:sz w:val="16"/>
                <w:szCs w:val="16"/>
              </w:rPr>
            </w:pPr>
          </w:p>
        </w:tc>
        <w:tc>
          <w:tcPr>
            <w:tcW w:w="647" w:type="dxa"/>
            <w:tcBorders>
              <w:top w:val="nil"/>
              <w:left w:val="nil"/>
              <w:bottom w:val="nil"/>
              <w:right w:val="nil"/>
            </w:tcBorders>
          </w:tcPr>
          <w:p w14:paraId="0314685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0F45A67"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793CF81C"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33074116"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3858A6A9" w14:textId="77777777" w:rsidR="00E60EFD" w:rsidRPr="00E60EFD" w:rsidRDefault="00E60EFD" w:rsidP="00E60EFD">
            <w:pPr>
              <w:jc w:val="center"/>
              <w:rPr>
                <w:rFonts w:ascii="Times New Roman" w:hAnsi="Times New Roman" w:cs="Times New Roman"/>
                <w:sz w:val="16"/>
                <w:szCs w:val="16"/>
              </w:rPr>
            </w:pPr>
          </w:p>
        </w:tc>
      </w:tr>
      <w:tr w:rsidR="00E60EFD" w:rsidRPr="00E60EFD" w14:paraId="2A71BAB9" w14:textId="77777777" w:rsidTr="00E60EFD">
        <w:trPr>
          <w:trHeight w:val="456"/>
        </w:trPr>
        <w:tc>
          <w:tcPr>
            <w:tcW w:w="1257" w:type="dxa"/>
            <w:tcBorders>
              <w:top w:val="nil"/>
              <w:left w:val="nil"/>
              <w:bottom w:val="nil"/>
              <w:right w:val="nil"/>
            </w:tcBorders>
          </w:tcPr>
          <w:p w14:paraId="29DC4039"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17. Intensity</w:t>
            </w:r>
          </w:p>
        </w:tc>
        <w:tc>
          <w:tcPr>
            <w:tcW w:w="710" w:type="dxa"/>
            <w:tcBorders>
              <w:top w:val="nil"/>
              <w:left w:val="nil"/>
              <w:bottom w:val="nil"/>
              <w:right w:val="nil"/>
            </w:tcBorders>
          </w:tcPr>
          <w:p w14:paraId="0198A58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-.20</w:t>
            </w:r>
          </w:p>
        </w:tc>
        <w:tc>
          <w:tcPr>
            <w:tcW w:w="656" w:type="dxa"/>
            <w:tcBorders>
              <w:top w:val="nil"/>
              <w:left w:val="nil"/>
              <w:bottom w:val="nil"/>
              <w:right w:val="nil"/>
            </w:tcBorders>
          </w:tcPr>
          <w:p w14:paraId="5812BED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-.18</w:t>
            </w:r>
          </w:p>
        </w:tc>
        <w:tc>
          <w:tcPr>
            <w:tcW w:w="656" w:type="dxa"/>
            <w:tcBorders>
              <w:top w:val="nil"/>
              <w:left w:val="nil"/>
              <w:bottom w:val="nil"/>
              <w:right w:val="nil"/>
            </w:tcBorders>
          </w:tcPr>
          <w:p w14:paraId="62307B6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95" w:type="dxa"/>
            <w:tcBorders>
              <w:top w:val="nil"/>
              <w:left w:val="nil"/>
              <w:bottom w:val="nil"/>
              <w:right w:val="nil"/>
            </w:tcBorders>
          </w:tcPr>
          <w:p w14:paraId="78F9F06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95" w:type="dxa"/>
            <w:tcBorders>
              <w:top w:val="nil"/>
              <w:left w:val="nil"/>
              <w:bottom w:val="nil"/>
              <w:right w:val="nil"/>
            </w:tcBorders>
          </w:tcPr>
          <w:p w14:paraId="2789B50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-.24</w:t>
            </w:r>
          </w:p>
        </w:tc>
        <w:tc>
          <w:tcPr>
            <w:tcW w:w="694" w:type="dxa"/>
            <w:tcBorders>
              <w:top w:val="nil"/>
              <w:left w:val="nil"/>
              <w:bottom w:val="nil"/>
              <w:right w:val="nil"/>
            </w:tcBorders>
          </w:tcPr>
          <w:p w14:paraId="68F1C9B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663" w:type="dxa"/>
            <w:tcBorders>
              <w:top w:val="nil"/>
              <w:left w:val="nil"/>
              <w:bottom w:val="nil"/>
              <w:right w:val="nil"/>
            </w:tcBorders>
          </w:tcPr>
          <w:p w14:paraId="1ED56AD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.22</w:t>
            </w:r>
          </w:p>
        </w:tc>
        <w:tc>
          <w:tcPr>
            <w:tcW w:w="663" w:type="dxa"/>
            <w:tcBorders>
              <w:top w:val="nil"/>
              <w:left w:val="nil"/>
              <w:bottom w:val="nil"/>
              <w:right w:val="nil"/>
            </w:tcBorders>
          </w:tcPr>
          <w:p w14:paraId="7C6FCA3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-.21</w:t>
            </w:r>
          </w:p>
        </w:tc>
        <w:tc>
          <w:tcPr>
            <w:tcW w:w="713" w:type="dxa"/>
            <w:tcBorders>
              <w:top w:val="nil"/>
              <w:left w:val="nil"/>
              <w:bottom w:val="nil"/>
              <w:right w:val="nil"/>
            </w:tcBorders>
          </w:tcPr>
          <w:p w14:paraId="67AE58B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-.27</w:t>
            </w:r>
          </w:p>
        </w:tc>
        <w:tc>
          <w:tcPr>
            <w:tcW w:w="630" w:type="dxa"/>
            <w:tcBorders>
              <w:top w:val="nil"/>
              <w:left w:val="nil"/>
              <w:bottom w:val="nil"/>
              <w:right w:val="nil"/>
            </w:tcBorders>
          </w:tcPr>
          <w:p w14:paraId="268EDE5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51F58D3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-.19</w:t>
            </w:r>
          </w:p>
        </w:tc>
        <w:tc>
          <w:tcPr>
            <w:tcW w:w="661" w:type="dxa"/>
            <w:tcBorders>
              <w:top w:val="nil"/>
              <w:left w:val="nil"/>
              <w:bottom w:val="nil"/>
              <w:right w:val="nil"/>
            </w:tcBorders>
          </w:tcPr>
          <w:p w14:paraId="54378BB6"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.60***</w:t>
            </w:r>
          </w:p>
        </w:tc>
        <w:tc>
          <w:tcPr>
            <w:tcW w:w="634" w:type="dxa"/>
            <w:tcBorders>
              <w:top w:val="nil"/>
              <w:left w:val="nil"/>
              <w:bottom w:val="nil"/>
              <w:right w:val="nil"/>
            </w:tcBorders>
          </w:tcPr>
          <w:p w14:paraId="71F7B44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30" w:type="dxa"/>
            <w:tcBorders>
              <w:top w:val="nil"/>
              <w:left w:val="nil"/>
              <w:bottom w:val="nil"/>
              <w:right w:val="nil"/>
            </w:tcBorders>
          </w:tcPr>
          <w:p w14:paraId="46CD29D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630" w:type="dxa"/>
            <w:tcBorders>
              <w:top w:val="nil"/>
              <w:left w:val="nil"/>
              <w:bottom w:val="nil"/>
              <w:right w:val="nil"/>
            </w:tcBorders>
          </w:tcPr>
          <w:p w14:paraId="47CA1F2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-.26</w:t>
            </w:r>
          </w:p>
        </w:tc>
        <w:tc>
          <w:tcPr>
            <w:tcW w:w="630" w:type="dxa"/>
            <w:tcBorders>
              <w:top w:val="nil"/>
              <w:left w:val="nil"/>
              <w:bottom w:val="nil"/>
              <w:right w:val="nil"/>
            </w:tcBorders>
          </w:tcPr>
          <w:p w14:paraId="3019E80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.26</w:t>
            </w:r>
          </w:p>
        </w:tc>
        <w:tc>
          <w:tcPr>
            <w:tcW w:w="647" w:type="dxa"/>
            <w:tcBorders>
              <w:top w:val="nil"/>
              <w:left w:val="nil"/>
              <w:bottom w:val="nil"/>
              <w:right w:val="nil"/>
            </w:tcBorders>
          </w:tcPr>
          <w:p w14:paraId="6CE7D5C5"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1500D65D"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C2C618F"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2DA7987F"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1192090C" w14:textId="77777777" w:rsidR="00E60EFD" w:rsidRPr="00E60EFD" w:rsidRDefault="00E60EFD" w:rsidP="00E60EFD">
            <w:pPr>
              <w:jc w:val="center"/>
              <w:rPr>
                <w:rFonts w:ascii="Times New Roman" w:hAnsi="Times New Roman" w:cs="Times New Roman"/>
                <w:sz w:val="16"/>
                <w:szCs w:val="16"/>
              </w:rPr>
            </w:pPr>
          </w:p>
        </w:tc>
      </w:tr>
      <w:tr w:rsidR="00E60EFD" w:rsidRPr="00E60EFD" w14:paraId="6007556E" w14:textId="77777777" w:rsidTr="00E60EFD">
        <w:trPr>
          <w:trHeight w:val="569"/>
        </w:trPr>
        <w:tc>
          <w:tcPr>
            <w:tcW w:w="1257" w:type="dxa"/>
            <w:tcBorders>
              <w:top w:val="nil"/>
              <w:left w:val="nil"/>
              <w:bottom w:val="nil"/>
              <w:right w:val="nil"/>
            </w:tcBorders>
          </w:tcPr>
          <w:p w14:paraId="681508DF"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18. Breakpoint</w:t>
            </w:r>
          </w:p>
        </w:tc>
        <w:tc>
          <w:tcPr>
            <w:tcW w:w="710" w:type="dxa"/>
            <w:tcBorders>
              <w:top w:val="nil"/>
              <w:left w:val="nil"/>
              <w:bottom w:val="nil"/>
              <w:right w:val="nil"/>
            </w:tcBorders>
          </w:tcPr>
          <w:p w14:paraId="0A023FA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.27</w:t>
            </w:r>
          </w:p>
        </w:tc>
        <w:tc>
          <w:tcPr>
            <w:tcW w:w="656" w:type="dxa"/>
            <w:tcBorders>
              <w:top w:val="nil"/>
              <w:left w:val="nil"/>
              <w:bottom w:val="nil"/>
              <w:right w:val="nil"/>
            </w:tcBorders>
          </w:tcPr>
          <w:p w14:paraId="1350F86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56" w:type="dxa"/>
            <w:tcBorders>
              <w:top w:val="nil"/>
              <w:left w:val="nil"/>
              <w:bottom w:val="nil"/>
              <w:right w:val="nil"/>
            </w:tcBorders>
          </w:tcPr>
          <w:p w14:paraId="2456889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95" w:type="dxa"/>
            <w:tcBorders>
              <w:top w:val="nil"/>
              <w:left w:val="nil"/>
              <w:bottom w:val="nil"/>
              <w:right w:val="nil"/>
            </w:tcBorders>
          </w:tcPr>
          <w:p w14:paraId="26C30EC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95" w:type="dxa"/>
            <w:tcBorders>
              <w:top w:val="nil"/>
              <w:left w:val="nil"/>
              <w:bottom w:val="nil"/>
              <w:right w:val="nil"/>
            </w:tcBorders>
          </w:tcPr>
          <w:p w14:paraId="2419CC4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.00</w:t>
            </w:r>
          </w:p>
        </w:tc>
        <w:tc>
          <w:tcPr>
            <w:tcW w:w="694" w:type="dxa"/>
            <w:tcBorders>
              <w:top w:val="nil"/>
              <w:left w:val="nil"/>
              <w:bottom w:val="nil"/>
              <w:right w:val="nil"/>
            </w:tcBorders>
          </w:tcPr>
          <w:p w14:paraId="0CBF2C5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663" w:type="dxa"/>
            <w:tcBorders>
              <w:top w:val="nil"/>
              <w:left w:val="nil"/>
              <w:bottom w:val="nil"/>
              <w:right w:val="nil"/>
            </w:tcBorders>
          </w:tcPr>
          <w:p w14:paraId="1D14F04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63" w:type="dxa"/>
            <w:tcBorders>
              <w:top w:val="nil"/>
              <w:left w:val="nil"/>
              <w:bottom w:val="nil"/>
              <w:right w:val="nil"/>
            </w:tcBorders>
          </w:tcPr>
          <w:p w14:paraId="4753ACF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713" w:type="dxa"/>
            <w:tcBorders>
              <w:top w:val="nil"/>
              <w:left w:val="nil"/>
              <w:bottom w:val="nil"/>
              <w:right w:val="nil"/>
            </w:tcBorders>
          </w:tcPr>
          <w:p w14:paraId="702038C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30" w:type="dxa"/>
            <w:tcBorders>
              <w:top w:val="nil"/>
              <w:left w:val="nil"/>
              <w:bottom w:val="nil"/>
              <w:right w:val="nil"/>
            </w:tcBorders>
          </w:tcPr>
          <w:p w14:paraId="1F2F267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6EE2E2D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61" w:type="dxa"/>
            <w:tcBorders>
              <w:top w:val="nil"/>
              <w:left w:val="nil"/>
              <w:bottom w:val="nil"/>
              <w:right w:val="nil"/>
            </w:tcBorders>
          </w:tcPr>
          <w:p w14:paraId="1126375E"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.28*</w:t>
            </w:r>
          </w:p>
        </w:tc>
        <w:tc>
          <w:tcPr>
            <w:tcW w:w="634" w:type="dxa"/>
            <w:tcBorders>
              <w:top w:val="nil"/>
              <w:left w:val="nil"/>
              <w:bottom w:val="nil"/>
              <w:right w:val="nil"/>
            </w:tcBorders>
          </w:tcPr>
          <w:p w14:paraId="0226C70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24ADFBA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30" w:type="dxa"/>
            <w:tcBorders>
              <w:top w:val="nil"/>
              <w:left w:val="nil"/>
              <w:bottom w:val="nil"/>
              <w:right w:val="nil"/>
            </w:tcBorders>
          </w:tcPr>
          <w:p w14:paraId="419C4B0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30" w:type="dxa"/>
            <w:tcBorders>
              <w:top w:val="nil"/>
              <w:left w:val="nil"/>
              <w:bottom w:val="nil"/>
              <w:right w:val="nil"/>
            </w:tcBorders>
          </w:tcPr>
          <w:p w14:paraId="23F6303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.15</w:t>
            </w:r>
          </w:p>
        </w:tc>
        <w:tc>
          <w:tcPr>
            <w:tcW w:w="647" w:type="dxa"/>
            <w:tcBorders>
              <w:top w:val="nil"/>
              <w:left w:val="nil"/>
              <w:bottom w:val="nil"/>
              <w:right w:val="nil"/>
            </w:tcBorders>
          </w:tcPr>
          <w:p w14:paraId="36A4996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710" w:type="dxa"/>
            <w:tcBorders>
              <w:top w:val="nil"/>
              <w:left w:val="nil"/>
              <w:bottom w:val="nil"/>
              <w:right w:val="nil"/>
            </w:tcBorders>
          </w:tcPr>
          <w:p w14:paraId="639ED691"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F9A6F10"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42A3925A"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183262DC" w14:textId="77777777" w:rsidR="00E60EFD" w:rsidRPr="00E60EFD" w:rsidRDefault="00E60EFD" w:rsidP="00E60EFD">
            <w:pPr>
              <w:jc w:val="center"/>
              <w:rPr>
                <w:rFonts w:ascii="Times New Roman" w:hAnsi="Times New Roman" w:cs="Times New Roman"/>
                <w:sz w:val="16"/>
                <w:szCs w:val="16"/>
              </w:rPr>
            </w:pPr>
          </w:p>
        </w:tc>
      </w:tr>
      <w:tr w:rsidR="00E60EFD" w:rsidRPr="00E60EFD" w14:paraId="6BDCFFBD" w14:textId="77777777" w:rsidTr="00E60EFD">
        <w:trPr>
          <w:trHeight w:val="483"/>
        </w:trPr>
        <w:tc>
          <w:tcPr>
            <w:tcW w:w="1257" w:type="dxa"/>
            <w:tcBorders>
              <w:top w:val="nil"/>
              <w:left w:val="nil"/>
              <w:bottom w:val="nil"/>
              <w:right w:val="nil"/>
            </w:tcBorders>
          </w:tcPr>
          <w:p w14:paraId="1465500E"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 xml:space="preserve">19. </w:t>
            </w:r>
            <w:proofErr w:type="spellStart"/>
            <w:r w:rsidRPr="00E60EFD">
              <w:rPr>
                <w:rFonts w:ascii="Times New Roman" w:hAnsi="Times New Roman" w:cs="Times New Roman"/>
                <w:sz w:val="16"/>
                <w:szCs w:val="16"/>
              </w:rPr>
              <w:t>Omax</w:t>
            </w:r>
            <w:proofErr w:type="spellEnd"/>
          </w:p>
        </w:tc>
        <w:tc>
          <w:tcPr>
            <w:tcW w:w="710" w:type="dxa"/>
            <w:tcBorders>
              <w:top w:val="nil"/>
              <w:left w:val="nil"/>
              <w:bottom w:val="nil"/>
              <w:right w:val="nil"/>
            </w:tcBorders>
          </w:tcPr>
          <w:p w14:paraId="0DBCDC9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56" w:type="dxa"/>
            <w:tcBorders>
              <w:top w:val="nil"/>
              <w:left w:val="nil"/>
              <w:bottom w:val="nil"/>
              <w:right w:val="nil"/>
            </w:tcBorders>
          </w:tcPr>
          <w:p w14:paraId="216651F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-.17</w:t>
            </w:r>
          </w:p>
        </w:tc>
        <w:tc>
          <w:tcPr>
            <w:tcW w:w="656" w:type="dxa"/>
            <w:tcBorders>
              <w:top w:val="nil"/>
              <w:left w:val="nil"/>
              <w:bottom w:val="nil"/>
              <w:right w:val="nil"/>
            </w:tcBorders>
          </w:tcPr>
          <w:p w14:paraId="6D6409E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95" w:type="dxa"/>
            <w:tcBorders>
              <w:top w:val="nil"/>
              <w:left w:val="nil"/>
              <w:bottom w:val="nil"/>
              <w:right w:val="nil"/>
            </w:tcBorders>
          </w:tcPr>
          <w:p w14:paraId="31DE0A6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95" w:type="dxa"/>
            <w:tcBorders>
              <w:top w:val="nil"/>
              <w:left w:val="nil"/>
              <w:bottom w:val="nil"/>
              <w:right w:val="nil"/>
            </w:tcBorders>
          </w:tcPr>
          <w:p w14:paraId="2E42504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-.09</w:t>
            </w:r>
          </w:p>
        </w:tc>
        <w:tc>
          <w:tcPr>
            <w:tcW w:w="694" w:type="dxa"/>
            <w:tcBorders>
              <w:top w:val="nil"/>
              <w:left w:val="nil"/>
              <w:bottom w:val="nil"/>
              <w:right w:val="nil"/>
            </w:tcBorders>
          </w:tcPr>
          <w:p w14:paraId="410DE65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63" w:type="dxa"/>
            <w:tcBorders>
              <w:top w:val="nil"/>
              <w:left w:val="nil"/>
              <w:bottom w:val="nil"/>
              <w:right w:val="nil"/>
            </w:tcBorders>
          </w:tcPr>
          <w:p w14:paraId="4D49924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63" w:type="dxa"/>
            <w:tcBorders>
              <w:top w:val="nil"/>
              <w:left w:val="nil"/>
              <w:bottom w:val="nil"/>
              <w:right w:val="nil"/>
            </w:tcBorders>
          </w:tcPr>
          <w:p w14:paraId="1A7EB53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-.21</w:t>
            </w:r>
          </w:p>
        </w:tc>
        <w:tc>
          <w:tcPr>
            <w:tcW w:w="713" w:type="dxa"/>
            <w:tcBorders>
              <w:top w:val="nil"/>
              <w:left w:val="nil"/>
              <w:bottom w:val="nil"/>
              <w:right w:val="nil"/>
            </w:tcBorders>
          </w:tcPr>
          <w:p w14:paraId="09FAFAF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30" w:type="dxa"/>
            <w:tcBorders>
              <w:top w:val="nil"/>
              <w:left w:val="nil"/>
              <w:bottom w:val="nil"/>
              <w:right w:val="nil"/>
            </w:tcBorders>
          </w:tcPr>
          <w:p w14:paraId="7C7B86F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-.20</w:t>
            </w:r>
          </w:p>
        </w:tc>
        <w:tc>
          <w:tcPr>
            <w:tcW w:w="630" w:type="dxa"/>
            <w:tcBorders>
              <w:top w:val="nil"/>
              <w:left w:val="nil"/>
              <w:bottom w:val="nil"/>
              <w:right w:val="nil"/>
            </w:tcBorders>
          </w:tcPr>
          <w:p w14:paraId="29F671E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61" w:type="dxa"/>
            <w:tcBorders>
              <w:top w:val="nil"/>
              <w:left w:val="nil"/>
              <w:bottom w:val="nil"/>
              <w:right w:val="nil"/>
            </w:tcBorders>
          </w:tcPr>
          <w:p w14:paraId="6E7C643C"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.44**</w:t>
            </w:r>
          </w:p>
        </w:tc>
        <w:tc>
          <w:tcPr>
            <w:tcW w:w="634" w:type="dxa"/>
            <w:tcBorders>
              <w:top w:val="nil"/>
              <w:left w:val="nil"/>
              <w:bottom w:val="nil"/>
              <w:right w:val="nil"/>
            </w:tcBorders>
          </w:tcPr>
          <w:p w14:paraId="351E504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30" w:type="dxa"/>
            <w:tcBorders>
              <w:top w:val="nil"/>
              <w:left w:val="nil"/>
              <w:bottom w:val="nil"/>
              <w:right w:val="nil"/>
            </w:tcBorders>
          </w:tcPr>
          <w:p w14:paraId="66FA7EA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-.12</w:t>
            </w:r>
          </w:p>
        </w:tc>
        <w:tc>
          <w:tcPr>
            <w:tcW w:w="630" w:type="dxa"/>
            <w:tcBorders>
              <w:top w:val="nil"/>
              <w:left w:val="nil"/>
              <w:bottom w:val="nil"/>
              <w:right w:val="nil"/>
            </w:tcBorders>
          </w:tcPr>
          <w:p w14:paraId="32D96B64"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.00</w:t>
            </w:r>
          </w:p>
        </w:tc>
        <w:tc>
          <w:tcPr>
            <w:tcW w:w="630" w:type="dxa"/>
            <w:tcBorders>
              <w:top w:val="nil"/>
              <w:left w:val="nil"/>
              <w:bottom w:val="nil"/>
              <w:right w:val="nil"/>
            </w:tcBorders>
          </w:tcPr>
          <w:p w14:paraId="59F9A0EF"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47" w:type="dxa"/>
            <w:tcBorders>
              <w:top w:val="nil"/>
              <w:left w:val="nil"/>
              <w:bottom w:val="nil"/>
              <w:right w:val="nil"/>
            </w:tcBorders>
          </w:tcPr>
          <w:p w14:paraId="589FE736"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.39**</w:t>
            </w:r>
          </w:p>
        </w:tc>
        <w:tc>
          <w:tcPr>
            <w:tcW w:w="710" w:type="dxa"/>
            <w:tcBorders>
              <w:top w:val="nil"/>
              <w:left w:val="nil"/>
              <w:bottom w:val="nil"/>
              <w:right w:val="nil"/>
            </w:tcBorders>
          </w:tcPr>
          <w:p w14:paraId="0975DC29"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.63***</w:t>
            </w:r>
          </w:p>
        </w:tc>
        <w:tc>
          <w:tcPr>
            <w:tcW w:w="710" w:type="dxa"/>
            <w:tcBorders>
              <w:top w:val="nil"/>
              <w:left w:val="nil"/>
              <w:bottom w:val="nil"/>
              <w:right w:val="nil"/>
            </w:tcBorders>
          </w:tcPr>
          <w:p w14:paraId="098BC6B2" w14:textId="77777777" w:rsidR="00E60EFD" w:rsidRPr="00E60EFD" w:rsidRDefault="00E60EFD" w:rsidP="00E60EFD">
            <w:pPr>
              <w:jc w:val="center"/>
              <w:rPr>
                <w:rFonts w:ascii="Times New Roman" w:hAnsi="Times New Roman" w:cs="Times New Roman"/>
                <w:sz w:val="16"/>
                <w:szCs w:val="16"/>
              </w:rPr>
            </w:pPr>
          </w:p>
        </w:tc>
        <w:tc>
          <w:tcPr>
            <w:tcW w:w="710" w:type="dxa"/>
            <w:tcBorders>
              <w:top w:val="nil"/>
              <w:left w:val="nil"/>
              <w:bottom w:val="nil"/>
              <w:right w:val="nil"/>
            </w:tcBorders>
          </w:tcPr>
          <w:p w14:paraId="52525E2C"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3CF3B113" w14:textId="77777777" w:rsidR="00E60EFD" w:rsidRPr="00E60EFD" w:rsidRDefault="00E60EFD" w:rsidP="00E60EFD">
            <w:pPr>
              <w:jc w:val="center"/>
              <w:rPr>
                <w:rFonts w:ascii="Times New Roman" w:hAnsi="Times New Roman" w:cs="Times New Roman"/>
                <w:sz w:val="16"/>
                <w:szCs w:val="16"/>
              </w:rPr>
            </w:pPr>
          </w:p>
        </w:tc>
      </w:tr>
      <w:tr w:rsidR="00E60EFD" w:rsidRPr="00E60EFD" w14:paraId="04BCCE41" w14:textId="77777777" w:rsidTr="00E60EFD">
        <w:trPr>
          <w:trHeight w:val="516"/>
        </w:trPr>
        <w:tc>
          <w:tcPr>
            <w:tcW w:w="1257" w:type="dxa"/>
            <w:tcBorders>
              <w:top w:val="nil"/>
              <w:left w:val="nil"/>
              <w:bottom w:val="nil"/>
              <w:right w:val="nil"/>
            </w:tcBorders>
          </w:tcPr>
          <w:p w14:paraId="184BEDB3"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20. Pmax</w:t>
            </w:r>
          </w:p>
        </w:tc>
        <w:tc>
          <w:tcPr>
            <w:tcW w:w="710" w:type="dxa"/>
            <w:tcBorders>
              <w:top w:val="nil"/>
              <w:left w:val="nil"/>
              <w:bottom w:val="nil"/>
              <w:right w:val="nil"/>
            </w:tcBorders>
          </w:tcPr>
          <w:p w14:paraId="33EA9F34"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.32*</w:t>
            </w:r>
          </w:p>
        </w:tc>
        <w:tc>
          <w:tcPr>
            <w:tcW w:w="656" w:type="dxa"/>
            <w:tcBorders>
              <w:top w:val="nil"/>
              <w:left w:val="nil"/>
              <w:bottom w:val="nil"/>
              <w:right w:val="nil"/>
            </w:tcBorders>
          </w:tcPr>
          <w:p w14:paraId="4AEA6A0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-.18</w:t>
            </w:r>
          </w:p>
        </w:tc>
        <w:tc>
          <w:tcPr>
            <w:tcW w:w="656" w:type="dxa"/>
            <w:tcBorders>
              <w:top w:val="nil"/>
              <w:left w:val="nil"/>
              <w:bottom w:val="nil"/>
              <w:right w:val="nil"/>
            </w:tcBorders>
          </w:tcPr>
          <w:p w14:paraId="1DF35E9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95" w:type="dxa"/>
            <w:tcBorders>
              <w:top w:val="nil"/>
              <w:left w:val="nil"/>
              <w:bottom w:val="nil"/>
              <w:right w:val="nil"/>
            </w:tcBorders>
          </w:tcPr>
          <w:p w14:paraId="1C80E05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-.07</w:t>
            </w:r>
          </w:p>
        </w:tc>
        <w:tc>
          <w:tcPr>
            <w:tcW w:w="695" w:type="dxa"/>
            <w:tcBorders>
              <w:top w:val="nil"/>
              <w:left w:val="nil"/>
              <w:bottom w:val="nil"/>
              <w:right w:val="nil"/>
            </w:tcBorders>
          </w:tcPr>
          <w:p w14:paraId="172A108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94" w:type="dxa"/>
            <w:tcBorders>
              <w:top w:val="nil"/>
              <w:left w:val="nil"/>
              <w:bottom w:val="nil"/>
              <w:right w:val="nil"/>
            </w:tcBorders>
          </w:tcPr>
          <w:p w14:paraId="43C94FC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63" w:type="dxa"/>
            <w:tcBorders>
              <w:top w:val="nil"/>
              <w:left w:val="nil"/>
              <w:bottom w:val="nil"/>
              <w:right w:val="nil"/>
            </w:tcBorders>
          </w:tcPr>
          <w:p w14:paraId="1D076B3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63" w:type="dxa"/>
            <w:tcBorders>
              <w:top w:val="nil"/>
              <w:left w:val="nil"/>
              <w:bottom w:val="nil"/>
              <w:right w:val="nil"/>
            </w:tcBorders>
          </w:tcPr>
          <w:p w14:paraId="40A95E4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713" w:type="dxa"/>
            <w:tcBorders>
              <w:top w:val="nil"/>
              <w:left w:val="nil"/>
              <w:bottom w:val="nil"/>
              <w:right w:val="nil"/>
            </w:tcBorders>
          </w:tcPr>
          <w:p w14:paraId="3C93555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30" w:type="dxa"/>
            <w:tcBorders>
              <w:top w:val="nil"/>
              <w:left w:val="nil"/>
              <w:bottom w:val="nil"/>
              <w:right w:val="nil"/>
            </w:tcBorders>
          </w:tcPr>
          <w:p w14:paraId="7B3E9CC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30" w:type="dxa"/>
            <w:tcBorders>
              <w:top w:val="nil"/>
              <w:left w:val="nil"/>
              <w:bottom w:val="nil"/>
              <w:right w:val="nil"/>
            </w:tcBorders>
          </w:tcPr>
          <w:p w14:paraId="2C10C5B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61" w:type="dxa"/>
            <w:tcBorders>
              <w:top w:val="nil"/>
              <w:left w:val="nil"/>
              <w:bottom w:val="nil"/>
              <w:right w:val="nil"/>
            </w:tcBorders>
          </w:tcPr>
          <w:p w14:paraId="1A7E1EC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34" w:type="dxa"/>
            <w:tcBorders>
              <w:top w:val="nil"/>
              <w:left w:val="nil"/>
              <w:bottom w:val="nil"/>
              <w:right w:val="nil"/>
            </w:tcBorders>
          </w:tcPr>
          <w:p w14:paraId="73707B1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-.23</w:t>
            </w:r>
          </w:p>
        </w:tc>
        <w:tc>
          <w:tcPr>
            <w:tcW w:w="630" w:type="dxa"/>
            <w:tcBorders>
              <w:top w:val="nil"/>
              <w:left w:val="nil"/>
              <w:bottom w:val="nil"/>
              <w:right w:val="nil"/>
            </w:tcBorders>
          </w:tcPr>
          <w:p w14:paraId="3D2EC1F3"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-.20</w:t>
            </w:r>
          </w:p>
        </w:tc>
        <w:tc>
          <w:tcPr>
            <w:tcW w:w="630" w:type="dxa"/>
            <w:tcBorders>
              <w:top w:val="nil"/>
              <w:left w:val="nil"/>
              <w:bottom w:val="nil"/>
              <w:right w:val="nil"/>
            </w:tcBorders>
          </w:tcPr>
          <w:p w14:paraId="45D361B7"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-.06</w:t>
            </w:r>
          </w:p>
        </w:tc>
        <w:tc>
          <w:tcPr>
            <w:tcW w:w="630" w:type="dxa"/>
            <w:tcBorders>
              <w:top w:val="nil"/>
              <w:left w:val="nil"/>
              <w:bottom w:val="nil"/>
              <w:right w:val="nil"/>
            </w:tcBorders>
          </w:tcPr>
          <w:p w14:paraId="59588C8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.10</w:t>
            </w:r>
          </w:p>
        </w:tc>
        <w:tc>
          <w:tcPr>
            <w:tcW w:w="647" w:type="dxa"/>
            <w:tcBorders>
              <w:top w:val="nil"/>
              <w:left w:val="nil"/>
              <w:bottom w:val="nil"/>
              <w:right w:val="nil"/>
            </w:tcBorders>
          </w:tcPr>
          <w:p w14:paraId="3514428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710" w:type="dxa"/>
            <w:tcBorders>
              <w:top w:val="nil"/>
              <w:left w:val="nil"/>
              <w:bottom w:val="nil"/>
              <w:right w:val="nil"/>
            </w:tcBorders>
          </w:tcPr>
          <w:p w14:paraId="654A12CE"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.82***</w:t>
            </w:r>
          </w:p>
        </w:tc>
        <w:tc>
          <w:tcPr>
            <w:tcW w:w="710" w:type="dxa"/>
            <w:tcBorders>
              <w:top w:val="nil"/>
              <w:left w:val="nil"/>
              <w:bottom w:val="nil"/>
              <w:right w:val="nil"/>
            </w:tcBorders>
          </w:tcPr>
          <w:p w14:paraId="65C06524"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.66***</w:t>
            </w:r>
          </w:p>
        </w:tc>
        <w:tc>
          <w:tcPr>
            <w:tcW w:w="710" w:type="dxa"/>
            <w:tcBorders>
              <w:top w:val="nil"/>
              <w:left w:val="nil"/>
              <w:bottom w:val="nil"/>
              <w:right w:val="nil"/>
            </w:tcBorders>
          </w:tcPr>
          <w:p w14:paraId="20F4FD08" w14:textId="77777777" w:rsidR="00E60EFD" w:rsidRPr="00E60EFD" w:rsidRDefault="00E60EFD" w:rsidP="00E60EFD">
            <w:pPr>
              <w:jc w:val="center"/>
              <w:rPr>
                <w:rFonts w:ascii="Times New Roman" w:hAnsi="Times New Roman" w:cs="Times New Roman"/>
                <w:sz w:val="16"/>
                <w:szCs w:val="16"/>
              </w:rPr>
            </w:pPr>
          </w:p>
        </w:tc>
        <w:tc>
          <w:tcPr>
            <w:tcW w:w="620" w:type="dxa"/>
            <w:tcBorders>
              <w:top w:val="nil"/>
              <w:left w:val="nil"/>
              <w:bottom w:val="nil"/>
              <w:right w:val="nil"/>
            </w:tcBorders>
          </w:tcPr>
          <w:p w14:paraId="719BE569" w14:textId="77777777" w:rsidR="00E60EFD" w:rsidRPr="00E60EFD" w:rsidRDefault="00E60EFD" w:rsidP="00E60EFD">
            <w:pPr>
              <w:jc w:val="center"/>
              <w:rPr>
                <w:rFonts w:ascii="Times New Roman" w:hAnsi="Times New Roman" w:cs="Times New Roman"/>
                <w:sz w:val="16"/>
                <w:szCs w:val="16"/>
              </w:rPr>
            </w:pPr>
          </w:p>
        </w:tc>
      </w:tr>
      <w:tr w:rsidR="00E60EFD" w:rsidRPr="00E60EFD" w14:paraId="0CD78712" w14:textId="77777777" w:rsidTr="00E60EFD">
        <w:trPr>
          <w:trHeight w:val="551"/>
        </w:trPr>
        <w:tc>
          <w:tcPr>
            <w:tcW w:w="1257" w:type="dxa"/>
            <w:tcBorders>
              <w:top w:val="nil"/>
              <w:left w:val="nil"/>
              <w:bottom w:val="single" w:sz="18" w:space="0" w:color="auto"/>
              <w:right w:val="nil"/>
            </w:tcBorders>
          </w:tcPr>
          <w:p w14:paraId="5A4156AC" w14:textId="77777777" w:rsidR="00E60EFD" w:rsidRPr="00E60EFD" w:rsidRDefault="00E60EFD" w:rsidP="00E60EFD">
            <w:pPr>
              <w:rPr>
                <w:rFonts w:ascii="Times New Roman" w:hAnsi="Times New Roman" w:cs="Times New Roman"/>
                <w:sz w:val="16"/>
                <w:szCs w:val="16"/>
              </w:rPr>
            </w:pPr>
            <w:r w:rsidRPr="00E60EFD">
              <w:rPr>
                <w:rFonts w:ascii="Times New Roman" w:hAnsi="Times New Roman" w:cs="Times New Roman"/>
                <w:sz w:val="16"/>
                <w:szCs w:val="16"/>
              </w:rPr>
              <w:t>21. Elasticity</w:t>
            </w:r>
          </w:p>
        </w:tc>
        <w:tc>
          <w:tcPr>
            <w:tcW w:w="710" w:type="dxa"/>
            <w:tcBorders>
              <w:top w:val="nil"/>
              <w:left w:val="nil"/>
              <w:bottom w:val="single" w:sz="18" w:space="0" w:color="auto"/>
              <w:right w:val="nil"/>
            </w:tcBorders>
          </w:tcPr>
          <w:p w14:paraId="17A6F42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56" w:type="dxa"/>
            <w:tcBorders>
              <w:top w:val="nil"/>
              <w:left w:val="nil"/>
              <w:bottom w:val="single" w:sz="18" w:space="0" w:color="auto"/>
              <w:right w:val="nil"/>
            </w:tcBorders>
          </w:tcPr>
          <w:p w14:paraId="7AF06230"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56" w:type="dxa"/>
            <w:tcBorders>
              <w:top w:val="nil"/>
              <w:left w:val="nil"/>
              <w:bottom w:val="single" w:sz="18" w:space="0" w:color="auto"/>
              <w:right w:val="nil"/>
            </w:tcBorders>
          </w:tcPr>
          <w:p w14:paraId="72F3C13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.04</w:t>
            </w:r>
          </w:p>
        </w:tc>
        <w:tc>
          <w:tcPr>
            <w:tcW w:w="695" w:type="dxa"/>
            <w:tcBorders>
              <w:top w:val="nil"/>
              <w:left w:val="nil"/>
              <w:bottom w:val="single" w:sz="18" w:space="0" w:color="auto"/>
              <w:right w:val="nil"/>
            </w:tcBorders>
          </w:tcPr>
          <w:p w14:paraId="0C48963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-.13</w:t>
            </w:r>
          </w:p>
        </w:tc>
        <w:tc>
          <w:tcPr>
            <w:tcW w:w="695" w:type="dxa"/>
            <w:tcBorders>
              <w:top w:val="nil"/>
              <w:left w:val="nil"/>
              <w:bottom w:val="single" w:sz="18" w:space="0" w:color="auto"/>
              <w:right w:val="nil"/>
            </w:tcBorders>
          </w:tcPr>
          <w:p w14:paraId="57B805E9"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.05</w:t>
            </w:r>
          </w:p>
        </w:tc>
        <w:tc>
          <w:tcPr>
            <w:tcW w:w="694" w:type="dxa"/>
            <w:tcBorders>
              <w:top w:val="nil"/>
              <w:left w:val="nil"/>
              <w:bottom w:val="single" w:sz="18" w:space="0" w:color="auto"/>
              <w:right w:val="nil"/>
            </w:tcBorders>
          </w:tcPr>
          <w:p w14:paraId="49C7A97D"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63" w:type="dxa"/>
            <w:tcBorders>
              <w:top w:val="nil"/>
              <w:left w:val="nil"/>
              <w:bottom w:val="single" w:sz="18" w:space="0" w:color="auto"/>
              <w:right w:val="nil"/>
            </w:tcBorders>
          </w:tcPr>
          <w:p w14:paraId="0BBE0531"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-.02</w:t>
            </w:r>
          </w:p>
        </w:tc>
        <w:tc>
          <w:tcPr>
            <w:tcW w:w="663" w:type="dxa"/>
            <w:tcBorders>
              <w:top w:val="nil"/>
              <w:left w:val="nil"/>
              <w:bottom w:val="single" w:sz="18" w:space="0" w:color="auto"/>
              <w:right w:val="nil"/>
            </w:tcBorders>
          </w:tcPr>
          <w:p w14:paraId="13D9E80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.14</w:t>
            </w:r>
          </w:p>
        </w:tc>
        <w:tc>
          <w:tcPr>
            <w:tcW w:w="713" w:type="dxa"/>
            <w:tcBorders>
              <w:top w:val="nil"/>
              <w:left w:val="nil"/>
              <w:bottom w:val="single" w:sz="18" w:space="0" w:color="auto"/>
              <w:right w:val="nil"/>
            </w:tcBorders>
          </w:tcPr>
          <w:p w14:paraId="29A7AD2A"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-.01</w:t>
            </w:r>
          </w:p>
        </w:tc>
        <w:tc>
          <w:tcPr>
            <w:tcW w:w="630" w:type="dxa"/>
            <w:tcBorders>
              <w:top w:val="nil"/>
              <w:left w:val="nil"/>
              <w:bottom w:val="single" w:sz="18" w:space="0" w:color="auto"/>
              <w:right w:val="nil"/>
            </w:tcBorders>
          </w:tcPr>
          <w:p w14:paraId="20AADC75"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30" w:type="dxa"/>
            <w:tcBorders>
              <w:top w:val="nil"/>
              <w:left w:val="nil"/>
              <w:bottom w:val="single" w:sz="18" w:space="0" w:color="auto"/>
              <w:right w:val="nil"/>
            </w:tcBorders>
          </w:tcPr>
          <w:p w14:paraId="55D830D2"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-.08</w:t>
            </w:r>
          </w:p>
        </w:tc>
        <w:tc>
          <w:tcPr>
            <w:tcW w:w="661" w:type="dxa"/>
            <w:tcBorders>
              <w:top w:val="nil"/>
              <w:left w:val="nil"/>
              <w:bottom w:val="single" w:sz="18" w:space="0" w:color="auto"/>
              <w:right w:val="nil"/>
            </w:tcBorders>
          </w:tcPr>
          <w:p w14:paraId="61D5CA98"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-.43**</w:t>
            </w:r>
          </w:p>
        </w:tc>
        <w:tc>
          <w:tcPr>
            <w:tcW w:w="634" w:type="dxa"/>
            <w:tcBorders>
              <w:top w:val="nil"/>
              <w:left w:val="nil"/>
              <w:bottom w:val="single" w:sz="18" w:space="0" w:color="auto"/>
              <w:right w:val="nil"/>
            </w:tcBorders>
          </w:tcPr>
          <w:p w14:paraId="61CA0F0B"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.16</w:t>
            </w:r>
          </w:p>
        </w:tc>
        <w:tc>
          <w:tcPr>
            <w:tcW w:w="630" w:type="dxa"/>
            <w:tcBorders>
              <w:top w:val="nil"/>
              <w:left w:val="nil"/>
              <w:bottom w:val="single" w:sz="18" w:space="0" w:color="auto"/>
              <w:right w:val="nil"/>
            </w:tcBorders>
          </w:tcPr>
          <w:p w14:paraId="1FB0136E"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30" w:type="dxa"/>
            <w:tcBorders>
              <w:top w:val="nil"/>
              <w:left w:val="nil"/>
              <w:bottom w:val="single" w:sz="18" w:space="0" w:color="auto"/>
              <w:right w:val="nil"/>
            </w:tcBorders>
          </w:tcPr>
          <w:p w14:paraId="40E63528"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-.03</w:t>
            </w:r>
          </w:p>
        </w:tc>
        <w:tc>
          <w:tcPr>
            <w:tcW w:w="630" w:type="dxa"/>
            <w:tcBorders>
              <w:top w:val="nil"/>
              <w:left w:val="nil"/>
              <w:bottom w:val="single" w:sz="18" w:space="0" w:color="auto"/>
              <w:right w:val="nil"/>
            </w:tcBorders>
          </w:tcPr>
          <w:p w14:paraId="5A922356"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-.11</w:t>
            </w:r>
          </w:p>
        </w:tc>
        <w:tc>
          <w:tcPr>
            <w:tcW w:w="647" w:type="dxa"/>
            <w:tcBorders>
              <w:top w:val="nil"/>
              <w:left w:val="nil"/>
              <w:bottom w:val="single" w:sz="18" w:space="0" w:color="auto"/>
              <w:right w:val="nil"/>
            </w:tcBorders>
          </w:tcPr>
          <w:p w14:paraId="336271FC" w14:textId="77777777" w:rsidR="00E60EFD" w:rsidRPr="00E60EFD" w:rsidRDefault="00E60EFD" w:rsidP="00E60EFD">
            <w:pPr>
              <w:jc w:val="center"/>
              <w:rPr>
                <w:rFonts w:ascii="Times New Roman" w:hAnsi="Times New Roman" w:cs="Times New Roman"/>
                <w:sz w:val="16"/>
                <w:szCs w:val="16"/>
              </w:rPr>
            </w:pPr>
            <w:r w:rsidRPr="00E60EFD">
              <w:rPr>
                <w:rFonts w:ascii="Times New Roman" w:hAnsi="Times New Roman" w:cs="Times New Roman"/>
                <w:sz w:val="16"/>
                <w:szCs w:val="16"/>
              </w:rPr>
              <w:t>-.27</w:t>
            </w:r>
          </w:p>
        </w:tc>
        <w:tc>
          <w:tcPr>
            <w:tcW w:w="710" w:type="dxa"/>
            <w:tcBorders>
              <w:top w:val="nil"/>
              <w:left w:val="nil"/>
              <w:bottom w:val="single" w:sz="18" w:space="0" w:color="auto"/>
              <w:right w:val="nil"/>
            </w:tcBorders>
          </w:tcPr>
          <w:p w14:paraId="62BB9EEC"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-.67***</w:t>
            </w:r>
          </w:p>
        </w:tc>
        <w:tc>
          <w:tcPr>
            <w:tcW w:w="710" w:type="dxa"/>
            <w:tcBorders>
              <w:top w:val="nil"/>
              <w:left w:val="nil"/>
              <w:bottom w:val="single" w:sz="18" w:space="0" w:color="auto"/>
              <w:right w:val="nil"/>
            </w:tcBorders>
          </w:tcPr>
          <w:p w14:paraId="52CC9D6C"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-.93***</w:t>
            </w:r>
          </w:p>
        </w:tc>
        <w:tc>
          <w:tcPr>
            <w:tcW w:w="710" w:type="dxa"/>
            <w:tcBorders>
              <w:top w:val="nil"/>
              <w:left w:val="nil"/>
              <w:bottom w:val="single" w:sz="18" w:space="0" w:color="auto"/>
              <w:right w:val="nil"/>
            </w:tcBorders>
          </w:tcPr>
          <w:p w14:paraId="0EC02256" w14:textId="77777777" w:rsidR="00E60EFD" w:rsidRPr="00E60EFD" w:rsidRDefault="00E60EFD" w:rsidP="00E60EFD">
            <w:pPr>
              <w:jc w:val="center"/>
              <w:rPr>
                <w:rFonts w:ascii="Times New Roman" w:hAnsi="Times New Roman" w:cs="Times New Roman"/>
                <w:b/>
                <w:bCs/>
                <w:sz w:val="16"/>
                <w:szCs w:val="16"/>
              </w:rPr>
            </w:pPr>
            <w:r w:rsidRPr="00E60EFD">
              <w:rPr>
                <w:rFonts w:ascii="Times New Roman" w:hAnsi="Times New Roman" w:cs="Times New Roman"/>
                <w:b/>
                <w:bCs/>
                <w:sz w:val="16"/>
                <w:szCs w:val="16"/>
              </w:rPr>
              <w:t>-.62***</w:t>
            </w:r>
          </w:p>
        </w:tc>
        <w:tc>
          <w:tcPr>
            <w:tcW w:w="620" w:type="dxa"/>
            <w:tcBorders>
              <w:top w:val="nil"/>
              <w:left w:val="nil"/>
              <w:bottom w:val="single" w:sz="18" w:space="0" w:color="auto"/>
              <w:right w:val="nil"/>
            </w:tcBorders>
          </w:tcPr>
          <w:p w14:paraId="7BF1F882" w14:textId="77777777" w:rsidR="00E60EFD" w:rsidRPr="00E60EFD" w:rsidRDefault="00E60EFD" w:rsidP="00E60EFD">
            <w:pPr>
              <w:jc w:val="center"/>
              <w:rPr>
                <w:rFonts w:ascii="Times New Roman" w:hAnsi="Times New Roman" w:cs="Times New Roman"/>
                <w:sz w:val="16"/>
                <w:szCs w:val="16"/>
              </w:rPr>
            </w:pPr>
          </w:p>
        </w:tc>
      </w:tr>
    </w:tbl>
    <w:p w14:paraId="45F4FE9C" w14:textId="77777777" w:rsidR="00E60EFD" w:rsidRPr="00E60EFD" w:rsidRDefault="00E60EFD" w:rsidP="00E60EFD">
      <w:pPr>
        <w:spacing w:line="480" w:lineRule="auto"/>
        <w:ind w:left="-567"/>
        <w:rPr>
          <w:rFonts w:ascii="Times New Roman" w:eastAsia="DengXian" w:hAnsi="Times New Roman" w:cs="Times New Roman"/>
          <w:lang w:eastAsia="zh-CN"/>
        </w:rPr>
      </w:pPr>
      <w:r w:rsidRPr="00E60EFD">
        <w:rPr>
          <w:rFonts w:ascii="Times New Roman" w:eastAsia="DengXian" w:hAnsi="Times New Roman" w:cs="Times New Roman"/>
          <w:i/>
          <w:iCs/>
          <w:lang w:eastAsia="zh-CN"/>
        </w:rPr>
        <w:t>Note.</w:t>
      </w:r>
      <w:r w:rsidRPr="00E60EFD">
        <w:rPr>
          <w:rFonts w:ascii="Times New Roman" w:eastAsia="DengXian" w:hAnsi="Times New Roman" w:cs="Times New Roman"/>
          <w:lang w:eastAsia="zh-CN"/>
        </w:rPr>
        <w:t xml:space="preserve"> (N) = negative mood condition; (P) = positive mood condition. Bold text indicates statistical significance. ***</w:t>
      </w:r>
      <w:r w:rsidRPr="00E60EFD">
        <w:rPr>
          <w:rFonts w:ascii="Times New Roman" w:eastAsia="DengXian" w:hAnsi="Times New Roman" w:cs="Times New Roman"/>
          <w:i/>
          <w:iCs/>
          <w:lang w:eastAsia="zh-CN"/>
        </w:rPr>
        <w:t>p</w:t>
      </w:r>
      <w:r w:rsidRPr="00E60EFD">
        <w:rPr>
          <w:rFonts w:ascii="Times New Roman" w:eastAsia="DengXian" w:hAnsi="Times New Roman" w:cs="Times New Roman"/>
          <w:lang w:eastAsia="zh-CN"/>
        </w:rPr>
        <w:t xml:space="preserve"> &lt; .001, **</w:t>
      </w:r>
      <w:r w:rsidRPr="00E60EFD">
        <w:rPr>
          <w:rFonts w:ascii="Times New Roman" w:eastAsia="DengXian" w:hAnsi="Times New Roman" w:cs="Times New Roman"/>
          <w:i/>
          <w:iCs/>
          <w:lang w:eastAsia="zh-CN"/>
        </w:rPr>
        <w:t>p</w:t>
      </w:r>
      <w:r w:rsidRPr="00E60EFD">
        <w:rPr>
          <w:rFonts w:ascii="Times New Roman" w:eastAsia="DengXian" w:hAnsi="Times New Roman" w:cs="Times New Roman"/>
          <w:lang w:eastAsia="zh-CN"/>
        </w:rPr>
        <w:t xml:space="preserve"> &lt; .01, *</w:t>
      </w:r>
      <w:r w:rsidRPr="00E60EFD">
        <w:rPr>
          <w:rFonts w:ascii="Times New Roman" w:eastAsia="DengXian" w:hAnsi="Times New Roman" w:cs="Times New Roman"/>
          <w:i/>
          <w:iCs/>
          <w:lang w:eastAsia="zh-CN"/>
        </w:rPr>
        <w:t>p</w:t>
      </w:r>
      <w:r w:rsidRPr="00E60EFD">
        <w:rPr>
          <w:rFonts w:ascii="Times New Roman" w:eastAsia="DengXian" w:hAnsi="Times New Roman" w:cs="Times New Roman"/>
          <w:lang w:eastAsia="zh-CN"/>
        </w:rPr>
        <w:t xml:space="preserve"> &lt; .05.</w:t>
      </w:r>
    </w:p>
    <w:p w14:paraId="71D70442" w14:textId="2668134B" w:rsidR="00E60EFD" w:rsidRPr="00E60EFD" w:rsidRDefault="00E60EFD" w:rsidP="00E60EFD">
      <w:pPr>
        <w:pStyle w:val="NoSpacing"/>
        <w:spacing w:line="480" w:lineRule="auto"/>
        <w:rPr>
          <w:rFonts w:ascii="Times New Roman" w:hAnsi="Times New Roman" w:cs="Times New Roman"/>
        </w:rPr>
      </w:pPr>
    </w:p>
    <w:p w14:paraId="01B8D9D3" w14:textId="1D25D6E5" w:rsidR="00E60EFD" w:rsidRDefault="00E60EFD" w:rsidP="00093B56">
      <w:pPr>
        <w:pStyle w:val="NoSpacing"/>
      </w:pPr>
    </w:p>
    <w:p w14:paraId="4FB1E25C" w14:textId="2EC526B6" w:rsidR="00E60EFD" w:rsidRDefault="00E60EFD" w:rsidP="00093B56">
      <w:pPr>
        <w:pStyle w:val="NoSpacing"/>
      </w:pPr>
    </w:p>
    <w:p w14:paraId="5C6AE676" w14:textId="014AF51D" w:rsidR="00E60EFD" w:rsidRDefault="00E60EFD" w:rsidP="00093B56">
      <w:pPr>
        <w:pStyle w:val="NoSpacing"/>
      </w:pPr>
    </w:p>
    <w:p w14:paraId="33AA05D2" w14:textId="553DFD57" w:rsidR="00E60EFD" w:rsidRDefault="00E60EFD" w:rsidP="00093B56">
      <w:pPr>
        <w:pStyle w:val="NoSpacing"/>
      </w:pPr>
    </w:p>
    <w:p w14:paraId="462CDDE7" w14:textId="0F314913" w:rsidR="00E60EFD" w:rsidRDefault="00E60EFD" w:rsidP="00093B56">
      <w:pPr>
        <w:pStyle w:val="NoSpacing"/>
      </w:pPr>
    </w:p>
    <w:p w14:paraId="7C0A46E5" w14:textId="77777777" w:rsidR="00E60EFD" w:rsidRDefault="00E60EFD" w:rsidP="00093B56">
      <w:pPr>
        <w:pStyle w:val="NoSpacing"/>
        <w:sectPr w:rsidR="00E60EFD" w:rsidSect="00E60EFD">
          <w:pgSz w:w="16840" w:h="11900" w:orient="landscape"/>
          <w:pgMar w:top="1440" w:right="1440" w:bottom="1440" w:left="1440" w:header="708" w:footer="708" w:gutter="0"/>
          <w:cols w:space="708"/>
          <w:docGrid w:linePitch="360"/>
        </w:sectPr>
      </w:pPr>
    </w:p>
    <w:p w14:paraId="3661A83C" w14:textId="77777777" w:rsidR="00E60EFD" w:rsidRPr="00E60EFD" w:rsidRDefault="00E60EFD" w:rsidP="00E60EFD">
      <w:pPr>
        <w:pStyle w:val="NoSpacing"/>
        <w:rPr>
          <w:rFonts w:ascii="Times New Roman" w:hAnsi="Times New Roman" w:cs="Times New Roman"/>
        </w:rPr>
      </w:pPr>
      <w:r w:rsidRPr="00E60EFD">
        <w:rPr>
          <w:rFonts w:ascii="Times New Roman" w:hAnsi="Times New Roman" w:cs="Times New Roman"/>
          <w:b/>
          <w:bCs/>
        </w:rPr>
        <w:lastRenderedPageBreak/>
        <w:t xml:space="preserve">8. </w:t>
      </w:r>
      <w:r w:rsidRPr="00E60EFD">
        <w:rPr>
          <w:rFonts w:ascii="Times New Roman" w:hAnsi="Times New Roman" w:cs="Times New Roman"/>
          <w:b/>
          <w:bCs/>
          <w:i/>
          <w:iCs/>
        </w:rPr>
        <w:t>A priori</w:t>
      </w:r>
      <w:r w:rsidRPr="00E60EFD">
        <w:rPr>
          <w:rFonts w:ascii="Times New Roman" w:hAnsi="Times New Roman" w:cs="Times New Roman"/>
          <w:b/>
          <w:bCs/>
        </w:rPr>
        <w:t xml:space="preserve"> power analysis output</w:t>
      </w:r>
    </w:p>
    <w:p w14:paraId="70CD1ABE" w14:textId="5D5D9690" w:rsidR="00E60EFD" w:rsidRDefault="00E60EFD" w:rsidP="00093B56">
      <w:pPr>
        <w:pStyle w:val="NoSpacing"/>
      </w:pPr>
    </w:p>
    <w:p w14:paraId="6A65F1EB" w14:textId="77777777" w:rsidR="00E60EFD" w:rsidRDefault="00E60EFD" w:rsidP="00093B56">
      <w:pPr>
        <w:pStyle w:val="NoSpacing"/>
      </w:pPr>
    </w:p>
    <w:p w14:paraId="63F55E79"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b/>
          <w:bCs/>
          <w:color w:val="000000"/>
          <w:sz w:val="17"/>
          <w:szCs w:val="17"/>
          <w:lang w:eastAsia="zh-CN"/>
        </w:rPr>
        <w:t xml:space="preserve">t tests - </w:t>
      </w:r>
      <w:r w:rsidRPr="00E60EFD">
        <w:rPr>
          <w:rFonts w:ascii="Lucida Sans Unicode" w:eastAsia="Times New Roman" w:hAnsi="Lucida Sans Unicode" w:cs="Lucida Sans Unicode"/>
          <w:color w:val="000000"/>
          <w:sz w:val="17"/>
          <w:szCs w:val="17"/>
          <w:lang w:eastAsia="zh-CN"/>
        </w:rPr>
        <w:t>Means: Difference between two dependent means (matched pairs)</w:t>
      </w:r>
    </w:p>
    <w:p w14:paraId="573633A1"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b/>
          <w:bCs/>
          <w:color w:val="000000"/>
          <w:sz w:val="17"/>
          <w:szCs w:val="17"/>
          <w:lang w:eastAsia="zh-CN"/>
        </w:rPr>
        <w:t>Analysis:</w:t>
      </w:r>
      <w:r w:rsidRPr="00E60EFD">
        <w:rPr>
          <w:rFonts w:ascii="Lucida Sans Unicode" w:eastAsia="Times New Roman" w:hAnsi="Lucida Sans Unicode" w:cs="Lucida Sans Unicode"/>
          <w:b/>
          <w:bCs/>
          <w:color w:val="000000"/>
          <w:sz w:val="17"/>
          <w:szCs w:val="17"/>
          <w:lang w:eastAsia="zh-CN"/>
        </w:rPr>
        <w:tab/>
      </w:r>
      <w:r w:rsidRPr="00E60EFD">
        <w:rPr>
          <w:rFonts w:ascii="Lucida Sans Unicode" w:eastAsia="Times New Roman" w:hAnsi="Lucida Sans Unicode" w:cs="Lucida Sans Unicode"/>
          <w:color w:val="000000"/>
          <w:sz w:val="17"/>
          <w:szCs w:val="17"/>
          <w:lang w:eastAsia="zh-CN"/>
        </w:rPr>
        <w:t xml:space="preserve">A priori: Compute required sample size </w:t>
      </w:r>
    </w:p>
    <w:p w14:paraId="55678200"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b/>
          <w:bCs/>
          <w:color w:val="000000"/>
          <w:sz w:val="17"/>
          <w:szCs w:val="17"/>
          <w:lang w:eastAsia="zh-CN"/>
        </w:rPr>
        <w:t>Input:</w:t>
      </w:r>
      <w:r w:rsidRPr="00E60EFD">
        <w:rPr>
          <w:rFonts w:ascii="Lucida Sans Unicode" w:eastAsia="Times New Roman" w:hAnsi="Lucida Sans Unicode" w:cs="Lucida Sans Unicode"/>
          <w:color w:val="000000"/>
          <w:sz w:val="17"/>
          <w:szCs w:val="17"/>
          <w:lang w:eastAsia="zh-CN"/>
        </w:rPr>
        <w:tab/>
        <w:t>Tail(s)</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One</w:t>
      </w:r>
    </w:p>
    <w:p w14:paraId="7EF32405"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 xml:space="preserve">Effect size </w:t>
      </w:r>
      <w:proofErr w:type="spellStart"/>
      <w:r w:rsidRPr="00E60EFD">
        <w:rPr>
          <w:rFonts w:ascii="Lucida Sans Unicode" w:eastAsia="Times New Roman" w:hAnsi="Lucida Sans Unicode" w:cs="Lucida Sans Unicode"/>
          <w:color w:val="000000"/>
          <w:sz w:val="17"/>
          <w:szCs w:val="17"/>
          <w:lang w:eastAsia="zh-CN"/>
        </w:rPr>
        <w:t>dz</w:t>
      </w:r>
      <w:proofErr w:type="spellEnd"/>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0.5</w:t>
      </w:r>
    </w:p>
    <w:p w14:paraId="50B9D4D8"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α err prob</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0.05</w:t>
      </w:r>
    </w:p>
    <w:p w14:paraId="04273438"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Power (1-β err prob)</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0.90</w:t>
      </w:r>
    </w:p>
    <w:p w14:paraId="6F0B0256"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b/>
          <w:bCs/>
          <w:color w:val="000000"/>
          <w:sz w:val="17"/>
          <w:szCs w:val="17"/>
          <w:lang w:eastAsia="zh-CN"/>
        </w:rPr>
        <w:t>Output:</w:t>
      </w:r>
      <w:r w:rsidRPr="00E60EFD">
        <w:rPr>
          <w:rFonts w:ascii="Lucida Sans Unicode" w:eastAsia="Times New Roman" w:hAnsi="Lucida Sans Unicode" w:cs="Lucida Sans Unicode"/>
          <w:color w:val="000000"/>
          <w:sz w:val="17"/>
          <w:szCs w:val="17"/>
          <w:lang w:eastAsia="zh-CN"/>
        </w:rPr>
        <w:tab/>
      </w:r>
      <w:proofErr w:type="spellStart"/>
      <w:r w:rsidRPr="00E60EFD">
        <w:rPr>
          <w:rFonts w:ascii="Lucida Sans Unicode" w:eastAsia="Times New Roman" w:hAnsi="Lucida Sans Unicode" w:cs="Lucida Sans Unicode"/>
          <w:color w:val="000000"/>
          <w:sz w:val="17"/>
          <w:szCs w:val="17"/>
          <w:lang w:eastAsia="zh-CN"/>
        </w:rPr>
        <w:t>Noncentrality</w:t>
      </w:r>
      <w:proofErr w:type="spellEnd"/>
      <w:r w:rsidRPr="00E60EFD">
        <w:rPr>
          <w:rFonts w:ascii="Lucida Sans Unicode" w:eastAsia="Times New Roman" w:hAnsi="Lucida Sans Unicode" w:cs="Lucida Sans Unicode"/>
          <w:color w:val="000000"/>
          <w:sz w:val="17"/>
          <w:szCs w:val="17"/>
          <w:lang w:eastAsia="zh-CN"/>
        </w:rPr>
        <w:t xml:space="preserve"> parameter δ</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3.0000000</w:t>
      </w:r>
    </w:p>
    <w:p w14:paraId="14658DB6"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Critical t</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1.6895725</w:t>
      </w:r>
    </w:p>
    <w:p w14:paraId="16FA4B52"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r>
      <w:proofErr w:type="spellStart"/>
      <w:r w:rsidRPr="00E60EFD">
        <w:rPr>
          <w:rFonts w:ascii="Lucida Sans Unicode" w:eastAsia="Times New Roman" w:hAnsi="Lucida Sans Unicode" w:cs="Lucida Sans Unicode"/>
          <w:color w:val="000000"/>
          <w:sz w:val="17"/>
          <w:szCs w:val="17"/>
          <w:lang w:eastAsia="zh-CN"/>
        </w:rPr>
        <w:t>Df</w:t>
      </w:r>
      <w:proofErr w:type="spellEnd"/>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35</w:t>
      </w:r>
    </w:p>
    <w:p w14:paraId="1B285837"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Total sample size</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36</w:t>
      </w:r>
    </w:p>
    <w:p w14:paraId="75CCFE22" w14:textId="77777777" w:rsidR="00E60EFD" w:rsidRPr="00E60EFD" w:rsidRDefault="00E60EFD" w:rsidP="00E60EFD">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E60EFD">
        <w:rPr>
          <w:rFonts w:ascii="Lucida Sans Unicode" w:eastAsia="Times New Roman" w:hAnsi="Lucida Sans Unicode" w:cs="Lucida Sans Unicode"/>
          <w:color w:val="000000"/>
          <w:sz w:val="17"/>
          <w:szCs w:val="17"/>
          <w:lang w:eastAsia="zh-CN"/>
        </w:rPr>
        <w:tab/>
        <w:t>Actual power</w:t>
      </w:r>
      <w:r w:rsidRPr="00E60EFD">
        <w:rPr>
          <w:rFonts w:ascii="Lucida Sans Unicode" w:eastAsia="Times New Roman" w:hAnsi="Lucida Sans Unicode" w:cs="Lucida Sans Unicode"/>
          <w:color w:val="000000"/>
          <w:sz w:val="17"/>
          <w:szCs w:val="17"/>
          <w:lang w:eastAsia="zh-CN"/>
        </w:rPr>
        <w:tab/>
        <w:t>=</w:t>
      </w:r>
      <w:r w:rsidRPr="00E60EFD">
        <w:rPr>
          <w:rFonts w:ascii="Lucida Sans Unicode" w:eastAsia="Times New Roman" w:hAnsi="Lucida Sans Unicode" w:cs="Lucida Sans Unicode"/>
          <w:color w:val="000000"/>
          <w:sz w:val="17"/>
          <w:szCs w:val="17"/>
          <w:lang w:eastAsia="zh-CN"/>
        </w:rPr>
        <w:tab/>
        <w:t>0.9025746</w:t>
      </w:r>
    </w:p>
    <w:p w14:paraId="543E5B7B" w14:textId="701B64E5" w:rsidR="00E60EFD" w:rsidRDefault="00E60EFD" w:rsidP="00E60EFD">
      <w:pPr>
        <w:spacing w:line="480" w:lineRule="auto"/>
        <w:rPr>
          <w:rFonts w:ascii="Times New Roman" w:eastAsia="DengXian" w:hAnsi="Times New Roman" w:cs="Times New Roman"/>
          <w:lang w:eastAsia="zh-CN"/>
        </w:rPr>
      </w:pPr>
    </w:p>
    <w:p w14:paraId="65FA98A7" w14:textId="77777777" w:rsidR="00672927" w:rsidRPr="00E60EFD" w:rsidRDefault="00672927" w:rsidP="00E60EFD">
      <w:pPr>
        <w:spacing w:line="480" w:lineRule="auto"/>
        <w:rPr>
          <w:rFonts w:ascii="Times New Roman" w:eastAsia="DengXian" w:hAnsi="Times New Roman" w:cs="Times New Roman"/>
          <w:lang w:eastAsia="zh-CN"/>
        </w:rPr>
      </w:pPr>
    </w:p>
    <w:p w14:paraId="592D18E8" w14:textId="4A1F0CD7" w:rsidR="00E60EFD" w:rsidRDefault="00E60EFD" w:rsidP="00093B56">
      <w:pPr>
        <w:pStyle w:val="NoSpacing"/>
      </w:pPr>
      <w:r w:rsidRPr="00E60EFD">
        <w:rPr>
          <w:rFonts w:ascii="Calibri" w:eastAsia="DengXian" w:hAnsi="Calibri" w:cs="Arial"/>
          <w:noProof/>
          <w:color w:val="000000"/>
          <w:sz w:val="22"/>
          <w:szCs w:val="22"/>
          <w:lang w:eastAsia="zh-CN"/>
        </w:rPr>
        <w:drawing>
          <wp:inline distT="0" distB="0" distL="0" distR="0" wp14:anchorId="243C761D" wp14:editId="3E8C007D">
            <wp:extent cx="5610225" cy="3038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1">
                      <a:extLst>
                        <a:ext uri="{28A0092B-C50C-407E-A947-70E740481C1C}">
                          <a14:useLocalDpi xmlns:a14="http://schemas.microsoft.com/office/drawing/2010/main" val="0"/>
                        </a:ext>
                      </a:extLst>
                    </a:blip>
                    <a:srcRect l="665" t="1519" r="1450" b="1540"/>
                    <a:stretch/>
                  </pic:blipFill>
                  <pic:spPr bwMode="auto">
                    <a:xfrm>
                      <a:off x="0" y="0"/>
                      <a:ext cx="5610225" cy="3038475"/>
                    </a:xfrm>
                    <a:prstGeom prst="rect">
                      <a:avLst/>
                    </a:prstGeom>
                    <a:noFill/>
                    <a:ln>
                      <a:noFill/>
                    </a:ln>
                    <a:extLst>
                      <a:ext uri="{53640926-AAD7-44D8-BBD7-CCE9431645EC}">
                        <a14:shadowObscured xmlns:a14="http://schemas.microsoft.com/office/drawing/2010/main"/>
                      </a:ext>
                    </a:extLst>
                  </pic:spPr>
                </pic:pic>
              </a:graphicData>
            </a:graphic>
          </wp:inline>
        </w:drawing>
      </w:r>
    </w:p>
    <w:p w14:paraId="08726E57" w14:textId="57C3E5EB" w:rsidR="00E60EFD" w:rsidRDefault="00E60EFD" w:rsidP="00093B56">
      <w:pPr>
        <w:pStyle w:val="NoSpacing"/>
      </w:pPr>
    </w:p>
    <w:p w14:paraId="11583CF8" w14:textId="5444C876" w:rsidR="00E60EFD" w:rsidRDefault="00E60EFD" w:rsidP="00093B56">
      <w:pPr>
        <w:pStyle w:val="NoSpacing"/>
      </w:pPr>
    </w:p>
    <w:p w14:paraId="6DCB3E6A" w14:textId="35F1CC1D" w:rsidR="00E60EFD" w:rsidRDefault="00E60EFD" w:rsidP="00093B56">
      <w:pPr>
        <w:pStyle w:val="NoSpacing"/>
      </w:pPr>
    </w:p>
    <w:p w14:paraId="183043E3" w14:textId="57BDE716" w:rsidR="00E60EFD" w:rsidRDefault="00E60EFD" w:rsidP="00093B56">
      <w:pPr>
        <w:pStyle w:val="NoSpacing"/>
      </w:pPr>
    </w:p>
    <w:p w14:paraId="2B57236A" w14:textId="4183AA0C" w:rsidR="00E60EFD" w:rsidRDefault="00E60EFD" w:rsidP="00093B56">
      <w:pPr>
        <w:pStyle w:val="NoSpacing"/>
      </w:pPr>
    </w:p>
    <w:p w14:paraId="731F631A" w14:textId="04FB8E8E" w:rsidR="00E60EFD" w:rsidRDefault="00E60EFD" w:rsidP="00093B56">
      <w:pPr>
        <w:pStyle w:val="NoSpacing"/>
      </w:pPr>
    </w:p>
    <w:p w14:paraId="41988406" w14:textId="61CE0DA1" w:rsidR="00E60EFD" w:rsidRDefault="00E60EFD" w:rsidP="00093B56">
      <w:pPr>
        <w:pStyle w:val="NoSpacing"/>
      </w:pPr>
    </w:p>
    <w:p w14:paraId="38EDCA8E" w14:textId="63907B19" w:rsidR="00E60EFD" w:rsidRDefault="00E60EFD" w:rsidP="00093B56">
      <w:pPr>
        <w:pStyle w:val="NoSpacing"/>
      </w:pPr>
    </w:p>
    <w:p w14:paraId="38CF4ED1" w14:textId="695AD5DD" w:rsidR="00E60EFD" w:rsidRDefault="00E60EFD" w:rsidP="00093B56">
      <w:pPr>
        <w:pStyle w:val="NoSpacing"/>
      </w:pPr>
    </w:p>
    <w:p w14:paraId="113E5FBF" w14:textId="59BF3B6C" w:rsidR="00E60EFD" w:rsidRDefault="00E60EFD" w:rsidP="00093B56">
      <w:pPr>
        <w:pStyle w:val="NoSpacing"/>
      </w:pPr>
    </w:p>
    <w:p w14:paraId="2E1E44A1" w14:textId="77777777" w:rsidR="00672927" w:rsidRDefault="00672927" w:rsidP="00093B56">
      <w:pPr>
        <w:pStyle w:val="NoSpacing"/>
      </w:pPr>
    </w:p>
    <w:p w14:paraId="7606CA72" w14:textId="3F880BEC" w:rsidR="00E60EFD" w:rsidRDefault="00E60EFD" w:rsidP="00093B56">
      <w:pPr>
        <w:pStyle w:val="NoSpacing"/>
      </w:pPr>
    </w:p>
    <w:p w14:paraId="613E44E2" w14:textId="77777777" w:rsidR="00E60EFD" w:rsidRDefault="00E60EFD" w:rsidP="00093B56">
      <w:pPr>
        <w:pStyle w:val="NoSpacing"/>
      </w:pPr>
    </w:p>
    <w:p w14:paraId="3A0357CD" w14:textId="01ABA73F" w:rsidR="00093B56" w:rsidRPr="00E55927" w:rsidRDefault="00EB4444" w:rsidP="00107EBB">
      <w:pPr>
        <w:pStyle w:val="Heading1"/>
      </w:pPr>
      <w:bookmarkStart w:id="431" w:name="_Toc109911342"/>
      <w:bookmarkStart w:id="432" w:name="_Toc110612757"/>
      <w:bookmarkStart w:id="433" w:name="_Toc110629097"/>
      <w:bookmarkStart w:id="434" w:name="_Toc110871005"/>
      <w:r w:rsidRPr="00D80A43">
        <w:lastRenderedPageBreak/>
        <w:t>Appendix E</w:t>
      </w:r>
      <w:bookmarkEnd w:id="431"/>
      <w:bookmarkEnd w:id="432"/>
      <w:bookmarkEnd w:id="433"/>
      <w:bookmarkEnd w:id="434"/>
    </w:p>
    <w:p w14:paraId="5B65594C" w14:textId="7B4EA885" w:rsidR="00093B56" w:rsidRPr="00E55927" w:rsidRDefault="00E55927" w:rsidP="00E55927">
      <w:pPr>
        <w:pStyle w:val="NoSpacing"/>
        <w:spacing w:line="480" w:lineRule="auto"/>
        <w:jc w:val="center"/>
        <w:rPr>
          <w:rFonts w:ascii="Times New Roman" w:hAnsi="Times New Roman" w:cs="Times New Roman"/>
          <w:b/>
          <w:bCs/>
          <w:lang w:val="en-US"/>
        </w:rPr>
      </w:pPr>
      <w:r w:rsidRPr="00E55927">
        <w:rPr>
          <w:rFonts w:ascii="Times New Roman" w:hAnsi="Times New Roman" w:cs="Times New Roman"/>
          <w:b/>
          <w:bCs/>
        </w:rPr>
        <w:t>Supplementary materials for Chapter 6 “Modelling value-based decision-making (VBDM) in heavy drinkers and people who have reduced their drinking without treatment”.</w:t>
      </w:r>
    </w:p>
    <w:p w14:paraId="0192B2B8" w14:textId="77777777" w:rsidR="00E55927" w:rsidRPr="00E55927" w:rsidRDefault="00E55927" w:rsidP="00E55927">
      <w:pPr>
        <w:pStyle w:val="NoSpacing"/>
        <w:spacing w:line="480" w:lineRule="auto"/>
        <w:rPr>
          <w:rFonts w:ascii="Times New Roman" w:hAnsi="Times New Roman" w:cs="Times New Roman"/>
          <w:b/>
          <w:bCs/>
        </w:rPr>
      </w:pPr>
      <w:r w:rsidRPr="00E55927">
        <w:rPr>
          <w:rFonts w:ascii="Times New Roman" w:hAnsi="Times New Roman" w:cs="Times New Roman"/>
          <w:b/>
          <w:bCs/>
        </w:rPr>
        <w:t>Contents</w:t>
      </w:r>
    </w:p>
    <w:p w14:paraId="73DEF077"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Participant demographic breakdown (Table S6.1).</w:t>
      </w:r>
    </w:p>
    <w:p w14:paraId="4ABC0B34"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Exact wording of the hypothetical scenario in the Alcohol Purchase Task and comprehension checks.</w:t>
      </w:r>
    </w:p>
    <w:p w14:paraId="2B06A694" w14:textId="77777777" w:rsidR="00E55927" w:rsidRPr="00E55927" w:rsidRDefault="00E55927" w:rsidP="00E55927">
      <w:pPr>
        <w:pStyle w:val="NoSpacing"/>
        <w:numPr>
          <w:ilvl w:val="0"/>
          <w:numId w:val="24"/>
        </w:numPr>
        <w:spacing w:line="480" w:lineRule="auto"/>
        <w:rPr>
          <w:rFonts w:ascii="Times New Roman" w:hAnsi="Times New Roman" w:cs="Times New Roman"/>
        </w:rPr>
      </w:pPr>
      <w:bookmarkStart w:id="435" w:name="_Hlk92790284"/>
      <w:r w:rsidRPr="00E55927">
        <w:rPr>
          <w:rFonts w:ascii="Times New Roman" w:hAnsi="Times New Roman" w:cs="Times New Roman"/>
        </w:rPr>
        <w:t>Activity Level Questionnaire – Revised items and further detail on participants who misunderstood questionnaire instructions.</w:t>
      </w:r>
    </w:p>
    <w:bookmarkEnd w:id="435"/>
    <w:p w14:paraId="393149B1"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Images used in the VBDM task to depict alcohol and soft-drinks (Table S6.2).</w:t>
      </w:r>
    </w:p>
    <w:p w14:paraId="32E4E18B" w14:textId="77777777" w:rsidR="00E55927" w:rsidRPr="00E55927" w:rsidRDefault="00E55927" w:rsidP="00E55927">
      <w:pPr>
        <w:pStyle w:val="NoSpacing"/>
        <w:numPr>
          <w:ilvl w:val="0"/>
          <w:numId w:val="24"/>
        </w:numPr>
        <w:spacing w:line="480" w:lineRule="auto"/>
        <w:rPr>
          <w:rFonts w:ascii="Times New Roman" w:hAnsi="Times New Roman" w:cs="Times New Roman"/>
        </w:rPr>
      </w:pPr>
      <w:bookmarkStart w:id="436" w:name="_Hlk92788893"/>
      <w:r w:rsidRPr="00E55927">
        <w:rPr>
          <w:rFonts w:ascii="Times New Roman" w:hAnsi="Times New Roman" w:cs="Times New Roman"/>
        </w:rPr>
        <w:t xml:space="preserve">Within-subject differences </w:t>
      </w:r>
    </w:p>
    <w:bookmarkEnd w:id="436"/>
    <w:p w14:paraId="11AD6DF6"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DDM analyses conducted on each individual difficulty level in isolation (Table S6.3).</w:t>
      </w:r>
    </w:p>
    <w:p w14:paraId="45602F63"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Order of blocks of trials on the VBDM task: does this matter?</w:t>
      </w:r>
    </w:p>
    <w:p w14:paraId="1606CB93"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Activity Level Questionnaire: exploring whether self-reported frequency of engagement with activities has changed since lockdown restrictions were introduced in March 2020 (Table S6.4 and Table S6.5).</w:t>
      </w:r>
      <w:bookmarkStart w:id="437" w:name="_Hlk85657930"/>
      <w:bookmarkEnd w:id="437"/>
    </w:p>
    <w:p w14:paraId="1DBC7B61" w14:textId="7DCA9F9D"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rPr>
        <w:t>Exploratory correlations between self-report variables and DDM parameters split by drinker status (Table S6.6 and Table S</w:t>
      </w:r>
      <w:r w:rsidR="00100B39">
        <w:rPr>
          <w:rFonts w:ascii="Times New Roman" w:hAnsi="Times New Roman" w:cs="Times New Roman"/>
        </w:rPr>
        <w:t>6.</w:t>
      </w:r>
      <w:r w:rsidRPr="00E55927">
        <w:rPr>
          <w:rFonts w:ascii="Times New Roman" w:hAnsi="Times New Roman" w:cs="Times New Roman"/>
        </w:rPr>
        <w:t>7).</w:t>
      </w:r>
    </w:p>
    <w:p w14:paraId="62D5FBD2" w14:textId="77777777" w:rsidR="00E55927" w:rsidRPr="00E55927" w:rsidRDefault="00E55927" w:rsidP="00E55927">
      <w:pPr>
        <w:pStyle w:val="NoSpacing"/>
        <w:numPr>
          <w:ilvl w:val="0"/>
          <w:numId w:val="24"/>
        </w:numPr>
        <w:spacing w:line="480" w:lineRule="auto"/>
        <w:rPr>
          <w:rFonts w:ascii="Times New Roman" w:hAnsi="Times New Roman" w:cs="Times New Roman"/>
        </w:rPr>
      </w:pPr>
      <w:r w:rsidRPr="00E55927">
        <w:rPr>
          <w:rFonts w:ascii="Times New Roman" w:hAnsi="Times New Roman" w:cs="Times New Roman"/>
          <w:i/>
          <w:iCs/>
        </w:rPr>
        <w:t>A priori</w:t>
      </w:r>
      <w:r w:rsidRPr="00E55927">
        <w:rPr>
          <w:rFonts w:ascii="Times New Roman" w:hAnsi="Times New Roman" w:cs="Times New Roman"/>
        </w:rPr>
        <w:t xml:space="preserve"> power analysis output (Figure S6.1).</w:t>
      </w:r>
    </w:p>
    <w:p w14:paraId="7CF4AFE4" w14:textId="520CBA49" w:rsidR="00FF10D0" w:rsidRPr="00E55927" w:rsidRDefault="00FF10D0" w:rsidP="00E55927">
      <w:pPr>
        <w:pStyle w:val="NoSpacing"/>
        <w:spacing w:line="480" w:lineRule="auto"/>
        <w:rPr>
          <w:rFonts w:ascii="Times New Roman" w:hAnsi="Times New Roman" w:cs="Times New Roman"/>
        </w:rPr>
      </w:pPr>
    </w:p>
    <w:p w14:paraId="4D53511E" w14:textId="105BDA7F" w:rsidR="00FF10D0" w:rsidRDefault="00FF10D0" w:rsidP="00093B56">
      <w:pPr>
        <w:pStyle w:val="NoSpacing"/>
      </w:pPr>
    </w:p>
    <w:p w14:paraId="2ED9F183" w14:textId="7A12EAFB" w:rsidR="00FF10D0" w:rsidRDefault="00FF10D0" w:rsidP="00093B56">
      <w:pPr>
        <w:pStyle w:val="NoSpacing"/>
      </w:pPr>
    </w:p>
    <w:p w14:paraId="42CD8875" w14:textId="61F8D249" w:rsidR="00FF10D0" w:rsidRDefault="00FF10D0" w:rsidP="00093B56">
      <w:pPr>
        <w:pStyle w:val="NoSpacing"/>
      </w:pPr>
    </w:p>
    <w:p w14:paraId="21A815EF" w14:textId="485E3C61" w:rsidR="00FF10D0" w:rsidRDefault="00FF10D0" w:rsidP="00093B56">
      <w:pPr>
        <w:pStyle w:val="NoSpacing"/>
      </w:pPr>
    </w:p>
    <w:p w14:paraId="623F24CF" w14:textId="2B7415A8" w:rsidR="00FF10D0" w:rsidRDefault="00FF10D0" w:rsidP="00093B56">
      <w:pPr>
        <w:pStyle w:val="NoSpacing"/>
      </w:pPr>
    </w:p>
    <w:p w14:paraId="4B2F6206" w14:textId="5A3BA8EE" w:rsidR="00FF10D0" w:rsidRDefault="00FF10D0" w:rsidP="00093B56">
      <w:pPr>
        <w:pStyle w:val="NoSpacing"/>
      </w:pPr>
    </w:p>
    <w:p w14:paraId="6294FE23"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lastRenderedPageBreak/>
        <w:t>1. Participant demographic breakdown (Table S6.1)</w:t>
      </w:r>
    </w:p>
    <w:p w14:paraId="3DCCA780" w14:textId="6F42A8B2" w:rsidR="00672927" w:rsidRDefault="00672927" w:rsidP="00093B56">
      <w:pPr>
        <w:pStyle w:val="NoSpacing"/>
      </w:pPr>
    </w:p>
    <w:p w14:paraId="661AB322" w14:textId="77777777" w:rsidR="00E55927" w:rsidRPr="00E55927" w:rsidRDefault="00E55927" w:rsidP="00E55927">
      <w:pPr>
        <w:pStyle w:val="NoSpacing"/>
        <w:spacing w:line="480" w:lineRule="auto"/>
        <w:rPr>
          <w:rFonts w:asciiTheme="majorBidi" w:hAnsiTheme="majorBidi" w:cstheme="majorBidi"/>
          <w:b/>
          <w:bCs/>
          <w:iCs/>
        </w:rPr>
      </w:pPr>
      <w:r w:rsidRPr="00E55927">
        <w:rPr>
          <w:rFonts w:asciiTheme="majorBidi" w:hAnsiTheme="majorBidi" w:cstheme="majorBidi"/>
          <w:b/>
          <w:bCs/>
          <w:iCs/>
        </w:rPr>
        <w:t>Table S6.1</w:t>
      </w:r>
    </w:p>
    <w:p w14:paraId="7A4568AF" w14:textId="295703D5" w:rsidR="00E55927" w:rsidRPr="00E55927" w:rsidRDefault="00E55927" w:rsidP="00E55927">
      <w:pPr>
        <w:pStyle w:val="NoSpacing"/>
        <w:spacing w:line="480" w:lineRule="auto"/>
        <w:rPr>
          <w:rFonts w:asciiTheme="majorBidi" w:hAnsiTheme="majorBidi" w:cstheme="majorBidi"/>
        </w:rPr>
      </w:pPr>
      <w:r w:rsidRPr="00E55927">
        <w:rPr>
          <w:rFonts w:asciiTheme="majorBidi" w:hAnsiTheme="majorBidi" w:cstheme="majorBidi"/>
          <w:i/>
          <w:iCs/>
        </w:rPr>
        <w:t>Demographic breakdown of the sample split by drinker status (values represent the number of participants and percentage)</w:t>
      </w:r>
    </w:p>
    <w:tbl>
      <w:tblPr>
        <w:tblW w:w="9121" w:type="dxa"/>
        <w:tblInd w:w="-147" w:type="dxa"/>
        <w:tblLook w:val="0400" w:firstRow="0" w:lastRow="0" w:firstColumn="0" w:lastColumn="0" w:noHBand="0" w:noVBand="1"/>
      </w:tblPr>
      <w:tblGrid>
        <w:gridCol w:w="3408"/>
        <w:gridCol w:w="1843"/>
        <w:gridCol w:w="2127"/>
        <w:gridCol w:w="1743"/>
      </w:tblGrid>
      <w:tr w:rsidR="00E55927" w:rsidRPr="00E55927" w14:paraId="1EE2F490" w14:textId="77777777" w:rsidTr="002A1E63">
        <w:trPr>
          <w:trHeight w:val="720"/>
        </w:trPr>
        <w:tc>
          <w:tcPr>
            <w:tcW w:w="3407" w:type="dxa"/>
            <w:tcBorders>
              <w:top w:val="single" w:sz="12" w:space="0" w:color="000000"/>
              <w:bottom w:val="single" w:sz="12" w:space="0" w:color="000000"/>
            </w:tcBorders>
          </w:tcPr>
          <w:p w14:paraId="135B8DCE" w14:textId="77777777" w:rsidR="00E55927" w:rsidRPr="00E55927" w:rsidRDefault="00E55927" w:rsidP="00E55927">
            <w:pPr>
              <w:pStyle w:val="NoSpacing"/>
              <w:rPr>
                <w:rFonts w:ascii="Times New Roman" w:hAnsi="Times New Roman" w:cs="Times New Roman"/>
                <w:b/>
              </w:rPr>
            </w:pPr>
          </w:p>
        </w:tc>
        <w:tc>
          <w:tcPr>
            <w:tcW w:w="1843" w:type="dxa"/>
            <w:tcBorders>
              <w:top w:val="single" w:sz="12" w:space="0" w:color="000000"/>
              <w:bottom w:val="single" w:sz="12" w:space="0" w:color="000000"/>
            </w:tcBorders>
          </w:tcPr>
          <w:p w14:paraId="3A5BD3E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Heavy drinkers</w:t>
            </w:r>
          </w:p>
          <w:p w14:paraId="6FDE1ED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w:t>
            </w:r>
            <w:r w:rsidRPr="00E55927">
              <w:rPr>
                <w:rFonts w:ascii="Times New Roman" w:hAnsi="Times New Roman" w:cs="Times New Roman"/>
                <w:i/>
                <w:iCs/>
              </w:rPr>
              <w:t>n</w:t>
            </w:r>
            <w:r w:rsidRPr="00E55927">
              <w:rPr>
                <w:rFonts w:ascii="Times New Roman" w:hAnsi="Times New Roman" w:cs="Times New Roman"/>
              </w:rPr>
              <w:t xml:space="preserve"> = 60)</w:t>
            </w:r>
          </w:p>
        </w:tc>
        <w:tc>
          <w:tcPr>
            <w:tcW w:w="2127" w:type="dxa"/>
            <w:tcBorders>
              <w:top w:val="single" w:sz="12" w:space="0" w:color="000000"/>
              <w:bottom w:val="single" w:sz="12" w:space="0" w:color="000000"/>
            </w:tcBorders>
          </w:tcPr>
          <w:p w14:paraId="3752D01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Moderated drinkers</w:t>
            </w:r>
          </w:p>
          <w:p w14:paraId="7F06BB7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w:t>
            </w:r>
            <w:r w:rsidRPr="00E55927">
              <w:rPr>
                <w:rFonts w:ascii="Times New Roman" w:hAnsi="Times New Roman" w:cs="Times New Roman"/>
                <w:i/>
                <w:iCs/>
              </w:rPr>
              <w:t>n</w:t>
            </w:r>
            <w:r w:rsidRPr="00E55927">
              <w:rPr>
                <w:rFonts w:ascii="Times New Roman" w:hAnsi="Times New Roman" w:cs="Times New Roman"/>
              </w:rPr>
              <w:t xml:space="preserve"> = 60)</w:t>
            </w:r>
          </w:p>
        </w:tc>
        <w:tc>
          <w:tcPr>
            <w:tcW w:w="1743" w:type="dxa"/>
            <w:tcBorders>
              <w:top w:val="single" w:sz="12" w:space="0" w:color="000000"/>
              <w:bottom w:val="single" w:sz="12" w:space="0" w:color="000000"/>
            </w:tcBorders>
          </w:tcPr>
          <w:p w14:paraId="40533A7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Overall sample</w:t>
            </w:r>
          </w:p>
          <w:p w14:paraId="53F5FC7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w:t>
            </w:r>
            <w:r w:rsidRPr="00E55927">
              <w:rPr>
                <w:rFonts w:ascii="Times New Roman" w:hAnsi="Times New Roman" w:cs="Times New Roman"/>
                <w:i/>
                <w:iCs/>
              </w:rPr>
              <w:t>n</w:t>
            </w:r>
            <w:r w:rsidRPr="00E55927">
              <w:rPr>
                <w:rFonts w:ascii="Times New Roman" w:hAnsi="Times New Roman" w:cs="Times New Roman"/>
              </w:rPr>
              <w:t xml:space="preserve"> = 120)</w:t>
            </w:r>
          </w:p>
        </w:tc>
      </w:tr>
      <w:tr w:rsidR="00E55927" w:rsidRPr="00E55927" w14:paraId="6D75CD94" w14:textId="77777777" w:rsidTr="002A1E63">
        <w:trPr>
          <w:trHeight w:val="443"/>
        </w:trPr>
        <w:tc>
          <w:tcPr>
            <w:tcW w:w="3407" w:type="dxa"/>
            <w:tcBorders>
              <w:top w:val="single" w:sz="12" w:space="0" w:color="000000"/>
            </w:tcBorders>
          </w:tcPr>
          <w:p w14:paraId="03CD0CE9"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Gender</w:t>
            </w:r>
          </w:p>
        </w:tc>
        <w:tc>
          <w:tcPr>
            <w:tcW w:w="1843" w:type="dxa"/>
            <w:tcBorders>
              <w:top w:val="single" w:sz="12" w:space="0" w:color="000000"/>
            </w:tcBorders>
          </w:tcPr>
          <w:p w14:paraId="6C74FCE4" w14:textId="77777777" w:rsidR="00E55927" w:rsidRPr="00E55927" w:rsidRDefault="00E55927" w:rsidP="00E55927">
            <w:pPr>
              <w:pStyle w:val="NoSpacing"/>
              <w:rPr>
                <w:rFonts w:ascii="Times New Roman" w:hAnsi="Times New Roman" w:cs="Times New Roman"/>
              </w:rPr>
            </w:pPr>
          </w:p>
        </w:tc>
        <w:tc>
          <w:tcPr>
            <w:tcW w:w="2127" w:type="dxa"/>
            <w:tcBorders>
              <w:top w:val="single" w:sz="12" w:space="0" w:color="000000"/>
            </w:tcBorders>
          </w:tcPr>
          <w:p w14:paraId="5F16A426" w14:textId="77777777" w:rsidR="00E55927" w:rsidRPr="00E55927" w:rsidRDefault="00E55927" w:rsidP="00E55927">
            <w:pPr>
              <w:pStyle w:val="NoSpacing"/>
              <w:rPr>
                <w:rFonts w:ascii="Times New Roman" w:hAnsi="Times New Roman" w:cs="Times New Roman"/>
              </w:rPr>
            </w:pPr>
          </w:p>
        </w:tc>
        <w:tc>
          <w:tcPr>
            <w:tcW w:w="1743" w:type="dxa"/>
            <w:tcBorders>
              <w:top w:val="single" w:sz="12" w:space="0" w:color="000000"/>
            </w:tcBorders>
          </w:tcPr>
          <w:p w14:paraId="02A4203F" w14:textId="77777777" w:rsidR="00E55927" w:rsidRPr="00E55927" w:rsidRDefault="00E55927" w:rsidP="00E55927">
            <w:pPr>
              <w:pStyle w:val="NoSpacing"/>
              <w:rPr>
                <w:rFonts w:ascii="Times New Roman" w:hAnsi="Times New Roman" w:cs="Times New Roman"/>
              </w:rPr>
            </w:pPr>
          </w:p>
        </w:tc>
      </w:tr>
      <w:tr w:rsidR="00E55927" w:rsidRPr="00E55927" w14:paraId="01735ED9" w14:textId="77777777" w:rsidTr="002A1E63">
        <w:trPr>
          <w:trHeight w:val="466"/>
        </w:trPr>
        <w:tc>
          <w:tcPr>
            <w:tcW w:w="3407" w:type="dxa"/>
          </w:tcPr>
          <w:p w14:paraId="5B5C858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Male; n (%)</w:t>
            </w:r>
          </w:p>
        </w:tc>
        <w:tc>
          <w:tcPr>
            <w:tcW w:w="1843" w:type="dxa"/>
          </w:tcPr>
          <w:p w14:paraId="077C5A7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30 (50%)</w:t>
            </w:r>
          </w:p>
        </w:tc>
        <w:tc>
          <w:tcPr>
            <w:tcW w:w="2127" w:type="dxa"/>
          </w:tcPr>
          <w:p w14:paraId="48A6BAA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30 (50%)</w:t>
            </w:r>
          </w:p>
        </w:tc>
        <w:tc>
          <w:tcPr>
            <w:tcW w:w="1743" w:type="dxa"/>
          </w:tcPr>
          <w:p w14:paraId="3F53807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60 (50%)</w:t>
            </w:r>
          </w:p>
        </w:tc>
      </w:tr>
      <w:tr w:rsidR="00E55927" w:rsidRPr="00E55927" w14:paraId="12B5BD05" w14:textId="77777777" w:rsidTr="002A1E63">
        <w:trPr>
          <w:trHeight w:val="443"/>
        </w:trPr>
        <w:tc>
          <w:tcPr>
            <w:tcW w:w="3407" w:type="dxa"/>
          </w:tcPr>
          <w:p w14:paraId="420A5E9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Female; n (%)</w:t>
            </w:r>
          </w:p>
        </w:tc>
        <w:tc>
          <w:tcPr>
            <w:tcW w:w="1843" w:type="dxa"/>
          </w:tcPr>
          <w:p w14:paraId="22DC4DD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29 (48.33%)</w:t>
            </w:r>
          </w:p>
        </w:tc>
        <w:tc>
          <w:tcPr>
            <w:tcW w:w="2127" w:type="dxa"/>
          </w:tcPr>
          <w:p w14:paraId="78A39EE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30 (50%)</w:t>
            </w:r>
          </w:p>
        </w:tc>
        <w:tc>
          <w:tcPr>
            <w:tcW w:w="1743" w:type="dxa"/>
          </w:tcPr>
          <w:p w14:paraId="3814D82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59 (49.17%)</w:t>
            </w:r>
          </w:p>
        </w:tc>
      </w:tr>
      <w:tr w:rsidR="00E55927" w:rsidRPr="00E55927" w14:paraId="2906174B" w14:textId="77777777" w:rsidTr="002A1E63">
        <w:trPr>
          <w:trHeight w:val="443"/>
        </w:trPr>
        <w:tc>
          <w:tcPr>
            <w:tcW w:w="3407" w:type="dxa"/>
          </w:tcPr>
          <w:p w14:paraId="612122A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Other; n (%)</w:t>
            </w:r>
          </w:p>
        </w:tc>
        <w:tc>
          <w:tcPr>
            <w:tcW w:w="1843" w:type="dxa"/>
          </w:tcPr>
          <w:p w14:paraId="4F3B8FE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(1.67%)</w:t>
            </w:r>
          </w:p>
        </w:tc>
        <w:tc>
          <w:tcPr>
            <w:tcW w:w="2127" w:type="dxa"/>
          </w:tcPr>
          <w:p w14:paraId="3B0D4B78"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w:t>
            </w:r>
          </w:p>
        </w:tc>
        <w:tc>
          <w:tcPr>
            <w:tcW w:w="1743" w:type="dxa"/>
          </w:tcPr>
          <w:p w14:paraId="0815024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(.83%)</w:t>
            </w:r>
          </w:p>
        </w:tc>
      </w:tr>
      <w:tr w:rsidR="00E55927" w:rsidRPr="00E55927" w14:paraId="4E8991B5" w14:textId="77777777" w:rsidTr="002A1E63">
        <w:trPr>
          <w:trHeight w:val="443"/>
        </w:trPr>
        <w:tc>
          <w:tcPr>
            <w:tcW w:w="3407" w:type="dxa"/>
          </w:tcPr>
          <w:p w14:paraId="69B8717C"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Ethnic group</w:t>
            </w:r>
          </w:p>
        </w:tc>
        <w:tc>
          <w:tcPr>
            <w:tcW w:w="1843" w:type="dxa"/>
          </w:tcPr>
          <w:p w14:paraId="63E688B2" w14:textId="77777777" w:rsidR="00E55927" w:rsidRPr="00E55927" w:rsidRDefault="00E55927" w:rsidP="00E55927">
            <w:pPr>
              <w:pStyle w:val="NoSpacing"/>
              <w:rPr>
                <w:rFonts w:ascii="Times New Roman" w:hAnsi="Times New Roman" w:cs="Times New Roman"/>
              </w:rPr>
            </w:pPr>
          </w:p>
        </w:tc>
        <w:tc>
          <w:tcPr>
            <w:tcW w:w="2127" w:type="dxa"/>
          </w:tcPr>
          <w:p w14:paraId="1E170F06" w14:textId="77777777" w:rsidR="00E55927" w:rsidRPr="00E55927" w:rsidRDefault="00E55927" w:rsidP="00E55927">
            <w:pPr>
              <w:pStyle w:val="NoSpacing"/>
              <w:rPr>
                <w:rFonts w:ascii="Times New Roman" w:hAnsi="Times New Roman" w:cs="Times New Roman"/>
              </w:rPr>
            </w:pPr>
          </w:p>
        </w:tc>
        <w:tc>
          <w:tcPr>
            <w:tcW w:w="1743" w:type="dxa"/>
          </w:tcPr>
          <w:p w14:paraId="75A82468" w14:textId="77777777" w:rsidR="00E55927" w:rsidRPr="00E55927" w:rsidRDefault="00E55927" w:rsidP="00E55927">
            <w:pPr>
              <w:pStyle w:val="NoSpacing"/>
              <w:rPr>
                <w:rFonts w:ascii="Times New Roman" w:hAnsi="Times New Roman" w:cs="Times New Roman"/>
              </w:rPr>
            </w:pPr>
          </w:p>
        </w:tc>
      </w:tr>
      <w:tr w:rsidR="00E55927" w:rsidRPr="00E55927" w14:paraId="161F8CFD" w14:textId="77777777" w:rsidTr="002A1E63">
        <w:trPr>
          <w:trHeight w:val="466"/>
        </w:trPr>
        <w:tc>
          <w:tcPr>
            <w:tcW w:w="3407" w:type="dxa"/>
          </w:tcPr>
          <w:p w14:paraId="0EA7A43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White; n (%)</w:t>
            </w:r>
          </w:p>
        </w:tc>
        <w:tc>
          <w:tcPr>
            <w:tcW w:w="1843" w:type="dxa"/>
          </w:tcPr>
          <w:p w14:paraId="5052EB0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59 (98.33%)</w:t>
            </w:r>
          </w:p>
        </w:tc>
        <w:tc>
          <w:tcPr>
            <w:tcW w:w="2127" w:type="dxa"/>
          </w:tcPr>
          <w:p w14:paraId="180F55B8"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53 (88.33%)</w:t>
            </w:r>
          </w:p>
        </w:tc>
        <w:tc>
          <w:tcPr>
            <w:tcW w:w="1743" w:type="dxa"/>
          </w:tcPr>
          <w:p w14:paraId="1F58361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112 (93.33%)</w:t>
            </w:r>
          </w:p>
        </w:tc>
      </w:tr>
      <w:tr w:rsidR="00E55927" w:rsidRPr="00E55927" w14:paraId="57F35DAE" w14:textId="77777777" w:rsidTr="002A1E63">
        <w:trPr>
          <w:trHeight w:val="644"/>
        </w:trPr>
        <w:tc>
          <w:tcPr>
            <w:tcW w:w="3407" w:type="dxa"/>
          </w:tcPr>
          <w:p w14:paraId="537072B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Mixed / multiple ethnic groups; n (%)</w:t>
            </w:r>
          </w:p>
        </w:tc>
        <w:tc>
          <w:tcPr>
            <w:tcW w:w="1843" w:type="dxa"/>
          </w:tcPr>
          <w:p w14:paraId="1BEDC82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(1.67%)</w:t>
            </w:r>
          </w:p>
        </w:tc>
        <w:tc>
          <w:tcPr>
            <w:tcW w:w="2127" w:type="dxa"/>
          </w:tcPr>
          <w:p w14:paraId="0C24225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w:t>
            </w:r>
          </w:p>
        </w:tc>
        <w:tc>
          <w:tcPr>
            <w:tcW w:w="1743" w:type="dxa"/>
          </w:tcPr>
          <w:p w14:paraId="6146107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(.83%)</w:t>
            </w:r>
          </w:p>
        </w:tc>
      </w:tr>
      <w:tr w:rsidR="00E55927" w:rsidRPr="00E55927" w14:paraId="09334BB5" w14:textId="77777777" w:rsidTr="002A1E63">
        <w:trPr>
          <w:trHeight w:val="443"/>
        </w:trPr>
        <w:tc>
          <w:tcPr>
            <w:tcW w:w="3407" w:type="dxa"/>
          </w:tcPr>
          <w:p w14:paraId="2E5DC6F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Asian / Asian British; n (%) </w:t>
            </w:r>
          </w:p>
        </w:tc>
        <w:tc>
          <w:tcPr>
            <w:tcW w:w="1843" w:type="dxa"/>
          </w:tcPr>
          <w:p w14:paraId="5EA7852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w:t>
            </w:r>
          </w:p>
        </w:tc>
        <w:tc>
          <w:tcPr>
            <w:tcW w:w="2127" w:type="dxa"/>
          </w:tcPr>
          <w:p w14:paraId="5BAC915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(6.67%)</w:t>
            </w:r>
          </w:p>
        </w:tc>
        <w:tc>
          <w:tcPr>
            <w:tcW w:w="1743" w:type="dxa"/>
          </w:tcPr>
          <w:p w14:paraId="0651BFA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(3.33%)</w:t>
            </w:r>
          </w:p>
        </w:tc>
      </w:tr>
      <w:tr w:rsidR="00E55927" w:rsidRPr="00E55927" w14:paraId="5F573448" w14:textId="77777777" w:rsidTr="002A1E63">
        <w:trPr>
          <w:trHeight w:val="810"/>
        </w:trPr>
        <w:tc>
          <w:tcPr>
            <w:tcW w:w="3407" w:type="dxa"/>
          </w:tcPr>
          <w:p w14:paraId="0FEC1BE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Black / African / Caribbean / Black British; n (%)</w:t>
            </w:r>
          </w:p>
        </w:tc>
        <w:tc>
          <w:tcPr>
            <w:tcW w:w="1843" w:type="dxa"/>
          </w:tcPr>
          <w:p w14:paraId="6FF7026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w:t>
            </w:r>
          </w:p>
        </w:tc>
        <w:tc>
          <w:tcPr>
            <w:tcW w:w="2127" w:type="dxa"/>
          </w:tcPr>
          <w:p w14:paraId="7224C81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1743" w:type="dxa"/>
          </w:tcPr>
          <w:p w14:paraId="081D191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(2.50%)</w:t>
            </w:r>
          </w:p>
        </w:tc>
      </w:tr>
      <w:tr w:rsidR="00E55927" w:rsidRPr="00E55927" w14:paraId="0751101B" w14:textId="77777777" w:rsidTr="002A1E63">
        <w:trPr>
          <w:trHeight w:val="466"/>
        </w:trPr>
        <w:tc>
          <w:tcPr>
            <w:tcW w:w="3407" w:type="dxa"/>
          </w:tcPr>
          <w:p w14:paraId="2F7D9436"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Highest education</w:t>
            </w:r>
          </w:p>
        </w:tc>
        <w:tc>
          <w:tcPr>
            <w:tcW w:w="1843" w:type="dxa"/>
          </w:tcPr>
          <w:p w14:paraId="7FAB9E3A" w14:textId="77777777" w:rsidR="00E55927" w:rsidRPr="00E55927" w:rsidRDefault="00E55927" w:rsidP="00E55927">
            <w:pPr>
              <w:pStyle w:val="NoSpacing"/>
              <w:rPr>
                <w:rFonts w:ascii="Times New Roman" w:hAnsi="Times New Roman" w:cs="Times New Roman"/>
              </w:rPr>
            </w:pPr>
          </w:p>
        </w:tc>
        <w:tc>
          <w:tcPr>
            <w:tcW w:w="2127" w:type="dxa"/>
          </w:tcPr>
          <w:p w14:paraId="75E20344" w14:textId="77777777" w:rsidR="00E55927" w:rsidRPr="00E55927" w:rsidRDefault="00E55927" w:rsidP="00E55927">
            <w:pPr>
              <w:pStyle w:val="NoSpacing"/>
              <w:rPr>
                <w:rFonts w:ascii="Times New Roman" w:hAnsi="Times New Roman" w:cs="Times New Roman"/>
              </w:rPr>
            </w:pPr>
          </w:p>
        </w:tc>
        <w:tc>
          <w:tcPr>
            <w:tcW w:w="1743" w:type="dxa"/>
          </w:tcPr>
          <w:p w14:paraId="7AA42CA1" w14:textId="77777777" w:rsidR="00E55927" w:rsidRPr="00E55927" w:rsidRDefault="00E55927" w:rsidP="00E55927">
            <w:pPr>
              <w:pStyle w:val="NoSpacing"/>
              <w:rPr>
                <w:rFonts w:ascii="Times New Roman" w:hAnsi="Times New Roman" w:cs="Times New Roman"/>
              </w:rPr>
            </w:pPr>
          </w:p>
        </w:tc>
      </w:tr>
      <w:tr w:rsidR="00E55927" w:rsidRPr="00E55927" w14:paraId="295B4FD4" w14:textId="77777777" w:rsidTr="002A1E63">
        <w:trPr>
          <w:trHeight w:val="443"/>
        </w:trPr>
        <w:tc>
          <w:tcPr>
            <w:tcW w:w="3407" w:type="dxa"/>
          </w:tcPr>
          <w:p w14:paraId="4BE399C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Postgraduate; n (%)</w:t>
            </w:r>
          </w:p>
        </w:tc>
        <w:tc>
          <w:tcPr>
            <w:tcW w:w="1843" w:type="dxa"/>
          </w:tcPr>
          <w:p w14:paraId="758F231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(21.67%)</w:t>
            </w:r>
          </w:p>
        </w:tc>
        <w:tc>
          <w:tcPr>
            <w:tcW w:w="2127" w:type="dxa"/>
          </w:tcPr>
          <w:p w14:paraId="0F41DAE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(13.33%)</w:t>
            </w:r>
          </w:p>
        </w:tc>
        <w:tc>
          <w:tcPr>
            <w:tcW w:w="1743" w:type="dxa"/>
          </w:tcPr>
          <w:p w14:paraId="6C76EC7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21 (17.50%)</w:t>
            </w:r>
          </w:p>
        </w:tc>
      </w:tr>
      <w:tr w:rsidR="00E55927" w:rsidRPr="00E55927" w14:paraId="507A3608" w14:textId="77777777" w:rsidTr="002A1E63">
        <w:trPr>
          <w:trHeight w:val="443"/>
        </w:trPr>
        <w:tc>
          <w:tcPr>
            <w:tcW w:w="3407" w:type="dxa"/>
          </w:tcPr>
          <w:p w14:paraId="2F12386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Undergraduate; n (%)</w:t>
            </w:r>
          </w:p>
        </w:tc>
        <w:tc>
          <w:tcPr>
            <w:tcW w:w="1843" w:type="dxa"/>
          </w:tcPr>
          <w:p w14:paraId="6909BC3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23 (38.33%)</w:t>
            </w:r>
          </w:p>
        </w:tc>
        <w:tc>
          <w:tcPr>
            <w:tcW w:w="2127" w:type="dxa"/>
          </w:tcPr>
          <w:p w14:paraId="3585DE0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26 (43.33%)</w:t>
            </w:r>
          </w:p>
        </w:tc>
        <w:tc>
          <w:tcPr>
            <w:tcW w:w="1743" w:type="dxa"/>
          </w:tcPr>
          <w:p w14:paraId="6BA267E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49 (40.83%)</w:t>
            </w:r>
          </w:p>
        </w:tc>
      </w:tr>
      <w:tr w:rsidR="00E55927" w:rsidRPr="00E55927" w14:paraId="79956E1E" w14:textId="77777777" w:rsidTr="002A1E63">
        <w:trPr>
          <w:trHeight w:val="672"/>
        </w:trPr>
        <w:tc>
          <w:tcPr>
            <w:tcW w:w="3407" w:type="dxa"/>
          </w:tcPr>
          <w:p w14:paraId="7B77B4A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A levels, vocational level 3 and equivalents; n (%)</w:t>
            </w:r>
          </w:p>
        </w:tc>
        <w:tc>
          <w:tcPr>
            <w:tcW w:w="1843" w:type="dxa"/>
          </w:tcPr>
          <w:p w14:paraId="3A59A1F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(23.33%)</w:t>
            </w:r>
          </w:p>
        </w:tc>
        <w:tc>
          <w:tcPr>
            <w:tcW w:w="2127" w:type="dxa"/>
          </w:tcPr>
          <w:p w14:paraId="1BA8398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22 (36.67%)</w:t>
            </w:r>
          </w:p>
        </w:tc>
        <w:tc>
          <w:tcPr>
            <w:tcW w:w="1743" w:type="dxa"/>
          </w:tcPr>
          <w:p w14:paraId="1FB4E3D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36 (30%)</w:t>
            </w:r>
          </w:p>
        </w:tc>
      </w:tr>
      <w:tr w:rsidR="00E55927" w:rsidRPr="00E55927" w14:paraId="731E4E6D" w14:textId="77777777" w:rsidTr="002A1E63">
        <w:trPr>
          <w:trHeight w:val="1004"/>
        </w:trPr>
        <w:tc>
          <w:tcPr>
            <w:tcW w:w="3407" w:type="dxa"/>
          </w:tcPr>
          <w:p w14:paraId="74AE6BE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GCSE/ O Level A* to C, vocational level 2 and equivalents; n (%)</w:t>
            </w:r>
          </w:p>
        </w:tc>
        <w:tc>
          <w:tcPr>
            <w:tcW w:w="1843" w:type="dxa"/>
          </w:tcPr>
          <w:p w14:paraId="626DA80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10 (16.67%)</w:t>
            </w:r>
          </w:p>
        </w:tc>
        <w:tc>
          <w:tcPr>
            <w:tcW w:w="2127" w:type="dxa"/>
          </w:tcPr>
          <w:p w14:paraId="23D3CFD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(6.67%)</w:t>
            </w:r>
          </w:p>
        </w:tc>
        <w:tc>
          <w:tcPr>
            <w:tcW w:w="1743" w:type="dxa"/>
          </w:tcPr>
          <w:p w14:paraId="0FD82C0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(11.67%)</w:t>
            </w:r>
          </w:p>
        </w:tc>
      </w:tr>
      <w:tr w:rsidR="00E55927" w:rsidRPr="00E55927" w14:paraId="612DCAB5" w14:textId="77777777" w:rsidTr="002A1E63">
        <w:trPr>
          <w:trHeight w:val="443"/>
        </w:trPr>
        <w:tc>
          <w:tcPr>
            <w:tcW w:w="3407" w:type="dxa"/>
          </w:tcPr>
          <w:p w14:paraId="6CB3A0C8"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Student status</w:t>
            </w:r>
          </w:p>
        </w:tc>
        <w:tc>
          <w:tcPr>
            <w:tcW w:w="1843" w:type="dxa"/>
          </w:tcPr>
          <w:p w14:paraId="422C1C28" w14:textId="77777777" w:rsidR="00E55927" w:rsidRPr="00E55927" w:rsidRDefault="00E55927" w:rsidP="00E55927">
            <w:pPr>
              <w:pStyle w:val="NoSpacing"/>
              <w:rPr>
                <w:rFonts w:ascii="Times New Roman" w:hAnsi="Times New Roman" w:cs="Times New Roman"/>
              </w:rPr>
            </w:pPr>
          </w:p>
        </w:tc>
        <w:tc>
          <w:tcPr>
            <w:tcW w:w="2127" w:type="dxa"/>
          </w:tcPr>
          <w:p w14:paraId="3140FBFB" w14:textId="77777777" w:rsidR="00E55927" w:rsidRPr="00E55927" w:rsidRDefault="00E55927" w:rsidP="00E55927">
            <w:pPr>
              <w:pStyle w:val="NoSpacing"/>
              <w:rPr>
                <w:rFonts w:ascii="Times New Roman" w:hAnsi="Times New Roman" w:cs="Times New Roman"/>
              </w:rPr>
            </w:pPr>
          </w:p>
        </w:tc>
        <w:tc>
          <w:tcPr>
            <w:tcW w:w="1743" w:type="dxa"/>
          </w:tcPr>
          <w:p w14:paraId="250F90AC" w14:textId="77777777" w:rsidR="00E55927" w:rsidRPr="00E55927" w:rsidRDefault="00E55927" w:rsidP="00E55927">
            <w:pPr>
              <w:pStyle w:val="NoSpacing"/>
              <w:rPr>
                <w:rFonts w:ascii="Times New Roman" w:hAnsi="Times New Roman" w:cs="Times New Roman"/>
              </w:rPr>
            </w:pPr>
          </w:p>
        </w:tc>
      </w:tr>
      <w:tr w:rsidR="00E55927" w:rsidRPr="00E55927" w14:paraId="044332D1" w14:textId="77777777" w:rsidTr="002A1E63">
        <w:trPr>
          <w:trHeight w:val="443"/>
        </w:trPr>
        <w:tc>
          <w:tcPr>
            <w:tcW w:w="3407" w:type="dxa"/>
          </w:tcPr>
          <w:p w14:paraId="34C672B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Part-time; n (%)</w:t>
            </w:r>
          </w:p>
        </w:tc>
        <w:tc>
          <w:tcPr>
            <w:tcW w:w="1843" w:type="dxa"/>
          </w:tcPr>
          <w:p w14:paraId="3C2CDFE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(1.67%)</w:t>
            </w:r>
          </w:p>
        </w:tc>
        <w:tc>
          <w:tcPr>
            <w:tcW w:w="2127" w:type="dxa"/>
          </w:tcPr>
          <w:p w14:paraId="20977F6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1743" w:type="dxa"/>
          </w:tcPr>
          <w:p w14:paraId="6F00943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(3.33%)</w:t>
            </w:r>
          </w:p>
        </w:tc>
      </w:tr>
      <w:tr w:rsidR="00E55927" w:rsidRPr="00E55927" w14:paraId="7B311CCB" w14:textId="77777777" w:rsidTr="002A1E63">
        <w:trPr>
          <w:trHeight w:val="443"/>
        </w:trPr>
        <w:tc>
          <w:tcPr>
            <w:tcW w:w="3407" w:type="dxa"/>
          </w:tcPr>
          <w:p w14:paraId="210122D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Full-time; n (%)</w:t>
            </w:r>
          </w:p>
        </w:tc>
        <w:tc>
          <w:tcPr>
            <w:tcW w:w="1843" w:type="dxa"/>
          </w:tcPr>
          <w:p w14:paraId="43A169D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(13.33%)</w:t>
            </w:r>
          </w:p>
        </w:tc>
        <w:tc>
          <w:tcPr>
            <w:tcW w:w="2127" w:type="dxa"/>
          </w:tcPr>
          <w:p w14:paraId="2265521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18 (30%)</w:t>
            </w:r>
          </w:p>
        </w:tc>
        <w:tc>
          <w:tcPr>
            <w:tcW w:w="1743" w:type="dxa"/>
          </w:tcPr>
          <w:p w14:paraId="240BFE8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26 (21.67%)</w:t>
            </w:r>
          </w:p>
        </w:tc>
      </w:tr>
      <w:tr w:rsidR="00E55927" w:rsidRPr="00E55927" w14:paraId="03DF1282" w14:textId="77777777" w:rsidTr="002A1E63">
        <w:trPr>
          <w:trHeight w:val="555"/>
        </w:trPr>
        <w:tc>
          <w:tcPr>
            <w:tcW w:w="3407" w:type="dxa"/>
          </w:tcPr>
          <w:p w14:paraId="262A931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Not a student; n (%) </w:t>
            </w:r>
          </w:p>
        </w:tc>
        <w:tc>
          <w:tcPr>
            <w:tcW w:w="1843" w:type="dxa"/>
          </w:tcPr>
          <w:p w14:paraId="4A593F8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51 (85%)</w:t>
            </w:r>
          </w:p>
        </w:tc>
        <w:tc>
          <w:tcPr>
            <w:tcW w:w="2127" w:type="dxa"/>
          </w:tcPr>
          <w:p w14:paraId="5CE61E8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39 (65%)</w:t>
            </w:r>
          </w:p>
        </w:tc>
        <w:tc>
          <w:tcPr>
            <w:tcW w:w="1743" w:type="dxa"/>
          </w:tcPr>
          <w:p w14:paraId="032D81F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90 (75%)</w:t>
            </w:r>
          </w:p>
        </w:tc>
      </w:tr>
      <w:tr w:rsidR="00E55927" w:rsidRPr="00E55927" w14:paraId="7BA39090" w14:textId="77777777" w:rsidTr="002A1E63">
        <w:trPr>
          <w:trHeight w:val="443"/>
        </w:trPr>
        <w:tc>
          <w:tcPr>
            <w:tcW w:w="3407" w:type="dxa"/>
          </w:tcPr>
          <w:p w14:paraId="1FD5C6CB"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Employment status</w:t>
            </w:r>
          </w:p>
        </w:tc>
        <w:tc>
          <w:tcPr>
            <w:tcW w:w="1843" w:type="dxa"/>
          </w:tcPr>
          <w:p w14:paraId="673821BE" w14:textId="77777777" w:rsidR="00E55927" w:rsidRPr="00E55927" w:rsidRDefault="00E55927" w:rsidP="00E55927">
            <w:pPr>
              <w:pStyle w:val="NoSpacing"/>
              <w:rPr>
                <w:rFonts w:ascii="Times New Roman" w:hAnsi="Times New Roman" w:cs="Times New Roman"/>
              </w:rPr>
            </w:pPr>
          </w:p>
        </w:tc>
        <w:tc>
          <w:tcPr>
            <w:tcW w:w="2127" w:type="dxa"/>
          </w:tcPr>
          <w:p w14:paraId="6F7355F7" w14:textId="77777777" w:rsidR="00E55927" w:rsidRPr="00E55927" w:rsidRDefault="00E55927" w:rsidP="00E55927">
            <w:pPr>
              <w:pStyle w:val="NoSpacing"/>
              <w:rPr>
                <w:rFonts w:ascii="Times New Roman" w:hAnsi="Times New Roman" w:cs="Times New Roman"/>
              </w:rPr>
            </w:pPr>
          </w:p>
        </w:tc>
        <w:tc>
          <w:tcPr>
            <w:tcW w:w="1743" w:type="dxa"/>
          </w:tcPr>
          <w:p w14:paraId="36B5E875" w14:textId="77777777" w:rsidR="00E55927" w:rsidRPr="00E55927" w:rsidRDefault="00E55927" w:rsidP="00E55927">
            <w:pPr>
              <w:pStyle w:val="NoSpacing"/>
              <w:rPr>
                <w:rFonts w:ascii="Times New Roman" w:hAnsi="Times New Roman" w:cs="Times New Roman"/>
              </w:rPr>
            </w:pPr>
          </w:p>
        </w:tc>
      </w:tr>
      <w:tr w:rsidR="00E55927" w:rsidRPr="00E55927" w14:paraId="61F80110" w14:textId="77777777" w:rsidTr="002A1E63">
        <w:trPr>
          <w:trHeight w:val="443"/>
        </w:trPr>
        <w:tc>
          <w:tcPr>
            <w:tcW w:w="3407" w:type="dxa"/>
          </w:tcPr>
          <w:p w14:paraId="4CEDF02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Unemployed; n (%)</w:t>
            </w:r>
          </w:p>
        </w:tc>
        <w:tc>
          <w:tcPr>
            <w:tcW w:w="1843" w:type="dxa"/>
          </w:tcPr>
          <w:p w14:paraId="5F21F9B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(23.33%)</w:t>
            </w:r>
          </w:p>
        </w:tc>
        <w:tc>
          <w:tcPr>
            <w:tcW w:w="2127" w:type="dxa"/>
          </w:tcPr>
          <w:p w14:paraId="3576494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(21.67%)</w:t>
            </w:r>
          </w:p>
        </w:tc>
        <w:tc>
          <w:tcPr>
            <w:tcW w:w="1743" w:type="dxa"/>
          </w:tcPr>
          <w:p w14:paraId="15E7356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27 (22.50%)</w:t>
            </w:r>
          </w:p>
        </w:tc>
      </w:tr>
      <w:tr w:rsidR="00E55927" w:rsidRPr="00E55927" w14:paraId="00E25AB7" w14:textId="77777777" w:rsidTr="002A1E63">
        <w:trPr>
          <w:trHeight w:val="443"/>
        </w:trPr>
        <w:tc>
          <w:tcPr>
            <w:tcW w:w="3407" w:type="dxa"/>
          </w:tcPr>
          <w:p w14:paraId="024DA47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lastRenderedPageBreak/>
              <w:t>Part-time; n (%)</w:t>
            </w:r>
          </w:p>
        </w:tc>
        <w:tc>
          <w:tcPr>
            <w:tcW w:w="1843" w:type="dxa"/>
          </w:tcPr>
          <w:p w14:paraId="77AA76E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11 (18.33%)</w:t>
            </w:r>
          </w:p>
        </w:tc>
        <w:tc>
          <w:tcPr>
            <w:tcW w:w="2127" w:type="dxa"/>
          </w:tcPr>
          <w:p w14:paraId="619FDBA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16 (26.67%)</w:t>
            </w:r>
          </w:p>
        </w:tc>
        <w:tc>
          <w:tcPr>
            <w:tcW w:w="1743" w:type="dxa"/>
          </w:tcPr>
          <w:p w14:paraId="4CB96EF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27 (22.50%)</w:t>
            </w:r>
          </w:p>
        </w:tc>
      </w:tr>
      <w:tr w:rsidR="00E55927" w:rsidRPr="00E55927" w14:paraId="14DB693C" w14:textId="77777777" w:rsidTr="002A1E63">
        <w:trPr>
          <w:trHeight w:val="443"/>
        </w:trPr>
        <w:tc>
          <w:tcPr>
            <w:tcW w:w="3407" w:type="dxa"/>
          </w:tcPr>
          <w:p w14:paraId="06BECA5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Full-time; n (%)</w:t>
            </w:r>
          </w:p>
        </w:tc>
        <w:tc>
          <w:tcPr>
            <w:tcW w:w="1843" w:type="dxa"/>
          </w:tcPr>
          <w:p w14:paraId="606442D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32 (53.33%)</w:t>
            </w:r>
          </w:p>
        </w:tc>
        <w:tc>
          <w:tcPr>
            <w:tcW w:w="2127" w:type="dxa"/>
          </w:tcPr>
          <w:p w14:paraId="016621E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30 (50%)</w:t>
            </w:r>
          </w:p>
        </w:tc>
        <w:tc>
          <w:tcPr>
            <w:tcW w:w="1743" w:type="dxa"/>
          </w:tcPr>
          <w:p w14:paraId="462F04E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62 (51.67%)</w:t>
            </w:r>
          </w:p>
        </w:tc>
      </w:tr>
      <w:tr w:rsidR="00E55927" w:rsidRPr="00E55927" w14:paraId="7C392030" w14:textId="77777777" w:rsidTr="002A1E63">
        <w:trPr>
          <w:trHeight w:val="534"/>
        </w:trPr>
        <w:tc>
          <w:tcPr>
            <w:tcW w:w="3407" w:type="dxa"/>
          </w:tcPr>
          <w:p w14:paraId="4060EFE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Retired; n (%)</w:t>
            </w:r>
          </w:p>
        </w:tc>
        <w:tc>
          <w:tcPr>
            <w:tcW w:w="1843" w:type="dxa"/>
          </w:tcPr>
          <w:p w14:paraId="61E020D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2127" w:type="dxa"/>
          </w:tcPr>
          <w:p w14:paraId="6E59EE7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(1.67%)</w:t>
            </w:r>
          </w:p>
        </w:tc>
        <w:tc>
          <w:tcPr>
            <w:tcW w:w="1743" w:type="dxa"/>
          </w:tcPr>
          <w:p w14:paraId="0B1D405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(3.33%)</w:t>
            </w:r>
          </w:p>
        </w:tc>
      </w:tr>
      <w:tr w:rsidR="00E55927" w:rsidRPr="00E55927" w14:paraId="1B2AD5AB" w14:textId="77777777" w:rsidTr="002A1E63">
        <w:trPr>
          <w:trHeight w:val="418"/>
        </w:trPr>
        <w:tc>
          <w:tcPr>
            <w:tcW w:w="3407" w:type="dxa"/>
          </w:tcPr>
          <w:p w14:paraId="3694DD8E"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COVID-19 and employment</w:t>
            </w:r>
          </w:p>
        </w:tc>
        <w:tc>
          <w:tcPr>
            <w:tcW w:w="1843" w:type="dxa"/>
          </w:tcPr>
          <w:p w14:paraId="08045DD7" w14:textId="77777777" w:rsidR="00E55927" w:rsidRPr="00E55927" w:rsidRDefault="00E55927" w:rsidP="00E55927">
            <w:pPr>
              <w:pStyle w:val="NoSpacing"/>
              <w:rPr>
                <w:rFonts w:ascii="Times New Roman" w:hAnsi="Times New Roman" w:cs="Times New Roman"/>
              </w:rPr>
            </w:pPr>
          </w:p>
        </w:tc>
        <w:tc>
          <w:tcPr>
            <w:tcW w:w="2127" w:type="dxa"/>
          </w:tcPr>
          <w:p w14:paraId="2A90BEFF" w14:textId="77777777" w:rsidR="00E55927" w:rsidRPr="00E55927" w:rsidRDefault="00E55927" w:rsidP="00E55927">
            <w:pPr>
              <w:pStyle w:val="NoSpacing"/>
              <w:rPr>
                <w:rFonts w:ascii="Times New Roman" w:hAnsi="Times New Roman" w:cs="Times New Roman"/>
              </w:rPr>
            </w:pPr>
          </w:p>
        </w:tc>
        <w:tc>
          <w:tcPr>
            <w:tcW w:w="1743" w:type="dxa"/>
          </w:tcPr>
          <w:p w14:paraId="0DFC17D4" w14:textId="77777777" w:rsidR="00E55927" w:rsidRPr="00E55927" w:rsidRDefault="00E55927" w:rsidP="00E55927">
            <w:pPr>
              <w:pStyle w:val="NoSpacing"/>
              <w:rPr>
                <w:rFonts w:ascii="Times New Roman" w:hAnsi="Times New Roman" w:cs="Times New Roman"/>
              </w:rPr>
            </w:pPr>
          </w:p>
        </w:tc>
      </w:tr>
      <w:tr w:rsidR="00E55927" w:rsidRPr="00E55927" w14:paraId="688BDCF0" w14:textId="77777777" w:rsidTr="002A1E63">
        <w:trPr>
          <w:trHeight w:val="443"/>
        </w:trPr>
        <w:tc>
          <w:tcPr>
            <w:tcW w:w="3407" w:type="dxa"/>
          </w:tcPr>
          <w:p w14:paraId="5553B6B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Unaffected; n (%)</w:t>
            </w:r>
          </w:p>
        </w:tc>
        <w:tc>
          <w:tcPr>
            <w:tcW w:w="1843" w:type="dxa"/>
          </w:tcPr>
          <w:p w14:paraId="07949FA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41 (68.33%)</w:t>
            </w:r>
          </w:p>
        </w:tc>
        <w:tc>
          <w:tcPr>
            <w:tcW w:w="2127" w:type="dxa"/>
          </w:tcPr>
          <w:p w14:paraId="6BBCE2F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41 (68.33%)</w:t>
            </w:r>
          </w:p>
        </w:tc>
        <w:tc>
          <w:tcPr>
            <w:tcW w:w="1743" w:type="dxa"/>
          </w:tcPr>
          <w:p w14:paraId="485B104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82 (68.33%)</w:t>
            </w:r>
          </w:p>
        </w:tc>
      </w:tr>
      <w:tr w:rsidR="00E55927" w:rsidRPr="00E55927" w14:paraId="3D95B8B2" w14:textId="77777777" w:rsidTr="002A1E63">
        <w:trPr>
          <w:trHeight w:val="443"/>
        </w:trPr>
        <w:tc>
          <w:tcPr>
            <w:tcW w:w="3407" w:type="dxa"/>
          </w:tcPr>
          <w:p w14:paraId="58A7D40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Furloughed; n (%)</w:t>
            </w:r>
          </w:p>
        </w:tc>
        <w:tc>
          <w:tcPr>
            <w:tcW w:w="1843" w:type="dxa"/>
          </w:tcPr>
          <w:p w14:paraId="397DFF8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 (10%)</w:t>
            </w:r>
          </w:p>
        </w:tc>
        <w:tc>
          <w:tcPr>
            <w:tcW w:w="2127" w:type="dxa"/>
          </w:tcPr>
          <w:p w14:paraId="31C01EC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(13.33%)</w:t>
            </w:r>
          </w:p>
        </w:tc>
        <w:tc>
          <w:tcPr>
            <w:tcW w:w="1743" w:type="dxa"/>
          </w:tcPr>
          <w:p w14:paraId="326A92F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(11.67%)</w:t>
            </w:r>
          </w:p>
        </w:tc>
      </w:tr>
      <w:tr w:rsidR="00E55927" w:rsidRPr="00E55927" w14:paraId="04650D6D" w14:textId="77777777" w:rsidTr="002A1E63">
        <w:trPr>
          <w:trHeight w:val="443"/>
        </w:trPr>
        <w:tc>
          <w:tcPr>
            <w:tcW w:w="3407" w:type="dxa"/>
          </w:tcPr>
          <w:p w14:paraId="33DB54C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Salary cut; n (%)</w:t>
            </w:r>
          </w:p>
        </w:tc>
        <w:tc>
          <w:tcPr>
            <w:tcW w:w="1843" w:type="dxa"/>
          </w:tcPr>
          <w:p w14:paraId="004F9D5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(1.67%)</w:t>
            </w:r>
          </w:p>
        </w:tc>
        <w:tc>
          <w:tcPr>
            <w:tcW w:w="2127" w:type="dxa"/>
          </w:tcPr>
          <w:p w14:paraId="0954376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1743" w:type="dxa"/>
          </w:tcPr>
          <w:p w14:paraId="7EDD21C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(3.33%)</w:t>
            </w:r>
          </w:p>
        </w:tc>
      </w:tr>
      <w:tr w:rsidR="00E55927" w:rsidRPr="00E55927" w14:paraId="3BCF2824" w14:textId="77777777" w:rsidTr="002A1E63">
        <w:trPr>
          <w:trHeight w:val="443"/>
        </w:trPr>
        <w:tc>
          <w:tcPr>
            <w:tcW w:w="3407" w:type="dxa"/>
          </w:tcPr>
          <w:p w14:paraId="33C0BFD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Made redundant; n (%) </w:t>
            </w:r>
          </w:p>
        </w:tc>
        <w:tc>
          <w:tcPr>
            <w:tcW w:w="1843" w:type="dxa"/>
          </w:tcPr>
          <w:p w14:paraId="048BE87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2127" w:type="dxa"/>
          </w:tcPr>
          <w:p w14:paraId="06618C1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1743" w:type="dxa"/>
          </w:tcPr>
          <w:p w14:paraId="674777E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 (4.17%)</w:t>
            </w:r>
          </w:p>
        </w:tc>
      </w:tr>
      <w:tr w:rsidR="00E55927" w:rsidRPr="00E55927" w14:paraId="52C769B1" w14:textId="77777777" w:rsidTr="002A1E63">
        <w:trPr>
          <w:trHeight w:val="515"/>
        </w:trPr>
        <w:tc>
          <w:tcPr>
            <w:tcW w:w="3407" w:type="dxa"/>
          </w:tcPr>
          <w:p w14:paraId="1543BD6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Other; n (%)</w:t>
            </w:r>
          </w:p>
        </w:tc>
        <w:tc>
          <w:tcPr>
            <w:tcW w:w="1843" w:type="dxa"/>
          </w:tcPr>
          <w:p w14:paraId="62C5E77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9 (15%)</w:t>
            </w:r>
          </w:p>
        </w:tc>
        <w:tc>
          <w:tcPr>
            <w:tcW w:w="2127" w:type="dxa"/>
          </w:tcPr>
          <w:p w14:paraId="5D4DB24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 (10%)</w:t>
            </w:r>
          </w:p>
        </w:tc>
        <w:tc>
          <w:tcPr>
            <w:tcW w:w="1743" w:type="dxa"/>
          </w:tcPr>
          <w:p w14:paraId="08BCEC7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15 (12.50%)</w:t>
            </w:r>
          </w:p>
        </w:tc>
      </w:tr>
      <w:tr w:rsidR="00E55927" w:rsidRPr="00E55927" w14:paraId="13A08D0C" w14:textId="77777777" w:rsidTr="002A1E63">
        <w:trPr>
          <w:trHeight w:val="515"/>
        </w:trPr>
        <w:tc>
          <w:tcPr>
            <w:tcW w:w="3407" w:type="dxa"/>
          </w:tcPr>
          <w:p w14:paraId="472E7F72" w14:textId="77777777" w:rsidR="00E55927" w:rsidRPr="00E55927" w:rsidRDefault="00E55927" w:rsidP="00E55927">
            <w:pPr>
              <w:pStyle w:val="NoSpacing"/>
              <w:rPr>
                <w:rFonts w:ascii="Times New Roman" w:hAnsi="Times New Roman" w:cs="Times New Roman"/>
                <w:b/>
                <w:bCs/>
              </w:rPr>
            </w:pPr>
            <w:r w:rsidRPr="00E55927">
              <w:rPr>
                <w:rFonts w:ascii="Times New Roman" w:hAnsi="Times New Roman" w:cs="Times New Roman"/>
                <w:b/>
                <w:bCs/>
              </w:rPr>
              <w:t>COVID-19 and mental health</w:t>
            </w:r>
          </w:p>
        </w:tc>
        <w:tc>
          <w:tcPr>
            <w:tcW w:w="1843" w:type="dxa"/>
          </w:tcPr>
          <w:p w14:paraId="5DDC1194" w14:textId="77777777" w:rsidR="00E55927" w:rsidRPr="00E55927" w:rsidRDefault="00E55927" w:rsidP="00E55927">
            <w:pPr>
              <w:pStyle w:val="NoSpacing"/>
              <w:rPr>
                <w:rFonts w:ascii="Times New Roman" w:hAnsi="Times New Roman" w:cs="Times New Roman"/>
              </w:rPr>
            </w:pPr>
          </w:p>
        </w:tc>
        <w:tc>
          <w:tcPr>
            <w:tcW w:w="2127" w:type="dxa"/>
          </w:tcPr>
          <w:p w14:paraId="5E9B3A73" w14:textId="77777777" w:rsidR="00E55927" w:rsidRPr="00E55927" w:rsidRDefault="00E55927" w:rsidP="00E55927">
            <w:pPr>
              <w:pStyle w:val="NoSpacing"/>
              <w:rPr>
                <w:rFonts w:ascii="Times New Roman" w:hAnsi="Times New Roman" w:cs="Times New Roman"/>
              </w:rPr>
            </w:pPr>
          </w:p>
        </w:tc>
        <w:tc>
          <w:tcPr>
            <w:tcW w:w="1743" w:type="dxa"/>
          </w:tcPr>
          <w:p w14:paraId="041E25E6" w14:textId="77777777" w:rsidR="00E55927" w:rsidRPr="00E55927" w:rsidRDefault="00E55927" w:rsidP="00E55927">
            <w:pPr>
              <w:pStyle w:val="NoSpacing"/>
              <w:rPr>
                <w:rFonts w:ascii="Times New Roman" w:hAnsi="Times New Roman" w:cs="Times New Roman"/>
              </w:rPr>
            </w:pPr>
          </w:p>
        </w:tc>
      </w:tr>
      <w:tr w:rsidR="00E55927" w:rsidRPr="00E55927" w14:paraId="012E0320" w14:textId="77777777" w:rsidTr="002A1E63">
        <w:trPr>
          <w:trHeight w:val="515"/>
        </w:trPr>
        <w:tc>
          <w:tcPr>
            <w:tcW w:w="3407" w:type="dxa"/>
          </w:tcPr>
          <w:p w14:paraId="114FCA7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Much better</w:t>
            </w:r>
          </w:p>
        </w:tc>
        <w:tc>
          <w:tcPr>
            <w:tcW w:w="1843" w:type="dxa"/>
          </w:tcPr>
          <w:p w14:paraId="3D163D0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 (0%)</w:t>
            </w:r>
          </w:p>
        </w:tc>
        <w:tc>
          <w:tcPr>
            <w:tcW w:w="2127" w:type="dxa"/>
          </w:tcPr>
          <w:p w14:paraId="192FDF3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1743" w:type="dxa"/>
          </w:tcPr>
          <w:p w14:paraId="5C92A76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(1.67%)</w:t>
            </w:r>
          </w:p>
        </w:tc>
      </w:tr>
      <w:tr w:rsidR="00E55927" w:rsidRPr="00E55927" w14:paraId="0256A23D" w14:textId="77777777" w:rsidTr="002A1E63">
        <w:trPr>
          <w:trHeight w:val="515"/>
        </w:trPr>
        <w:tc>
          <w:tcPr>
            <w:tcW w:w="3407" w:type="dxa"/>
          </w:tcPr>
          <w:p w14:paraId="5D3AA62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Slightly better</w:t>
            </w:r>
          </w:p>
        </w:tc>
        <w:tc>
          <w:tcPr>
            <w:tcW w:w="1843" w:type="dxa"/>
          </w:tcPr>
          <w:p w14:paraId="2E04597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 (8.33%)</w:t>
            </w:r>
          </w:p>
        </w:tc>
        <w:tc>
          <w:tcPr>
            <w:tcW w:w="2127" w:type="dxa"/>
          </w:tcPr>
          <w:p w14:paraId="77E8295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10 (16.67%)</w:t>
            </w:r>
          </w:p>
        </w:tc>
        <w:tc>
          <w:tcPr>
            <w:tcW w:w="1743" w:type="dxa"/>
          </w:tcPr>
          <w:p w14:paraId="208751B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15 (12.50%)</w:t>
            </w:r>
          </w:p>
        </w:tc>
      </w:tr>
      <w:tr w:rsidR="00E55927" w:rsidRPr="00E55927" w14:paraId="2A6995AF" w14:textId="77777777" w:rsidTr="002A1E63">
        <w:trPr>
          <w:trHeight w:val="515"/>
        </w:trPr>
        <w:tc>
          <w:tcPr>
            <w:tcW w:w="3407" w:type="dxa"/>
          </w:tcPr>
          <w:p w14:paraId="509ABFF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No change</w:t>
            </w:r>
          </w:p>
        </w:tc>
        <w:tc>
          <w:tcPr>
            <w:tcW w:w="1843" w:type="dxa"/>
          </w:tcPr>
          <w:p w14:paraId="5BC2933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(23.33%)</w:t>
            </w:r>
          </w:p>
        </w:tc>
        <w:tc>
          <w:tcPr>
            <w:tcW w:w="2127" w:type="dxa"/>
          </w:tcPr>
          <w:p w14:paraId="529574F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(21.67%)</w:t>
            </w:r>
          </w:p>
        </w:tc>
        <w:tc>
          <w:tcPr>
            <w:tcW w:w="1743" w:type="dxa"/>
          </w:tcPr>
          <w:p w14:paraId="4AB55AC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27 (22.50%)</w:t>
            </w:r>
          </w:p>
        </w:tc>
      </w:tr>
      <w:tr w:rsidR="00E55927" w:rsidRPr="00E55927" w14:paraId="4F2AC789" w14:textId="77777777" w:rsidTr="002A1E63">
        <w:trPr>
          <w:trHeight w:val="515"/>
        </w:trPr>
        <w:tc>
          <w:tcPr>
            <w:tcW w:w="3407" w:type="dxa"/>
          </w:tcPr>
          <w:p w14:paraId="2FA0364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Slightly worse</w:t>
            </w:r>
          </w:p>
        </w:tc>
        <w:tc>
          <w:tcPr>
            <w:tcW w:w="1843" w:type="dxa"/>
          </w:tcPr>
          <w:p w14:paraId="304F74F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29 (48.33%)</w:t>
            </w:r>
          </w:p>
        </w:tc>
        <w:tc>
          <w:tcPr>
            <w:tcW w:w="2127" w:type="dxa"/>
          </w:tcPr>
          <w:p w14:paraId="73464D5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25 (41.67%)</w:t>
            </w:r>
          </w:p>
        </w:tc>
        <w:tc>
          <w:tcPr>
            <w:tcW w:w="1743" w:type="dxa"/>
          </w:tcPr>
          <w:p w14:paraId="6B12E6B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54 (45%)</w:t>
            </w:r>
          </w:p>
        </w:tc>
      </w:tr>
      <w:tr w:rsidR="00E55927" w:rsidRPr="00E55927" w14:paraId="0802EE99" w14:textId="77777777" w:rsidTr="002A1E63">
        <w:trPr>
          <w:trHeight w:val="515"/>
        </w:trPr>
        <w:tc>
          <w:tcPr>
            <w:tcW w:w="3407" w:type="dxa"/>
          </w:tcPr>
          <w:p w14:paraId="3735BBB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Much worse</w:t>
            </w:r>
          </w:p>
        </w:tc>
        <w:tc>
          <w:tcPr>
            <w:tcW w:w="1843" w:type="dxa"/>
          </w:tcPr>
          <w:p w14:paraId="2370543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12 (20%)</w:t>
            </w:r>
          </w:p>
        </w:tc>
        <w:tc>
          <w:tcPr>
            <w:tcW w:w="2127" w:type="dxa"/>
          </w:tcPr>
          <w:p w14:paraId="275BCD4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10 (16.67%)</w:t>
            </w:r>
          </w:p>
        </w:tc>
        <w:tc>
          <w:tcPr>
            <w:tcW w:w="1743" w:type="dxa"/>
          </w:tcPr>
          <w:p w14:paraId="07DEC39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22 (18.33%)</w:t>
            </w:r>
          </w:p>
        </w:tc>
      </w:tr>
      <w:tr w:rsidR="00E55927" w:rsidRPr="00E55927" w14:paraId="5739FEEC" w14:textId="77777777" w:rsidTr="002A1E63">
        <w:trPr>
          <w:trHeight w:val="728"/>
        </w:trPr>
        <w:tc>
          <w:tcPr>
            <w:tcW w:w="3407" w:type="dxa"/>
          </w:tcPr>
          <w:p w14:paraId="73881C86" w14:textId="77777777" w:rsidR="00E55927" w:rsidRPr="00E55927" w:rsidRDefault="00E55927" w:rsidP="00E55927">
            <w:pPr>
              <w:pStyle w:val="NoSpacing"/>
              <w:rPr>
                <w:rFonts w:ascii="Times New Roman" w:hAnsi="Times New Roman" w:cs="Times New Roman"/>
                <w:b/>
                <w:bCs/>
              </w:rPr>
            </w:pPr>
            <w:r w:rsidRPr="00E55927">
              <w:rPr>
                <w:rFonts w:ascii="Times New Roman" w:hAnsi="Times New Roman" w:cs="Times New Roman"/>
                <w:b/>
                <w:bCs/>
              </w:rPr>
              <w:t>COVID-19 and alcohol consumption</w:t>
            </w:r>
          </w:p>
        </w:tc>
        <w:tc>
          <w:tcPr>
            <w:tcW w:w="1843" w:type="dxa"/>
          </w:tcPr>
          <w:p w14:paraId="47BB42AE" w14:textId="77777777" w:rsidR="00E55927" w:rsidRPr="00E55927" w:rsidRDefault="00E55927" w:rsidP="00E55927">
            <w:pPr>
              <w:pStyle w:val="NoSpacing"/>
              <w:rPr>
                <w:rFonts w:ascii="Times New Roman" w:hAnsi="Times New Roman" w:cs="Times New Roman"/>
              </w:rPr>
            </w:pPr>
          </w:p>
        </w:tc>
        <w:tc>
          <w:tcPr>
            <w:tcW w:w="2127" w:type="dxa"/>
          </w:tcPr>
          <w:p w14:paraId="75F9ECBE" w14:textId="77777777" w:rsidR="00E55927" w:rsidRPr="00E55927" w:rsidRDefault="00E55927" w:rsidP="00E55927">
            <w:pPr>
              <w:pStyle w:val="NoSpacing"/>
              <w:rPr>
                <w:rFonts w:ascii="Times New Roman" w:hAnsi="Times New Roman" w:cs="Times New Roman"/>
              </w:rPr>
            </w:pPr>
          </w:p>
        </w:tc>
        <w:tc>
          <w:tcPr>
            <w:tcW w:w="1743" w:type="dxa"/>
          </w:tcPr>
          <w:p w14:paraId="0FFC2592" w14:textId="77777777" w:rsidR="00E55927" w:rsidRPr="00E55927" w:rsidRDefault="00E55927" w:rsidP="00E55927">
            <w:pPr>
              <w:pStyle w:val="NoSpacing"/>
              <w:rPr>
                <w:rFonts w:ascii="Times New Roman" w:hAnsi="Times New Roman" w:cs="Times New Roman"/>
              </w:rPr>
            </w:pPr>
          </w:p>
        </w:tc>
      </w:tr>
      <w:tr w:rsidR="00E55927" w:rsidRPr="00E55927" w14:paraId="1AB10085" w14:textId="77777777" w:rsidTr="002A1E63">
        <w:trPr>
          <w:trHeight w:val="515"/>
        </w:trPr>
        <w:tc>
          <w:tcPr>
            <w:tcW w:w="3407" w:type="dxa"/>
          </w:tcPr>
          <w:p w14:paraId="66F5760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Much less</w:t>
            </w:r>
          </w:p>
        </w:tc>
        <w:tc>
          <w:tcPr>
            <w:tcW w:w="1843" w:type="dxa"/>
          </w:tcPr>
          <w:p w14:paraId="71BCEF2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 (0%)</w:t>
            </w:r>
          </w:p>
        </w:tc>
        <w:tc>
          <w:tcPr>
            <w:tcW w:w="2127" w:type="dxa"/>
          </w:tcPr>
          <w:p w14:paraId="782EE55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16 (26.67%)</w:t>
            </w:r>
          </w:p>
        </w:tc>
        <w:tc>
          <w:tcPr>
            <w:tcW w:w="1743" w:type="dxa"/>
          </w:tcPr>
          <w:p w14:paraId="3A20E2F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16 (13.33%)</w:t>
            </w:r>
          </w:p>
        </w:tc>
      </w:tr>
      <w:tr w:rsidR="00E55927" w:rsidRPr="00E55927" w14:paraId="27CB8458" w14:textId="77777777" w:rsidTr="002A1E63">
        <w:trPr>
          <w:trHeight w:val="515"/>
        </w:trPr>
        <w:tc>
          <w:tcPr>
            <w:tcW w:w="3407" w:type="dxa"/>
          </w:tcPr>
          <w:p w14:paraId="136DA46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Slightly less</w:t>
            </w:r>
          </w:p>
        </w:tc>
        <w:tc>
          <w:tcPr>
            <w:tcW w:w="1843" w:type="dxa"/>
          </w:tcPr>
          <w:p w14:paraId="704955E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7 (11.67%)</w:t>
            </w:r>
          </w:p>
        </w:tc>
        <w:tc>
          <w:tcPr>
            <w:tcW w:w="2127" w:type="dxa"/>
          </w:tcPr>
          <w:p w14:paraId="4870EE6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16 (26.67%)</w:t>
            </w:r>
          </w:p>
        </w:tc>
        <w:tc>
          <w:tcPr>
            <w:tcW w:w="1743" w:type="dxa"/>
          </w:tcPr>
          <w:p w14:paraId="2F77F3A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23 (19.17%)</w:t>
            </w:r>
          </w:p>
        </w:tc>
      </w:tr>
      <w:tr w:rsidR="00E55927" w:rsidRPr="00E55927" w14:paraId="28BCD196" w14:textId="77777777" w:rsidTr="002A1E63">
        <w:trPr>
          <w:trHeight w:val="515"/>
        </w:trPr>
        <w:tc>
          <w:tcPr>
            <w:tcW w:w="3407" w:type="dxa"/>
          </w:tcPr>
          <w:p w14:paraId="45A0F7A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No change</w:t>
            </w:r>
          </w:p>
        </w:tc>
        <w:tc>
          <w:tcPr>
            <w:tcW w:w="1843" w:type="dxa"/>
          </w:tcPr>
          <w:p w14:paraId="4B4A0A7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(13.33%)</w:t>
            </w:r>
          </w:p>
        </w:tc>
        <w:tc>
          <w:tcPr>
            <w:tcW w:w="2127" w:type="dxa"/>
          </w:tcPr>
          <w:p w14:paraId="7280BC5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 (8.33%)</w:t>
            </w:r>
          </w:p>
        </w:tc>
        <w:tc>
          <w:tcPr>
            <w:tcW w:w="1743" w:type="dxa"/>
          </w:tcPr>
          <w:p w14:paraId="4FC7380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(10.83%)</w:t>
            </w:r>
          </w:p>
        </w:tc>
      </w:tr>
      <w:tr w:rsidR="00E55927" w:rsidRPr="00E55927" w14:paraId="213D9B79" w14:textId="77777777" w:rsidTr="002A1E63">
        <w:trPr>
          <w:trHeight w:val="515"/>
        </w:trPr>
        <w:tc>
          <w:tcPr>
            <w:tcW w:w="3407" w:type="dxa"/>
          </w:tcPr>
          <w:p w14:paraId="6EC1430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Slightly more</w:t>
            </w:r>
          </w:p>
        </w:tc>
        <w:tc>
          <w:tcPr>
            <w:tcW w:w="1843" w:type="dxa"/>
          </w:tcPr>
          <w:p w14:paraId="0736489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32 (53.33%)</w:t>
            </w:r>
          </w:p>
        </w:tc>
        <w:tc>
          <w:tcPr>
            <w:tcW w:w="2127" w:type="dxa"/>
          </w:tcPr>
          <w:p w14:paraId="488B1D2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17 (28.33%)</w:t>
            </w:r>
          </w:p>
        </w:tc>
        <w:tc>
          <w:tcPr>
            <w:tcW w:w="1743" w:type="dxa"/>
          </w:tcPr>
          <w:p w14:paraId="1BEAFEC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49 (40.83%)</w:t>
            </w:r>
          </w:p>
        </w:tc>
      </w:tr>
      <w:tr w:rsidR="00E55927" w:rsidRPr="00E55927" w14:paraId="407BBF0A" w14:textId="77777777" w:rsidTr="002A1E63">
        <w:trPr>
          <w:trHeight w:val="515"/>
        </w:trPr>
        <w:tc>
          <w:tcPr>
            <w:tcW w:w="3407" w:type="dxa"/>
          </w:tcPr>
          <w:p w14:paraId="53822FB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Much more</w:t>
            </w:r>
          </w:p>
        </w:tc>
        <w:tc>
          <w:tcPr>
            <w:tcW w:w="1843" w:type="dxa"/>
          </w:tcPr>
          <w:p w14:paraId="446E9478"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(21.67%)</w:t>
            </w:r>
          </w:p>
        </w:tc>
        <w:tc>
          <w:tcPr>
            <w:tcW w:w="2127" w:type="dxa"/>
          </w:tcPr>
          <w:p w14:paraId="6142908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 (10%)</w:t>
            </w:r>
          </w:p>
        </w:tc>
        <w:tc>
          <w:tcPr>
            <w:tcW w:w="1743" w:type="dxa"/>
          </w:tcPr>
          <w:p w14:paraId="51AEF86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19 (15.83%)</w:t>
            </w:r>
          </w:p>
        </w:tc>
      </w:tr>
      <w:tr w:rsidR="00E55927" w:rsidRPr="00E55927" w14:paraId="7BF6A2A9" w14:textId="77777777" w:rsidTr="002A1E63">
        <w:trPr>
          <w:trHeight w:val="750"/>
        </w:trPr>
        <w:tc>
          <w:tcPr>
            <w:tcW w:w="3407" w:type="dxa"/>
          </w:tcPr>
          <w:p w14:paraId="665CAAA3"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Household annual income bracket</w:t>
            </w:r>
          </w:p>
        </w:tc>
        <w:tc>
          <w:tcPr>
            <w:tcW w:w="1843" w:type="dxa"/>
          </w:tcPr>
          <w:p w14:paraId="0C0B1E69" w14:textId="77777777" w:rsidR="00E55927" w:rsidRPr="00E55927" w:rsidRDefault="00E55927" w:rsidP="00E55927">
            <w:pPr>
              <w:pStyle w:val="NoSpacing"/>
              <w:rPr>
                <w:rFonts w:ascii="Times New Roman" w:hAnsi="Times New Roman" w:cs="Times New Roman"/>
              </w:rPr>
            </w:pPr>
          </w:p>
        </w:tc>
        <w:tc>
          <w:tcPr>
            <w:tcW w:w="2127" w:type="dxa"/>
          </w:tcPr>
          <w:p w14:paraId="219A6AE7" w14:textId="77777777" w:rsidR="00E55927" w:rsidRPr="00E55927" w:rsidRDefault="00E55927" w:rsidP="00E55927">
            <w:pPr>
              <w:pStyle w:val="NoSpacing"/>
              <w:rPr>
                <w:rFonts w:ascii="Times New Roman" w:hAnsi="Times New Roman" w:cs="Times New Roman"/>
              </w:rPr>
            </w:pPr>
          </w:p>
        </w:tc>
        <w:tc>
          <w:tcPr>
            <w:tcW w:w="1743" w:type="dxa"/>
          </w:tcPr>
          <w:p w14:paraId="3C03E1B5" w14:textId="77777777" w:rsidR="00E55927" w:rsidRPr="00E55927" w:rsidRDefault="00E55927" w:rsidP="00E55927">
            <w:pPr>
              <w:pStyle w:val="NoSpacing"/>
              <w:rPr>
                <w:rFonts w:ascii="Times New Roman" w:hAnsi="Times New Roman" w:cs="Times New Roman"/>
              </w:rPr>
            </w:pPr>
          </w:p>
        </w:tc>
      </w:tr>
      <w:tr w:rsidR="00E55927" w:rsidRPr="00E55927" w14:paraId="47EEDA5A" w14:textId="77777777" w:rsidTr="002A1E63">
        <w:trPr>
          <w:trHeight w:val="443"/>
        </w:trPr>
        <w:tc>
          <w:tcPr>
            <w:tcW w:w="3407" w:type="dxa"/>
          </w:tcPr>
          <w:p w14:paraId="3FCB194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Below 7.5k; n (%) </w:t>
            </w:r>
          </w:p>
        </w:tc>
        <w:tc>
          <w:tcPr>
            <w:tcW w:w="1843" w:type="dxa"/>
          </w:tcPr>
          <w:p w14:paraId="6D961B4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2127" w:type="dxa"/>
          </w:tcPr>
          <w:p w14:paraId="32A236A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1743" w:type="dxa"/>
          </w:tcPr>
          <w:p w14:paraId="1416C0C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 (3.33%)</w:t>
            </w:r>
          </w:p>
        </w:tc>
      </w:tr>
      <w:tr w:rsidR="00E55927" w:rsidRPr="00E55927" w14:paraId="31357BDB" w14:textId="77777777" w:rsidTr="002A1E63">
        <w:trPr>
          <w:trHeight w:val="443"/>
        </w:trPr>
        <w:tc>
          <w:tcPr>
            <w:tcW w:w="3407" w:type="dxa"/>
          </w:tcPr>
          <w:p w14:paraId="313B87C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7.5 – 15.5k; n (%) </w:t>
            </w:r>
          </w:p>
        </w:tc>
        <w:tc>
          <w:tcPr>
            <w:tcW w:w="1843" w:type="dxa"/>
          </w:tcPr>
          <w:p w14:paraId="53D502B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6 (10%)</w:t>
            </w:r>
          </w:p>
        </w:tc>
        <w:tc>
          <w:tcPr>
            <w:tcW w:w="2127" w:type="dxa"/>
          </w:tcPr>
          <w:p w14:paraId="2DD6C28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1743" w:type="dxa"/>
          </w:tcPr>
          <w:p w14:paraId="22F1CC4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9 (7.50%)</w:t>
            </w:r>
          </w:p>
        </w:tc>
      </w:tr>
      <w:tr w:rsidR="00E55927" w:rsidRPr="00E55927" w14:paraId="5E94C4B5" w14:textId="77777777" w:rsidTr="002A1E63">
        <w:trPr>
          <w:trHeight w:val="443"/>
        </w:trPr>
        <w:tc>
          <w:tcPr>
            <w:tcW w:w="3407" w:type="dxa"/>
          </w:tcPr>
          <w:p w14:paraId="6BDD5AC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15.5 – 28.5k; n (%) </w:t>
            </w:r>
          </w:p>
        </w:tc>
        <w:tc>
          <w:tcPr>
            <w:tcW w:w="1843" w:type="dxa"/>
          </w:tcPr>
          <w:p w14:paraId="25F02C1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(13.33%)</w:t>
            </w:r>
          </w:p>
        </w:tc>
        <w:tc>
          <w:tcPr>
            <w:tcW w:w="2127" w:type="dxa"/>
          </w:tcPr>
          <w:p w14:paraId="09D7E67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20 (33.33%)</w:t>
            </w:r>
          </w:p>
        </w:tc>
        <w:tc>
          <w:tcPr>
            <w:tcW w:w="1743" w:type="dxa"/>
          </w:tcPr>
          <w:p w14:paraId="3AB2207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28 (23.33%)</w:t>
            </w:r>
          </w:p>
        </w:tc>
      </w:tr>
      <w:tr w:rsidR="00E55927" w:rsidRPr="00E55927" w14:paraId="2A1CB3C8" w14:textId="77777777" w:rsidTr="002A1E63">
        <w:trPr>
          <w:trHeight w:val="443"/>
        </w:trPr>
        <w:tc>
          <w:tcPr>
            <w:tcW w:w="3407" w:type="dxa"/>
          </w:tcPr>
          <w:p w14:paraId="0C4B2C2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28.5k – 46.5k; n (%) </w:t>
            </w:r>
          </w:p>
        </w:tc>
        <w:tc>
          <w:tcPr>
            <w:tcW w:w="1843" w:type="dxa"/>
          </w:tcPr>
          <w:p w14:paraId="3AEA545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19 (31.67%)</w:t>
            </w:r>
          </w:p>
        </w:tc>
        <w:tc>
          <w:tcPr>
            <w:tcW w:w="2127" w:type="dxa"/>
          </w:tcPr>
          <w:p w14:paraId="4AB2B54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11 (18.33%)</w:t>
            </w:r>
          </w:p>
        </w:tc>
        <w:tc>
          <w:tcPr>
            <w:tcW w:w="1743" w:type="dxa"/>
          </w:tcPr>
          <w:p w14:paraId="44E1EBB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30 (25%)</w:t>
            </w:r>
          </w:p>
        </w:tc>
      </w:tr>
      <w:tr w:rsidR="00E55927" w:rsidRPr="00E55927" w14:paraId="281DAADD" w14:textId="77777777" w:rsidTr="002A1E63">
        <w:trPr>
          <w:trHeight w:val="443"/>
        </w:trPr>
        <w:tc>
          <w:tcPr>
            <w:tcW w:w="3407" w:type="dxa"/>
          </w:tcPr>
          <w:p w14:paraId="2A29D38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 xml:space="preserve">46.5k – 88.5k; n (%) </w:t>
            </w:r>
          </w:p>
        </w:tc>
        <w:tc>
          <w:tcPr>
            <w:tcW w:w="1843" w:type="dxa"/>
          </w:tcPr>
          <w:p w14:paraId="21A3B928"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20 (33.33%)</w:t>
            </w:r>
          </w:p>
        </w:tc>
        <w:tc>
          <w:tcPr>
            <w:tcW w:w="2127" w:type="dxa"/>
          </w:tcPr>
          <w:p w14:paraId="2102FD5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12 (20%)</w:t>
            </w:r>
          </w:p>
        </w:tc>
        <w:tc>
          <w:tcPr>
            <w:tcW w:w="1743" w:type="dxa"/>
          </w:tcPr>
          <w:p w14:paraId="0ABDA2DD"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32 (26.67%)</w:t>
            </w:r>
          </w:p>
        </w:tc>
      </w:tr>
      <w:tr w:rsidR="00E55927" w:rsidRPr="00E55927" w14:paraId="27B609A8" w14:textId="77777777" w:rsidTr="002A1E63">
        <w:trPr>
          <w:trHeight w:val="443"/>
        </w:trPr>
        <w:tc>
          <w:tcPr>
            <w:tcW w:w="3407" w:type="dxa"/>
          </w:tcPr>
          <w:p w14:paraId="1530AB1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lastRenderedPageBreak/>
              <w:t>Above 85k; n (%)</w:t>
            </w:r>
          </w:p>
        </w:tc>
        <w:tc>
          <w:tcPr>
            <w:tcW w:w="1843" w:type="dxa"/>
          </w:tcPr>
          <w:p w14:paraId="071F694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 (5%)</w:t>
            </w:r>
          </w:p>
        </w:tc>
        <w:tc>
          <w:tcPr>
            <w:tcW w:w="2127" w:type="dxa"/>
          </w:tcPr>
          <w:p w14:paraId="5B172BF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 (8.33%)</w:t>
            </w:r>
          </w:p>
        </w:tc>
        <w:tc>
          <w:tcPr>
            <w:tcW w:w="1743" w:type="dxa"/>
          </w:tcPr>
          <w:p w14:paraId="22FEE57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8 (6.67%)</w:t>
            </w:r>
          </w:p>
        </w:tc>
      </w:tr>
      <w:tr w:rsidR="00E55927" w:rsidRPr="00E55927" w14:paraId="0538AABF" w14:textId="77777777" w:rsidTr="002A1E63">
        <w:trPr>
          <w:trHeight w:val="509"/>
        </w:trPr>
        <w:tc>
          <w:tcPr>
            <w:tcW w:w="3407" w:type="dxa"/>
          </w:tcPr>
          <w:p w14:paraId="0D9D3C7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Prefer not to say; n (%)</w:t>
            </w:r>
          </w:p>
        </w:tc>
        <w:tc>
          <w:tcPr>
            <w:tcW w:w="1843" w:type="dxa"/>
          </w:tcPr>
          <w:p w14:paraId="6424565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2127" w:type="dxa"/>
          </w:tcPr>
          <w:p w14:paraId="61108C7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7 (11.67%)</w:t>
            </w:r>
          </w:p>
        </w:tc>
        <w:tc>
          <w:tcPr>
            <w:tcW w:w="1743" w:type="dxa"/>
          </w:tcPr>
          <w:p w14:paraId="52EA652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9 (7.50%)</w:t>
            </w:r>
          </w:p>
        </w:tc>
      </w:tr>
      <w:tr w:rsidR="00E55927" w:rsidRPr="00E55927" w14:paraId="2EEF3EA1" w14:textId="77777777" w:rsidTr="002A1E63">
        <w:trPr>
          <w:trHeight w:val="443"/>
        </w:trPr>
        <w:tc>
          <w:tcPr>
            <w:tcW w:w="3407" w:type="dxa"/>
          </w:tcPr>
          <w:p w14:paraId="69FB1FBA"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Relationship status</w:t>
            </w:r>
          </w:p>
        </w:tc>
        <w:tc>
          <w:tcPr>
            <w:tcW w:w="1843" w:type="dxa"/>
          </w:tcPr>
          <w:p w14:paraId="61FD0134" w14:textId="77777777" w:rsidR="00E55927" w:rsidRPr="00E55927" w:rsidRDefault="00E55927" w:rsidP="00E55927">
            <w:pPr>
              <w:pStyle w:val="NoSpacing"/>
              <w:rPr>
                <w:rFonts w:ascii="Times New Roman" w:hAnsi="Times New Roman" w:cs="Times New Roman"/>
              </w:rPr>
            </w:pPr>
          </w:p>
        </w:tc>
        <w:tc>
          <w:tcPr>
            <w:tcW w:w="2127" w:type="dxa"/>
          </w:tcPr>
          <w:p w14:paraId="4224118A" w14:textId="77777777" w:rsidR="00E55927" w:rsidRPr="00E55927" w:rsidRDefault="00E55927" w:rsidP="00E55927">
            <w:pPr>
              <w:pStyle w:val="NoSpacing"/>
              <w:rPr>
                <w:rFonts w:ascii="Times New Roman" w:hAnsi="Times New Roman" w:cs="Times New Roman"/>
              </w:rPr>
            </w:pPr>
          </w:p>
        </w:tc>
        <w:tc>
          <w:tcPr>
            <w:tcW w:w="1743" w:type="dxa"/>
          </w:tcPr>
          <w:p w14:paraId="7CC1B950" w14:textId="77777777" w:rsidR="00E55927" w:rsidRPr="00E55927" w:rsidRDefault="00E55927" w:rsidP="00E55927">
            <w:pPr>
              <w:pStyle w:val="NoSpacing"/>
              <w:rPr>
                <w:rFonts w:ascii="Times New Roman" w:hAnsi="Times New Roman" w:cs="Times New Roman"/>
              </w:rPr>
            </w:pPr>
          </w:p>
        </w:tc>
      </w:tr>
      <w:tr w:rsidR="00E55927" w:rsidRPr="00E55927" w14:paraId="11D88D86" w14:textId="77777777" w:rsidTr="002A1E63">
        <w:trPr>
          <w:trHeight w:val="443"/>
        </w:trPr>
        <w:tc>
          <w:tcPr>
            <w:tcW w:w="3407" w:type="dxa"/>
          </w:tcPr>
          <w:p w14:paraId="2B42770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Single; n (%)</w:t>
            </w:r>
          </w:p>
        </w:tc>
        <w:tc>
          <w:tcPr>
            <w:tcW w:w="1843" w:type="dxa"/>
          </w:tcPr>
          <w:p w14:paraId="2FDD783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17 (28.33%)</w:t>
            </w:r>
          </w:p>
        </w:tc>
        <w:tc>
          <w:tcPr>
            <w:tcW w:w="2127" w:type="dxa"/>
          </w:tcPr>
          <w:p w14:paraId="5E5A086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17 (28.33%)</w:t>
            </w:r>
          </w:p>
        </w:tc>
        <w:tc>
          <w:tcPr>
            <w:tcW w:w="1743" w:type="dxa"/>
          </w:tcPr>
          <w:p w14:paraId="3F00841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34 (28.33%)</w:t>
            </w:r>
          </w:p>
        </w:tc>
      </w:tr>
      <w:tr w:rsidR="00E55927" w:rsidRPr="00E55927" w14:paraId="61EDD2BD" w14:textId="77777777" w:rsidTr="002A1E63">
        <w:trPr>
          <w:trHeight w:val="443"/>
        </w:trPr>
        <w:tc>
          <w:tcPr>
            <w:tcW w:w="3407" w:type="dxa"/>
          </w:tcPr>
          <w:p w14:paraId="3BBA0A5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In a relationship; n (%)</w:t>
            </w:r>
          </w:p>
        </w:tc>
        <w:tc>
          <w:tcPr>
            <w:tcW w:w="1843" w:type="dxa"/>
          </w:tcPr>
          <w:p w14:paraId="6B2CBD4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18 (30%)</w:t>
            </w:r>
          </w:p>
        </w:tc>
        <w:tc>
          <w:tcPr>
            <w:tcW w:w="2127" w:type="dxa"/>
          </w:tcPr>
          <w:p w14:paraId="2E66DDD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26 (43.33%)</w:t>
            </w:r>
          </w:p>
        </w:tc>
        <w:tc>
          <w:tcPr>
            <w:tcW w:w="1743" w:type="dxa"/>
          </w:tcPr>
          <w:p w14:paraId="3B590A5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44 (36.67%)</w:t>
            </w:r>
          </w:p>
        </w:tc>
      </w:tr>
      <w:tr w:rsidR="00E55927" w:rsidRPr="00E55927" w14:paraId="55F3E3AE" w14:textId="77777777" w:rsidTr="002A1E63">
        <w:trPr>
          <w:trHeight w:val="443"/>
        </w:trPr>
        <w:tc>
          <w:tcPr>
            <w:tcW w:w="3407" w:type="dxa"/>
          </w:tcPr>
          <w:p w14:paraId="7BBA8C8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Married; n (%)</w:t>
            </w:r>
          </w:p>
        </w:tc>
        <w:tc>
          <w:tcPr>
            <w:tcW w:w="1843" w:type="dxa"/>
          </w:tcPr>
          <w:p w14:paraId="3EADF82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23 (38.33%)</w:t>
            </w:r>
          </w:p>
        </w:tc>
        <w:tc>
          <w:tcPr>
            <w:tcW w:w="2127" w:type="dxa"/>
          </w:tcPr>
          <w:p w14:paraId="3315B33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17 (28.33%)</w:t>
            </w:r>
          </w:p>
        </w:tc>
        <w:tc>
          <w:tcPr>
            <w:tcW w:w="1743" w:type="dxa"/>
          </w:tcPr>
          <w:p w14:paraId="6289A7B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40 (33.33%)</w:t>
            </w:r>
          </w:p>
        </w:tc>
      </w:tr>
      <w:tr w:rsidR="00E55927" w:rsidRPr="00E55927" w14:paraId="74730505" w14:textId="77777777" w:rsidTr="002A1E63">
        <w:trPr>
          <w:trHeight w:val="443"/>
        </w:trPr>
        <w:tc>
          <w:tcPr>
            <w:tcW w:w="3407" w:type="dxa"/>
          </w:tcPr>
          <w:p w14:paraId="0872800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Divorced; n (%)</w:t>
            </w:r>
          </w:p>
        </w:tc>
        <w:tc>
          <w:tcPr>
            <w:tcW w:w="1843" w:type="dxa"/>
          </w:tcPr>
          <w:p w14:paraId="2BA54828"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2127" w:type="dxa"/>
          </w:tcPr>
          <w:p w14:paraId="7ECDFD4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0</w:t>
            </w:r>
          </w:p>
        </w:tc>
        <w:tc>
          <w:tcPr>
            <w:tcW w:w="1743" w:type="dxa"/>
          </w:tcPr>
          <w:p w14:paraId="3F7B337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(1.67%)</w:t>
            </w:r>
          </w:p>
        </w:tc>
      </w:tr>
      <w:tr w:rsidR="00E55927" w:rsidRPr="00E55927" w14:paraId="6A9D8125" w14:textId="77777777" w:rsidTr="002A1E63">
        <w:trPr>
          <w:trHeight w:val="1043"/>
        </w:trPr>
        <w:tc>
          <w:tcPr>
            <w:tcW w:w="3407" w:type="dxa"/>
          </w:tcPr>
          <w:p w14:paraId="7B947D02"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rPr>
              <w:t xml:space="preserve">Cohabiting with partner; n (%) </w:t>
            </w:r>
            <w:r w:rsidRPr="00E55927">
              <w:rPr>
                <w:rFonts w:ascii="Times New Roman" w:hAnsi="Times New Roman" w:cs="Times New Roman"/>
                <w:i/>
              </w:rPr>
              <w:t>(only for those in a relationship or married)</w:t>
            </w:r>
          </w:p>
        </w:tc>
        <w:tc>
          <w:tcPr>
            <w:tcW w:w="1843" w:type="dxa"/>
          </w:tcPr>
          <w:p w14:paraId="0A8CC10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37 (90.24%)</w:t>
            </w:r>
          </w:p>
        </w:tc>
        <w:tc>
          <w:tcPr>
            <w:tcW w:w="2127" w:type="dxa"/>
          </w:tcPr>
          <w:p w14:paraId="54D5AA1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34 (79.07%)</w:t>
            </w:r>
          </w:p>
        </w:tc>
        <w:tc>
          <w:tcPr>
            <w:tcW w:w="1743" w:type="dxa"/>
          </w:tcPr>
          <w:p w14:paraId="23EA326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71 (84.52%)</w:t>
            </w:r>
          </w:p>
        </w:tc>
      </w:tr>
      <w:tr w:rsidR="00E55927" w:rsidRPr="00E55927" w14:paraId="3C9245D9" w14:textId="77777777" w:rsidTr="002A1E63">
        <w:trPr>
          <w:trHeight w:val="443"/>
        </w:trPr>
        <w:tc>
          <w:tcPr>
            <w:tcW w:w="3407" w:type="dxa"/>
          </w:tcPr>
          <w:p w14:paraId="37706AD1"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Parent status</w:t>
            </w:r>
          </w:p>
        </w:tc>
        <w:tc>
          <w:tcPr>
            <w:tcW w:w="1843" w:type="dxa"/>
          </w:tcPr>
          <w:p w14:paraId="6EBEAFDC" w14:textId="77777777" w:rsidR="00E55927" w:rsidRPr="00E55927" w:rsidRDefault="00E55927" w:rsidP="00E55927">
            <w:pPr>
              <w:pStyle w:val="NoSpacing"/>
              <w:rPr>
                <w:rFonts w:ascii="Times New Roman" w:hAnsi="Times New Roman" w:cs="Times New Roman"/>
              </w:rPr>
            </w:pPr>
          </w:p>
        </w:tc>
        <w:tc>
          <w:tcPr>
            <w:tcW w:w="2127" w:type="dxa"/>
          </w:tcPr>
          <w:p w14:paraId="246D8642" w14:textId="77777777" w:rsidR="00E55927" w:rsidRPr="00E55927" w:rsidRDefault="00E55927" w:rsidP="00E55927">
            <w:pPr>
              <w:pStyle w:val="NoSpacing"/>
              <w:rPr>
                <w:rFonts w:ascii="Times New Roman" w:hAnsi="Times New Roman" w:cs="Times New Roman"/>
              </w:rPr>
            </w:pPr>
          </w:p>
        </w:tc>
        <w:tc>
          <w:tcPr>
            <w:tcW w:w="1743" w:type="dxa"/>
          </w:tcPr>
          <w:p w14:paraId="18C444DB" w14:textId="77777777" w:rsidR="00E55927" w:rsidRPr="00E55927" w:rsidRDefault="00E55927" w:rsidP="00E55927">
            <w:pPr>
              <w:pStyle w:val="NoSpacing"/>
              <w:rPr>
                <w:rFonts w:ascii="Times New Roman" w:hAnsi="Times New Roman" w:cs="Times New Roman"/>
              </w:rPr>
            </w:pPr>
          </w:p>
        </w:tc>
      </w:tr>
      <w:tr w:rsidR="00E55927" w:rsidRPr="00E55927" w14:paraId="3C0A0F57" w14:textId="77777777" w:rsidTr="002A1E63">
        <w:trPr>
          <w:trHeight w:val="443"/>
        </w:trPr>
        <w:tc>
          <w:tcPr>
            <w:tcW w:w="3407" w:type="dxa"/>
          </w:tcPr>
          <w:p w14:paraId="528E69D3"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Yes</w:t>
            </w:r>
          </w:p>
        </w:tc>
        <w:tc>
          <w:tcPr>
            <w:tcW w:w="1843" w:type="dxa"/>
          </w:tcPr>
          <w:p w14:paraId="3C7EB53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24 (40%)</w:t>
            </w:r>
          </w:p>
        </w:tc>
        <w:tc>
          <w:tcPr>
            <w:tcW w:w="2127" w:type="dxa"/>
          </w:tcPr>
          <w:p w14:paraId="63FBF37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18 (30%)</w:t>
            </w:r>
          </w:p>
        </w:tc>
        <w:tc>
          <w:tcPr>
            <w:tcW w:w="1743" w:type="dxa"/>
          </w:tcPr>
          <w:p w14:paraId="53B75A2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42 (35%)</w:t>
            </w:r>
          </w:p>
        </w:tc>
      </w:tr>
      <w:tr w:rsidR="00E55927" w:rsidRPr="00E55927" w14:paraId="7C64AE93" w14:textId="77777777" w:rsidTr="002A1E63">
        <w:trPr>
          <w:trHeight w:val="443"/>
        </w:trPr>
        <w:tc>
          <w:tcPr>
            <w:tcW w:w="3407" w:type="dxa"/>
          </w:tcPr>
          <w:p w14:paraId="68FB448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No</w:t>
            </w:r>
          </w:p>
        </w:tc>
        <w:tc>
          <w:tcPr>
            <w:tcW w:w="1843" w:type="dxa"/>
          </w:tcPr>
          <w:p w14:paraId="0A812400"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36 (60%)</w:t>
            </w:r>
          </w:p>
        </w:tc>
        <w:tc>
          <w:tcPr>
            <w:tcW w:w="2127" w:type="dxa"/>
          </w:tcPr>
          <w:p w14:paraId="174EBA8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42 (70%)</w:t>
            </w:r>
          </w:p>
        </w:tc>
        <w:tc>
          <w:tcPr>
            <w:tcW w:w="1743" w:type="dxa"/>
          </w:tcPr>
          <w:p w14:paraId="42561B5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78 (65%)</w:t>
            </w:r>
          </w:p>
        </w:tc>
      </w:tr>
      <w:tr w:rsidR="00E55927" w:rsidRPr="00E55927" w14:paraId="23AF64BD" w14:textId="77777777" w:rsidTr="002A1E63">
        <w:trPr>
          <w:trHeight w:val="1075"/>
        </w:trPr>
        <w:tc>
          <w:tcPr>
            <w:tcW w:w="3407" w:type="dxa"/>
          </w:tcPr>
          <w:p w14:paraId="3D8A3DE8"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rPr>
              <w:t xml:space="preserve">Cohabiting with child(ren); n (%) </w:t>
            </w:r>
            <w:r w:rsidRPr="00E55927">
              <w:rPr>
                <w:rFonts w:ascii="Times New Roman" w:hAnsi="Times New Roman" w:cs="Times New Roman"/>
                <w:i/>
              </w:rPr>
              <w:t>(only for those who are parents or carers)</w:t>
            </w:r>
          </w:p>
        </w:tc>
        <w:tc>
          <w:tcPr>
            <w:tcW w:w="1843" w:type="dxa"/>
          </w:tcPr>
          <w:p w14:paraId="7B75B489"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17 (70.83%)</w:t>
            </w:r>
          </w:p>
        </w:tc>
        <w:tc>
          <w:tcPr>
            <w:tcW w:w="2127" w:type="dxa"/>
          </w:tcPr>
          <w:p w14:paraId="6D9BE20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(77.78%)</w:t>
            </w:r>
          </w:p>
        </w:tc>
        <w:tc>
          <w:tcPr>
            <w:tcW w:w="1743" w:type="dxa"/>
          </w:tcPr>
          <w:p w14:paraId="103A327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31 (73.81%)</w:t>
            </w:r>
          </w:p>
        </w:tc>
      </w:tr>
      <w:tr w:rsidR="00E55927" w:rsidRPr="00E55927" w14:paraId="12774C47" w14:textId="77777777" w:rsidTr="002A1E63">
        <w:trPr>
          <w:trHeight w:val="428"/>
        </w:trPr>
        <w:tc>
          <w:tcPr>
            <w:tcW w:w="3407" w:type="dxa"/>
          </w:tcPr>
          <w:p w14:paraId="1AB86826" w14:textId="77777777" w:rsidR="00E55927" w:rsidRPr="00E55927" w:rsidRDefault="00E55927" w:rsidP="00E55927">
            <w:pPr>
              <w:pStyle w:val="NoSpacing"/>
              <w:rPr>
                <w:rFonts w:ascii="Times New Roman" w:hAnsi="Times New Roman" w:cs="Times New Roman"/>
                <w:b/>
              </w:rPr>
            </w:pPr>
            <w:r w:rsidRPr="00E55927">
              <w:rPr>
                <w:rFonts w:ascii="Times New Roman" w:hAnsi="Times New Roman" w:cs="Times New Roman"/>
                <w:b/>
              </w:rPr>
              <w:t>Breakdown of AUDIT scores</w:t>
            </w:r>
          </w:p>
        </w:tc>
        <w:tc>
          <w:tcPr>
            <w:tcW w:w="1843" w:type="dxa"/>
          </w:tcPr>
          <w:p w14:paraId="2F804A34" w14:textId="77777777" w:rsidR="00E55927" w:rsidRPr="00E55927" w:rsidRDefault="00E55927" w:rsidP="00E55927">
            <w:pPr>
              <w:pStyle w:val="NoSpacing"/>
              <w:rPr>
                <w:rFonts w:ascii="Times New Roman" w:hAnsi="Times New Roman" w:cs="Times New Roman"/>
              </w:rPr>
            </w:pPr>
          </w:p>
        </w:tc>
        <w:tc>
          <w:tcPr>
            <w:tcW w:w="2127" w:type="dxa"/>
          </w:tcPr>
          <w:p w14:paraId="67AB82E8" w14:textId="77777777" w:rsidR="00E55927" w:rsidRPr="00E55927" w:rsidRDefault="00E55927" w:rsidP="00E55927">
            <w:pPr>
              <w:pStyle w:val="NoSpacing"/>
              <w:rPr>
                <w:rFonts w:ascii="Times New Roman" w:hAnsi="Times New Roman" w:cs="Times New Roman"/>
              </w:rPr>
            </w:pPr>
          </w:p>
        </w:tc>
        <w:tc>
          <w:tcPr>
            <w:tcW w:w="1743" w:type="dxa"/>
          </w:tcPr>
          <w:p w14:paraId="39C9EC34" w14:textId="77777777" w:rsidR="00E55927" w:rsidRPr="00E55927" w:rsidRDefault="00E55927" w:rsidP="00E55927">
            <w:pPr>
              <w:pStyle w:val="NoSpacing"/>
              <w:rPr>
                <w:rFonts w:ascii="Times New Roman" w:hAnsi="Times New Roman" w:cs="Times New Roman"/>
              </w:rPr>
            </w:pPr>
          </w:p>
        </w:tc>
      </w:tr>
      <w:tr w:rsidR="00E55927" w:rsidRPr="00E55927" w14:paraId="25F67CD2" w14:textId="77777777" w:rsidTr="002A1E63">
        <w:trPr>
          <w:trHeight w:val="708"/>
        </w:trPr>
        <w:tc>
          <w:tcPr>
            <w:tcW w:w="3407" w:type="dxa"/>
          </w:tcPr>
          <w:p w14:paraId="05B5FAEA"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Low risk (below 8); n (%)</w:t>
            </w:r>
          </w:p>
        </w:tc>
        <w:tc>
          <w:tcPr>
            <w:tcW w:w="1843" w:type="dxa"/>
          </w:tcPr>
          <w:p w14:paraId="3167A28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 (1.66%)</w:t>
            </w:r>
          </w:p>
        </w:tc>
        <w:tc>
          <w:tcPr>
            <w:tcW w:w="2127" w:type="dxa"/>
          </w:tcPr>
          <w:p w14:paraId="6FD3AFE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12 (20%)</w:t>
            </w:r>
          </w:p>
        </w:tc>
        <w:tc>
          <w:tcPr>
            <w:tcW w:w="1743" w:type="dxa"/>
          </w:tcPr>
          <w:p w14:paraId="270FD8A2"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13 (10.83%)</w:t>
            </w:r>
          </w:p>
        </w:tc>
      </w:tr>
      <w:tr w:rsidR="00E55927" w:rsidRPr="00E55927" w14:paraId="0DC47D91" w14:textId="77777777" w:rsidTr="002A1E63">
        <w:trPr>
          <w:trHeight w:val="690"/>
        </w:trPr>
        <w:tc>
          <w:tcPr>
            <w:tcW w:w="3407" w:type="dxa"/>
          </w:tcPr>
          <w:p w14:paraId="7C1F401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Hazardous (between 8 and 15); n (%)</w:t>
            </w:r>
          </w:p>
        </w:tc>
        <w:tc>
          <w:tcPr>
            <w:tcW w:w="1843" w:type="dxa"/>
          </w:tcPr>
          <w:p w14:paraId="55EA3D8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18 (30%)</w:t>
            </w:r>
          </w:p>
        </w:tc>
        <w:tc>
          <w:tcPr>
            <w:tcW w:w="2127" w:type="dxa"/>
          </w:tcPr>
          <w:p w14:paraId="1646F3B5"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37 (61.66%)</w:t>
            </w:r>
          </w:p>
        </w:tc>
        <w:tc>
          <w:tcPr>
            <w:tcW w:w="1743" w:type="dxa"/>
          </w:tcPr>
          <w:p w14:paraId="3B0018C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55 (45.83%)</w:t>
            </w:r>
          </w:p>
        </w:tc>
      </w:tr>
      <w:tr w:rsidR="00E55927" w:rsidRPr="00E55927" w14:paraId="06424514" w14:textId="77777777" w:rsidTr="002A1E63">
        <w:trPr>
          <w:trHeight w:val="714"/>
        </w:trPr>
        <w:tc>
          <w:tcPr>
            <w:tcW w:w="3407" w:type="dxa"/>
          </w:tcPr>
          <w:p w14:paraId="4611D84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Harmful (between 16 and 19); n (%)</w:t>
            </w:r>
          </w:p>
        </w:tc>
        <w:tc>
          <w:tcPr>
            <w:tcW w:w="1843" w:type="dxa"/>
          </w:tcPr>
          <w:p w14:paraId="35A2E2E7"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14 (23.33%)</w:t>
            </w:r>
          </w:p>
        </w:tc>
        <w:tc>
          <w:tcPr>
            <w:tcW w:w="2127" w:type="dxa"/>
          </w:tcPr>
          <w:p w14:paraId="44E779D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9 (15%)</w:t>
            </w:r>
          </w:p>
        </w:tc>
        <w:tc>
          <w:tcPr>
            <w:tcW w:w="1743" w:type="dxa"/>
          </w:tcPr>
          <w:p w14:paraId="7F3A9A66"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23 (19.17%)</w:t>
            </w:r>
          </w:p>
        </w:tc>
      </w:tr>
      <w:tr w:rsidR="00E55927" w:rsidRPr="00E55927" w14:paraId="6EA33496" w14:textId="77777777" w:rsidTr="002A1E63">
        <w:trPr>
          <w:trHeight w:val="715"/>
        </w:trPr>
        <w:tc>
          <w:tcPr>
            <w:tcW w:w="3407" w:type="dxa"/>
            <w:tcBorders>
              <w:bottom w:val="single" w:sz="12" w:space="0" w:color="000000"/>
            </w:tcBorders>
          </w:tcPr>
          <w:p w14:paraId="3760B3DB"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Possible dependence (above 19); n (%)</w:t>
            </w:r>
          </w:p>
        </w:tc>
        <w:tc>
          <w:tcPr>
            <w:tcW w:w="1843" w:type="dxa"/>
            <w:tcBorders>
              <w:bottom w:val="single" w:sz="12" w:space="0" w:color="000000"/>
            </w:tcBorders>
          </w:tcPr>
          <w:p w14:paraId="13E0BD1E"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27 (45%)</w:t>
            </w:r>
          </w:p>
        </w:tc>
        <w:tc>
          <w:tcPr>
            <w:tcW w:w="2127" w:type="dxa"/>
            <w:tcBorders>
              <w:bottom w:val="single" w:sz="12" w:space="0" w:color="000000"/>
            </w:tcBorders>
          </w:tcPr>
          <w:p w14:paraId="2FC3D23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 (3.33%)</w:t>
            </w:r>
          </w:p>
        </w:tc>
        <w:tc>
          <w:tcPr>
            <w:tcW w:w="1743" w:type="dxa"/>
            <w:tcBorders>
              <w:bottom w:val="single" w:sz="12" w:space="0" w:color="000000"/>
            </w:tcBorders>
          </w:tcPr>
          <w:p w14:paraId="06651354"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29 (24.17%)</w:t>
            </w:r>
          </w:p>
        </w:tc>
      </w:tr>
    </w:tbl>
    <w:p w14:paraId="06254BBE" w14:textId="77777777" w:rsidR="00E55927" w:rsidRPr="00E55927" w:rsidRDefault="00E55927" w:rsidP="00E55927">
      <w:pPr>
        <w:pStyle w:val="NoSpacing"/>
        <w:rPr>
          <w:rFonts w:ascii="Times New Roman" w:hAnsi="Times New Roman" w:cs="Times New Roman"/>
          <w:b/>
        </w:rPr>
      </w:pPr>
    </w:p>
    <w:p w14:paraId="5FD76534" w14:textId="77777777" w:rsidR="00E55927" w:rsidRPr="00E55927" w:rsidRDefault="00E55927" w:rsidP="00E55927">
      <w:pPr>
        <w:pStyle w:val="NoSpacing"/>
        <w:rPr>
          <w:rFonts w:ascii="Times New Roman" w:hAnsi="Times New Roman" w:cs="Times New Roman"/>
          <w:b/>
        </w:rPr>
      </w:pPr>
    </w:p>
    <w:p w14:paraId="6B4EB4A4" w14:textId="5D1C2332" w:rsidR="00672927" w:rsidRDefault="00672927" w:rsidP="00093B56">
      <w:pPr>
        <w:pStyle w:val="NoSpacing"/>
      </w:pPr>
    </w:p>
    <w:p w14:paraId="1B7F2DBA" w14:textId="556CC1D4" w:rsidR="00672927" w:rsidRDefault="00672927" w:rsidP="00093B56">
      <w:pPr>
        <w:pStyle w:val="NoSpacing"/>
      </w:pPr>
    </w:p>
    <w:p w14:paraId="4854C2AC" w14:textId="38398154" w:rsidR="00672927" w:rsidRDefault="00672927" w:rsidP="00093B56">
      <w:pPr>
        <w:pStyle w:val="NoSpacing"/>
      </w:pPr>
    </w:p>
    <w:p w14:paraId="11235813" w14:textId="1DEEA360" w:rsidR="00672927" w:rsidRDefault="00672927" w:rsidP="00093B56">
      <w:pPr>
        <w:pStyle w:val="NoSpacing"/>
      </w:pPr>
    </w:p>
    <w:p w14:paraId="66FE60D4" w14:textId="58428313" w:rsidR="00672927" w:rsidRDefault="00672927" w:rsidP="00093B56">
      <w:pPr>
        <w:pStyle w:val="NoSpacing"/>
      </w:pPr>
    </w:p>
    <w:p w14:paraId="0AAB671E" w14:textId="1996EBE0" w:rsidR="00672927" w:rsidRDefault="00672927" w:rsidP="00093B56">
      <w:pPr>
        <w:pStyle w:val="NoSpacing"/>
      </w:pPr>
    </w:p>
    <w:p w14:paraId="4DE39D55" w14:textId="59607D37" w:rsidR="00672927" w:rsidRDefault="00672927" w:rsidP="00093B56">
      <w:pPr>
        <w:pStyle w:val="NoSpacing"/>
      </w:pPr>
    </w:p>
    <w:p w14:paraId="65B09892" w14:textId="51D91FFA" w:rsidR="00672927" w:rsidRDefault="00672927" w:rsidP="00093B56">
      <w:pPr>
        <w:pStyle w:val="NoSpacing"/>
      </w:pPr>
    </w:p>
    <w:p w14:paraId="11ACA81E" w14:textId="2694AD42" w:rsidR="00672927" w:rsidRDefault="00672927" w:rsidP="00093B56">
      <w:pPr>
        <w:pStyle w:val="NoSpacing"/>
      </w:pPr>
    </w:p>
    <w:p w14:paraId="30C78668" w14:textId="7FE0D96C" w:rsidR="00672927" w:rsidRDefault="00672927" w:rsidP="00093B56">
      <w:pPr>
        <w:pStyle w:val="NoSpacing"/>
      </w:pPr>
    </w:p>
    <w:p w14:paraId="7315A846" w14:textId="77777777" w:rsidR="00E55927" w:rsidRPr="00E55927" w:rsidRDefault="00E55927" w:rsidP="00E55927">
      <w:pPr>
        <w:pStyle w:val="NoSpacing"/>
        <w:spacing w:line="480" w:lineRule="auto"/>
        <w:rPr>
          <w:rFonts w:ascii="Times New Roman" w:hAnsi="Times New Roman" w:cs="Times New Roman"/>
          <w:b/>
          <w:bCs/>
        </w:rPr>
      </w:pPr>
      <w:r w:rsidRPr="00E55927">
        <w:rPr>
          <w:rFonts w:ascii="Times New Roman" w:hAnsi="Times New Roman" w:cs="Times New Roman"/>
          <w:b/>
          <w:bCs/>
        </w:rPr>
        <w:lastRenderedPageBreak/>
        <w:t>2. Exact wording of the hypothetical scenario in the Alcohol Purchase Task and comprehension checks</w:t>
      </w:r>
    </w:p>
    <w:p w14:paraId="20E584A9" w14:textId="77777777" w:rsidR="00E55927" w:rsidRPr="00E55927" w:rsidRDefault="00E55927" w:rsidP="00E55927">
      <w:pPr>
        <w:pStyle w:val="NoSpacing"/>
        <w:spacing w:line="480" w:lineRule="auto"/>
        <w:rPr>
          <w:rFonts w:ascii="Times New Roman" w:hAnsi="Times New Roman" w:cs="Times New Roman"/>
          <w:i/>
          <w:iCs/>
        </w:rPr>
      </w:pPr>
      <w:r w:rsidRPr="00E55927">
        <w:rPr>
          <w:rFonts w:ascii="Times New Roman" w:hAnsi="Times New Roman" w:cs="Times New Roman"/>
          <w:i/>
          <w:iCs/>
        </w:rPr>
        <w:t>Hypothetical scenario</w:t>
      </w:r>
      <w:r w:rsidRPr="00E55927">
        <w:rPr>
          <w:rFonts w:ascii="Times New Roman" w:hAnsi="Times New Roman" w:cs="Times New Roman"/>
        </w:rPr>
        <w:t>:</w:t>
      </w:r>
      <w:r w:rsidRPr="00E55927">
        <w:rPr>
          <w:rFonts w:ascii="Times New Roman" w:hAnsi="Times New Roman" w:cs="Times New Roman"/>
          <w:i/>
          <w:iCs/>
        </w:rPr>
        <w:t xml:space="preserve"> </w:t>
      </w:r>
      <w:r w:rsidRPr="00E55927">
        <w:rPr>
          <w:rFonts w:ascii="Times New Roman" w:hAnsi="Times New Roman" w:cs="Times New Roman"/>
        </w:rPr>
        <w:t>“Please respond to these questions as if you were actually in a TYPICAL SITUATION when you drink alcohol. Imagine where you typically drink, what you typically drink, and who you typically drink with, if anyone. The available drinks are a pint of beer or lager, wine (medium glass), and shots of spirits (25ml) or mixed drinks with one shot of spirits. Assume that you did not drink alcohol before you are making these decisions and will not have an opportunity to drink elsewhere after making these decisions. In addition, assume that you would consume every drink you request; that is, you cannot stockpile drinks for a later date”.</w:t>
      </w:r>
    </w:p>
    <w:p w14:paraId="201F0B5B" w14:textId="77777777" w:rsidR="00E55927" w:rsidRPr="00E55927" w:rsidRDefault="00E55927" w:rsidP="00E55927">
      <w:pPr>
        <w:pStyle w:val="NoSpacing"/>
        <w:spacing w:line="480" w:lineRule="auto"/>
        <w:rPr>
          <w:rFonts w:ascii="Times New Roman" w:hAnsi="Times New Roman" w:cs="Times New Roman"/>
          <w:b/>
        </w:rPr>
      </w:pPr>
    </w:p>
    <w:p w14:paraId="6203723B" w14:textId="77777777" w:rsidR="00E55927" w:rsidRPr="00E55927" w:rsidRDefault="00E55927" w:rsidP="00E55927">
      <w:pPr>
        <w:pStyle w:val="NoSpacing"/>
        <w:spacing w:line="480" w:lineRule="auto"/>
        <w:rPr>
          <w:rFonts w:ascii="Times New Roman" w:hAnsi="Times New Roman" w:cs="Times New Roman"/>
          <w:bCs/>
          <w:i/>
          <w:iCs/>
        </w:rPr>
      </w:pPr>
      <w:r w:rsidRPr="00E55927">
        <w:rPr>
          <w:rFonts w:ascii="Times New Roman" w:hAnsi="Times New Roman" w:cs="Times New Roman"/>
          <w:bCs/>
          <w:i/>
          <w:iCs/>
        </w:rPr>
        <w:t>Comprehension check questions</w:t>
      </w:r>
      <w:r w:rsidRPr="00E55927">
        <w:rPr>
          <w:rFonts w:ascii="Times New Roman" w:hAnsi="Times New Roman" w:cs="Times New Roman"/>
          <w:bCs/>
        </w:rPr>
        <w:t xml:space="preserve">: “In the typical situation above, should you </w:t>
      </w:r>
      <w:proofErr w:type="gramStart"/>
      <w:r w:rsidRPr="00E55927">
        <w:rPr>
          <w:rFonts w:ascii="Times New Roman" w:hAnsi="Times New Roman" w:cs="Times New Roman"/>
          <w:bCs/>
        </w:rPr>
        <w:t>assume</w:t>
      </w:r>
      <w:proofErr w:type="gramEnd"/>
      <w:r w:rsidRPr="00E55927">
        <w:rPr>
          <w:rFonts w:ascii="Times New Roman" w:hAnsi="Times New Roman" w:cs="Times New Roman"/>
          <w:bCs/>
        </w:rPr>
        <w:t xml:space="preserve"> you will consume every drink that you request?” and “In the typical situation above, should you assume you will have an opportunity to drink elsewhere after making these decisions?”. These were administered to ensure that participants read and understood the scenario they were instructed to imagine.</w:t>
      </w:r>
    </w:p>
    <w:p w14:paraId="394228E9" w14:textId="77777777" w:rsidR="00E55927" w:rsidRPr="00E55927" w:rsidRDefault="00E55927" w:rsidP="00E55927">
      <w:pPr>
        <w:pStyle w:val="NoSpacing"/>
        <w:rPr>
          <w:b/>
        </w:rPr>
      </w:pPr>
    </w:p>
    <w:p w14:paraId="3A284691" w14:textId="77777777" w:rsidR="00E55927" w:rsidRPr="00E55927" w:rsidRDefault="00E55927" w:rsidP="00E55927">
      <w:pPr>
        <w:pStyle w:val="NoSpacing"/>
        <w:rPr>
          <w:b/>
        </w:rPr>
      </w:pPr>
    </w:p>
    <w:p w14:paraId="3627ECF0" w14:textId="77777777" w:rsidR="00E55927" w:rsidRPr="00E55927" w:rsidRDefault="00E55927" w:rsidP="00E55927">
      <w:pPr>
        <w:pStyle w:val="NoSpacing"/>
        <w:rPr>
          <w:b/>
        </w:rPr>
      </w:pPr>
    </w:p>
    <w:p w14:paraId="34B978DF" w14:textId="77777777" w:rsidR="00E55927" w:rsidRPr="00E55927" w:rsidRDefault="00E55927" w:rsidP="00E55927">
      <w:pPr>
        <w:pStyle w:val="NoSpacing"/>
        <w:rPr>
          <w:b/>
        </w:rPr>
      </w:pPr>
    </w:p>
    <w:p w14:paraId="4A5EDA01" w14:textId="77777777" w:rsidR="00E55927" w:rsidRPr="00E55927" w:rsidRDefault="00E55927" w:rsidP="00E55927">
      <w:pPr>
        <w:pStyle w:val="NoSpacing"/>
        <w:rPr>
          <w:b/>
        </w:rPr>
      </w:pPr>
    </w:p>
    <w:p w14:paraId="70020841" w14:textId="06C27FC9" w:rsidR="00672927" w:rsidRDefault="00672927" w:rsidP="00093B56">
      <w:pPr>
        <w:pStyle w:val="NoSpacing"/>
      </w:pPr>
    </w:p>
    <w:p w14:paraId="6EACF03F" w14:textId="042850F7" w:rsidR="00672927" w:rsidRDefault="00672927" w:rsidP="00093B56">
      <w:pPr>
        <w:pStyle w:val="NoSpacing"/>
      </w:pPr>
    </w:p>
    <w:p w14:paraId="19B6D06D" w14:textId="64BA1093" w:rsidR="00672927" w:rsidRDefault="00672927" w:rsidP="00093B56">
      <w:pPr>
        <w:pStyle w:val="NoSpacing"/>
      </w:pPr>
    </w:p>
    <w:p w14:paraId="511ABE5A" w14:textId="2877D997" w:rsidR="00672927" w:rsidRDefault="00672927" w:rsidP="00093B56">
      <w:pPr>
        <w:pStyle w:val="NoSpacing"/>
      </w:pPr>
    </w:p>
    <w:p w14:paraId="18E349ED" w14:textId="6297DB4B" w:rsidR="00E55927" w:rsidRDefault="00E55927" w:rsidP="00093B56">
      <w:pPr>
        <w:pStyle w:val="NoSpacing"/>
      </w:pPr>
    </w:p>
    <w:p w14:paraId="76C4B00C" w14:textId="72A2BA76" w:rsidR="00E55927" w:rsidRDefault="00E55927" w:rsidP="00093B56">
      <w:pPr>
        <w:pStyle w:val="NoSpacing"/>
      </w:pPr>
    </w:p>
    <w:p w14:paraId="67D835AE" w14:textId="6C9034F1" w:rsidR="00E55927" w:rsidRDefault="00E55927" w:rsidP="00093B56">
      <w:pPr>
        <w:pStyle w:val="NoSpacing"/>
      </w:pPr>
    </w:p>
    <w:p w14:paraId="734BEE7E" w14:textId="43095C2C" w:rsidR="00E55927" w:rsidRDefault="00E55927" w:rsidP="00093B56">
      <w:pPr>
        <w:pStyle w:val="NoSpacing"/>
      </w:pPr>
    </w:p>
    <w:p w14:paraId="5921DC53" w14:textId="030E3BEA" w:rsidR="00E55927" w:rsidRDefault="00E55927" w:rsidP="00093B56">
      <w:pPr>
        <w:pStyle w:val="NoSpacing"/>
      </w:pPr>
    </w:p>
    <w:p w14:paraId="541D38BA" w14:textId="001624AC" w:rsidR="00E55927" w:rsidRDefault="00E55927" w:rsidP="00093B56">
      <w:pPr>
        <w:pStyle w:val="NoSpacing"/>
      </w:pPr>
    </w:p>
    <w:p w14:paraId="6C899095" w14:textId="747C8383" w:rsidR="00E55927" w:rsidRDefault="00E55927" w:rsidP="00093B56">
      <w:pPr>
        <w:pStyle w:val="NoSpacing"/>
      </w:pPr>
    </w:p>
    <w:p w14:paraId="5C191E7E" w14:textId="77777777" w:rsidR="00E55927" w:rsidRPr="00E55927" w:rsidRDefault="00E55927" w:rsidP="00E55927">
      <w:pPr>
        <w:pStyle w:val="NoSpacing"/>
        <w:spacing w:line="480" w:lineRule="auto"/>
        <w:rPr>
          <w:rFonts w:ascii="Times New Roman" w:hAnsi="Times New Roman" w:cs="Times New Roman"/>
          <w:b/>
          <w:bCs/>
        </w:rPr>
      </w:pPr>
      <w:r w:rsidRPr="00E55927">
        <w:rPr>
          <w:rFonts w:ascii="Times New Roman" w:hAnsi="Times New Roman" w:cs="Times New Roman"/>
          <w:b/>
          <w:bCs/>
        </w:rPr>
        <w:lastRenderedPageBreak/>
        <w:t>3. Activity Level Questionnaire – Revised Items</w:t>
      </w:r>
      <w:r w:rsidRPr="00E55927">
        <w:rPr>
          <w:rFonts w:ascii="Times New Roman" w:hAnsi="Times New Roman" w:cs="Times New Roman"/>
        </w:rPr>
        <w:t xml:space="preserve"> </w:t>
      </w:r>
      <w:r w:rsidRPr="00E55927">
        <w:rPr>
          <w:rFonts w:ascii="Times New Roman" w:hAnsi="Times New Roman" w:cs="Times New Roman"/>
          <w:b/>
          <w:bCs/>
        </w:rPr>
        <w:t>and further detail on participants who misunderstood questionnaire instructions</w:t>
      </w:r>
    </w:p>
    <w:p w14:paraId="4AB3C1AE" w14:textId="77777777" w:rsidR="00E55927" w:rsidRPr="00E55927" w:rsidRDefault="00E55927" w:rsidP="00E55927">
      <w:pPr>
        <w:pStyle w:val="NoSpacing"/>
        <w:spacing w:line="480" w:lineRule="auto"/>
        <w:rPr>
          <w:rFonts w:ascii="Times New Roman" w:hAnsi="Times New Roman" w:cs="Times New Roman"/>
        </w:rPr>
      </w:pPr>
      <w:r w:rsidRPr="00E55927">
        <w:rPr>
          <w:rFonts w:ascii="Times New Roman" w:hAnsi="Times New Roman" w:cs="Times New Roman"/>
        </w:rPr>
        <w:t xml:space="preserve">“The following is a list of activities, events, and experiences. For the time frame of </w:t>
      </w:r>
      <w:r w:rsidRPr="00E55927">
        <w:rPr>
          <w:rFonts w:ascii="Times New Roman" w:hAnsi="Times New Roman" w:cs="Times New Roman"/>
          <w:b/>
          <w:u w:val="single"/>
        </w:rPr>
        <w:t>the last 30 days</w:t>
      </w:r>
      <w:r w:rsidRPr="00E55927">
        <w:rPr>
          <w:rFonts w:ascii="Times New Roman" w:hAnsi="Times New Roman" w:cs="Times New Roman"/>
        </w:rPr>
        <w:t xml:space="preserve">, please rate </w:t>
      </w:r>
      <w:r w:rsidRPr="00E55927">
        <w:rPr>
          <w:rFonts w:ascii="Times New Roman" w:hAnsi="Times New Roman" w:cs="Times New Roman"/>
          <w:b/>
          <w:u w:val="single"/>
        </w:rPr>
        <w:t>how often you have engaged</w:t>
      </w:r>
      <w:r w:rsidRPr="00E55927">
        <w:rPr>
          <w:rFonts w:ascii="Times New Roman" w:hAnsi="Times New Roman" w:cs="Times New Roman"/>
        </w:rPr>
        <w:t xml:space="preserve"> in each activity, and </w:t>
      </w:r>
      <w:r w:rsidRPr="00E55927">
        <w:rPr>
          <w:rFonts w:ascii="Times New Roman" w:hAnsi="Times New Roman" w:cs="Times New Roman"/>
          <w:b/>
          <w:u w:val="single"/>
        </w:rPr>
        <w:t xml:space="preserve">how much you enjoyed </w:t>
      </w:r>
      <w:r w:rsidRPr="00E55927">
        <w:rPr>
          <w:rFonts w:ascii="Times New Roman" w:hAnsi="Times New Roman" w:cs="Times New Roman"/>
        </w:rPr>
        <w:t xml:space="preserve">each activity when you were </w:t>
      </w:r>
      <w:r w:rsidRPr="00E55927">
        <w:rPr>
          <w:rFonts w:ascii="Times New Roman" w:hAnsi="Times New Roman" w:cs="Times New Roman"/>
          <w:b/>
          <w:u w:val="single"/>
        </w:rPr>
        <w:t>not</w:t>
      </w:r>
      <w:r w:rsidRPr="00E55927">
        <w:rPr>
          <w:rFonts w:ascii="Times New Roman" w:hAnsi="Times New Roman" w:cs="Times New Roman"/>
        </w:rPr>
        <w:t xml:space="preserve"> drinking alcohol. </w:t>
      </w:r>
      <w:r w:rsidRPr="00E55927">
        <w:rPr>
          <w:rFonts w:ascii="Times New Roman" w:hAnsi="Times New Roman" w:cs="Times New Roman"/>
          <w:bCs/>
        </w:rPr>
        <w:t xml:space="preserve">Please also rate whether </w:t>
      </w:r>
      <w:r w:rsidRPr="00E55927">
        <w:rPr>
          <w:rFonts w:ascii="Times New Roman" w:hAnsi="Times New Roman" w:cs="Times New Roman"/>
          <w:b/>
          <w:u w:val="single"/>
        </w:rPr>
        <w:t>how often you have engaged</w:t>
      </w:r>
      <w:r w:rsidRPr="00E55927">
        <w:rPr>
          <w:rFonts w:ascii="Times New Roman" w:hAnsi="Times New Roman" w:cs="Times New Roman"/>
          <w:bCs/>
        </w:rPr>
        <w:t xml:space="preserve"> in each activity has </w:t>
      </w:r>
      <w:r w:rsidRPr="00E55927">
        <w:rPr>
          <w:rFonts w:ascii="Times New Roman" w:hAnsi="Times New Roman" w:cs="Times New Roman"/>
          <w:b/>
          <w:u w:val="single"/>
        </w:rPr>
        <w:t xml:space="preserve">changed </w:t>
      </w:r>
      <w:r w:rsidRPr="00E55927">
        <w:rPr>
          <w:rFonts w:ascii="Times New Roman" w:hAnsi="Times New Roman" w:cs="Times New Roman"/>
          <w:bCs/>
        </w:rPr>
        <w:t xml:space="preserve">since the </w:t>
      </w:r>
      <w:r w:rsidRPr="00E55927">
        <w:rPr>
          <w:rFonts w:ascii="Times New Roman" w:hAnsi="Times New Roman" w:cs="Times New Roman"/>
          <w:b/>
          <w:u w:val="single"/>
        </w:rPr>
        <w:t>COVID-19 lockdown restrictions</w:t>
      </w:r>
      <w:r w:rsidRPr="00E55927">
        <w:rPr>
          <w:rFonts w:ascii="Times New Roman" w:hAnsi="Times New Roman" w:cs="Times New Roman"/>
          <w:bCs/>
        </w:rPr>
        <w:t xml:space="preserve"> came into place in March 2020.</w:t>
      </w:r>
      <w:r w:rsidRPr="00E55927">
        <w:rPr>
          <w:rFonts w:ascii="Times New Roman" w:hAnsi="Times New Roman" w:cs="Times New Roman"/>
        </w:rPr>
        <w:t xml:space="preserve"> If you have experienced an activity more than once in the past month, try to rate how enjoyable it was on the average. </w:t>
      </w:r>
      <w:r w:rsidRPr="00E55927">
        <w:rPr>
          <w:rFonts w:ascii="Times New Roman" w:hAnsi="Times New Roman" w:cs="Times New Roman"/>
          <w:b/>
          <w:u w:val="single"/>
        </w:rPr>
        <w:t>Do not make an enjoyment rating if you have not engaged in the activity in the past 30 days”.</w:t>
      </w:r>
    </w:p>
    <w:tbl>
      <w:tblPr>
        <w:tblW w:w="6686" w:type="dxa"/>
        <w:tblLook w:val="0400" w:firstRow="0" w:lastRow="0" w:firstColumn="0" w:lastColumn="0" w:noHBand="0" w:noVBand="1"/>
      </w:tblPr>
      <w:tblGrid>
        <w:gridCol w:w="3344"/>
        <w:gridCol w:w="3342"/>
      </w:tblGrid>
      <w:tr w:rsidR="00E55927" w:rsidRPr="00E55927" w14:paraId="35EF2287" w14:textId="77777777" w:rsidTr="002A1E63">
        <w:trPr>
          <w:trHeight w:val="356"/>
        </w:trPr>
        <w:tc>
          <w:tcPr>
            <w:tcW w:w="3343" w:type="dxa"/>
          </w:tcPr>
          <w:p w14:paraId="6D1A1E5A" w14:textId="77777777" w:rsidR="00E55927" w:rsidRPr="00E55927" w:rsidRDefault="00E55927" w:rsidP="00E55927">
            <w:pPr>
              <w:pStyle w:val="NoSpacing"/>
            </w:pPr>
          </w:p>
        </w:tc>
        <w:tc>
          <w:tcPr>
            <w:tcW w:w="3342" w:type="dxa"/>
          </w:tcPr>
          <w:p w14:paraId="1E0B6359" w14:textId="77777777" w:rsidR="00E55927" w:rsidRPr="00E55927" w:rsidRDefault="00E55927" w:rsidP="00E55927">
            <w:pPr>
              <w:pStyle w:val="NoSpacing"/>
              <w:rPr>
                <w:i/>
              </w:rPr>
            </w:pPr>
          </w:p>
        </w:tc>
      </w:tr>
    </w:tbl>
    <w:p w14:paraId="320C5CAD" w14:textId="77777777" w:rsidR="00E55927" w:rsidRPr="00E55927" w:rsidRDefault="00E55927" w:rsidP="00E55927">
      <w:pPr>
        <w:pStyle w:val="NoSpacing"/>
        <w:rPr>
          <w:b/>
        </w:rPr>
      </w:pPr>
    </w:p>
    <w:tbl>
      <w:tblPr>
        <w:tblW w:w="9474" w:type="dxa"/>
        <w:tblLook w:val="0400" w:firstRow="0" w:lastRow="0" w:firstColumn="0" w:lastColumn="0" w:noHBand="0" w:noVBand="1"/>
      </w:tblPr>
      <w:tblGrid>
        <w:gridCol w:w="2369"/>
        <w:gridCol w:w="2368"/>
        <w:gridCol w:w="2369"/>
        <w:gridCol w:w="2368"/>
      </w:tblGrid>
      <w:tr w:rsidR="00E55927" w:rsidRPr="00E55927" w14:paraId="5AD711F7" w14:textId="77777777" w:rsidTr="002A1E63">
        <w:trPr>
          <w:trHeight w:val="500"/>
        </w:trPr>
        <w:tc>
          <w:tcPr>
            <w:tcW w:w="2368" w:type="dxa"/>
            <w:tcBorders>
              <w:top w:val="single" w:sz="4" w:space="0" w:color="000000"/>
              <w:left w:val="single" w:sz="4" w:space="0" w:color="000000"/>
              <w:bottom w:val="single" w:sz="4" w:space="0" w:color="000000"/>
              <w:right w:val="single" w:sz="4" w:space="0" w:color="000000"/>
            </w:tcBorders>
          </w:tcPr>
          <w:p w14:paraId="1F4C2534" w14:textId="77777777" w:rsidR="00E55927" w:rsidRPr="00E55927" w:rsidRDefault="00E55927" w:rsidP="00E55927">
            <w:pPr>
              <w:pStyle w:val="NoSpacing"/>
              <w:rPr>
                <w:b/>
              </w:rPr>
            </w:pPr>
          </w:p>
        </w:tc>
        <w:tc>
          <w:tcPr>
            <w:tcW w:w="2368" w:type="dxa"/>
            <w:tcBorders>
              <w:top w:val="single" w:sz="4" w:space="0" w:color="000000"/>
              <w:left w:val="single" w:sz="4" w:space="0" w:color="000000"/>
              <w:bottom w:val="single" w:sz="4" w:space="0" w:color="000000"/>
              <w:right w:val="single" w:sz="4" w:space="0" w:color="000000"/>
            </w:tcBorders>
          </w:tcPr>
          <w:p w14:paraId="473BF2E3" w14:textId="77777777" w:rsidR="00E55927" w:rsidRPr="00E55927" w:rsidRDefault="00E55927" w:rsidP="00E55927">
            <w:pPr>
              <w:pStyle w:val="NoSpacing"/>
              <w:jc w:val="center"/>
              <w:rPr>
                <w:rFonts w:ascii="Times New Roman" w:hAnsi="Times New Roman" w:cs="Times New Roman"/>
                <w:b/>
              </w:rPr>
            </w:pPr>
            <w:r w:rsidRPr="00E55927">
              <w:rPr>
                <w:rFonts w:ascii="Times New Roman" w:hAnsi="Times New Roman" w:cs="Times New Roman"/>
                <w:b/>
              </w:rPr>
              <w:t>Frequency</w:t>
            </w:r>
          </w:p>
        </w:tc>
        <w:tc>
          <w:tcPr>
            <w:tcW w:w="2369" w:type="dxa"/>
            <w:tcBorders>
              <w:top w:val="single" w:sz="4" w:space="0" w:color="000000"/>
              <w:left w:val="single" w:sz="4" w:space="0" w:color="000000"/>
              <w:bottom w:val="single" w:sz="4" w:space="0" w:color="000000"/>
              <w:right w:val="single" w:sz="4" w:space="0" w:color="000000"/>
            </w:tcBorders>
          </w:tcPr>
          <w:p w14:paraId="61E1D4BD" w14:textId="77777777" w:rsidR="00E55927" w:rsidRPr="00E55927" w:rsidRDefault="00E55927" w:rsidP="00E55927">
            <w:pPr>
              <w:pStyle w:val="NoSpacing"/>
              <w:jc w:val="center"/>
              <w:rPr>
                <w:rFonts w:ascii="Times New Roman" w:hAnsi="Times New Roman" w:cs="Times New Roman"/>
                <w:b/>
              </w:rPr>
            </w:pPr>
            <w:r w:rsidRPr="00E55927">
              <w:rPr>
                <w:rFonts w:ascii="Times New Roman" w:hAnsi="Times New Roman" w:cs="Times New Roman"/>
                <w:b/>
              </w:rPr>
              <w:t>Enjoyment</w:t>
            </w:r>
          </w:p>
        </w:tc>
        <w:tc>
          <w:tcPr>
            <w:tcW w:w="2368" w:type="dxa"/>
            <w:tcBorders>
              <w:top w:val="single" w:sz="4" w:space="0" w:color="000000"/>
              <w:left w:val="single" w:sz="4" w:space="0" w:color="000000"/>
              <w:bottom w:val="single" w:sz="4" w:space="0" w:color="000000"/>
              <w:right w:val="single" w:sz="4" w:space="0" w:color="000000"/>
            </w:tcBorders>
          </w:tcPr>
          <w:p w14:paraId="2FAB548A" w14:textId="77777777" w:rsidR="00E55927" w:rsidRPr="00E55927" w:rsidRDefault="00E55927" w:rsidP="00E55927">
            <w:pPr>
              <w:pStyle w:val="NoSpacing"/>
              <w:jc w:val="center"/>
              <w:rPr>
                <w:rFonts w:ascii="Times New Roman" w:hAnsi="Times New Roman" w:cs="Times New Roman"/>
                <w:b/>
              </w:rPr>
            </w:pPr>
            <w:r w:rsidRPr="00E55927">
              <w:rPr>
                <w:rFonts w:ascii="Times New Roman" w:hAnsi="Times New Roman" w:cs="Times New Roman"/>
                <w:b/>
              </w:rPr>
              <w:t>COVID-19</w:t>
            </w:r>
          </w:p>
        </w:tc>
      </w:tr>
      <w:tr w:rsidR="00E55927" w:rsidRPr="00E55927" w14:paraId="7CAC09AD" w14:textId="77777777" w:rsidTr="002A1E63">
        <w:trPr>
          <w:trHeight w:val="1105"/>
        </w:trPr>
        <w:tc>
          <w:tcPr>
            <w:tcW w:w="2368" w:type="dxa"/>
            <w:tcBorders>
              <w:top w:val="single" w:sz="4" w:space="0" w:color="000000"/>
              <w:left w:val="single" w:sz="4" w:space="0" w:color="000000"/>
              <w:bottom w:val="single" w:sz="4" w:space="0" w:color="000000"/>
              <w:right w:val="single" w:sz="4" w:space="0" w:color="000000"/>
            </w:tcBorders>
          </w:tcPr>
          <w:p w14:paraId="07D916C9" w14:textId="77777777" w:rsidR="00E55927" w:rsidRPr="00E55927" w:rsidRDefault="00E55927" w:rsidP="00E55927">
            <w:pPr>
              <w:pStyle w:val="NoSpacing"/>
              <w:rPr>
                <w:b/>
              </w:rPr>
            </w:pPr>
          </w:p>
        </w:tc>
        <w:tc>
          <w:tcPr>
            <w:tcW w:w="2368" w:type="dxa"/>
            <w:tcBorders>
              <w:top w:val="single" w:sz="4" w:space="0" w:color="000000"/>
              <w:left w:val="single" w:sz="4" w:space="0" w:color="000000"/>
              <w:bottom w:val="single" w:sz="4" w:space="0" w:color="000000"/>
              <w:right w:val="single" w:sz="4" w:space="0" w:color="000000"/>
            </w:tcBorders>
          </w:tcPr>
          <w:p w14:paraId="2E4BDFA2" w14:textId="4C02DC39" w:rsidR="00E55927" w:rsidRPr="00E55927" w:rsidRDefault="00E55927" w:rsidP="00E55927">
            <w:pPr>
              <w:pStyle w:val="NoSpacing"/>
              <w:jc w:val="center"/>
              <w:rPr>
                <w:rFonts w:ascii="Times New Roman" w:hAnsi="Times New Roman" w:cs="Times New Roman"/>
              </w:rPr>
            </w:pPr>
            <w:r w:rsidRPr="00E55927">
              <w:rPr>
                <w:rFonts w:ascii="Times New Roman" w:hAnsi="Times New Roman" w:cs="Times New Roman"/>
              </w:rPr>
              <w:t>How often did you do this without drinking alcohol, over the past 30 days?</w:t>
            </w:r>
          </w:p>
          <w:p w14:paraId="2FCF0FB0" w14:textId="77777777" w:rsidR="00E55927" w:rsidRPr="00E55927" w:rsidRDefault="00E55927" w:rsidP="00E55927">
            <w:pPr>
              <w:pStyle w:val="NoSpacing"/>
              <w:jc w:val="center"/>
              <w:rPr>
                <w:rFonts w:ascii="Times New Roman" w:hAnsi="Times New Roman" w:cs="Times New Roman"/>
              </w:rPr>
            </w:pPr>
          </w:p>
          <w:p w14:paraId="35999181" w14:textId="77777777" w:rsidR="00E55927" w:rsidRPr="00E55927" w:rsidRDefault="00E55927" w:rsidP="00E55927">
            <w:pPr>
              <w:pStyle w:val="NoSpacing"/>
              <w:jc w:val="center"/>
              <w:rPr>
                <w:rFonts w:ascii="Times New Roman" w:hAnsi="Times New Roman" w:cs="Times New Roman"/>
              </w:rPr>
            </w:pPr>
            <w:r w:rsidRPr="00E55927">
              <w:rPr>
                <w:rFonts w:ascii="Times New Roman" w:hAnsi="Times New Roman" w:cs="Times New Roman"/>
              </w:rPr>
              <w:t>Remember, you should only include things in the count if you were not drinking alcohol, or were not under the influence of alcohol, when you did them</w:t>
            </w:r>
          </w:p>
        </w:tc>
        <w:tc>
          <w:tcPr>
            <w:tcW w:w="2369" w:type="dxa"/>
            <w:tcBorders>
              <w:top w:val="single" w:sz="4" w:space="0" w:color="000000"/>
              <w:left w:val="single" w:sz="4" w:space="0" w:color="000000"/>
              <w:bottom w:val="single" w:sz="4" w:space="0" w:color="000000"/>
              <w:right w:val="single" w:sz="4" w:space="0" w:color="000000"/>
            </w:tcBorders>
          </w:tcPr>
          <w:p w14:paraId="5F6FCF0A" w14:textId="24C74C80" w:rsidR="00E55927" w:rsidRPr="00E55927" w:rsidRDefault="00E55927" w:rsidP="00E55927">
            <w:pPr>
              <w:pStyle w:val="NoSpacing"/>
              <w:jc w:val="center"/>
              <w:rPr>
                <w:rFonts w:ascii="Times New Roman" w:hAnsi="Times New Roman" w:cs="Times New Roman"/>
              </w:rPr>
            </w:pPr>
            <w:r w:rsidRPr="00E55927">
              <w:rPr>
                <w:rFonts w:ascii="Times New Roman" w:hAnsi="Times New Roman" w:cs="Times New Roman"/>
              </w:rPr>
              <w:t>If you did this at least once, how enjoyable did you find it?</w:t>
            </w:r>
          </w:p>
        </w:tc>
        <w:tc>
          <w:tcPr>
            <w:tcW w:w="2368" w:type="dxa"/>
            <w:tcBorders>
              <w:top w:val="single" w:sz="4" w:space="0" w:color="000000"/>
              <w:left w:val="single" w:sz="4" w:space="0" w:color="000000"/>
              <w:bottom w:val="single" w:sz="4" w:space="0" w:color="000000"/>
              <w:right w:val="single" w:sz="4" w:space="0" w:color="000000"/>
            </w:tcBorders>
          </w:tcPr>
          <w:p w14:paraId="5F668FEB" w14:textId="77777777" w:rsidR="00E55927" w:rsidRPr="00E55927" w:rsidRDefault="00E55927" w:rsidP="00E55927">
            <w:pPr>
              <w:pStyle w:val="NoSpacing"/>
              <w:jc w:val="center"/>
              <w:rPr>
                <w:rFonts w:ascii="Times New Roman" w:hAnsi="Times New Roman" w:cs="Times New Roman"/>
              </w:rPr>
            </w:pPr>
            <w:r w:rsidRPr="00E55927">
              <w:rPr>
                <w:rFonts w:ascii="Times New Roman" w:hAnsi="Times New Roman" w:cs="Times New Roman"/>
              </w:rPr>
              <w:t>Did you do this activity more or less often compared to before the COVID lockdown restrictions were introduced in March 2020?</w:t>
            </w:r>
          </w:p>
        </w:tc>
      </w:tr>
      <w:tr w:rsidR="00E55927" w:rsidRPr="00E55927" w14:paraId="76F1445D" w14:textId="77777777" w:rsidTr="002A1E63">
        <w:trPr>
          <w:trHeight w:val="1877"/>
        </w:trPr>
        <w:tc>
          <w:tcPr>
            <w:tcW w:w="2368" w:type="dxa"/>
            <w:tcBorders>
              <w:top w:val="single" w:sz="4" w:space="0" w:color="000000"/>
              <w:left w:val="single" w:sz="4" w:space="0" w:color="000000"/>
              <w:bottom w:val="single" w:sz="4" w:space="0" w:color="000000"/>
              <w:right w:val="single" w:sz="4" w:space="0" w:color="000000"/>
            </w:tcBorders>
          </w:tcPr>
          <w:p w14:paraId="6EFC33D9"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 Meeting individuals and small groups (up to 6 people)</w:t>
            </w:r>
          </w:p>
          <w:p w14:paraId="5C5DEB5D"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Meeting friends, going for a meal, going for coffee</w:t>
            </w:r>
          </w:p>
        </w:tc>
        <w:tc>
          <w:tcPr>
            <w:tcW w:w="2368" w:type="dxa"/>
            <w:tcBorders>
              <w:top w:val="single" w:sz="4" w:space="0" w:color="000000"/>
              <w:left w:val="single" w:sz="4" w:space="0" w:color="000000"/>
              <w:bottom w:val="single" w:sz="4" w:space="0" w:color="000000"/>
              <w:right w:val="single" w:sz="4" w:space="0" w:color="000000"/>
            </w:tcBorders>
          </w:tcPr>
          <w:p w14:paraId="1A1B3F68"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225C2C7C"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45235143" w14:textId="77777777" w:rsidR="00E55927" w:rsidRPr="00E55927" w:rsidRDefault="00E55927" w:rsidP="00E55927">
            <w:pPr>
              <w:pStyle w:val="NoSpacing"/>
              <w:rPr>
                <w:rFonts w:asciiTheme="majorBidi" w:hAnsiTheme="majorBidi" w:cstheme="majorBidi"/>
                <w:b/>
              </w:rPr>
            </w:pPr>
          </w:p>
        </w:tc>
      </w:tr>
      <w:tr w:rsidR="00E55927" w:rsidRPr="00E55927" w14:paraId="0003D2B3" w14:textId="77777777" w:rsidTr="002A1E63">
        <w:trPr>
          <w:trHeight w:val="1862"/>
        </w:trPr>
        <w:tc>
          <w:tcPr>
            <w:tcW w:w="2368" w:type="dxa"/>
            <w:tcBorders>
              <w:top w:val="single" w:sz="4" w:space="0" w:color="000000"/>
              <w:left w:val="single" w:sz="4" w:space="0" w:color="000000"/>
              <w:bottom w:val="single" w:sz="4" w:space="0" w:color="000000"/>
              <w:right w:val="single" w:sz="4" w:space="0" w:color="000000"/>
            </w:tcBorders>
          </w:tcPr>
          <w:p w14:paraId="20D89980"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2. Larger group meetups (over 6 people)</w:t>
            </w:r>
          </w:p>
          <w:p w14:paraId="308584C4"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 xml:space="preserve">E.g., Large gatherings and parties, society </w:t>
            </w:r>
            <w:r w:rsidRPr="00E55927">
              <w:rPr>
                <w:rFonts w:asciiTheme="majorBidi" w:hAnsiTheme="majorBidi" w:cstheme="majorBidi"/>
                <w:i/>
              </w:rPr>
              <w:lastRenderedPageBreak/>
              <w:t>meetups, sports club socials</w:t>
            </w:r>
          </w:p>
        </w:tc>
        <w:tc>
          <w:tcPr>
            <w:tcW w:w="2368" w:type="dxa"/>
            <w:tcBorders>
              <w:top w:val="single" w:sz="4" w:space="0" w:color="000000"/>
              <w:left w:val="single" w:sz="4" w:space="0" w:color="000000"/>
              <w:bottom w:val="single" w:sz="4" w:space="0" w:color="000000"/>
              <w:right w:val="single" w:sz="4" w:space="0" w:color="000000"/>
            </w:tcBorders>
          </w:tcPr>
          <w:p w14:paraId="0D430EB3"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6097A50B"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34A383CB" w14:textId="77777777" w:rsidR="00E55927" w:rsidRPr="00E55927" w:rsidRDefault="00E55927" w:rsidP="00E55927">
            <w:pPr>
              <w:pStyle w:val="NoSpacing"/>
              <w:rPr>
                <w:rFonts w:asciiTheme="majorBidi" w:hAnsiTheme="majorBidi" w:cstheme="majorBidi"/>
                <w:b/>
              </w:rPr>
            </w:pPr>
          </w:p>
        </w:tc>
      </w:tr>
      <w:tr w:rsidR="00E55927" w:rsidRPr="00E55927" w14:paraId="5251209A" w14:textId="77777777" w:rsidTr="002A1E63">
        <w:trPr>
          <w:trHeight w:val="484"/>
        </w:trPr>
        <w:tc>
          <w:tcPr>
            <w:tcW w:w="2368" w:type="dxa"/>
            <w:tcBorders>
              <w:top w:val="single" w:sz="4" w:space="0" w:color="000000"/>
              <w:left w:val="single" w:sz="4" w:space="0" w:color="000000"/>
              <w:bottom w:val="single" w:sz="4" w:space="0" w:color="000000"/>
              <w:right w:val="single" w:sz="4" w:space="0" w:color="000000"/>
            </w:tcBorders>
          </w:tcPr>
          <w:p w14:paraId="2DB6C93D"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3. Virtual socialising</w:t>
            </w:r>
          </w:p>
          <w:p w14:paraId="5852E314"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Texting, social media, phone calls, FaceTime</w:t>
            </w:r>
          </w:p>
        </w:tc>
        <w:tc>
          <w:tcPr>
            <w:tcW w:w="2368" w:type="dxa"/>
            <w:tcBorders>
              <w:top w:val="single" w:sz="4" w:space="0" w:color="000000"/>
              <w:left w:val="single" w:sz="4" w:space="0" w:color="000000"/>
              <w:bottom w:val="single" w:sz="4" w:space="0" w:color="000000"/>
              <w:right w:val="single" w:sz="4" w:space="0" w:color="000000"/>
            </w:tcBorders>
          </w:tcPr>
          <w:p w14:paraId="7EDE6D96"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361F0AA1"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5FE79522" w14:textId="77777777" w:rsidR="00E55927" w:rsidRPr="00E55927" w:rsidRDefault="00E55927" w:rsidP="00E55927">
            <w:pPr>
              <w:pStyle w:val="NoSpacing"/>
              <w:rPr>
                <w:rFonts w:asciiTheme="majorBidi" w:hAnsiTheme="majorBidi" w:cstheme="majorBidi"/>
                <w:b/>
              </w:rPr>
            </w:pPr>
          </w:p>
        </w:tc>
      </w:tr>
      <w:tr w:rsidR="00E55927" w:rsidRPr="00E55927" w14:paraId="294D13AE" w14:textId="77777777" w:rsidTr="002A1E63">
        <w:trPr>
          <w:trHeight w:val="1120"/>
        </w:trPr>
        <w:tc>
          <w:tcPr>
            <w:tcW w:w="2368" w:type="dxa"/>
            <w:tcBorders>
              <w:top w:val="single" w:sz="4" w:space="0" w:color="000000"/>
              <w:left w:val="single" w:sz="4" w:space="0" w:color="000000"/>
              <w:bottom w:val="single" w:sz="4" w:space="0" w:color="000000"/>
              <w:right w:val="single" w:sz="4" w:space="0" w:color="000000"/>
            </w:tcBorders>
          </w:tcPr>
          <w:p w14:paraId="0D5C9954"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4. Sport and exercise</w:t>
            </w:r>
          </w:p>
          <w:p w14:paraId="3472D5C7"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Playing sport, going to the gym</w:t>
            </w:r>
          </w:p>
        </w:tc>
        <w:tc>
          <w:tcPr>
            <w:tcW w:w="2368" w:type="dxa"/>
            <w:tcBorders>
              <w:top w:val="single" w:sz="4" w:space="0" w:color="000000"/>
              <w:left w:val="single" w:sz="4" w:space="0" w:color="000000"/>
              <w:bottom w:val="single" w:sz="4" w:space="0" w:color="000000"/>
              <w:right w:val="single" w:sz="4" w:space="0" w:color="000000"/>
            </w:tcBorders>
          </w:tcPr>
          <w:p w14:paraId="347FF7DA"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2C5447C1"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38517D9F" w14:textId="77777777" w:rsidR="00E55927" w:rsidRPr="00E55927" w:rsidRDefault="00E55927" w:rsidP="00E55927">
            <w:pPr>
              <w:pStyle w:val="NoSpacing"/>
              <w:rPr>
                <w:rFonts w:asciiTheme="majorBidi" w:hAnsiTheme="majorBidi" w:cstheme="majorBidi"/>
                <w:b/>
              </w:rPr>
            </w:pPr>
          </w:p>
        </w:tc>
      </w:tr>
      <w:tr w:rsidR="00E55927" w:rsidRPr="00E55927" w14:paraId="0C901744" w14:textId="77777777" w:rsidTr="002A1E63">
        <w:trPr>
          <w:trHeight w:val="1862"/>
        </w:trPr>
        <w:tc>
          <w:tcPr>
            <w:tcW w:w="2368" w:type="dxa"/>
            <w:tcBorders>
              <w:top w:val="single" w:sz="4" w:space="0" w:color="000000"/>
              <w:left w:val="single" w:sz="4" w:space="0" w:color="000000"/>
              <w:bottom w:val="single" w:sz="4" w:space="0" w:color="000000"/>
              <w:right w:val="single" w:sz="4" w:space="0" w:color="000000"/>
            </w:tcBorders>
          </w:tcPr>
          <w:p w14:paraId="0CF8C8AA"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5. Entertainment at home</w:t>
            </w:r>
          </w:p>
          <w:p w14:paraId="3F36DC0D"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Video games, reading a book, watching a movie, streaming show, listening to a podcast or audiobook</w:t>
            </w:r>
          </w:p>
        </w:tc>
        <w:tc>
          <w:tcPr>
            <w:tcW w:w="2368" w:type="dxa"/>
            <w:tcBorders>
              <w:top w:val="single" w:sz="4" w:space="0" w:color="000000"/>
              <w:left w:val="single" w:sz="4" w:space="0" w:color="000000"/>
              <w:bottom w:val="single" w:sz="4" w:space="0" w:color="000000"/>
              <w:right w:val="single" w:sz="4" w:space="0" w:color="000000"/>
            </w:tcBorders>
          </w:tcPr>
          <w:p w14:paraId="36A4C4B3"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6A1AE908"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256AC83A" w14:textId="77777777" w:rsidR="00E55927" w:rsidRPr="00E55927" w:rsidRDefault="00E55927" w:rsidP="00E55927">
            <w:pPr>
              <w:pStyle w:val="NoSpacing"/>
              <w:rPr>
                <w:rFonts w:asciiTheme="majorBidi" w:hAnsiTheme="majorBidi" w:cstheme="majorBidi"/>
                <w:b/>
              </w:rPr>
            </w:pPr>
          </w:p>
        </w:tc>
      </w:tr>
      <w:tr w:rsidR="00E55927" w:rsidRPr="00E55927" w14:paraId="45695802" w14:textId="77777777" w:rsidTr="002A1E63">
        <w:trPr>
          <w:trHeight w:val="1862"/>
        </w:trPr>
        <w:tc>
          <w:tcPr>
            <w:tcW w:w="2368" w:type="dxa"/>
            <w:tcBorders>
              <w:top w:val="single" w:sz="4" w:space="0" w:color="000000"/>
              <w:left w:val="single" w:sz="4" w:space="0" w:color="000000"/>
              <w:bottom w:val="single" w:sz="4" w:space="0" w:color="000000"/>
              <w:right w:val="single" w:sz="4" w:space="0" w:color="000000"/>
            </w:tcBorders>
          </w:tcPr>
          <w:p w14:paraId="0ED9360A"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6. Entertainment outside the home</w:t>
            </w:r>
          </w:p>
          <w:p w14:paraId="3DFAE929"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Going to the cinema, going to the theatre, visiting museums or art galleries</w:t>
            </w:r>
          </w:p>
        </w:tc>
        <w:tc>
          <w:tcPr>
            <w:tcW w:w="2368" w:type="dxa"/>
            <w:tcBorders>
              <w:top w:val="single" w:sz="4" w:space="0" w:color="000000"/>
              <w:left w:val="single" w:sz="4" w:space="0" w:color="000000"/>
              <w:bottom w:val="single" w:sz="4" w:space="0" w:color="000000"/>
              <w:right w:val="single" w:sz="4" w:space="0" w:color="000000"/>
            </w:tcBorders>
          </w:tcPr>
          <w:p w14:paraId="5DCFA754"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02532EC4"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4C35C23C" w14:textId="77777777" w:rsidR="00E55927" w:rsidRPr="00E55927" w:rsidRDefault="00E55927" w:rsidP="00E55927">
            <w:pPr>
              <w:pStyle w:val="NoSpacing"/>
              <w:rPr>
                <w:rFonts w:asciiTheme="majorBidi" w:hAnsiTheme="majorBidi" w:cstheme="majorBidi"/>
                <w:b/>
              </w:rPr>
            </w:pPr>
          </w:p>
        </w:tc>
      </w:tr>
      <w:tr w:rsidR="00E55927" w:rsidRPr="00E55927" w14:paraId="06F1CAC7" w14:textId="77777777" w:rsidTr="002A1E63">
        <w:trPr>
          <w:trHeight w:val="1499"/>
        </w:trPr>
        <w:tc>
          <w:tcPr>
            <w:tcW w:w="2368" w:type="dxa"/>
            <w:tcBorders>
              <w:top w:val="single" w:sz="4" w:space="0" w:color="000000"/>
              <w:left w:val="single" w:sz="4" w:space="0" w:color="000000"/>
              <w:bottom w:val="single" w:sz="4" w:space="0" w:color="000000"/>
              <w:right w:val="single" w:sz="4" w:space="0" w:color="000000"/>
            </w:tcBorders>
          </w:tcPr>
          <w:p w14:paraId="756217E5"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7. Hobbies</w:t>
            </w:r>
          </w:p>
          <w:p w14:paraId="4F3B9DDB"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Photography, gardening, painting, playing an instrument</w:t>
            </w:r>
          </w:p>
        </w:tc>
        <w:tc>
          <w:tcPr>
            <w:tcW w:w="2368" w:type="dxa"/>
            <w:tcBorders>
              <w:top w:val="single" w:sz="4" w:space="0" w:color="000000"/>
              <w:left w:val="single" w:sz="4" w:space="0" w:color="000000"/>
              <w:bottom w:val="single" w:sz="4" w:space="0" w:color="000000"/>
              <w:right w:val="single" w:sz="4" w:space="0" w:color="000000"/>
            </w:tcBorders>
          </w:tcPr>
          <w:p w14:paraId="3D23C987"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20F71A42"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42B72420" w14:textId="77777777" w:rsidR="00E55927" w:rsidRPr="00E55927" w:rsidRDefault="00E55927" w:rsidP="00E55927">
            <w:pPr>
              <w:pStyle w:val="NoSpacing"/>
              <w:rPr>
                <w:rFonts w:asciiTheme="majorBidi" w:hAnsiTheme="majorBidi" w:cstheme="majorBidi"/>
                <w:b/>
              </w:rPr>
            </w:pPr>
          </w:p>
        </w:tc>
      </w:tr>
      <w:tr w:rsidR="00E55927" w:rsidRPr="00E55927" w14:paraId="6CF1A26F" w14:textId="77777777" w:rsidTr="002A1E63">
        <w:trPr>
          <w:trHeight w:val="741"/>
        </w:trPr>
        <w:tc>
          <w:tcPr>
            <w:tcW w:w="2368" w:type="dxa"/>
            <w:tcBorders>
              <w:top w:val="single" w:sz="4" w:space="0" w:color="000000"/>
              <w:left w:val="single" w:sz="4" w:space="0" w:color="000000"/>
              <w:bottom w:val="single" w:sz="4" w:space="0" w:color="000000"/>
              <w:right w:val="single" w:sz="4" w:space="0" w:color="000000"/>
            </w:tcBorders>
          </w:tcPr>
          <w:p w14:paraId="04FCDE08"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8. Work</w:t>
            </w:r>
          </w:p>
          <w:p w14:paraId="73DE930C"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Doing paid work</w:t>
            </w:r>
          </w:p>
        </w:tc>
        <w:tc>
          <w:tcPr>
            <w:tcW w:w="2368" w:type="dxa"/>
            <w:tcBorders>
              <w:top w:val="single" w:sz="4" w:space="0" w:color="000000"/>
              <w:left w:val="single" w:sz="4" w:space="0" w:color="000000"/>
              <w:bottom w:val="single" w:sz="4" w:space="0" w:color="000000"/>
              <w:right w:val="single" w:sz="4" w:space="0" w:color="000000"/>
            </w:tcBorders>
          </w:tcPr>
          <w:p w14:paraId="3CBC31C4"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1ACDF02A"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69834B6E" w14:textId="77777777" w:rsidR="00E55927" w:rsidRPr="00E55927" w:rsidRDefault="00E55927" w:rsidP="00E55927">
            <w:pPr>
              <w:pStyle w:val="NoSpacing"/>
              <w:rPr>
                <w:rFonts w:asciiTheme="majorBidi" w:hAnsiTheme="majorBidi" w:cstheme="majorBidi"/>
                <w:b/>
              </w:rPr>
            </w:pPr>
          </w:p>
        </w:tc>
      </w:tr>
      <w:tr w:rsidR="00E55927" w:rsidRPr="00E55927" w14:paraId="4392BC60" w14:textId="77777777" w:rsidTr="002A1E63">
        <w:trPr>
          <w:trHeight w:val="1120"/>
        </w:trPr>
        <w:tc>
          <w:tcPr>
            <w:tcW w:w="2368" w:type="dxa"/>
            <w:tcBorders>
              <w:top w:val="single" w:sz="4" w:space="0" w:color="000000"/>
              <w:left w:val="single" w:sz="4" w:space="0" w:color="000000"/>
              <w:bottom w:val="single" w:sz="4" w:space="0" w:color="000000"/>
              <w:right w:val="single" w:sz="4" w:space="0" w:color="000000"/>
            </w:tcBorders>
          </w:tcPr>
          <w:p w14:paraId="0CF1769C"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 xml:space="preserve">9. University </w:t>
            </w:r>
          </w:p>
          <w:p w14:paraId="266002EF"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Being a student, time spent studying</w:t>
            </w:r>
          </w:p>
        </w:tc>
        <w:tc>
          <w:tcPr>
            <w:tcW w:w="2368" w:type="dxa"/>
            <w:tcBorders>
              <w:top w:val="single" w:sz="4" w:space="0" w:color="000000"/>
              <w:left w:val="single" w:sz="4" w:space="0" w:color="000000"/>
              <w:bottom w:val="single" w:sz="4" w:space="0" w:color="000000"/>
              <w:right w:val="single" w:sz="4" w:space="0" w:color="000000"/>
            </w:tcBorders>
          </w:tcPr>
          <w:p w14:paraId="4C5D5082"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32E66238"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4B52D3C3" w14:textId="77777777" w:rsidR="00E55927" w:rsidRPr="00E55927" w:rsidRDefault="00E55927" w:rsidP="00E55927">
            <w:pPr>
              <w:pStyle w:val="NoSpacing"/>
              <w:rPr>
                <w:rFonts w:asciiTheme="majorBidi" w:hAnsiTheme="majorBidi" w:cstheme="majorBidi"/>
                <w:b/>
              </w:rPr>
            </w:pPr>
          </w:p>
        </w:tc>
      </w:tr>
      <w:tr w:rsidR="00E55927" w:rsidRPr="00E55927" w14:paraId="6DA1E000" w14:textId="77777777" w:rsidTr="002A1E63">
        <w:trPr>
          <w:trHeight w:val="1105"/>
        </w:trPr>
        <w:tc>
          <w:tcPr>
            <w:tcW w:w="2368" w:type="dxa"/>
            <w:tcBorders>
              <w:top w:val="single" w:sz="4" w:space="0" w:color="000000"/>
              <w:left w:val="single" w:sz="4" w:space="0" w:color="000000"/>
              <w:bottom w:val="single" w:sz="4" w:space="0" w:color="000000"/>
              <w:right w:val="single" w:sz="4" w:space="0" w:color="000000"/>
            </w:tcBorders>
          </w:tcPr>
          <w:p w14:paraId="6F519539"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10. Volunteering</w:t>
            </w:r>
          </w:p>
          <w:p w14:paraId="27D6B08F"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 xml:space="preserve">E.g., Helping out locally or for a charity </w:t>
            </w:r>
          </w:p>
        </w:tc>
        <w:tc>
          <w:tcPr>
            <w:tcW w:w="2368" w:type="dxa"/>
            <w:tcBorders>
              <w:top w:val="single" w:sz="4" w:space="0" w:color="000000"/>
              <w:left w:val="single" w:sz="4" w:space="0" w:color="000000"/>
              <w:bottom w:val="single" w:sz="4" w:space="0" w:color="000000"/>
              <w:right w:val="single" w:sz="4" w:space="0" w:color="000000"/>
            </w:tcBorders>
          </w:tcPr>
          <w:p w14:paraId="7240135F"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1F3410E9"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2B79759D" w14:textId="77777777" w:rsidR="00E55927" w:rsidRPr="00E55927" w:rsidRDefault="00E55927" w:rsidP="00E55927">
            <w:pPr>
              <w:pStyle w:val="NoSpacing"/>
              <w:rPr>
                <w:rFonts w:asciiTheme="majorBidi" w:hAnsiTheme="majorBidi" w:cstheme="majorBidi"/>
                <w:b/>
              </w:rPr>
            </w:pPr>
          </w:p>
        </w:tc>
      </w:tr>
      <w:tr w:rsidR="00E55927" w:rsidRPr="00E55927" w14:paraId="466E7AD5" w14:textId="77777777" w:rsidTr="002A1E63">
        <w:trPr>
          <w:trHeight w:val="1120"/>
        </w:trPr>
        <w:tc>
          <w:tcPr>
            <w:tcW w:w="2368" w:type="dxa"/>
            <w:tcBorders>
              <w:top w:val="single" w:sz="4" w:space="0" w:color="000000"/>
              <w:left w:val="single" w:sz="4" w:space="0" w:color="000000"/>
              <w:bottom w:val="single" w:sz="4" w:space="0" w:color="000000"/>
              <w:right w:val="single" w:sz="4" w:space="0" w:color="000000"/>
            </w:tcBorders>
          </w:tcPr>
          <w:p w14:paraId="761B4347"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lastRenderedPageBreak/>
              <w:t>11. Relaxing</w:t>
            </w:r>
          </w:p>
          <w:p w14:paraId="0EF0EE8F"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Napping, meditation, taking a bath</w:t>
            </w:r>
          </w:p>
        </w:tc>
        <w:tc>
          <w:tcPr>
            <w:tcW w:w="2368" w:type="dxa"/>
            <w:tcBorders>
              <w:top w:val="single" w:sz="4" w:space="0" w:color="000000"/>
              <w:left w:val="single" w:sz="4" w:space="0" w:color="000000"/>
              <w:bottom w:val="single" w:sz="4" w:space="0" w:color="000000"/>
              <w:right w:val="single" w:sz="4" w:space="0" w:color="000000"/>
            </w:tcBorders>
          </w:tcPr>
          <w:p w14:paraId="4BFCAFDA"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37F3181C"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03F0C2D1" w14:textId="77777777" w:rsidR="00E55927" w:rsidRPr="00E55927" w:rsidRDefault="00E55927" w:rsidP="00E55927">
            <w:pPr>
              <w:pStyle w:val="NoSpacing"/>
              <w:rPr>
                <w:rFonts w:asciiTheme="majorBidi" w:hAnsiTheme="majorBidi" w:cstheme="majorBidi"/>
                <w:b/>
              </w:rPr>
            </w:pPr>
          </w:p>
        </w:tc>
      </w:tr>
      <w:tr w:rsidR="00E55927" w:rsidRPr="00E55927" w14:paraId="466B9C11" w14:textId="77777777" w:rsidTr="002A1E63">
        <w:trPr>
          <w:trHeight w:val="484"/>
        </w:trPr>
        <w:tc>
          <w:tcPr>
            <w:tcW w:w="2368" w:type="dxa"/>
            <w:tcBorders>
              <w:top w:val="single" w:sz="4" w:space="0" w:color="000000"/>
              <w:left w:val="single" w:sz="4" w:space="0" w:color="000000"/>
              <w:bottom w:val="single" w:sz="4" w:space="0" w:color="000000"/>
              <w:right w:val="single" w:sz="4" w:space="0" w:color="000000"/>
            </w:tcBorders>
          </w:tcPr>
          <w:p w14:paraId="176B0BFB"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12. Being alone</w:t>
            </w:r>
          </w:p>
          <w:p w14:paraId="00B7646B"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Spending time by yourself and not focused on an activity</w:t>
            </w:r>
          </w:p>
        </w:tc>
        <w:tc>
          <w:tcPr>
            <w:tcW w:w="2368" w:type="dxa"/>
            <w:tcBorders>
              <w:top w:val="single" w:sz="4" w:space="0" w:color="000000"/>
              <w:left w:val="single" w:sz="4" w:space="0" w:color="000000"/>
              <w:bottom w:val="single" w:sz="4" w:space="0" w:color="000000"/>
              <w:right w:val="single" w:sz="4" w:space="0" w:color="000000"/>
            </w:tcBorders>
          </w:tcPr>
          <w:p w14:paraId="1694143F"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49D97148"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35DBA592" w14:textId="77777777" w:rsidR="00E55927" w:rsidRPr="00E55927" w:rsidRDefault="00E55927" w:rsidP="00E55927">
            <w:pPr>
              <w:pStyle w:val="NoSpacing"/>
              <w:rPr>
                <w:rFonts w:asciiTheme="majorBidi" w:hAnsiTheme="majorBidi" w:cstheme="majorBidi"/>
                <w:b/>
              </w:rPr>
            </w:pPr>
          </w:p>
        </w:tc>
      </w:tr>
      <w:tr w:rsidR="00E55927" w:rsidRPr="00E55927" w14:paraId="2DC840B4" w14:textId="77777777" w:rsidTr="002A1E63">
        <w:trPr>
          <w:trHeight w:val="1120"/>
        </w:trPr>
        <w:tc>
          <w:tcPr>
            <w:tcW w:w="2368" w:type="dxa"/>
            <w:tcBorders>
              <w:top w:val="single" w:sz="4" w:space="0" w:color="000000"/>
              <w:left w:val="single" w:sz="4" w:space="0" w:color="000000"/>
              <w:bottom w:val="single" w:sz="4" w:space="0" w:color="000000"/>
              <w:right w:val="single" w:sz="4" w:space="0" w:color="000000"/>
            </w:tcBorders>
          </w:tcPr>
          <w:p w14:paraId="294F23B3"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13. Religion and politics</w:t>
            </w:r>
          </w:p>
          <w:p w14:paraId="5C19569A"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Going to church, going to protest</w:t>
            </w:r>
          </w:p>
        </w:tc>
        <w:tc>
          <w:tcPr>
            <w:tcW w:w="2368" w:type="dxa"/>
            <w:tcBorders>
              <w:top w:val="single" w:sz="4" w:space="0" w:color="000000"/>
              <w:left w:val="single" w:sz="4" w:space="0" w:color="000000"/>
              <w:bottom w:val="single" w:sz="4" w:space="0" w:color="000000"/>
              <w:right w:val="single" w:sz="4" w:space="0" w:color="000000"/>
            </w:tcBorders>
          </w:tcPr>
          <w:p w14:paraId="531C4436"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7E71A587"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68E82B0B" w14:textId="77777777" w:rsidR="00E55927" w:rsidRPr="00E55927" w:rsidRDefault="00E55927" w:rsidP="00E55927">
            <w:pPr>
              <w:pStyle w:val="NoSpacing"/>
              <w:rPr>
                <w:rFonts w:asciiTheme="majorBidi" w:hAnsiTheme="majorBidi" w:cstheme="majorBidi"/>
                <w:b/>
              </w:rPr>
            </w:pPr>
          </w:p>
        </w:tc>
      </w:tr>
      <w:tr w:rsidR="00E55927" w:rsidRPr="00E55927" w14:paraId="1E89812A" w14:textId="77777777" w:rsidTr="002A1E63">
        <w:trPr>
          <w:trHeight w:val="741"/>
        </w:trPr>
        <w:tc>
          <w:tcPr>
            <w:tcW w:w="2368" w:type="dxa"/>
            <w:tcBorders>
              <w:top w:val="single" w:sz="4" w:space="0" w:color="000000"/>
              <w:left w:val="single" w:sz="4" w:space="0" w:color="000000"/>
              <w:bottom w:val="single" w:sz="4" w:space="0" w:color="000000"/>
              <w:right w:val="single" w:sz="4" w:space="0" w:color="000000"/>
            </w:tcBorders>
          </w:tcPr>
          <w:p w14:paraId="76670EF5"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14. Sexual activity</w:t>
            </w:r>
          </w:p>
          <w:p w14:paraId="6AB5B77A"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Use your imagination</w:t>
            </w:r>
          </w:p>
        </w:tc>
        <w:tc>
          <w:tcPr>
            <w:tcW w:w="2368" w:type="dxa"/>
            <w:tcBorders>
              <w:top w:val="single" w:sz="4" w:space="0" w:color="000000"/>
              <w:left w:val="single" w:sz="4" w:space="0" w:color="000000"/>
              <w:bottom w:val="single" w:sz="4" w:space="0" w:color="000000"/>
              <w:right w:val="single" w:sz="4" w:space="0" w:color="000000"/>
            </w:tcBorders>
          </w:tcPr>
          <w:p w14:paraId="584CA181"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0EDCB812"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448E34B9" w14:textId="77777777" w:rsidR="00E55927" w:rsidRPr="00E55927" w:rsidRDefault="00E55927" w:rsidP="00E55927">
            <w:pPr>
              <w:pStyle w:val="NoSpacing"/>
              <w:rPr>
                <w:rFonts w:asciiTheme="majorBidi" w:hAnsiTheme="majorBidi" w:cstheme="majorBidi"/>
                <w:b/>
              </w:rPr>
            </w:pPr>
          </w:p>
        </w:tc>
      </w:tr>
      <w:tr w:rsidR="00E55927" w:rsidRPr="00E55927" w14:paraId="2C993591" w14:textId="77777777" w:rsidTr="002A1E63">
        <w:trPr>
          <w:trHeight w:val="1484"/>
        </w:trPr>
        <w:tc>
          <w:tcPr>
            <w:tcW w:w="2368" w:type="dxa"/>
            <w:tcBorders>
              <w:top w:val="single" w:sz="4" w:space="0" w:color="000000"/>
              <w:left w:val="single" w:sz="4" w:space="0" w:color="000000"/>
              <w:bottom w:val="single" w:sz="4" w:space="0" w:color="000000"/>
              <w:right w:val="single" w:sz="4" w:space="0" w:color="000000"/>
            </w:tcBorders>
          </w:tcPr>
          <w:p w14:paraId="1C2CE793"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15. Caring for others</w:t>
            </w:r>
          </w:p>
          <w:p w14:paraId="01BCB88A"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Baby, children, elderly, pets, bathing a child, playing with a child</w:t>
            </w:r>
          </w:p>
        </w:tc>
        <w:tc>
          <w:tcPr>
            <w:tcW w:w="2368" w:type="dxa"/>
            <w:tcBorders>
              <w:top w:val="single" w:sz="4" w:space="0" w:color="000000"/>
              <w:left w:val="single" w:sz="4" w:space="0" w:color="000000"/>
              <w:bottom w:val="single" w:sz="4" w:space="0" w:color="000000"/>
              <w:right w:val="single" w:sz="4" w:space="0" w:color="000000"/>
            </w:tcBorders>
          </w:tcPr>
          <w:p w14:paraId="40003A35"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63C5E64F"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3A215A7D" w14:textId="77777777" w:rsidR="00E55927" w:rsidRPr="00E55927" w:rsidRDefault="00E55927" w:rsidP="00E55927">
            <w:pPr>
              <w:pStyle w:val="NoSpacing"/>
              <w:rPr>
                <w:rFonts w:asciiTheme="majorBidi" w:hAnsiTheme="majorBidi" w:cstheme="majorBidi"/>
                <w:b/>
              </w:rPr>
            </w:pPr>
          </w:p>
        </w:tc>
      </w:tr>
      <w:tr w:rsidR="00E55927" w:rsidRPr="00E55927" w14:paraId="1DCDD90C" w14:textId="77777777" w:rsidTr="002A1E63">
        <w:trPr>
          <w:trHeight w:val="1120"/>
        </w:trPr>
        <w:tc>
          <w:tcPr>
            <w:tcW w:w="2368" w:type="dxa"/>
            <w:tcBorders>
              <w:top w:val="single" w:sz="4" w:space="0" w:color="000000"/>
              <w:left w:val="single" w:sz="4" w:space="0" w:color="000000"/>
              <w:bottom w:val="single" w:sz="4" w:space="0" w:color="000000"/>
              <w:right w:val="single" w:sz="4" w:space="0" w:color="000000"/>
            </w:tcBorders>
          </w:tcPr>
          <w:p w14:paraId="0CA8D272"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16. Domestic activity</w:t>
            </w:r>
          </w:p>
          <w:p w14:paraId="439E1FED"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Housework, grocery shopping, cooking, cleaning</w:t>
            </w:r>
          </w:p>
        </w:tc>
        <w:tc>
          <w:tcPr>
            <w:tcW w:w="2368" w:type="dxa"/>
            <w:tcBorders>
              <w:top w:val="single" w:sz="4" w:space="0" w:color="000000"/>
              <w:left w:val="single" w:sz="4" w:space="0" w:color="000000"/>
              <w:bottom w:val="single" w:sz="4" w:space="0" w:color="000000"/>
              <w:right w:val="single" w:sz="4" w:space="0" w:color="000000"/>
            </w:tcBorders>
          </w:tcPr>
          <w:p w14:paraId="243BB000"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20DBAEDE"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26D03D56" w14:textId="77777777" w:rsidR="00E55927" w:rsidRPr="00E55927" w:rsidRDefault="00E55927" w:rsidP="00E55927">
            <w:pPr>
              <w:pStyle w:val="NoSpacing"/>
              <w:rPr>
                <w:rFonts w:asciiTheme="majorBidi" w:hAnsiTheme="majorBidi" w:cstheme="majorBidi"/>
                <w:b/>
              </w:rPr>
            </w:pPr>
          </w:p>
        </w:tc>
      </w:tr>
      <w:tr w:rsidR="00E55927" w:rsidRPr="00E55927" w14:paraId="7FFA459F" w14:textId="77777777" w:rsidTr="002A1E63">
        <w:trPr>
          <w:trHeight w:val="1484"/>
        </w:trPr>
        <w:tc>
          <w:tcPr>
            <w:tcW w:w="2368" w:type="dxa"/>
            <w:tcBorders>
              <w:top w:val="single" w:sz="4" w:space="0" w:color="000000"/>
              <w:left w:val="single" w:sz="4" w:space="0" w:color="000000"/>
              <w:bottom w:val="single" w:sz="4" w:space="0" w:color="000000"/>
              <w:right w:val="single" w:sz="4" w:space="0" w:color="000000"/>
            </w:tcBorders>
          </w:tcPr>
          <w:p w14:paraId="7D0C5BCD"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b/>
              </w:rPr>
              <w:t xml:space="preserve">17. Time in nature </w:t>
            </w:r>
          </w:p>
          <w:p w14:paraId="5E2ABB63" w14:textId="77777777" w:rsidR="00E55927" w:rsidRPr="00E55927" w:rsidRDefault="00E55927" w:rsidP="00E55927">
            <w:pPr>
              <w:pStyle w:val="NoSpacing"/>
              <w:rPr>
                <w:rFonts w:asciiTheme="majorBidi" w:hAnsiTheme="majorBidi" w:cstheme="majorBidi"/>
                <w:b/>
              </w:rPr>
            </w:pPr>
            <w:r w:rsidRPr="00E55927">
              <w:rPr>
                <w:rFonts w:asciiTheme="majorBidi" w:hAnsiTheme="majorBidi" w:cstheme="majorBidi"/>
                <w:i/>
              </w:rPr>
              <w:t>E.g., Going for walks, sitting in a park, visiting green-spaces</w:t>
            </w:r>
          </w:p>
        </w:tc>
        <w:tc>
          <w:tcPr>
            <w:tcW w:w="2368" w:type="dxa"/>
            <w:tcBorders>
              <w:top w:val="single" w:sz="4" w:space="0" w:color="000000"/>
              <w:left w:val="single" w:sz="4" w:space="0" w:color="000000"/>
              <w:bottom w:val="single" w:sz="4" w:space="0" w:color="000000"/>
              <w:right w:val="single" w:sz="4" w:space="0" w:color="000000"/>
            </w:tcBorders>
          </w:tcPr>
          <w:p w14:paraId="28639ECE" w14:textId="77777777" w:rsidR="00E55927" w:rsidRPr="00E55927" w:rsidRDefault="00E55927" w:rsidP="00E55927">
            <w:pPr>
              <w:pStyle w:val="NoSpacing"/>
              <w:rPr>
                <w:rFonts w:asciiTheme="majorBidi" w:hAnsiTheme="majorBidi" w:cstheme="majorBidi"/>
                <w:b/>
              </w:rPr>
            </w:pPr>
          </w:p>
        </w:tc>
        <w:tc>
          <w:tcPr>
            <w:tcW w:w="2369" w:type="dxa"/>
            <w:tcBorders>
              <w:top w:val="single" w:sz="4" w:space="0" w:color="000000"/>
              <w:left w:val="single" w:sz="4" w:space="0" w:color="000000"/>
              <w:bottom w:val="single" w:sz="4" w:space="0" w:color="000000"/>
              <w:right w:val="single" w:sz="4" w:space="0" w:color="000000"/>
            </w:tcBorders>
          </w:tcPr>
          <w:p w14:paraId="10D01683" w14:textId="77777777" w:rsidR="00E55927" w:rsidRPr="00E55927" w:rsidRDefault="00E55927" w:rsidP="00E55927">
            <w:pPr>
              <w:pStyle w:val="NoSpacing"/>
              <w:rPr>
                <w:rFonts w:asciiTheme="majorBidi" w:hAnsiTheme="majorBidi" w:cstheme="majorBidi"/>
                <w:b/>
              </w:rPr>
            </w:pPr>
          </w:p>
        </w:tc>
        <w:tc>
          <w:tcPr>
            <w:tcW w:w="2368" w:type="dxa"/>
            <w:tcBorders>
              <w:top w:val="single" w:sz="4" w:space="0" w:color="000000"/>
              <w:left w:val="single" w:sz="4" w:space="0" w:color="000000"/>
              <w:bottom w:val="single" w:sz="4" w:space="0" w:color="000000"/>
              <w:right w:val="single" w:sz="4" w:space="0" w:color="000000"/>
            </w:tcBorders>
          </w:tcPr>
          <w:p w14:paraId="19FC529E" w14:textId="77777777" w:rsidR="00E55927" w:rsidRPr="00E55927" w:rsidRDefault="00E55927" w:rsidP="00E55927">
            <w:pPr>
              <w:pStyle w:val="NoSpacing"/>
              <w:rPr>
                <w:rFonts w:asciiTheme="majorBidi" w:hAnsiTheme="majorBidi" w:cstheme="majorBidi"/>
                <w:b/>
              </w:rPr>
            </w:pPr>
          </w:p>
        </w:tc>
      </w:tr>
    </w:tbl>
    <w:p w14:paraId="354D9BD0" w14:textId="77777777" w:rsidR="00E55927" w:rsidRDefault="00E55927" w:rsidP="00E55927">
      <w:pPr>
        <w:pStyle w:val="NoSpacing"/>
        <w:spacing w:line="480" w:lineRule="auto"/>
        <w:rPr>
          <w:rFonts w:asciiTheme="majorBidi" w:hAnsiTheme="majorBidi" w:cstheme="majorBidi"/>
        </w:rPr>
      </w:pPr>
      <w:r w:rsidRPr="00E55927">
        <w:rPr>
          <w:rFonts w:asciiTheme="majorBidi" w:hAnsiTheme="majorBidi" w:cstheme="majorBidi"/>
        </w:rPr>
        <w:t xml:space="preserve">Were there any alcohol-free activities that you either do often or enjoy doing that did not fit into any of the categories or questions above? If so, please write this down: </w:t>
      </w:r>
    </w:p>
    <w:p w14:paraId="2D71534C" w14:textId="77777777" w:rsidR="00E55927" w:rsidRDefault="00E55927" w:rsidP="00E55927">
      <w:pPr>
        <w:pStyle w:val="NoSpacing"/>
        <w:rPr>
          <w:rFonts w:asciiTheme="majorBidi" w:hAnsiTheme="majorBidi" w:cstheme="majorBidi"/>
        </w:rPr>
      </w:pPr>
      <w:r w:rsidRPr="00E55927">
        <w:rPr>
          <w:rFonts w:asciiTheme="majorBidi" w:hAnsiTheme="majorBidi" w:cstheme="majorBidi"/>
        </w:rPr>
        <w:t>______________</w:t>
      </w:r>
      <w:r>
        <w:rPr>
          <w:rFonts w:asciiTheme="majorBidi" w:hAnsiTheme="majorBidi" w:cstheme="majorBidi"/>
        </w:rPr>
        <w:t>___________________________________________________</w:t>
      </w:r>
    </w:p>
    <w:p w14:paraId="390BDB2C" w14:textId="16E40420" w:rsidR="00E55927" w:rsidRDefault="00E55927" w:rsidP="00E55927">
      <w:pPr>
        <w:pStyle w:val="NoSpacing"/>
      </w:pPr>
    </w:p>
    <w:p w14:paraId="447EEAA2" w14:textId="77777777" w:rsidR="00E55927" w:rsidRPr="00E55927" w:rsidRDefault="00E55927" w:rsidP="00E55927">
      <w:pPr>
        <w:pStyle w:val="NoSpacing"/>
      </w:pPr>
    </w:p>
    <w:tbl>
      <w:tblPr>
        <w:tblW w:w="10029" w:type="dxa"/>
        <w:tblLook w:val="0400" w:firstRow="0" w:lastRow="0" w:firstColumn="0" w:lastColumn="0" w:noHBand="0" w:noVBand="1"/>
      </w:tblPr>
      <w:tblGrid>
        <w:gridCol w:w="3343"/>
        <w:gridCol w:w="3343"/>
        <w:gridCol w:w="3343"/>
      </w:tblGrid>
      <w:tr w:rsidR="00E55927" w:rsidRPr="00E55927" w14:paraId="7B0DF146" w14:textId="77777777" w:rsidTr="002A1E63">
        <w:trPr>
          <w:trHeight w:val="616"/>
        </w:trPr>
        <w:tc>
          <w:tcPr>
            <w:tcW w:w="3343" w:type="dxa"/>
          </w:tcPr>
          <w:p w14:paraId="0D99C42F"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Frequency</w:t>
            </w:r>
          </w:p>
        </w:tc>
        <w:tc>
          <w:tcPr>
            <w:tcW w:w="3343" w:type="dxa"/>
          </w:tcPr>
          <w:p w14:paraId="5F0806A1"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Enjoyment</w:t>
            </w:r>
          </w:p>
        </w:tc>
        <w:tc>
          <w:tcPr>
            <w:tcW w:w="3343" w:type="dxa"/>
          </w:tcPr>
          <w:p w14:paraId="51F33A3C" w14:textId="77777777" w:rsidR="00E55927" w:rsidRPr="00E55927" w:rsidRDefault="00E55927" w:rsidP="00E55927">
            <w:pPr>
              <w:pStyle w:val="NoSpacing"/>
              <w:rPr>
                <w:rFonts w:ascii="Times New Roman" w:hAnsi="Times New Roman" w:cs="Times New Roman"/>
              </w:rPr>
            </w:pPr>
            <w:r w:rsidRPr="00E55927">
              <w:rPr>
                <w:rFonts w:ascii="Times New Roman" w:hAnsi="Times New Roman" w:cs="Times New Roman"/>
              </w:rPr>
              <w:t>COVID-19</w:t>
            </w:r>
          </w:p>
        </w:tc>
      </w:tr>
      <w:tr w:rsidR="00E55927" w:rsidRPr="00E55927" w14:paraId="21A67169" w14:textId="77777777" w:rsidTr="002A1E63">
        <w:trPr>
          <w:trHeight w:val="378"/>
        </w:trPr>
        <w:tc>
          <w:tcPr>
            <w:tcW w:w="3343" w:type="dxa"/>
          </w:tcPr>
          <w:p w14:paraId="60EE16B2"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0 = 0 times</w:t>
            </w:r>
          </w:p>
        </w:tc>
        <w:tc>
          <w:tcPr>
            <w:tcW w:w="3343" w:type="dxa"/>
          </w:tcPr>
          <w:p w14:paraId="28E985B4"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0 = unpleasant or neutral </w:t>
            </w:r>
          </w:p>
        </w:tc>
        <w:tc>
          <w:tcPr>
            <w:tcW w:w="3343" w:type="dxa"/>
          </w:tcPr>
          <w:p w14:paraId="21BB1878"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0 = much less often</w:t>
            </w:r>
          </w:p>
        </w:tc>
      </w:tr>
      <w:tr w:rsidR="00E55927" w:rsidRPr="00E55927" w14:paraId="3A9ACB51" w14:textId="77777777" w:rsidTr="002A1E63">
        <w:trPr>
          <w:trHeight w:val="378"/>
        </w:trPr>
        <w:tc>
          <w:tcPr>
            <w:tcW w:w="3343" w:type="dxa"/>
          </w:tcPr>
          <w:p w14:paraId="09599D5E"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1 = once </w:t>
            </w:r>
          </w:p>
        </w:tc>
        <w:tc>
          <w:tcPr>
            <w:tcW w:w="3343" w:type="dxa"/>
          </w:tcPr>
          <w:p w14:paraId="4DF6D8EB"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1 = mildly pleasant </w:t>
            </w:r>
          </w:p>
        </w:tc>
        <w:tc>
          <w:tcPr>
            <w:tcW w:w="3343" w:type="dxa"/>
          </w:tcPr>
          <w:p w14:paraId="11EC8AF0"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1 = slightly less often</w:t>
            </w:r>
          </w:p>
        </w:tc>
      </w:tr>
      <w:tr w:rsidR="00E55927" w:rsidRPr="00E55927" w14:paraId="23FEA6D9" w14:textId="77777777" w:rsidTr="002A1E63">
        <w:trPr>
          <w:trHeight w:val="356"/>
        </w:trPr>
        <w:tc>
          <w:tcPr>
            <w:tcW w:w="3343" w:type="dxa"/>
          </w:tcPr>
          <w:p w14:paraId="5F76A9C2"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2 = a few times</w:t>
            </w:r>
          </w:p>
        </w:tc>
        <w:tc>
          <w:tcPr>
            <w:tcW w:w="3343" w:type="dxa"/>
          </w:tcPr>
          <w:p w14:paraId="665B4E51"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2 = moderately pleasant </w:t>
            </w:r>
          </w:p>
        </w:tc>
        <w:tc>
          <w:tcPr>
            <w:tcW w:w="3343" w:type="dxa"/>
          </w:tcPr>
          <w:p w14:paraId="57D86745"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2 = no change </w:t>
            </w:r>
          </w:p>
        </w:tc>
      </w:tr>
      <w:tr w:rsidR="00E55927" w:rsidRPr="00E55927" w14:paraId="6CA9A2D9" w14:textId="77777777" w:rsidTr="002A1E63">
        <w:trPr>
          <w:trHeight w:val="378"/>
        </w:trPr>
        <w:tc>
          <w:tcPr>
            <w:tcW w:w="3343" w:type="dxa"/>
          </w:tcPr>
          <w:p w14:paraId="7B539211"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3 = about once per week</w:t>
            </w:r>
          </w:p>
        </w:tc>
        <w:tc>
          <w:tcPr>
            <w:tcW w:w="3343" w:type="dxa"/>
          </w:tcPr>
          <w:p w14:paraId="5017A211"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3 = very pleasant </w:t>
            </w:r>
          </w:p>
        </w:tc>
        <w:tc>
          <w:tcPr>
            <w:tcW w:w="3343" w:type="dxa"/>
          </w:tcPr>
          <w:p w14:paraId="35B144D0"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3 = slightly more often</w:t>
            </w:r>
          </w:p>
        </w:tc>
      </w:tr>
      <w:tr w:rsidR="00E55927" w:rsidRPr="00E55927" w14:paraId="4C064C9C" w14:textId="77777777" w:rsidTr="002A1E63">
        <w:trPr>
          <w:trHeight w:val="356"/>
        </w:trPr>
        <w:tc>
          <w:tcPr>
            <w:tcW w:w="3343" w:type="dxa"/>
          </w:tcPr>
          <w:p w14:paraId="42D93D04"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4 = several times per week</w:t>
            </w:r>
          </w:p>
        </w:tc>
        <w:tc>
          <w:tcPr>
            <w:tcW w:w="3343" w:type="dxa"/>
          </w:tcPr>
          <w:p w14:paraId="2306A8BB"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 xml:space="preserve">4 = extremely pleasant </w:t>
            </w:r>
          </w:p>
        </w:tc>
        <w:tc>
          <w:tcPr>
            <w:tcW w:w="3343" w:type="dxa"/>
          </w:tcPr>
          <w:p w14:paraId="5183E573"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4 = much more often</w:t>
            </w:r>
          </w:p>
        </w:tc>
      </w:tr>
      <w:tr w:rsidR="00E55927" w:rsidRPr="00E55927" w14:paraId="3CE0D536" w14:textId="77777777" w:rsidTr="002A1E63">
        <w:trPr>
          <w:trHeight w:val="356"/>
        </w:trPr>
        <w:tc>
          <w:tcPr>
            <w:tcW w:w="3343" w:type="dxa"/>
          </w:tcPr>
          <w:p w14:paraId="28B5E2BA"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5 = daily or almost daily</w:t>
            </w:r>
          </w:p>
        </w:tc>
        <w:tc>
          <w:tcPr>
            <w:tcW w:w="3343" w:type="dxa"/>
          </w:tcPr>
          <w:p w14:paraId="64C7BC2E" w14:textId="77777777" w:rsidR="00E55927" w:rsidRPr="00E55927" w:rsidRDefault="00E55927" w:rsidP="00E55927">
            <w:pPr>
              <w:pStyle w:val="NoSpacing"/>
              <w:rPr>
                <w:rFonts w:ascii="Times New Roman" w:hAnsi="Times New Roman" w:cs="Times New Roman"/>
                <w:i/>
              </w:rPr>
            </w:pPr>
          </w:p>
        </w:tc>
        <w:tc>
          <w:tcPr>
            <w:tcW w:w="3343" w:type="dxa"/>
          </w:tcPr>
          <w:p w14:paraId="5D8B1CE8" w14:textId="77777777" w:rsidR="00E55927" w:rsidRPr="00E55927" w:rsidRDefault="00E55927" w:rsidP="00E55927">
            <w:pPr>
              <w:pStyle w:val="NoSpacing"/>
              <w:rPr>
                <w:rFonts w:ascii="Times New Roman" w:hAnsi="Times New Roman" w:cs="Times New Roman"/>
                <w:i/>
              </w:rPr>
            </w:pPr>
          </w:p>
        </w:tc>
      </w:tr>
      <w:tr w:rsidR="00E55927" w:rsidRPr="00E55927" w14:paraId="201A0C23" w14:textId="77777777" w:rsidTr="002A1E63">
        <w:trPr>
          <w:trHeight w:val="356"/>
        </w:trPr>
        <w:tc>
          <w:tcPr>
            <w:tcW w:w="3343" w:type="dxa"/>
          </w:tcPr>
          <w:p w14:paraId="186045CC" w14:textId="77777777" w:rsidR="00E55927" w:rsidRPr="00E55927" w:rsidRDefault="00E55927" w:rsidP="00E55927">
            <w:pPr>
              <w:pStyle w:val="NoSpacing"/>
              <w:rPr>
                <w:rFonts w:ascii="Times New Roman" w:hAnsi="Times New Roman" w:cs="Times New Roman"/>
                <w:i/>
              </w:rPr>
            </w:pPr>
            <w:r w:rsidRPr="00E55927">
              <w:rPr>
                <w:rFonts w:ascii="Times New Roman" w:hAnsi="Times New Roman" w:cs="Times New Roman"/>
                <w:i/>
              </w:rPr>
              <w:t>6 = several times per day</w:t>
            </w:r>
          </w:p>
          <w:p w14:paraId="40625A08" w14:textId="77777777" w:rsidR="00E55927" w:rsidRPr="00E55927" w:rsidRDefault="00E55927" w:rsidP="00E55927">
            <w:pPr>
              <w:pStyle w:val="NoSpacing"/>
              <w:rPr>
                <w:rFonts w:ascii="Times New Roman" w:hAnsi="Times New Roman" w:cs="Times New Roman"/>
                <w:i/>
              </w:rPr>
            </w:pPr>
          </w:p>
        </w:tc>
        <w:tc>
          <w:tcPr>
            <w:tcW w:w="3343" w:type="dxa"/>
          </w:tcPr>
          <w:p w14:paraId="1824C438" w14:textId="77777777" w:rsidR="00E55927" w:rsidRPr="00E55927" w:rsidRDefault="00E55927" w:rsidP="00E55927">
            <w:pPr>
              <w:pStyle w:val="NoSpacing"/>
              <w:rPr>
                <w:rFonts w:ascii="Times New Roman" w:hAnsi="Times New Roman" w:cs="Times New Roman"/>
                <w:i/>
              </w:rPr>
            </w:pPr>
          </w:p>
          <w:p w14:paraId="55884D9E" w14:textId="77777777" w:rsidR="00E55927" w:rsidRPr="00E55927" w:rsidRDefault="00E55927" w:rsidP="00E55927">
            <w:pPr>
              <w:pStyle w:val="NoSpacing"/>
              <w:rPr>
                <w:rFonts w:ascii="Times New Roman" w:hAnsi="Times New Roman" w:cs="Times New Roman"/>
                <w:i/>
              </w:rPr>
            </w:pPr>
          </w:p>
        </w:tc>
        <w:tc>
          <w:tcPr>
            <w:tcW w:w="3343" w:type="dxa"/>
          </w:tcPr>
          <w:p w14:paraId="691685DB" w14:textId="77777777" w:rsidR="00E55927" w:rsidRPr="00E55927" w:rsidRDefault="00E55927" w:rsidP="00E55927">
            <w:pPr>
              <w:pStyle w:val="NoSpacing"/>
              <w:rPr>
                <w:rFonts w:ascii="Times New Roman" w:hAnsi="Times New Roman" w:cs="Times New Roman"/>
                <w:i/>
              </w:rPr>
            </w:pPr>
          </w:p>
        </w:tc>
      </w:tr>
    </w:tbl>
    <w:p w14:paraId="22504B92" w14:textId="77777777" w:rsidR="00E55927" w:rsidRPr="00E55927" w:rsidRDefault="00E55927" w:rsidP="00E55927">
      <w:pPr>
        <w:pStyle w:val="NoSpacing"/>
        <w:rPr>
          <w:b/>
        </w:rPr>
      </w:pPr>
    </w:p>
    <w:p w14:paraId="7D6FE3FF" w14:textId="77777777" w:rsidR="00E55927" w:rsidRPr="00E55927" w:rsidRDefault="00E55927" w:rsidP="00E55927">
      <w:pPr>
        <w:pStyle w:val="NoSpacing"/>
        <w:spacing w:line="480" w:lineRule="auto"/>
        <w:rPr>
          <w:rFonts w:ascii="Times New Roman" w:hAnsi="Times New Roman" w:cs="Times New Roman"/>
        </w:rPr>
      </w:pPr>
      <w:r w:rsidRPr="00E55927">
        <w:rPr>
          <w:rFonts w:ascii="Times New Roman" w:hAnsi="Times New Roman" w:cs="Times New Roman"/>
          <w:bCs/>
          <w:i/>
          <w:iCs/>
        </w:rPr>
        <w:t>Note.</w:t>
      </w:r>
      <w:r w:rsidRPr="00E55927">
        <w:rPr>
          <w:rFonts w:ascii="Times New Roman" w:hAnsi="Times New Roman" w:cs="Times New Roman"/>
          <w:b/>
        </w:rPr>
        <w:t xml:space="preserve"> </w:t>
      </w:r>
      <w:r w:rsidRPr="00E55927">
        <w:rPr>
          <w:rFonts w:ascii="Times New Roman" w:hAnsi="Times New Roman" w:cs="Times New Roman"/>
        </w:rPr>
        <w:t>If participants did not take part in the activity in the past month (i.e., they selected “</w:t>
      </w:r>
      <w:r w:rsidRPr="00E55927">
        <w:rPr>
          <w:rFonts w:ascii="Times New Roman" w:hAnsi="Times New Roman" w:cs="Times New Roman"/>
          <w:i/>
        </w:rPr>
        <w:t>0 times</w:t>
      </w:r>
      <w:r w:rsidRPr="00E55927">
        <w:rPr>
          <w:rFonts w:ascii="Times New Roman" w:hAnsi="Times New Roman" w:cs="Times New Roman"/>
        </w:rPr>
        <w:t xml:space="preserve">” under frequency), then 0 was scored in the enjoyment column. The example in this supplementary material refers to the alcohol-free reinforcement version of the ALQ. For the alcohol-related version we used the same 17-items but with the wording changed to “when you </w:t>
      </w:r>
      <w:r w:rsidRPr="00E55927">
        <w:rPr>
          <w:rFonts w:ascii="Times New Roman" w:hAnsi="Times New Roman" w:cs="Times New Roman"/>
          <w:b/>
          <w:bCs/>
          <w:u w:val="single"/>
        </w:rPr>
        <w:t>were</w:t>
      </w:r>
      <w:r w:rsidRPr="00E55927">
        <w:rPr>
          <w:rFonts w:ascii="Times New Roman" w:hAnsi="Times New Roman" w:cs="Times New Roman"/>
          <w:b/>
          <w:bCs/>
        </w:rPr>
        <w:t xml:space="preserve"> </w:t>
      </w:r>
      <w:r w:rsidRPr="00E55927">
        <w:rPr>
          <w:rFonts w:ascii="Times New Roman" w:hAnsi="Times New Roman" w:cs="Times New Roman"/>
        </w:rPr>
        <w:t xml:space="preserve">drinking alcohol, or under the influence of alcohol”. </w:t>
      </w:r>
    </w:p>
    <w:p w14:paraId="488AA42C" w14:textId="77777777" w:rsidR="00E55927" w:rsidRPr="00E55927" w:rsidRDefault="00E55927" w:rsidP="00E55927">
      <w:pPr>
        <w:pStyle w:val="NoSpacing"/>
        <w:spacing w:line="480" w:lineRule="auto"/>
        <w:rPr>
          <w:rFonts w:ascii="Times New Roman" w:hAnsi="Times New Roman" w:cs="Times New Roman"/>
        </w:rPr>
      </w:pPr>
    </w:p>
    <w:p w14:paraId="09C9139D" w14:textId="77777777" w:rsidR="00E55927" w:rsidRPr="00E55927" w:rsidRDefault="00E55927" w:rsidP="00E55927">
      <w:pPr>
        <w:pStyle w:val="NoSpacing"/>
        <w:spacing w:line="480" w:lineRule="auto"/>
        <w:rPr>
          <w:rFonts w:ascii="Times New Roman" w:hAnsi="Times New Roman" w:cs="Times New Roman"/>
          <w:u w:val="single"/>
        </w:rPr>
      </w:pPr>
      <w:r w:rsidRPr="00E55927">
        <w:rPr>
          <w:rFonts w:ascii="Times New Roman" w:hAnsi="Times New Roman" w:cs="Times New Roman"/>
          <w:u w:val="single"/>
        </w:rPr>
        <w:t>Misunderstanding of questionnaire instructions</w:t>
      </w:r>
    </w:p>
    <w:p w14:paraId="02022988" w14:textId="107DBCD1" w:rsidR="00E55927" w:rsidRPr="00E55927" w:rsidRDefault="00E55927" w:rsidP="00E55927">
      <w:pPr>
        <w:pStyle w:val="NoSpacing"/>
        <w:spacing w:line="480" w:lineRule="auto"/>
        <w:rPr>
          <w:rFonts w:ascii="Times New Roman" w:hAnsi="Times New Roman" w:cs="Times New Roman"/>
        </w:rPr>
      </w:pPr>
      <w:r w:rsidRPr="00E55927">
        <w:rPr>
          <w:rFonts w:ascii="Times New Roman" w:hAnsi="Times New Roman" w:cs="Times New Roman"/>
        </w:rPr>
        <w:t xml:space="preserve">In </w:t>
      </w:r>
      <w:r w:rsidR="0010042E">
        <w:rPr>
          <w:rFonts w:ascii="Times New Roman" w:hAnsi="Times New Roman" w:cs="Times New Roman"/>
        </w:rPr>
        <w:t>Chapter 6</w:t>
      </w:r>
      <w:r w:rsidRPr="00E55927">
        <w:rPr>
          <w:rFonts w:ascii="Times New Roman" w:hAnsi="Times New Roman" w:cs="Times New Roman"/>
        </w:rPr>
        <w:t xml:space="preserve"> (p.1</w:t>
      </w:r>
      <w:r w:rsidR="0010042E" w:rsidRPr="0010042E">
        <w:rPr>
          <w:rFonts w:ascii="Times New Roman" w:hAnsi="Times New Roman" w:cs="Times New Roman"/>
        </w:rPr>
        <w:t>72</w:t>
      </w:r>
      <w:r w:rsidRPr="00E55927">
        <w:rPr>
          <w:rFonts w:ascii="Times New Roman" w:hAnsi="Times New Roman" w:cs="Times New Roman"/>
        </w:rPr>
        <w:t xml:space="preserve">), </w:t>
      </w:r>
      <w:r w:rsidR="0010042E">
        <w:rPr>
          <w:rFonts w:ascii="Times New Roman" w:hAnsi="Times New Roman" w:cs="Times New Roman"/>
        </w:rPr>
        <w:t>it was stated</w:t>
      </w:r>
      <w:r w:rsidRPr="00E55927">
        <w:rPr>
          <w:rFonts w:ascii="Times New Roman" w:hAnsi="Times New Roman" w:cs="Times New Roman"/>
        </w:rPr>
        <w:t xml:space="preserve"> that data from twelve participants who misunderstood questionnaire instructions on the ALQ were not retained in the analyses that included proportionate alcohol-free reinforcement. To clarify, this is referring to responses on the Activity Level Questionnaire. Participants were instructed to “not make an enjoyment rating if you have not engaged in the activity in the past 30 days”. However, some participants (</w:t>
      </w:r>
      <w:r w:rsidRPr="00E55927">
        <w:rPr>
          <w:rFonts w:ascii="Times New Roman" w:hAnsi="Times New Roman" w:cs="Times New Roman"/>
          <w:i/>
          <w:iCs/>
        </w:rPr>
        <w:t>n</w:t>
      </w:r>
      <w:r w:rsidRPr="00E55927">
        <w:rPr>
          <w:rFonts w:ascii="Times New Roman" w:hAnsi="Times New Roman" w:cs="Times New Roman"/>
        </w:rPr>
        <w:t xml:space="preserve"> = 12) either selected “0 times” (frequency) for an activity but then did not select “I didn’t do this at least once” (enjoyment), or the reverse, they did not select “0 times” but then selected “I didn’t do this at least once” (enjoyment). Our survey was not optimized to avoid this, and our interpretation is that these participants misunderstood the questionnaire instructions. Therefore, their data were removed on this basis. </w:t>
      </w:r>
    </w:p>
    <w:p w14:paraId="2800026D" w14:textId="77777777" w:rsidR="00E55927" w:rsidRPr="00E55927" w:rsidRDefault="00E55927" w:rsidP="00E55927">
      <w:pPr>
        <w:pStyle w:val="NoSpacing"/>
        <w:spacing w:line="480" w:lineRule="auto"/>
      </w:pPr>
    </w:p>
    <w:p w14:paraId="2369D609" w14:textId="77777777" w:rsidR="00E55927" w:rsidRPr="00E55927" w:rsidRDefault="00E55927" w:rsidP="00E55927">
      <w:pPr>
        <w:pStyle w:val="NoSpacing"/>
        <w:spacing w:line="480" w:lineRule="auto"/>
      </w:pPr>
    </w:p>
    <w:p w14:paraId="2E44D7DC" w14:textId="77777777" w:rsidR="00E55927" w:rsidRPr="00E55927" w:rsidRDefault="00E55927" w:rsidP="00E55927">
      <w:pPr>
        <w:pStyle w:val="NoSpacing"/>
      </w:pPr>
    </w:p>
    <w:p w14:paraId="2219DC6E" w14:textId="77777777" w:rsidR="00E55927" w:rsidRPr="00E55927" w:rsidRDefault="00E55927" w:rsidP="00E55927">
      <w:pPr>
        <w:pStyle w:val="NoSpacing"/>
      </w:pPr>
    </w:p>
    <w:p w14:paraId="67CE28E8" w14:textId="77777777" w:rsidR="00E55927" w:rsidRDefault="00E55927" w:rsidP="00093B56">
      <w:pPr>
        <w:pStyle w:val="NoSpacing"/>
      </w:pPr>
    </w:p>
    <w:p w14:paraId="33222DE4" w14:textId="1A8A0F0A" w:rsidR="00672927" w:rsidRDefault="00672927" w:rsidP="00093B56">
      <w:pPr>
        <w:pStyle w:val="NoSpacing"/>
      </w:pPr>
    </w:p>
    <w:p w14:paraId="3D6FA309" w14:textId="74FC81D5" w:rsidR="00672927" w:rsidRDefault="00672927" w:rsidP="00093B56">
      <w:pPr>
        <w:pStyle w:val="NoSpacing"/>
      </w:pPr>
    </w:p>
    <w:p w14:paraId="160DB16E" w14:textId="396593A3" w:rsidR="00672927" w:rsidRDefault="00672927" w:rsidP="00093B56">
      <w:pPr>
        <w:pStyle w:val="NoSpacing"/>
      </w:pPr>
    </w:p>
    <w:p w14:paraId="08DDAEBB" w14:textId="6DB563B2" w:rsidR="00672927" w:rsidRDefault="00672927" w:rsidP="00093B56">
      <w:pPr>
        <w:pStyle w:val="NoSpacing"/>
      </w:pPr>
    </w:p>
    <w:p w14:paraId="62BE9C86" w14:textId="617AB03C" w:rsidR="00672927" w:rsidRDefault="00672927" w:rsidP="00093B56">
      <w:pPr>
        <w:pStyle w:val="NoSpacing"/>
      </w:pPr>
    </w:p>
    <w:p w14:paraId="212DBCC1" w14:textId="77777777" w:rsidR="0010042E" w:rsidRPr="0010042E" w:rsidRDefault="0010042E" w:rsidP="0010042E">
      <w:pPr>
        <w:pStyle w:val="NoSpacing"/>
        <w:spacing w:line="480" w:lineRule="auto"/>
        <w:rPr>
          <w:rFonts w:ascii="Times New Roman" w:hAnsi="Times New Roman" w:cs="Times New Roman"/>
          <w:b/>
          <w:bCs/>
        </w:rPr>
      </w:pPr>
      <w:r w:rsidRPr="0010042E">
        <w:rPr>
          <w:rFonts w:ascii="Times New Roman" w:hAnsi="Times New Roman" w:cs="Times New Roman"/>
          <w:b/>
          <w:bCs/>
        </w:rPr>
        <w:lastRenderedPageBreak/>
        <w:t>4. Images used in the VBDM task</w:t>
      </w:r>
      <w:r w:rsidRPr="0010042E">
        <w:rPr>
          <w:rFonts w:ascii="Times New Roman" w:hAnsi="Times New Roman" w:cs="Times New Roman"/>
        </w:rPr>
        <w:t xml:space="preserve"> </w:t>
      </w:r>
      <w:r w:rsidRPr="0010042E">
        <w:rPr>
          <w:rFonts w:ascii="Times New Roman" w:hAnsi="Times New Roman" w:cs="Times New Roman"/>
          <w:b/>
          <w:bCs/>
        </w:rPr>
        <w:t>to depict alcohol and soft-drinks (Table S6.2)</w:t>
      </w:r>
    </w:p>
    <w:p w14:paraId="72AEFEB1" w14:textId="77777777" w:rsidR="0010042E" w:rsidRPr="0010042E" w:rsidRDefault="0010042E" w:rsidP="0010042E">
      <w:pPr>
        <w:pStyle w:val="NoSpacing"/>
        <w:spacing w:line="480" w:lineRule="auto"/>
        <w:rPr>
          <w:rFonts w:ascii="Times New Roman" w:hAnsi="Times New Roman" w:cs="Times New Roman"/>
          <w:bCs/>
        </w:rPr>
      </w:pPr>
      <w:r w:rsidRPr="0010042E">
        <w:rPr>
          <w:rFonts w:ascii="Times New Roman" w:hAnsi="Times New Roman" w:cs="Times New Roman"/>
          <w:bCs/>
        </w:rPr>
        <w:t>The 30 alcohol and 30 soft-drink images that were used in the task were taken from Amsterdam Beverage Picture Set (ABPS; Pronk et al., 2015) and Google. Ideally, we would have only used images from a validated and open source image set (such as the ABPS), however piloting work where we instructed peers (</w:t>
      </w:r>
      <w:r w:rsidRPr="0010042E">
        <w:rPr>
          <w:rFonts w:ascii="Times New Roman" w:hAnsi="Times New Roman" w:cs="Times New Roman"/>
          <w:bCs/>
          <w:i/>
          <w:iCs/>
        </w:rPr>
        <w:t>n</w:t>
      </w:r>
      <w:r w:rsidRPr="0010042E">
        <w:rPr>
          <w:rFonts w:ascii="Times New Roman" w:hAnsi="Times New Roman" w:cs="Times New Roman"/>
          <w:bCs/>
        </w:rPr>
        <w:t xml:space="preserve"> = 6) to list their favourite and least favourite 3 beverages indicated that the range of drink images required to elicit varied evaluations (i.e., want to consume a lot, not want to consume at all) exceeded what was available from the ABPS alone (e.g., having a variety drinks common in England, such as </w:t>
      </w:r>
      <w:proofErr w:type="spellStart"/>
      <w:r w:rsidRPr="0010042E">
        <w:rPr>
          <w:rFonts w:ascii="Times New Roman" w:hAnsi="Times New Roman" w:cs="Times New Roman"/>
          <w:bCs/>
        </w:rPr>
        <w:t>Irn</w:t>
      </w:r>
      <w:proofErr w:type="spellEnd"/>
      <w:r w:rsidRPr="0010042E">
        <w:rPr>
          <w:rFonts w:ascii="Times New Roman" w:hAnsi="Times New Roman" w:cs="Times New Roman"/>
          <w:bCs/>
        </w:rPr>
        <w:t xml:space="preserve"> Bru and Baileys). Below we detail the content of the images used so that other researchers can use similar image sets if they wish to replicate this study in the future. Every image depicted a single drink beverage in its packaging with a plain white background. </w:t>
      </w:r>
    </w:p>
    <w:p w14:paraId="3E6DD08D" w14:textId="77777777" w:rsidR="0010042E" w:rsidRPr="0010042E" w:rsidRDefault="0010042E" w:rsidP="0010042E">
      <w:pPr>
        <w:pStyle w:val="NoSpacing"/>
        <w:spacing w:line="480" w:lineRule="auto"/>
        <w:rPr>
          <w:rFonts w:ascii="Times New Roman" w:hAnsi="Times New Roman" w:cs="Times New Roman"/>
          <w:bCs/>
        </w:rPr>
      </w:pPr>
    </w:p>
    <w:p w14:paraId="47A2B556" w14:textId="77777777" w:rsidR="0010042E" w:rsidRDefault="0010042E" w:rsidP="0010042E">
      <w:pPr>
        <w:pStyle w:val="NoSpacing"/>
        <w:spacing w:line="480" w:lineRule="auto"/>
        <w:rPr>
          <w:rFonts w:ascii="Times New Roman" w:hAnsi="Times New Roman" w:cs="Times New Roman"/>
          <w:b/>
        </w:rPr>
      </w:pPr>
      <w:r w:rsidRPr="0010042E">
        <w:rPr>
          <w:rFonts w:ascii="Times New Roman" w:hAnsi="Times New Roman" w:cs="Times New Roman"/>
          <w:b/>
        </w:rPr>
        <w:t>Table S6.2</w:t>
      </w:r>
    </w:p>
    <w:p w14:paraId="7C1C63A1" w14:textId="303D2D44" w:rsidR="0010042E" w:rsidRPr="0010042E" w:rsidRDefault="0010042E" w:rsidP="0010042E">
      <w:pPr>
        <w:pStyle w:val="NoSpacing"/>
        <w:spacing w:line="480" w:lineRule="auto"/>
        <w:rPr>
          <w:rFonts w:ascii="Times New Roman" w:hAnsi="Times New Roman" w:cs="Times New Roman"/>
          <w:bCs/>
          <w:i/>
          <w:iCs/>
        </w:rPr>
      </w:pPr>
      <w:r w:rsidRPr="0010042E">
        <w:rPr>
          <w:rFonts w:ascii="Times New Roman" w:hAnsi="Times New Roman" w:cs="Times New Roman"/>
          <w:bCs/>
          <w:i/>
          <w:iCs/>
        </w:rPr>
        <w:t>Description of</w:t>
      </w:r>
      <w:r w:rsidRPr="0010042E">
        <w:rPr>
          <w:rFonts w:ascii="Times New Roman" w:hAnsi="Times New Roman" w:cs="Times New Roman"/>
          <w:bCs/>
        </w:rPr>
        <w:t xml:space="preserve"> </w:t>
      </w:r>
      <w:r w:rsidRPr="0010042E">
        <w:rPr>
          <w:rFonts w:ascii="Times New Roman" w:hAnsi="Times New Roman" w:cs="Times New Roman"/>
          <w:bCs/>
          <w:i/>
          <w:iCs/>
        </w:rPr>
        <w:t>the content in the images used in the task to depict alcohol and soft-drinks</w:t>
      </w:r>
    </w:p>
    <w:tbl>
      <w:tblPr>
        <w:tblW w:w="9222" w:type="dxa"/>
        <w:tblLook w:val="04A0" w:firstRow="1" w:lastRow="0" w:firstColumn="1" w:lastColumn="0" w:noHBand="0" w:noVBand="1"/>
      </w:tblPr>
      <w:tblGrid>
        <w:gridCol w:w="4612"/>
        <w:gridCol w:w="4610"/>
      </w:tblGrid>
      <w:tr w:rsidR="0010042E" w:rsidRPr="0010042E" w14:paraId="1719E925" w14:textId="77777777" w:rsidTr="0010042E">
        <w:trPr>
          <w:trHeight w:val="590"/>
        </w:trPr>
        <w:tc>
          <w:tcPr>
            <w:tcW w:w="4611" w:type="dxa"/>
            <w:tcBorders>
              <w:top w:val="single" w:sz="18" w:space="0" w:color="auto"/>
              <w:left w:val="nil"/>
              <w:bottom w:val="single" w:sz="8" w:space="0" w:color="auto"/>
              <w:right w:val="nil"/>
            </w:tcBorders>
          </w:tcPr>
          <w:p w14:paraId="46219120" w14:textId="77777777" w:rsidR="0010042E" w:rsidRPr="0010042E" w:rsidRDefault="0010042E" w:rsidP="0010042E">
            <w:pPr>
              <w:pStyle w:val="NoSpacing"/>
              <w:jc w:val="center"/>
              <w:rPr>
                <w:rFonts w:ascii="Times New Roman" w:hAnsi="Times New Roman" w:cs="Times New Roman"/>
                <w:b/>
              </w:rPr>
            </w:pPr>
            <w:r w:rsidRPr="0010042E">
              <w:rPr>
                <w:rFonts w:ascii="Times New Roman" w:hAnsi="Times New Roman" w:cs="Times New Roman"/>
                <w:b/>
              </w:rPr>
              <w:t>Alcohol</w:t>
            </w:r>
          </w:p>
        </w:tc>
        <w:tc>
          <w:tcPr>
            <w:tcW w:w="4610" w:type="dxa"/>
            <w:tcBorders>
              <w:top w:val="single" w:sz="18" w:space="0" w:color="auto"/>
              <w:left w:val="nil"/>
              <w:bottom w:val="single" w:sz="8" w:space="0" w:color="auto"/>
              <w:right w:val="nil"/>
            </w:tcBorders>
          </w:tcPr>
          <w:p w14:paraId="10C956F7" w14:textId="77777777" w:rsidR="0010042E" w:rsidRPr="0010042E" w:rsidRDefault="0010042E" w:rsidP="0010042E">
            <w:pPr>
              <w:pStyle w:val="NoSpacing"/>
              <w:jc w:val="center"/>
              <w:rPr>
                <w:rFonts w:ascii="Times New Roman" w:hAnsi="Times New Roman" w:cs="Times New Roman"/>
                <w:b/>
              </w:rPr>
            </w:pPr>
            <w:r w:rsidRPr="0010042E">
              <w:rPr>
                <w:rFonts w:ascii="Times New Roman" w:hAnsi="Times New Roman" w:cs="Times New Roman"/>
                <w:b/>
              </w:rPr>
              <w:t>Soft-drinks</w:t>
            </w:r>
          </w:p>
        </w:tc>
      </w:tr>
      <w:tr w:rsidR="0010042E" w:rsidRPr="0010042E" w14:paraId="14F0FCFE" w14:textId="77777777" w:rsidTr="0010042E">
        <w:trPr>
          <w:trHeight w:val="499"/>
        </w:trPr>
        <w:tc>
          <w:tcPr>
            <w:tcW w:w="4611" w:type="dxa"/>
            <w:tcBorders>
              <w:top w:val="single" w:sz="8" w:space="0" w:color="auto"/>
              <w:left w:val="nil"/>
              <w:bottom w:val="nil"/>
              <w:right w:val="nil"/>
            </w:tcBorders>
          </w:tcPr>
          <w:p w14:paraId="5811F8B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Fosters</w:t>
            </w:r>
          </w:p>
        </w:tc>
        <w:tc>
          <w:tcPr>
            <w:tcW w:w="4610" w:type="dxa"/>
            <w:tcBorders>
              <w:top w:val="single" w:sz="8" w:space="0" w:color="auto"/>
              <w:left w:val="nil"/>
              <w:bottom w:val="nil"/>
              <w:right w:val="nil"/>
            </w:tcBorders>
          </w:tcPr>
          <w:p w14:paraId="44809C1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Coke*</w:t>
            </w:r>
          </w:p>
        </w:tc>
      </w:tr>
      <w:tr w:rsidR="0010042E" w:rsidRPr="0010042E" w14:paraId="3D1331A1" w14:textId="77777777" w:rsidTr="002A1E63">
        <w:trPr>
          <w:trHeight w:val="499"/>
        </w:trPr>
        <w:tc>
          <w:tcPr>
            <w:tcW w:w="4611" w:type="dxa"/>
            <w:tcBorders>
              <w:top w:val="nil"/>
              <w:left w:val="nil"/>
              <w:bottom w:val="nil"/>
              <w:right w:val="nil"/>
            </w:tcBorders>
          </w:tcPr>
          <w:p w14:paraId="7C265F8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Budweiser</w:t>
            </w:r>
          </w:p>
        </w:tc>
        <w:tc>
          <w:tcPr>
            <w:tcW w:w="4610" w:type="dxa"/>
            <w:tcBorders>
              <w:top w:val="nil"/>
              <w:left w:val="nil"/>
              <w:bottom w:val="nil"/>
              <w:right w:val="nil"/>
            </w:tcBorders>
          </w:tcPr>
          <w:p w14:paraId="672CCF22"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Dr Pepper</w:t>
            </w:r>
          </w:p>
        </w:tc>
      </w:tr>
      <w:tr w:rsidR="0010042E" w:rsidRPr="0010042E" w14:paraId="137A3F38" w14:textId="77777777" w:rsidTr="002A1E63">
        <w:trPr>
          <w:trHeight w:val="499"/>
        </w:trPr>
        <w:tc>
          <w:tcPr>
            <w:tcW w:w="4611" w:type="dxa"/>
            <w:tcBorders>
              <w:top w:val="nil"/>
              <w:left w:val="nil"/>
              <w:bottom w:val="nil"/>
              <w:right w:val="nil"/>
            </w:tcBorders>
          </w:tcPr>
          <w:p w14:paraId="2463C502"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Corona</w:t>
            </w:r>
          </w:p>
        </w:tc>
        <w:tc>
          <w:tcPr>
            <w:tcW w:w="4610" w:type="dxa"/>
            <w:tcBorders>
              <w:top w:val="nil"/>
              <w:left w:val="nil"/>
              <w:bottom w:val="nil"/>
              <w:right w:val="nil"/>
            </w:tcBorders>
          </w:tcPr>
          <w:p w14:paraId="2289973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7UP*</w:t>
            </w:r>
          </w:p>
        </w:tc>
      </w:tr>
      <w:tr w:rsidR="0010042E" w:rsidRPr="0010042E" w14:paraId="5ED313AB" w14:textId="77777777" w:rsidTr="002A1E63">
        <w:trPr>
          <w:trHeight w:val="499"/>
        </w:trPr>
        <w:tc>
          <w:tcPr>
            <w:tcW w:w="4611" w:type="dxa"/>
            <w:tcBorders>
              <w:top w:val="nil"/>
              <w:left w:val="nil"/>
              <w:bottom w:val="nil"/>
              <w:right w:val="nil"/>
            </w:tcBorders>
          </w:tcPr>
          <w:p w14:paraId="53D809F4"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Can of </w:t>
            </w:r>
            <w:proofErr w:type="spellStart"/>
            <w:r w:rsidRPr="0010042E">
              <w:rPr>
                <w:rFonts w:ascii="Times New Roman" w:hAnsi="Times New Roman" w:cs="Times New Roman"/>
                <w:bCs/>
              </w:rPr>
              <w:t>Brewdog</w:t>
            </w:r>
            <w:proofErr w:type="spellEnd"/>
            <w:r w:rsidRPr="0010042E">
              <w:rPr>
                <w:rFonts w:ascii="Times New Roman" w:hAnsi="Times New Roman" w:cs="Times New Roman"/>
                <w:bCs/>
              </w:rPr>
              <w:t xml:space="preserve"> Punk IPA</w:t>
            </w:r>
          </w:p>
        </w:tc>
        <w:tc>
          <w:tcPr>
            <w:tcW w:w="4610" w:type="dxa"/>
            <w:tcBorders>
              <w:top w:val="nil"/>
              <w:left w:val="nil"/>
              <w:bottom w:val="nil"/>
              <w:right w:val="nil"/>
            </w:tcBorders>
          </w:tcPr>
          <w:p w14:paraId="2202C1D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Bottle of </w:t>
            </w:r>
            <w:proofErr w:type="spellStart"/>
            <w:r w:rsidRPr="0010042E">
              <w:rPr>
                <w:rFonts w:ascii="Times New Roman" w:hAnsi="Times New Roman" w:cs="Times New Roman"/>
                <w:bCs/>
              </w:rPr>
              <w:t>Irn</w:t>
            </w:r>
            <w:proofErr w:type="spellEnd"/>
            <w:r w:rsidRPr="0010042E">
              <w:rPr>
                <w:rFonts w:ascii="Times New Roman" w:hAnsi="Times New Roman" w:cs="Times New Roman"/>
                <w:bCs/>
              </w:rPr>
              <w:t xml:space="preserve"> Bru</w:t>
            </w:r>
          </w:p>
        </w:tc>
      </w:tr>
      <w:tr w:rsidR="0010042E" w:rsidRPr="0010042E" w14:paraId="05EE2C86" w14:textId="77777777" w:rsidTr="002A1E63">
        <w:trPr>
          <w:trHeight w:val="499"/>
        </w:trPr>
        <w:tc>
          <w:tcPr>
            <w:tcW w:w="4611" w:type="dxa"/>
            <w:tcBorders>
              <w:top w:val="nil"/>
              <w:left w:val="nil"/>
              <w:bottom w:val="nil"/>
              <w:right w:val="nil"/>
            </w:tcBorders>
          </w:tcPr>
          <w:p w14:paraId="62A67AA9"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Guinness</w:t>
            </w:r>
          </w:p>
        </w:tc>
        <w:tc>
          <w:tcPr>
            <w:tcW w:w="4610" w:type="dxa"/>
            <w:tcBorders>
              <w:top w:val="nil"/>
              <w:left w:val="nil"/>
              <w:bottom w:val="nil"/>
              <w:right w:val="nil"/>
            </w:tcBorders>
          </w:tcPr>
          <w:p w14:paraId="27BC82A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Bottle of </w:t>
            </w:r>
            <w:proofErr w:type="spellStart"/>
            <w:r w:rsidRPr="0010042E">
              <w:rPr>
                <w:rFonts w:ascii="Times New Roman" w:hAnsi="Times New Roman" w:cs="Times New Roman"/>
                <w:bCs/>
              </w:rPr>
              <w:t>Orangina</w:t>
            </w:r>
            <w:proofErr w:type="spellEnd"/>
          </w:p>
        </w:tc>
      </w:tr>
      <w:tr w:rsidR="0010042E" w:rsidRPr="0010042E" w14:paraId="3ED005A8" w14:textId="77777777" w:rsidTr="002A1E63">
        <w:trPr>
          <w:trHeight w:val="499"/>
        </w:trPr>
        <w:tc>
          <w:tcPr>
            <w:tcW w:w="4611" w:type="dxa"/>
            <w:tcBorders>
              <w:top w:val="nil"/>
              <w:left w:val="nil"/>
              <w:bottom w:val="nil"/>
              <w:right w:val="nil"/>
            </w:tcBorders>
          </w:tcPr>
          <w:p w14:paraId="1D2EC5F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John Smiths Extra Smooth</w:t>
            </w:r>
          </w:p>
        </w:tc>
        <w:tc>
          <w:tcPr>
            <w:tcW w:w="4610" w:type="dxa"/>
            <w:tcBorders>
              <w:top w:val="nil"/>
              <w:left w:val="nil"/>
              <w:bottom w:val="nil"/>
              <w:right w:val="nil"/>
            </w:tcBorders>
          </w:tcPr>
          <w:p w14:paraId="266D011A"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Lucozade (Original)</w:t>
            </w:r>
          </w:p>
        </w:tc>
      </w:tr>
      <w:tr w:rsidR="0010042E" w:rsidRPr="0010042E" w14:paraId="7E7B33C9" w14:textId="77777777" w:rsidTr="002A1E63">
        <w:trPr>
          <w:trHeight w:val="499"/>
        </w:trPr>
        <w:tc>
          <w:tcPr>
            <w:tcW w:w="4611" w:type="dxa"/>
            <w:tcBorders>
              <w:top w:val="nil"/>
              <w:left w:val="nil"/>
              <w:bottom w:val="nil"/>
              <w:right w:val="nil"/>
            </w:tcBorders>
          </w:tcPr>
          <w:p w14:paraId="4D75D53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Old Speckled Hen</w:t>
            </w:r>
          </w:p>
        </w:tc>
        <w:tc>
          <w:tcPr>
            <w:tcW w:w="4610" w:type="dxa"/>
            <w:tcBorders>
              <w:top w:val="nil"/>
              <w:left w:val="nil"/>
              <w:bottom w:val="nil"/>
              <w:right w:val="nil"/>
            </w:tcBorders>
          </w:tcPr>
          <w:p w14:paraId="3C82BC36"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Fanta (Orange)*</w:t>
            </w:r>
          </w:p>
        </w:tc>
      </w:tr>
      <w:tr w:rsidR="0010042E" w:rsidRPr="0010042E" w14:paraId="10964C9A" w14:textId="77777777" w:rsidTr="002A1E63">
        <w:trPr>
          <w:trHeight w:val="499"/>
        </w:trPr>
        <w:tc>
          <w:tcPr>
            <w:tcW w:w="4611" w:type="dxa"/>
            <w:tcBorders>
              <w:top w:val="nil"/>
              <w:left w:val="nil"/>
              <w:bottom w:val="nil"/>
              <w:right w:val="nil"/>
            </w:tcBorders>
          </w:tcPr>
          <w:p w14:paraId="577EB3DC"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Caribbean Twist (Mixed Mango)</w:t>
            </w:r>
          </w:p>
        </w:tc>
        <w:tc>
          <w:tcPr>
            <w:tcW w:w="4610" w:type="dxa"/>
            <w:tcBorders>
              <w:top w:val="nil"/>
              <w:left w:val="nil"/>
              <w:bottom w:val="nil"/>
              <w:right w:val="nil"/>
            </w:tcBorders>
          </w:tcPr>
          <w:p w14:paraId="32C6D2EB"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San Pellegrino Sparkling Water</w:t>
            </w:r>
          </w:p>
        </w:tc>
      </w:tr>
      <w:tr w:rsidR="0010042E" w:rsidRPr="0010042E" w14:paraId="52C01C44" w14:textId="77777777" w:rsidTr="002A1E63">
        <w:trPr>
          <w:trHeight w:val="499"/>
        </w:trPr>
        <w:tc>
          <w:tcPr>
            <w:tcW w:w="4611" w:type="dxa"/>
            <w:tcBorders>
              <w:top w:val="nil"/>
              <w:left w:val="nil"/>
              <w:bottom w:val="nil"/>
              <w:right w:val="nil"/>
            </w:tcBorders>
          </w:tcPr>
          <w:p w14:paraId="71057181"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Archers Schnapps</w:t>
            </w:r>
          </w:p>
        </w:tc>
        <w:tc>
          <w:tcPr>
            <w:tcW w:w="4610" w:type="dxa"/>
            <w:tcBorders>
              <w:top w:val="nil"/>
              <w:left w:val="nil"/>
              <w:bottom w:val="nil"/>
              <w:right w:val="nil"/>
            </w:tcBorders>
          </w:tcPr>
          <w:p w14:paraId="78E05F9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Monster Energy</w:t>
            </w:r>
          </w:p>
        </w:tc>
      </w:tr>
      <w:tr w:rsidR="0010042E" w:rsidRPr="0010042E" w14:paraId="13BC7CB3" w14:textId="77777777" w:rsidTr="002A1E63">
        <w:trPr>
          <w:trHeight w:val="499"/>
        </w:trPr>
        <w:tc>
          <w:tcPr>
            <w:tcW w:w="4611" w:type="dxa"/>
            <w:tcBorders>
              <w:top w:val="nil"/>
              <w:left w:val="nil"/>
              <w:bottom w:val="nil"/>
              <w:right w:val="nil"/>
            </w:tcBorders>
          </w:tcPr>
          <w:p w14:paraId="2F0932A6"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WKD (blue)</w:t>
            </w:r>
          </w:p>
        </w:tc>
        <w:tc>
          <w:tcPr>
            <w:tcW w:w="4610" w:type="dxa"/>
            <w:tcBorders>
              <w:top w:val="nil"/>
              <w:left w:val="nil"/>
              <w:bottom w:val="nil"/>
              <w:right w:val="nil"/>
            </w:tcBorders>
          </w:tcPr>
          <w:p w14:paraId="0EE8CAE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Can of San Pellegrino </w:t>
            </w:r>
            <w:proofErr w:type="spellStart"/>
            <w:r w:rsidRPr="0010042E">
              <w:rPr>
                <w:rFonts w:ascii="Times New Roman" w:hAnsi="Times New Roman" w:cs="Times New Roman"/>
                <w:bCs/>
              </w:rPr>
              <w:t>Limonata</w:t>
            </w:r>
            <w:proofErr w:type="spellEnd"/>
          </w:p>
        </w:tc>
      </w:tr>
      <w:tr w:rsidR="0010042E" w:rsidRPr="0010042E" w14:paraId="55A5F08D" w14:textId="77777777" w:rsidTr="002A1E63">
        <w:trPr>
          <w:trHeight w:val="499"/>
        </w:trPr>
        <w:tc>
          <w:tcPr>
            <w:tcW w:w="4611" w:type="dxa"/>
            <w:tcBorders>
              <w:top w:val="nil"/>
              <w:left w:val="nil"/>
              <w:bottom w:val="nil"/>
              <w:right w:val="nil"/>
            </w:tcBorders>
          </w:tcPr>
          <w:p w14:paraId="410899C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lastRenderedPageBreak/>
              <w:t>Bottle of Smirnoff Ice*</w:t>
            </w:r>
          </w:p>
        </w:tc>
        <w:tc>
          <w:tcPr>
            <w:tcW w:w="4610" w:type="dxa"/>
            <w:tcBorders>
              <w:top w:val="nil"/>
              <w:left w:val="nil"/>
              <w:bottom w:val="nil"/>
              <w:right w:val="nil"/>
            </w:tcBorders>
          </w:tcPr>
          <w:p w14:paraId="020003F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Bottle of Lipton </w:t>
            </w:r>
            <w:proofErr w:type="gramStart"/>
            <w:r w:rsidRPr="0010042E">
              <w:rPr>
                <w:rFonts w:ascii="Times New Roman" w:hAnsi="Times New Roman" w:cs="Times New Roman"/>
                <w:bCs/>
              </w:rPr>
              <w:t>Ice Tea</w:t>
            </w:r>
            <w:proofErr w:type="gramEnd"/>
            <w:r w:rsidRPr="0010042E">
              <w:rPr>
                <w:rFonts w:ascii="Times New Roman" w:hAnsi="Times New Roman" w:cs="Times New Roman"/>
                <w:bCs/>
              </w:rPr>
              <w:t>*</w:t>
            </w:r>
          </w:p>
        </w:tc>
      </w:tr>
      <w:tr w:rsidR="0010042E" w:rsidRPr="0010042E" w14:paraId="24C224A7" w14:textId="77777777" w:rsidTr="002A1E63">
        <w:trPr>
          <w:trHeight w:val="499"/>
        </w:trPr>
        <w:tc>
          <w:tcPr>
            <w:tcW w:w="4611" w:type="dxa"/>
            <w:tcBorders>
              <w:top w:val="nil"/>
              <w:left w:val="nil"/>
              <w:bottom w:val="nil"/>
              <w:right w:val="nil"/>
            </w:tcBorders>
          </w:tcPr>
          <w:p w14:paraId="5A0A43CA"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Strongbow (Dark Fruit)</w:t>
            </w:r>
          </w:p>
        </w:tc>
        <w:tc>
          <w:tcPr>
            <w:tcW w:w="4610" w:type="dxa"/>
            <w:tcBorders>
              <w:top w:val="nil"/>
              <w:left w:val="nil"/>
              <w:bottom w:val="nil"/>
              <w:right w:val="nil"/>
            </w:tcBorders>
          </w:tcPr>
          <w:p w14:paraId="56D782C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Tropicana Apple Juice</w:t>
            </w:r>
          </w:p>
        </w:tc>
      </w:tr>
      <w:tr w:rsidR="0010042E" w:rsidRPr="0010042E" w14:paraId="4BFA1839" w14:textId="77777777" w:rsidTr="002A1E63">
        <w:trPr>
          <w:trHeight w:val="499"/>
        </w:trPr>
        <w:tc>
          <w:tcPr>
            <w:tcW w:w="4611" w:type="dxa"/>
            <w:tcBorders>
              <w:top w:val="nil"/>
              <w:left w:val="nil"/>
              <w:bottom w:val="nil"/>
              <w:right w:val="nil"/>
            </w:tcBorders>
          </w:tcPr>
          <w:p w14:paraId="4704F242"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Strongbow (Original)</w:t>
            </w:r>
          </w:p>
        </w:tc>
        <w:tc>
          <w:tcPr>
            <w:tcW w:w="4610" w:type="dxa"/>
            <w:tcBorders>
              <w:top w:val="nil"/>
              <w:left w:val="nil"/>
              <w:bottom w:val="nil"/>
              <w:right w:val="nil"/>
            </w:tcBorders>
          </w:tcPr>
          <w:p w14:paraId="23CEB4C8"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Tropicana Orange Juice</w:t>
            </w:r>
          </w:p>
        </w:tc>
      </w:tr>
      <w:tr w:rsidR="0010042E" w:rsidRPr="0010042E" w14:paraId="76E1F229" w14:textId="77777777" w:rsidTr="002A1E63">
        <w:trPr>
          <w:trHeight w:val="499"/>
        </w:trPr>
        <w:tc>
          <w:tcPr>
            <w:tcW w:w="4611" w:type="dxa"/>
            <w:tcBorders>
              <w:top w:val="nil"/>
              <w:left w:val="nil"/>
              <w:bottom w:val="nil"/>
              <w:right w:val="nil"/>
            </w:tcBorders>
          </w:tcPr>
          <w:p w14:paraId="54802C0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Bottle of Stella Artois Apple </w:t>
            </w:r>
            <w:proofErr w:type="spellStart"/>
            <w:r w:rsidRPr="0010042E">
              <w:rPr>
                <w:rFonts w:ascii="Times New Roman" w:hAnsi="Times New Roman" w:cs="Times New Roman"/>
                <w:bCs/>
              </w:rPr>
              <w:t>Cidre</w:t>
            </w:r>
            <w:proofErr w:type="spellEnd"/>
          </w:p>
        </w:tc>
        <w:tc>
          <w:tcPr>
            <w:tcW w:w="4610" w:type="dxa"/>
            <w:tcBorders>
              <w:top w:val="nil"/>
              <w:left w:val="nil"/>
              <w:bottom w:val="nil"/>
              <w:right w:val="nil"/>
            </w:tcBorders>
          </w:tcPr>
          <w:p w14:paraId="5426FDC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Capri-Sun Orange</w:t>
            </w:r>
          </w:p>
        </w:tc>
      </w:tr>
      <w:tr w:rsidR="0010042E" w:rsidRPr="0010042E" w14:paraId="2AC82C1F" w14:textId="77777777" w:rsidTr="002A1E63">
        <w:trPr>
          <w:trHeight w:val="499"/>
        </w:trPr>
        <w:tc>
          <w:tcPr>
            <w:tcW w:w="4611" w:type="dxa"/>
            <w:tcBorders>
              <w:top w:val="nil"/>
              <w:left w:val="nil"/>
              <w:bottom w:val="nil"/>
              <w:right w:val="nil"/>
            </w:tcBorders>
          </w:tcPr>
          <w:p w14:paraId="5514044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Can of Scrumpy Jack</w:t>
            </w:r>
          </w:p>
        </w:tc>
        <w:tc>
          <w:tcPr>
            <w:tcW w:w="4610" w:type="dxa"/>
            <w:tcBorders>
              <w:top w:val="nil"/>
              <w:left w:val="nil"/>
              <w:bottom w:val="nil"/>
              <w:right w:val="nil"/>
            </w:tcBorders>
          </w:tcPr>
          <w:p w14:paraId="7BF6167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Capri-Sun Cherry</w:t>
            </w:r>
          </w:p>
        </w:tc>
      </w:tr>
      <w:tr w:rsidR="0010042E" w:rsidRPr="0010042E" w14:paraId="21AA53C6" w14:textId="77777777" w:rsidTr="002A1E63">
        <w:trPr>
          <w:trHeight w:val="499"/>
        </w:trPr>
        <w:tc>
          <w:tcPr>
            <w:tcW w:w="4611" w:type="dxa"/>
            <w:tcBorders>
              <w:top w:val="nil"/>
              <w:left w:val="nil"/>
              <w:bottom w:val="nil"/>
              <w:right w:val="nil"/>
            </w:tcBorders>
          </w:tcPr>
          <w:p w14:paraId="5C515BE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Kopparberg (Pear)</w:t>
            </w:r>
          </w:p>
        </w:tc>
        <w:tc>
          <w:tcPr>
            <w:tcW w:w="4610" w:type="dxa"/>
            <w:tcBorders>
              <w:top w:val="nil"/>
              <w:left w:val="nil"/>
              <w:bottom w:val="nil"/>
              <w:right w:val="nil"/>
            </w:tcBorders>
          </w:tcPr>
          <w:p w14:paraId="38409BEB"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J20 Orange and Passion Fruit</w:t>
            </w:r>
          </w:p>
        </w:tc>
      </w:tr>
      <w:tr w:rsidR="0010042E" w:rsidRPr="0010042E" w14:paraId="4AB14AFF" w14:textId="77777777" w:rsidTr="002A1E63">
        <w:trPr>
          <w:trHeight w:val="499"/>
        </w:trPr>
        <w:tc>
          <w:tcPr>
            <w:tcW w:w="4611" w:type="dxa"/>
            <w:tcBorders>
              <w:top w:val="nil"/>
              <w:left w:val="nil"/>
              <w:bottom w:val="nil"/>
              <w:right w:val="nil"/>
            </w:tcBorders>
          </w:tcPr>
          <w:p w14:paraId="1E5C9EC2"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Kopparberg (Strawberry and Lime)</w:t>
            </w:r>
          </w:p>
        </w:tc>
        <w:tc>
          <w:tcPr>
            <w:tcW w:w="4610" w:type="dxa"/>
            <w:tcBorders>
              <w:top w:val="nil"/>
              <w:left w:val="nil"/>
              <w:bottom w:val="nil"/>
              <w:right w:val="nil"/>
            </w:tcBorders>
          </w:tcPr>
          <w:p w14:paraId="62434B6C"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J20 Apple and Raspberry</w:t>
            </w:r>
          </w:p>
        </w:tc>
      </w:tr>
      <w:tr w:rsidR="0010042E" w:rsidRPr="0010042E" w14:paraId="183BB3E2" w14:textId="77777777" w:rsidTr="002A1E63">
        <w:trPr>
          <w:trHeight w:val="499"/>
        </w:trPr>
        <w:tc>
          <w:tcPr>
            <w:tcW w:w="4611" w:type="dxa"/>
            <w:tcBorders>
              <w:top w:val="nil"/>
              <w:left w:val="nil"/>
              <w:bottom w:val="nil"/>
              <w:right w:val="nil"/>
            </w:tcBorders>
          </w:tcPr>
          <w:p w14:paraId="0E96ED89"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Smirnoff Vodka*</w:t>
            </w:r>
          </w:p>
        </w:tc>
        <w:tc>
          <w:tcPr>
            <w:tcW w:w="4610" w:type="dxa"/>
            <w:tcBorders>
              <w:top w:val="nil"/>
              <w:left w:val="nil"/>
              <w:bottom w:val="nil"/>
              <w:right w:val="nil"/>
            </w:tcBorders>
          </w:tcPr>
          <w:p w14:paraId="4F234C8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Ribena Blackcurrant</w:t>
            </w:r>
          </w:p>
        </w:tc>
      </w:tr>
      <w:tr w:rsidR="0010042E" w:rsidRPr="0010042E" w14:paraId="57BAC820" w14:textId="77777777" w:rsidTr="002A1E63">
        <w:trPr>
          <w:trHeight w:val="499"/>
        </w:trPr>
        <w:tc>
          <w:tcPr>
            <w:tcW w:w="4611" w:type="dxa"/>
            <w:tcBorders>
              <w:top w:val="nil"/>
              <w:left w:val="nil"/>
              <w:bottom w:val="nil"/>
              <w:right w:val="nil"/>
            </w:tcBorders>
          </w:tcPr>
          <w:p w14:paraId="45709A9A"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Baileys (Irish Cream Liqueur)</w:t>
            </w:r>
          </w:p>
        </w:tc>
        <w:tc>
          <w:tcPr>
            <w:tcW w:w="4610" w:type="dxa"/>
            <w:tcBorders>
              <w:top w:val="nil"/>
              <w:left w:val="nil"/>
              <w:bottom w:val="nil"/>
              <w:right w:val="nil"/>
            </w:tcBorders>
          </w:tcPr>
          <w:p w14:paraId="0BE7D3F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Evian Still Water*</w:t>
            </w:r>
          </w:p>
        </w:tc>
      </w:tr>
      <w:tr w:rsidR="0010042E" w:rsidRPr="0010042E" w14:paraId="4206F47F" w14:textId="77777777" w:rsidTr="002A1E63">
        <w:trPr>
          <w:trHeight w:val="499"/>
        </w:trPr>
        <w:tc>
          <w:tcPr>
            <w:tcW w:w="4611" w:type="dxa"/>
            <w:tcBorders>
              <w:top w:val="nil"/>
              <w:left w:val="nil"/>
              <w:bottom w:val="nil"/>
              <w:right w:val="nil"/>
            </w:tcBorders>
          </w:tcPr>
          <w:p w14:paraId="339C4BF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Gordon’s Gin</w:t>
            </w:r>
          </w:p>
        </w:tc>
        <w:tc>
          <w:tcPr>
            <w:tcW w:w="4610" w:type="dxa"/>
            <w:tcBorders>
              <w:top w:val="nil"/>
              <w:left w:val="nil"/>
              <w:bottom w:val="nil"/>
              <w:right w:val="nil"/>
            </w:tcBorders>
          </w:tcPr>
          <w:p w14:paraId="0E1B227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Naked Green Machine Smoothie</w:t>
            </w:r>
          </w:p>
        </w:tc>
      </w:tr>
      <w:tr w:rsidR="0010042E" w:rsidRPr="0010042E" w14:paraId="23D7D60C" w14:textId="77777777" w:rsidTr="002A1E63">
        <w:trPr>
          <w:trHeight w:val="499"/>
        </w:trPr>
        <w:tc>
          <w:tcPr>
            <w:tcW w:w="4611" w:type="dxa"/>
            <w:tcBorders>
              <w:top w:val="nil"/>
              <w:left w:val="nil"/>
              <w:bottom w:val="nil"/>
              <w:right w:val="nil"/>
            </w:tcBorders>
          </w:tcPr>
          <w:p w14:paraId="1FDE72DF"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Jack Daniel’s Whiskey</w:t>
            </w:r>
          </w:p>
        </w:tc>
        <w:tc>
          <w:tcPr>
            <w:tcW w:w="4610" w:type="dxa"/>
            <w:tcBorders>
              <w:top w:val="nil"/>
              <w:left w:val="nil"/>
              <w:bottom w:val="nil"/>
              <w:right w:val="nil"/>
            </w:tcBorders>
          </w:tcPr>
          <w:p w14:paraId="33E99A79"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Naked Orange Carrot Smoothie</w:t>
            </w:r>
          </w:p>
        </w:tc>
      </w:tr>
      <w:tr w:rsidR="0010042E" w:rsidRPr="0010042E" w14:paraId="34D0F04F" w14:textId="77777777" w:rsidTr="002A1E63">
        <w:trPr>
          <w:trHeight w:val="499"/>
        </w:trPr>
        <w:tc>
          <w:tcPr>
            <w:tcW w:w="4611" w:type="dxa"/>
            <w:tcBorders>
              <w:top w:val="nil"/>
              <w:left w:val="nil"/>
              <w:bottom w:val="nil"/>
              <w:right w:val="nil"/>
            </w:tcBorders>
          </w:tcPr>
          <w:p w14:paraId="2A3B45C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Pimm’s</w:t>
            </w:r>
          </w:p>
        </w:tc>
        <w:tc>
          <w:tcPr>
            <w:tcW w:w="4610" w:type="dxa"/>
            <w:tcBorders>
              <w:top w:val="nil"/>
              <w:left w:val="nil"/>
              <w:bottom w:val="nil"/>
              <w:right w:val="nil"/>
            </w:tcBorders>
          </w:tcPr>
          <w:p w14:paraId="3EF0BEB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Milk (1 pint; semi-skimmed)</w:t>
            </w:r>
          </w:p>
        </w:tc>
      </w:tr>
      <w:tr w:rsidR="0010042E" w:rsidRPr="0010042E" w14:paraId="4F691034" w14:textId="77777777" w:rsidTr="002A1E63">
        <w:trPr>
          <w:trHeight w:val="499"/>
        </w:trPr>
        <w:tc>
          <w:tcPr>
            <w:tcW w:w="4611" w:type="dxa"/>
            <w:tcBorders>
              <w:top w:val="nil"/>
              <w:left w:val="nil"/>
              <w:bottom w:val="nil"/>
              <w:right w:val="nil"/>
            </w:tcBorders>
          </w:tcPr>
          <w:p w14:paraId="4E9FD646"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 xml:space="preserve">Bottle of Apple </w:t>
            </w:r>
            <w:proofErr w:type="spellStart"/>
            <w:r w:rsidRPr="0010042E">
              <w:rPr>
                <w:rFonts w:ascii="Times New Roman" w:hAnsi="Times New Roman" w:cs="Times New Roman"/>
                <w:bCs/>
              </w:rPr>
              <w:t>Sourz</w:t>
            </w:r>
            <w:proofErr w:type="spellEnd"/>
          </w:p>
        </w:tc>
        <w:tc>
          <w:tcPr>
            <w:tcW w:w="4610" w:type="dxa"/>
            <w:tcBorders>
              <w:top w:val="nil"/>
              <w:left w:val="nil"/>
              <w:bottom w:val="nil"/>
              <w:right w:val="nil"/>
            </w:tcBorders>
          </w:tcPr>
          <w:p w14:paraId="64EC1185" w14:textId="77777777" w:rsidR="0010042E" w:rsidRPr="0010042E" w:rsidRDefault="0010042E" w:rsidP="0010042E">
            <w:pPr>
              <w:pStyle w:val="NoSpacing"/>
              <w:jc w:val="center"/>
              <w:rPr>
                <w:rFonts w:ascii="Times New Roman" w:hAnsi="Times New Roman" w:cs="Times New Roman"/>
                <w:bCs/>
              </w:rPr>
            </w:pPr>
            <w:proofErr w:type="spellStart"/>
            <w:r w:rsidRPr="0010042E">
              <w:rPr>
                <w:rFonts w:ascii="Times New Roman" w:hAnsi="Times New Roman" w:cs="Times New Roman"/>
                <w:bCs/>
              </w:rPr>
              <w:t>Frijj</w:t>
            </w:r>
            <w:proofErr w:type="spellEnd"/>
            <w:r w:rsidRPr="0010042E">
              <w:rPr>
                <w:rFonts w:ascii="Times New Roman" w:hAnsi="Times New Roman" w:cs="Times New Roman"/>
                <w:bCs/>
              </w:rPr>
              <w:t xml:space="preserve"> Chocolate Milkshake</w:t>
            </w:r>
          </w:p>
        </w:tc>
      </w:tr>
      <w:tr w:rsidR="0010042E" w:rsidRPr="0010042E" w14:paraId="79565E94" w14:textId="77777777" w:rsidTr="002A1E63">
        <w:trPr>
          <w:trHeight w:val="499"/>
        </w:trPr>
        <w:tc>
          <w:tcPr>
            <w:tcW w:w="4611" w:type="dxa"/>
            <w:tcBorders>
              <w:top w:val="nil"/>
              <w:left w:val="nil"/>
              <w:bottom w:val="nil"/>
              <w:right w:val="nil"/>
            </w:tcBorders>
          </w:tcPr>
          <w:p w14:paraId="0C9F828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Sierra Tequila</w:t>
            </w:r>
          </w:p>
        </w:tc>
        <w:tc>
          <w:tcPr>
            <w:tcW w:w="4610" w:type="dxa"/>
            <w:tcBorders>
              <w:top w:val="nil"/>
              <w:left w:val="nil"/>
              <w:bottom w:val="nil"/>
              <w:right w:val="nil"/>
            </w:tcBorders>
          </w:tcPr>
          <w:p w14:paraId="5E5EE3CF" w14:textId="77777777" w:rsidR="0010042E" w:rsidRPr="0010042E" w:rsidRDefault="0010042E" w:rsidP="0010042E">
            <w:pPr>
              <w:pStyle w:val="NoSpacing"/>
              <w:jc w:val="center"/>
              <w:rPr>
                <w:rFonts w:ascii="Times New Roman" w:hAnsi="Times New Roman" w:cs="Times New Roman"/>
                <w:bCs/>
              </w:rPr>
            </w:pPr>
            <w:proofErr w:type="spellStart"/>
            <w:r w:rsidRPr="0010042E">
              <w:rPr>
                <w:rFonts w:ascii="Times New Roman" w:hAnsi="Times New Roman" w:cs="Times New Roman"/>
                <w:bCs/>
              </w:rPr>
              <w:t>Frijj</w:t>
            </w:r>
            <w:proofErr w:type="spellEnd"/>
            <w:r w:rsidRPr="0010042E">
              <w:rPr>
                <w:rFonts w:ascii="Times New Roman" w:hAnsi="Times New Roman" w:cs="Times New Roman"/>
                <w:bCs/>
              </w:rPr>
              <w:t xml:space="preserve"> Strawberry Milkshake</w:t>
            </w:r>
          </w:p>
        </w:tc>
      </w:tr>
      <w:tr w:rsidR="0010042E" w:rsidRPr="0010042E" w14:paraId="024E70EB" w14:textId="77777777" w:rsidTr="002A1E63">
        <w:trPr>
          <w:trHeight w:val="499"/>
        </w:trPr>
        <w:tc>
          <w:tcPr>
            <w:tcW w:w="4611" w:type="dxa"/>
            <w:tcBorders>
              <w:top w:val="nil"/>
              <w:left w:val="nil"/>
              <w:bottom w:val="nil"/>
              <w:right w:val="nil"/>
            </w:tcBorders>
          </w:tcPr>
          <w:p w14:paraId="01774091"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Captain Morgan’s Spiced Rum</w:t>
            </w:r>
          </w:p>
        </w:tc>
        <w:tc>
          <w:tcPr>
            <w:tcW w:w="4610" w:type="dxa"/>
            <w:tcBorders>
              <w:top w:val="nil"/>
              <w:left w:val="nil"/>
              <w:bottom w:val="nil"/>
              <w:right w:val="nil"/>
            </w:tcBorders>
          </w:tcPr>
          <w:p w14:paraId="56F4A44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Lipton Green Tea</w:t>
            </w:r>
          </w:p>
        </w:tc>
      </w:tr>
      <w:tr w:rsidR="0010042E" w:rsidRPr="0010042E" w14:paraId="0DAE811C" w14:textId="77777777" w:rsidTr="002A1E63">
        <w:trPr>
          <w:trHeight w:val="499"/>
        </w:trPr>
        <w:tc>
          <w:tcPr>
            <w:tcW w:w="4611" w:type="dxa"/>
            <w:tcBorders>
              <w:top w:val="nil"/>
              <w:left w:val="nil"/>
              <w:bottom w:val="nil"/>
              <w:right w:val="nil"/>
            </w:tcBorders>
          </w:tcPr>
          <w:p w14:paraId="164E8665"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Aperol</w:t>
            </w:r>
          </w:p>
        </w:tc>
        <w:tc>
          <w:tcPr>
            <w:tcW w:w="4610" w:type="dxa"/>
            <w:tcBorders>
              <w:top w:val="nil"/>
              <w:left w:val="nil"/>
              <w:bottom w:val="nil"/>
              <w:right w:val="nil"/>
            </w:tcBorders>
          </w:tcPr>
          <w:p w14:paraId="5D868BD0" w14:textId="77777777" w:rsidR="0010042E" w:rsidRPr="0010042E" w:rsidRDefault="0010042E" w:rsidP="0010042E">
            <w:pPr>
              <w:pStyle w:val="NoSpacing"/>
              <w:jc w:val="center"/>
              <w:rPr>
                <w:rFonts w:ascii="Times New Roman" w:hAnsi="Times New Roman" w:cs="Times New Roman"/>
                <w:bCs/>
              </w:rPr>
            </w:pPr>
            <w:proofErr w:type="spellStart"/>
            <w:r w:rsidRPr="0010042E">
              <w:rPr>
                <w:rFonts w:ascii="Times New Roman" w:hAnsi="Times New Roman" w:cs="Times New Roman"/>
                <w:bCs/>
              </w:rPr>
              <w:t>Twinings</w:t>
            </w:r>
            <w:proofErr w:type="spellEnd"/>
            <w:r w:rsidRPr="0010042E">
              <w:rPr>
                <w:rFonts w:ascii="Times New Roman" w:hAnsi="Times New Roman" w:cs="Times New Roman"/>
                <w:bCs/>
              </w:rPr>
              <w:t xml:space="preserve"> Earl Grey Tea</w:t>
            </w:r>
          </w:p>
        </w:tc>
      </w:tr>
      <w:tr w:rsidR="0010042E" w:rsidRPr="0010042E" w14:paraId="55CD80C4" w14:textId="77777777" w:rsidTr="002A1E63">
        <w:trPr>
          <w:trHeight w:val="499"/>
        </w:trPr>
        <w:tc>
          <w:tcPr>
            <w:tcW w:w="4611" w:type="dxa"/>
            <w:tcBorders>
              <w:top w:val="nil"/>
              <w:left w:val="nil"/>
              <w:bottom w:val="nil"/>
              <w:right w:val="nil"/>
            </w:tcBorders>
          </w:tcPr>
          <w:p w14:paraId="7A9BBAC7"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Rosé Wine (Blossom Hill)</w:t>
            </w:r>
          </w:p>
        </w:tc>
        <w:tc>
          <w:tcPr>
            <w:tcW w:w="4610" w:type="dxa"/>
            <w:tcBorders>
              <w:top w:val="nil"/>
              <w:left w:val="nil"/>
              <w:bottom w:val="nil"/>
              <w:right w:val="nil"/>
            </w:tcBorders>
          </w:tcPr>
          <w:p w14:paraId="4359598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Breakfast Tea*</w:t>
            </w:r>
          </w:p>
        </w:tc>
      </w:tr>
      <w:tr w:rsidR="0010042E" w:rsidRPr="0010042E" w14:paraId="06AFEFB7" w14:textId="77777777" w:rsidTr="002A1E63">
        <w:trPr>
          <w:trHeight w:val="499"/>
        </w:trPr>
        <w:tc>
          <w:tcPr>
            <w:tcW w:w="4611" w:type="dxa"/>
            <w:tcBorders>
              <w:top w:val="nil"/>
              <w:left w:val="nil"/>
              <w:bottom w:val="nil"/>
              <w:right w:val="nil"/>
            </w:tcBorders>
          </w:tcPr>
          <w:p w14:paraId="47D1B36C"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White Wine (Blossom Hill)</w:t>
            </w:r>
          </w:p>
        </w:tc>
        <w:tc>
          <w:tcPr>
            <w:tcW w:w="4610" w:type="dxa"/>
            <w:tcBorders>
              <w:top w:val="nil"/>
              <w:left w:val="nil"/>
              <w:bottom w:val="nil"/>
              <w:right w:val="nil"/>
            </w:tcBorders>
          </w:tcPr>
          <w:p w14:paraId="52DD165E"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Latte</w:t>
            </w:r>
          </w:p>
        </w:tc>
      </w:tr>
      <w:tr w:rsidR="0010042E" w:rsidRPr="0010042E" w14:paraId="38ECBE35" w14:textId="77777777" w:rsidTr="002A1E63">
        <w:trPr>
          <w:trHeight w:val="499"/>
        </w:trPr>
        <w:tc>
          <w:tcPr>
            <w:tcW w:w="4611" w:type="dxa"/>
            <w:tcBorders>
              <w:top w:val="nil"/>
              <w:left w:val="nil"/>
              <w:bottom w:val="nil"/>
              <w:right w:val="nil"/>
            </w:tcBorders>
          </w:tcPr>
          <w:p w14:paraId="268BF19C"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Red Wine (Blossom Hill)</w:t>
            </w:r>
          </w:p>
        </w:tc>
        <w:tc>
          <w:tcPr>
            <w:tcW w:w="4610" w:type="dxa"/>
            <w:tcBorders>
              <w:top w:val="nil"/>
              <w:left w:val="nil"/>
              <w:bottom w:val="nil"/>
              <w:right w:val="nil"/>
            </w:tcBorders>
          </w:tcPr>
          <w:p w14:paraId="61C0B500"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Americano</w:t>
            </w:r>
          </w:p>
        </w:tc>
      </w:tr>
      <w:tr w:rsidR="0010042E" w:rsidRPr="0010042E" w14:paraId="13AD1995" w14:textId="77777777" w:rsidTr="0010042E">
        <w:trPr>
          <w:trHeight w:val="499"/>
        </w:trPr>
        <w:tc>
          <w:tcPr>
            <w:tcW w:w="4611" w:type="dxa"/>
            <w:tcBorders>
              <w:top w:val="nil"/>
              <w:left w:val="nil"/>
              <w:bottom w:val="single" w:sz="18" w:space="0" w:color="auto"/>
              <w:right w:val="nil"/>
            </w:tcBorders>
          </w:tcPr>
          <w:p w14:paraId="6D49BEBC"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Bottle of Prosecco*</w:t>
            </w:r>
          </w:p>
        </w:tc>
        <w:tc>
          <w:tcPr>
            <w:tcW w:w="4610" w:type="dxa"/>
            <w:tcBorders>
              <w:top w:val="nil"/>
              <w:left w:val="nil"/>
              <w:bottom w:val="single" w:sz="18" w:space="0" w:color="auto"/>
              <w:right w:val="nil"/>
            </w:tcBorders>
          </w:tcPr>
          <w:p w14:paraId="41271713" w14:textId="77777777" w:rsidR="0010042E" w:rsidRPr="0010042E" w:rsidRDefault="0010042E" w:rsidP="0010042E">
            <w:pPr>
              <w:pStyle w:val="NoSpacing"/>
              <w:jc w:val="center"/>
              <w:rPr>
                <w:rFonts w:ascii="Times New Roman" w:hAnsi="Times New Roman" w:cs="Times New Roman"/>
                <w:bCs/>
              </w:rPr>
            </w:pPr>
            <w:r w:rsidRPr="0010042E">
              <w:rPr>
                <w:rFonts w:ascii="Times New Roman" w:hAnsi="Times New Roman" w:cs="Times New Roman"/>
                <w:bCs/>
              </w:rPr>
              <w:t>Iced Coffee</w:t>
            </w:r>
          </w:p>
        </w:tc>
      </w:tr>
    </w:tbl>
    <w:p w14:paraId="72BB2F42" w14:textId="77777777" w:rsidR="0010042E" w:rsidRPr="0010042E" w:rsidRDefault="0010042E" w:rsidP="0010042E">
      <w:pPr>
        <w:pStyle w:val="NoSpacing"/>
        <w:rPr>
          <w:rFonts w:ascii="Times New Roman" w:hAnsi="Times New Roman" w:cs="Times New Roman"/>
          <w:bCs/>
        </w:rPr>
      </w:pPr>
      <w:r w:rsidRPr="0010042E">
        <w:rPr>
          <w:rFonts w:ascii="Times New Roman" w:hAnsi="Times New Roman" w:cs="Times New Roman"/>
          <w:bCs/>
          <w:i/>
          <w:iCs/>
        </w:rPr>
        <w:t>Note.</w:t>
      </w:r>
      <w:r w:rsidRPr="0010042E">
        <w:rPr>
          <w:rFonts w:ascii="Times New Roman" w:hAnsi="Times New Roman" w:cs="Times New Roman"/>
          <w:bCs/>
        </w:rPr>
        <w:t xml:space="preserve"> Images from the ABPS are denoted by *. </w:t>
      </w:r>
    </w:p>
    <w:p w14:paraId="1210F7C8" w14:textId="77777777" w:rsidR="0010042E" w:rsidRPr="0010042E" w:rsidRDefault="0010042E" w:rsidP="0010042E">
      <w:pPr>
        <w:pStyle w:val="NoSpacing"/>
        <w:rPr>
          <w:rFonts w:ascii="Times New Roman" w:hAnsi="Times New Roman" w:cs="Times New Roman"/>
          <w:bCs/>
        </w:rPr>
      </w:pPr>
    </w:p>
    <w:p w14:paraId="2FFE706D" w14:textId="77777777" w:rsidR="0010042E" w:rsidRPr="0010042E" w:rsidRDefault="0010042E" w:rsidP="0010042E">
      <w:pPr>
        <w:pStyle w:val="NoSpacing"/>
        <w:rPr>
          <w:bCs/>
        </w:rPr>
      </w:pPr>
    </w:p>
    <w:p w14:paraId="3AC7E1C9" w14:textId="77777777" w:rsidR="0010042E" w:rsidRDefault="0010042E" w:rsidP="00093B56">
      <w:pPr>
        <w:pStyle w:val="NoSpacing"/>
      </w:pPr>
    </w:p>
    <w:p w14:paraId="2660470F" w14:textId="0785FE83" w:rsidR="00672927" w:rsidRDefault="00672927" w:rsidP="00093B56">
      <w:pPr>
        <w:pStyle w:val="NoSpacing"/>
      </w:pPr>
    </w:p>
    <w:p w14:paraId="3A81AF26" w14:textId="4AC18146" w:rsidR="00672927" w:rsidRDefault="00672927" w:rsidP="00093B56">
      <w:pPr>
        <w:pStyle w:val="NoSpacing"/>
      </w:pPr>
    </w:p>
    <w:p w14:paraId="7C893577" w14:textId="7B5AEBEE" w:rsidR="00672927" w:rsidRDefault="00672927" w:rsidP="00093B56">
      <w:pPr>
        <w:pStyle w:val="NoSpacing"/>
      </w:pPr>
    </w:p>
    <w:p w14:paraId="6A1A07B6" w14:textId="47E0808A" w:rsidR="00672927" w:rsidRDefault="00672927" w:rsidP="00093B56">
      <w:pPr>
        <w:pStyle w:val="NoSpacing"/>
      </w:pPr>
    </w:p>
    <w:p w14:paraId="0AB00919" w14:textId="018B9E82" w:rsidR="00672927" w:rsidRDefault="00672927" w:rsidP="00093B56">
      <w:pPr>
        <w:pStyle w:val="NoSpacing"/>
      </w:pPr>
    </w:p>
    <w:p w14:paraId="644C9E97" w14:textId="5545EA18" w:rsidR="00672927" w:rsidRDefault="00672927" w:rsidP="00093B56">
      <w:pPr>
        <w:pStyle w:val="NoSpacing"/>
      </w:pPr>
    </w:p>
    <w:p w14:paraId="763277B4" w14:textId="609B62E8" w:rsidR="00672927" w:rsidRDefault="00672927" w:rsidP="00093B56">
      <w:pPr>
        <w:pStyle w:val="NoSpacing"/>
      </w:pPr>
    </w:p>
    <w:p w14:paraId="442E55F1" w14:textId="1D1E3CE9" w:rsidR="00672927" w:rsidRDefault="00672927" w:rsidP="00093B56">
      <w:pPr>
        <w:pStyle w:val="NoSpacing"/>
      </w:pPr>
    </w:p>
    <w:p w14:paraId="06FCA05F" w14:textId="3EAC9993" w:rsidR="0010042E" w:rsidRPr="0010042E" w:rsidRDefault="0010042E" w:rsidP="0010042E">
      <w:pPr>
        <w:pStyle w:val="NoSpacing"/>
        <w:spacing w:line="480" w:lineRule="auto"/>
        <w:rPr>
          <w:rFonts w:ascii="Times New Roman" w:hAnsi="Times New Roman" w:cs="Times New Roman"/>
          <w:b/>
        </w:rPr>
      </w:pPr>
      <w:r w:rsidRPr="0010042E">
        <w:rPr>
          <w:rFonts w:ascii="Times New Roman" w:hAnsi="Times New Roman" w:cs="Times New Roman"/>
          <w:b/>
        </w:rPr>
        <w:lastRenderedPageBreak/>
        <w:t xml:space="preserve">5. Within-subject differences and establishing a ‘difficulty effect’ on the VBDM task </w:t>
      </w:r>
    </w:p>
    <w:p w14:paraId="6B39BEB2" w14:textId="77777777" w:rsidR="0010042E" w:rsidRPr="0010042E" w:rsidRDefault="0010042E" w:rsidP="0010042E">
      <w:pPr>
        <w:pStyle w:val="NoSpacing"/>
        <w:spacing w:line="480" w:lineRule="auto"/>
        <w:rPr>
          <w:rFonts w:ascii="Times New Roman" w:hAnsi="Times New Roman" w:cs="Times New Roman"/>
          <w:u w:val="single"/>
        </w:rPr>
      </w:pPr>
      <w:r w:rsidRPr="0010042E">
        <w:rPr>
          <w:rFonts w:ascii="Times New Roman" w:hAnsi="Times New Roman" w:cs="Times New Roman"/>
          <w:u w:val="single"/>
        </w:rPr>
        <w:t>Pre-registered exploratory analyses</w:t>
      </w:r>
    </w:p>
    <w:p w14:paraId="2155925A" w14:textId="77777777" w:rsidR="0010042E" w:rsidRPr="0010042E" w:rsidRDefault="0010042E" w:rsidP="0010042E">
      <w:pPr>
        <w:pStyle w:val="NoSpacing"/>
        <w:spacing w:line="480" w:lineRule="auto"/>
        <w:rPr>
          <w:rFonts w:ascii="Times New Roman" w:hAnsi="Times New Roman" w:cs="Times New Roman"/>
        </w:rPr>
      </w:pPr>
      <w:r w:rsidRPr="0010042E">
        <w:rPr>
          <w:rFonts w:ascii="Times New Roman" w:hAnsi="Times New Roman" w:cs="Times New Roman"/>
        </w:rPr>
        <w:t>We explored within-subject differences in EA rates and response thresholds across drinker type</w:t>
      </w:r>
      <w:r w:rsidRPr="0010042E">
        <w:rPr>
          <w:rFonts w:ascii="Times New Roman" w:hAnsi="Times New Roman" w:cs="Times New Roman"/>
          <w:vertAlign w:val="superscript"/>
        </w:rPr>
        <w:footnoteReference w:id="27"/>
      </w:r>
      <w:r w:rsidRPr="0010042E">
        <w:rPr>
          <w:rFonts w:ascii="Times New Roman" w:hAnsi="Times New Roman" w:cs="Times New Roman"/>
        </w:rPr>
        <w:t xml:space="preserve">. In both heavy and moderated drinkers, there were no significant differences in EA rates for alcohol compared to for soft-drinks (both </w:t>
      </w:r>
      <w:proofErr w:type="spellStart"/>
      <w:r w:rsidRPr="0010042E">
        <w:rPr>
          <w:rFonts w:ascii="Times New Roman" w:hAnsi="Times New Roman" w:cs="Times New Roman"/>
          <w:i/>
          <w:iCs/>
        </w:rPr>
        <w:t>p</w:t>
      </w:r>
      <w:r w:rsidRPr="0010042E">
        <w:rPr>
          <w:rFonts w:ascii="Times New Roman" w:hAnsi="Times New Roman" w:cs="Times New Roman"/>
        </w:rPr>
        <w:t>s</w:t>
      </w:r>
      <w:proofErr w:type="spellEnd"/>
      <w:r w:rsidRPr="0010042E">
        <w:rPr>
          <w:rFonts w:ascii="Times New Roman" w:hAnsi="Times New Roman" w:cs="Times New Roman"/>
        </w:rPr>
        <w:t xml:space="preserve"> ≥ .26, </w:t>
      </w:r>
      <w:r w:rsidRPr="0010042E">
        <w:rPr>
          <w:rFonts w:ascii="Times New Roman" w:hAnsi="Times New Roman" w:cs="Times New Roman"/>
          <w:i/>
          <w:iCs/>
        </w:rPr>
        <w:t>d</w:t>
      </w:r>
      <w:r w:rsidRPr="0010042E">
        <w:rPr>
          <w:rFonts w:ascii="Times New Roman" w:hAnsi="Times New Roman" w:cs="Times New Roman"/>
        </w:rPr>
        <w:t xml:space="preserve">s ≤ .15). Similarly, in both heavy and moderated drinkers, there were no significant differences in response thresholds for alcohol compared to for soft-drinks (both </w:t>
      </w:r>
      <w:proofErr w:type="spellStart"/>
      <w:r w:rsidRPr="0010042E">
        <w:rPr>
          <w:rFonts w:ascii="Times New Roman" w:hAnsi="Times New Roman" w:cs="Times New Roman"/>
          <w:i/>
          <w:iCs/>
        </w:rPr>
        <w:t>p</w:t>
      </w:r>
      <w:r w:rsidRPr="0010042E">
        <w:rPr>
          <w:rFonts w:ascii="Times New Roman" w:hAnsi="Times New Roman" w:cs="Times New Roman"/>
        </w:rPr>
        <w:t>s</w:t>
      </w:r>
      <w:proofErr w:type="spellEnd"/>
      <w:r w:rsidRPr="0010042E">
        <w:rPr>
          <w:rFonts w:ascii="Times New Roman" w:hAnsi="Times New Roman" w:cs="Times New Roman"/>
        </w:rPr>
        <w:t xml:space="preserve"> ≥ .43, </w:t>
      </w:r>
      <w:r w:rsidRPr="0010042E">
        <w:rPr>
          <w:rFonts w:ascii="Times New Roman" w:hAnsi="Times New Roman" w:cs="Times New Roman"/>
          <w:i/>
          <w:iCs/>
        </w:rPr>
        <w:t>d</w:t>
      </w:r>
      <w:r w:rsidRPr="0010042E">
        <w:rPr>
          <w:rFonts w:ascii="Times New Roman" w:hAnsi="Times New Roman" w:cs="Times New Roman"/>
        </w:rPr>
        <w:t xml:space="preserve">s ≤ .10) which supplement the non-significant interaction effect reported previously. </w:t>
      </w:r>
    </w:p>
    <w:p w14:paraId="6ADC3885" w14:textId="77777777" w:rsidR="0010042E" w:rsidRPr="0010042E" w:rsidRDefault="0010042E" w:rsidP="0010042E">
      <w:pPr>
        <w:pStyle w:val="NoSpacing"/>
        <w:spacing w:line="480" w:lineRule="auto"/>
        <w:rPr>
          <w:rFonts w:ascii="Times New Roman" w:hAnsi="Times New Roman" w:cs="Times New Roman"/>
        </w:rPr>
      </w:pPr>
    </w:p>
    <w:p w14:paraId="2C136DDE" w14:textId="6DEB3058" w:rsidR="00672927" w:rsidRPr="0010042E" w:rsidRDefault="00672927" w:rsidP="0010042E">
      <w:pPr>
        <w:pStyle w:val="NoSpacing"/>
        <w:spacing w:line="480" w:lineRule="auto"/>
        <w:rPr>
          <w:rFonts w:ascii="Times New Roman" w:hAnsi="Times New Roman" w:cs="Times New Roman"/>
        </w:rPr>
      </w:pPr>
    </w:p>
    <w:p w14:paraId="72AA86F4" w14:textId="0485CEF0" w:rsidR="00672927" w:rsidRPr="0010042E" w:rsidRDefault="00672927" w:rsidP="0010042E">
      <w:pPr>
        <w:pStyle w:val="NoSpacing"/>
        <w:spacing w:line="480" w:lineRule="auto"/>
        <w:rPr>
          <w:rFonts w:ascii="Times New Roman" w:hAnsi="Times New Roman" w:cs="Times New Roman"/>
        </w:rPr>
      </w:pPr>
    </w:p>
    <w:p w14:paraId="1C609126" w14:textId="22477B88" w:rsidR="00672927" w:rsidRDefault="00672927" w:rsidP="00093B56">
      <w:pPr>
        <w:pStyle w:val="NoSpacing"/>
      </w:pPr>
    </w:p>
    <w:p w14:paraId="2B5AD4AB" w14:textId="237D96C1" w:rsidR="00672927" w:rsidRDefault="00672927" w:rsidP="00093B56">
      <w:pPr>
        <w:pStyle w:val="NoSpacing"/>
      </w:pPr>
    </w:p>
    <w:p w14:paraId="240D417B" w14:textId="2B95DD95" w:rsidR="0010042E" w:rsidRDefault="0010042E" w:rsidP="00093B56">
      <w:pPr>
        <w:pStyle w:val="NoSpacing"/>
      </w:pPr>
    </w:p>
    <w:p w14:paraId="2F626510" w14:textId="6CCBD8AC" w:rsidR="0010042E" w:rsidRDefault="0010042E" w:rsidP="00093B56">
      <w:pPr>
        <w:pStyle w:val="NoSpacing"/>
      </w:pPr>
    </w:p>
    <w:p w14:paraId="634431B9" w14:textId="4A346E22" w:rsidR="0010042E" w:rsidRDefault="0010042E" w:rsidP="00093B56">
      <w:pPr>
        <w:pStyle w:val="NoSpacing"/>
      </w:pPr>
    </w:p>
    <w:p w14:paraId="5871E5B7" w14:textId="248695BE" w:rsidR="0010042E" w:rsidRDefault="0010042E" w:rsidP="00093B56">
      <w:pPr>
        <w:pStyle w:val="NoSpacing"/>
      </w:pPr>
    </w:p>
    <w:p w14:paraId="5A2B61F4" w14:textId="4D59B5DE" w:rsidR="0010042E" w:rsidRDefault="0010042E" w:rsidP="00093B56">
      <w:pPr>
        <w:pStyle w:val="NoSpacing"/>
      </w:pPr>
    </w:p>
    <w:p w14:paraId="05A2D287" w14:textId="7BCF0B61" w:rsidR="0010042E" w:rsidRDefault="0010042E" w:rsidP="00093B56">
      <w:pPr>
        <w:pStyle w:val="NoSpacing"/>
      </w:pPr>
    </w:p>
    <w:p w14:paraId="50F487EA" w14:textId="500F09A1" w:rsidR="00BA03C6" w:rsidRDefault="00BA03C6" w:rsidP="00093B56">
      <w:pPr>
        <w:pStyle w:val="NoSpacing"/>
      </w:pPr>
    </w:p>
    <w:p w14:paraId="6BF1355C" w14:textId="1F98FC64" w:rsidR="00BA03C6" w:rsidRDefault="00BA03C6" w:rsidP="00093B56">
      <w:pPr>
        <w:pStyle w:val="NoSpacing"/>
      </w:pPr>
    </w:p>
    <w:p w14:paraId="4B174671" w14:textId="56F64D24" w:rsidR="00BA03C6" w:rsidRDefault="00BA03C6" w:rsidP="00093B56">
      <w:pPr>
        <w:pStyle w:val="NoSpacing"/>
      </w:pPr>
    </w:p>
    <w:p w14:paraId="41FA5417" w14:textId="3B78D36B" w:rsidR="00BA03C6" w:rsidRDefault="00BA03C6" w:rsidP="00093B56">
      <w:pPr>
        <w:pStyle w:val="NoSpacing"/>
      </w:pPr>
    </w:p>
    <w:p w14:paraId="25537A47" w14:textId="0E86B76F" w:rsidR="00BA03C6" w:rsidRDefault="00BA03C6" w:rsidP="00093B56">
      <w:pPr>
        <w:pStyle w:val="NoSpacing"/>
      </w:pPr>
    </w:p>
    <w:p w14:paraId="6137D54B" w14:textId="35FE9263" w:rsidR="00BA03C6" w:rsidRDefault="00BA03C6" w:rsidP="00093B56">
      <w:pPr>
        <w:pStyle w:val="NoSpacing"/>
      </w:pPr>
    </w:p>
    <w:p w14:paraId="0242A846" w14:textId="523E43C5" w:rsidR="00BA03C6" w:rsidRDefault="00BA03C6" w:rsidP="00093B56">
      <w:pPr>
        <w:pStyle w:val="NoSpacing"/>
      </w:pPr>
    </w:p>
    <w:p w14:paraId="39BABB34" w14:textId="4BAC942E" w:rsidR="00BA03C6" w:rsidRDefault="00BA03C6" w:rsidP="00093B56">
      <w:pPr>
        <w:pStyle w:val="NoSpacing"/>
      </w:pPr>
    </w:p>
    <w:p w14:paraId="36BD7DD5" w14:textId="1E91150B" w:rsidR="00BA03C6" w:rsidRDefault="00BA03C6" w:rsidP="00093B56">
      <w:pPr>
        <w:pStyle w:val="NoSpacing"/>
      </w:pPr>
    </w:p>
    <w:p w14:paraId="3EE11778" w14:textId="5C4E3394" w:rsidR="00BA03C6" w:rsidRDefault="00BA03C6" w:rsidP="00093B56">
      <w:pPr>
        <w:pStyle w:val="NoSpacing"/>
      </w:pPr>
    </w:p>
    <w:p w14:paraId="3F1D9E91" w14:textId="6E58E66E" w:rsidR="00BA03C6" w:rsidRDefault="00BA03C6" w:rsidP="00093B56">
      <w:pPr>
        <w:pStyle w:val="NoSpacing"/>
      </w:pPr>
    </w:p>
    <w:p w14:paraId="638D0E48" w14:textId="3569D7F8" w:rsidR="00BA03C6" w:rsidRDefault="00BA03C6" w:rsidP="00093B56">
      <w:pPr>
        <w:pStyle w:val="NoSpacing"/>
      </w:pPr>
    </w:p>
    <w:p w14:paraId="388F0994" w14:textId="626F4D5A" w:rsidR="00BA03C6" w:rsidRDefault="00BA03C6" w:rsidP="00093B56">
      <w:pPr>
        <w:pStyle w:val="NoSpacing"/>
      </w:pPr>
    </w:p>
    <w:p w14:paraId="62F766AF" w14:textId="482B447B" w:rsidR="00BA03C6" w:rsidRDefault="00BA03C6" w:rsidP="00093B56">
      <w:pPr>
        <w:pStyle w:val="NoSpacing"/>
      </w:pPr>
    </w:p>
    <w:p w14:paraId="702C9FEE" w14:textId="77777777" w:rsidR="00BA03C6" w:rsidRPr="00BA03C6" w:rsidRDefault="00BA03C6" w:rsidP="00BA03C6">
      <w:pPr>
        <w:pStyle w:val="NoSpacing"/>
        <w:spacing w:line="480" w:lineRule="auto"/>
        <w:rPr>
          <w:rFonts w:ascii="Times New Roman" w:hAnsi="Times New Roman" w:cs="Times New Roman"/>
          <w:b/>
        </w:rPr>
      </w:pPr>
      <w:r w:rsidRPr="00BA03C6">
        <w:rPr>
          <w:rFonts w:ascii="Times New Roman" w:hAnsi="Times New Roman" w:cs="Times New Roman"/>
          <w:b/>
        </w:rPr>
        <w:lastRenderedPageBreak/>
        <w:t>6. DDM analyses conducted on each individual difficulty level in isolation (Table S6.3)</w:t>
      </w:r>
    </w:p>
    <w:p w14:paraId="06002323" w14:textId="77777777" w:rsidR="00BA03C6" w:rsidRDefault="00BA03C6" w:rsidP="00BA03C6">
      <w:pPr>
        <w:pStyle w:val="NoSpacing"/>
        <w:spacing w:line="480" w:lineRule="auto"/>
        <w:rPr>
          <w:rFonts w:ascii="Times New Roman" w:hAnsi="Times New Roman" w:cs="Times New Roman"/>
          <w:b/>
        </w:rPr>
      </w:pPr>
      <w:r w:rsidRPr="00BA03C6">
        <w:rPr>
          <w:rFonts w:ascii="Times New Roman" w:hAnsi="Times New Roman" w:cs="Times New Roman"/>
          <w:b/>
        </w:rPr>
        <w:t>Table S6.3</w:t>
      </w:r>
    </w:p>
    <w:p w14:paraId="7B005190" w14:textId="4E50BA20" w:rsidR="00BA03C6" w:rsidRPr="00BA03C6" w:rsidRDefault="00BA03C6" w:rsidP="00BA03C6">
      <w:pPr>
        <w:pStyle w:val="NoSpacing"/>
        <w:spacing w:line="480" w:lineRule="auto"/>
        <w:rPr>
          <w:rFonts w:ascii="Times New Roman" w:hAnsi="Times New Roman" w:cs="Times New Roman"/>
          <w:bCs/>
          <w:i/>
          <w:iCs/>
        </w:rPr>
      </w:pPr>
      <w:r w:rsidRPr="00BA03C6">
        <w:rPr>
          <w:rFonts w:ascii="Times New Roman" w:hAnsi="Times New Roman" w:cs="Times New Roman"/>
          <w:bCs/>
          <w:i/>
          <w:iCs/>
        </w:rPr>
        <w:t>Core analyses repeated on each difficulty level in isolation split by DDM parameter</w:t>
      </w:r>
    </w:p>
    <w:tbl>
      <w:tblPr>
        <w:tblW w:w="9183" w:type="dxa"/>
        <w:tblLook w:val="0400" w:firstRow="0" w:lastRow="0" w:firstColumn="0" w:lastColumn="0" w:noHBand="0" w:noVBand="1"/>
      </w:tblPr>
      <w:tblGrid>
        <w:gridCol w:w="3543"/>
        <w:gridCol w:w="1844"/>
        <w:gridCol w:w="1843"/>
        <w:gridCol w:w="1953"/>
      </w:tblGrid>
      <w:tr w:rsidR="00BA03C6" w:rsidRPr="00BA03C6" w14:paraId="3656A1AD" w14:textId="77777777" w:rsidTr="002A1E63">
        <w:trPr>
          <w:trHeight w:val="565"/>
        </w:trPr>
        <w:tc>
          <w:tcPr>
            <w:tcW w:w="3542" w:type="dxa"/>
            <w:tcBorders>
              <w:top w:val="single" w:sz="4" w:space="0" w:color="000000"/>
              <w:bottom w:val="single" w:sz="4" w:space="0" w:color="000000"/>
            </w:tcBorders>
            <w:shd w:val="clear" w:color="auto" w:fill="auto"/>
          </w:tcPr>
          <w:p w14:paraId="5645F4E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Contrast</w:t>
            </w:r>
          </w:p>
        </w:tc>
        <w:tc>
          <w:tcPr>
            <w:tcW w:w="1844" w:type="dxa"/>
            <w:tcBorders>
              <w:top w:val="single" w:sz="4" w:space="0" w:color="000000"/>
              <w:bottom w:val="single" w:sz="4" w:space="0" w:color="000000"/>
            </w:tcBorders>
            <w:shd w:val="clear" w:color="auto" w:fill="auto"/>
          </w:tcPr>
          <w:p w14:paraId="54D20C6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Easy trials</w:t>
            </w:r>
          </w:p>
        </w:tc>
        <w:tc>
          <w:tcPr>
            <w:tcW w:w="1843" w:type="dxa"/>
            <w:tcBorders>
              <w:top w:val="single" w:sz="4" w:space="0" w:color="000000"/>
              <w:bottom w:val="single" w:sz="4" w:space="0" w:color="000000"/>
            </w:tcBorders>
            <w:shd w:val="clear" w:color="auto" w:fill="auto"/>
          </w:tcPr>
          <w:p w14:paraId="193393C2"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Medium trials</w:t>
            </w:r>
          </w:p>
        </w:tc>
        <w:tc>
          <w:tcPr>
            <w:tcW w:w="1953" w:type="dxa"/>
            <w:tcBorders>
              <w:top w:val="single" w:sz="4" w:space="0" w:color="000000"/>
              <w:bottom w:val="single" w:sz="4" w:space="0" w:color="000000"/>
            </w:tcBorders>
            <w:shd w:val="clear" w:color="auto" w:fill="auto"/>
          </w:tcPr>
          <w:p w14:paraId="6AB82B00"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Difficult trials</w:t>
            </w:r>
          </w:p>
        </w:tc>
      </w:tr>
      <w:tr w:rsidR="00BA03C6" w:rsidRPr="00BA03C6" w14:paraId="070107EF" w14:textId="77777777" w:rsidTr="002A1E63">
        <w:trPr>
          <w:trHeight w:val="480"/>
        </w:trPr>
        <w:tc>
          <w:tcPr>
            <w:tcW w:w="3542" w:type="dxa"/>
            <w:tcBorders>
              <w:top w:val="single" w:sz="4" w:space="0" w:color="000000"/>
            </w:tcBorders>
            <w:shd w:val="clear" w:color="auto" w:fill="auto"/>
          </w:tcPr>
          <w:p w14:paraId="34853B4C" w14:textId="77777777" w:rsidR="00BA03C6" w:rsidRPr="00BA03C6" w:rsidRDefault="00BA03C6" w:rsidP="00BA03C6">
            <w:pPr>
              <w:pStyle w:val="NoSpacing"/>
              <w:rPr>
                <w:rFonts w:ascii="Times New Roman" w:hAnsi="Times New Roman" w:cs="Times New Roman"/>
                <w:b/>
              </w:rPr>
            </w:pPr>
            <w:r w:rsidRPr="00BA03C6">
              <w:rPr>
                <w:rFonts w:ascii="Times New Roman" w:hAnsi="Times New Roman" w:cs="Times New Roman"/>
                <w:b/>
              </w:rPr>
              <w:t xml:space="preserve">EA rate / drift </w:t>
            </w:r>
          </w:p>
        </w:tc>
        <w:tc>
          <w:tcPr>
            <w:tcW w:w="1844" w:type="dxa"/>
            <w:tcBorders>
              <w:top w:val="single" w:sz="4" w:space="0" w:color="000000"/>
            </w:tcBorders>
            <w:shd w:val="clear" w:color="auto" w:fill="auto"/>
          </w:tcPr>
          <w:p w14:paraId="76409717" w14:textId="77777777" w:rsidR="00BA03C6" w:rsidRPr="00BA03C6" w:rsidRDefault="00BA03C6" w:rsidP="00BA03C6">
            <w:pPr>
              <w:pStyle w:val="NoSpacing"/>
              <w:rPr>
                <w:rFonts w:ascii="Times New Roman" w:hAnsi="Times New Roman" w:cs="Times New Roman"/>
                <w:u w:val="single"/>
              </w:rPr>
            </w:pPr>
          </w:p>
        </w:tc>
        <w:tc>
          <w:tcPr>
            <w:tcW w:w="1843" w:type="dxa"/>
            <w:tcBorders>
              <w:top w:val="single" w:sz="4" w:space="0" w:color="000000"/>
            </w:tcBorders>
            <w:shd w:val="clear" w:color="auto" w:fill="auto"/>
          </w:tcPr>
          <w:p w14:paraId="26F14E4F" w14:textId="77777777" w:rsidR="00BA03C6" w:rsidRPr="00BA03C6" w:rsidRDefault="00BA03C6" w:rsidP="00BA03C6">
            <w:pPr>
              <w:pStyle w:val="NoSpacing"/>
              <w:rPr>
                <w:rFonts w:ascii="Times New Roman" w:hAnsi="Times New Roman" w:cs="Times New Roman"/>
                <w:u w:val="single"/>
              </w:rPr>
            </w:pPr>
          </w:p>
        </w:tc>
        <w:tc>
          <w:tcPr>
            <w:tcW w:w="1953" w:type="dxa"/>
            <w:tcBorders>
              <w:top w:val="single" w:sz="4" w:space="0" w:color="000000"/>
            </w:tcBorders>
            <w:shd w:val="clear" w:color="auto" w:fill="auto"/>
          </w:tcPr>
          <w:p w14:paraId="1255F768" w14:textId="77777777" w:rsidR="00BA03C6" w:rsidRPr="00BA03C6" w:rsidRDefault="00BA03C6" w:rsidP="00BA03C6">
            <w:pPr>
              <w:pStyle w:val="NoSpacing"/>
              <w:rPr>
                <w:rFonts w:ascii="Times New Roman" w:hAnsi="Times New Roman" w:cs="Times New Roman"/>
                <w:u w:val="single"/>
              </w:rPr>
            </w:pPr>
          </w:p>
        </w:tc>
      </w:tr>
      <w:tr w:rsidR="00BA03C6" w:rsidRPr="00BA03C6" w14:paraId="1ADC2C87" w14:textId="77777777" w:rsidTr="002A1E63">
        <w:trPr>
          <w:trHeight w:val="913"/>
        </w:trPr>
        <w:tc>
          <w:tcPr>
            <w:tcW w:w="3542" w:type="dxa"/>
            <w:shd w:val="clear" w:color="auto" w:fill="auto"/>
          </w:tcPr>
          <w:p w14:paraId="4D9A0350"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Alcohol</w:t>
            </w:r>
            <w:r w:rsidRPr="00BA03C6">
              <w:rPr>
                <w:rFonts w:ascii="Times New Roman" w:hAnsi="Times New Roman" w:cs="Times New Roman"/>
              </w:rPr>
              <w:t>: heavy vs. moderated drinkers</w:t>
            </w:r>
          </w:p>
        </w:tc>
        <w:tc>
          <w:tcPr>
            <w:tcW w:w="1844" w:type="dxa"/>
            <w:shd w:val="clear" w:color="auto" w:fill="auto"/>
          </w:tcPr>
          <w:p w14:paraId="287DE35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.47, </w:t>
            </w:r>
            <w:proofErr w:type="spellStart"/>
            <w:r w:rsidRPr="00BA03C6">
              <w:rPr>
                <w:rFonts w:ascii="Times New Roman" w:hAnsi="Times New Roman" w:cs="Times New Roman"/>
                <w:i/>
                <w:iCs/>
              </w:rPr>
              <w:t>r</w:t>
            </w:r>
            <w:r w:rsidRPr="00BA03C6">
              <w:rPr>
                <w:rFonts w:ascii="Times New Roman" w:hAnsi="Times New Roman" w:cs="Times New Roman"/>
                <w:vertAlign w:val="subscript"/>
              </w:rPr>
              <w:t>rb</w:t>
            </w:r>
            <w:proofErr w:type="spellEnd"/>
            <w:r w:rsidRPr="00BA03C6">
              <w:rPr>
                <w:rFonts w:ascii="Times New Roman" w:hAnsi="Times New Roman" w:cs="Times New Roman"/>
              </w:rPr>
              <w:t xml:space="preserve"> = .01</w:t>
            </w:r>
          </w:p>
        </w:tc>
        <w:tc>
          <w:tcPr>
            <w:tcW w:w="1843" w:type="dxa"/>
            <w:shd w:val="clear" w:color="auto" w:fill="auto"/>
          </w:tcPr>
          <w:p w14:paraId="00873AD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.30, </w:t>
            </w:r>
            <w:r w:rsidRPr="00BA03C6">
              <w:rPr>
                <w:rFonts w:ascii="Times New Roman" w:hAnsi="Times New Roman" w:cs="Times New Roman"/>
                <w:i/>
                <w:iCs/>
              </w:rPr>
              <w:t>d</w:t>
            </w:r>
            <w:r w:rsidRPr="00BA03C6">
              <w:rPr>
                <w:rFonts w:ascii="Times New Roman" w:hAnsi="Times New Roman" w:cs="Times New Roman"/>
              </w:rPr>
              <w:t xml:space="preserve"> = .10</w:t>
            </w:r>
          </w:p>
        </w:tc>
        <w:tc>
          <w:tcPr>
            <w:tcW w:w="1953" w:type="dxa"/>
            <w:shd w:val="clear" w:color="auto" w:fill="auto"/>
          </w:tcPr>
          <w:p w14:paraId="5EE88FA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.37, </w:t>
            </w:r>
            <w:r w:rsidRPr="00BA03C6">
              <w:rPr>
                <w:rFonts w:ascii="Times New Roman" w:hAnsi="Times New Roman" w:cs="Times New Roman"/>
                <w:i/>
              </w:rPr>
              <w:t>d</w:t>
            </w:r>
            <w:r w:rsidRPr="00BA03C6">
              <w:rPr>
                <w:rFonts w:ascii="Times New Roman" w:hAnsi="Times New Roman" w:cs="Times New Roman"/>
              </w:rPr>
              <w:t xml:space="preserve"> = .06</w:t>
            </w:r>
          </w:p>
        </w:tc>
      </w:tr>
      <w:tr w:rsidR="00BA03C6" w:rsidRPr="00BA03C6" w14:paraId="5F3D70AA" w14:textId="77777777" w:rsidTr="002A1E63">
        <w:trPr>
          <w:trHeight w:val="913"/>
        </w:trPr>
        <w:tc>
          <w:tcPr>
            <w:tcW w:w="3542" w:type="dxa"/>
            <w:shd w:val="clear" w:color="auto" w:fill="auto"/>
          </w:tcPr>
          <w:p w14:paraId="0BA4E5BA"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Soft-drink</w:t>
            </w:r>
            <w:r w:rsidRPr="00BA03C6">
              <w:rPr>
                <w:rFonts w:ascii="Times New Roman" w:hAnsi="Times New Roman" w:cs="Times New Roman"/>
              </w:rPr>
              <w:t>: heavy vs. moderated drinkers</w:t>
            </w:r>
          </w:p>
        </w:tc>
        <w:tc>
          <w:tcPr>
            <w:tcW w:w="1844" w:type="dxa"/>
            <w:shd w:val="clear" w:color="auto" w:fill="auto"/>
          </w:tcPr>
          <w:p w14:paraId="500DCA4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.17, </w:t>
            </w:r>
            <w:r w:rsidRPr="00BA03C6">
              <w:rPr>
                <w:rFonts w:ascii="Times New Roman" w:hAnsi="Times New Roman" w:cs="Times New Roman"/>
                <w:i/>
              </w:rPr>
              <w:t>d</w:t>
            </w:r>
            <w:r w:rsidRPr="00BA03C6">
              <w:rPr>
                <w:rFonts w:ascii="Times New Roman" w:hAnsi="Times New Roman" w:cs="Times New Roman"/>
              </w:rPr>
              <w:t xml:space="preserve"> = .17</w:t>
            </w:r>
          </w:p>
        </w:tc>
        <w:tc>
          <w:tcPr>
            <w:tcW w:w="1843" w:type="dxa"/>
            <w:shd w:val="clear" w:color="auto" w:fill="auto"/>
          </w:tcPr>
          <w:p w14:paraId="3C15674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.39, </w:t>
            </w:r>
            <w:r w:rsidRPr="00BA03C6">
              <w:rPr>
                <w:rFonts w:ascii="Times New Roman" w:hAnsi="Times New Roman" w:cs="Times New Roman"/>
                <w:i/>
              </w:rPr>
              <w:t>d</w:t>
            </w:r>
            <w:r w:rsidRPr="00BA03C6">
              <w:rPr>
                <w:rFonts w:ascii="Times New Roman" w:hAnsi="Times New Roman" w:cs="Times New Roman"/>
              </w:rPr>
              <w:t xml:space="preserve"> = .05</w:t>
            </w:r>
          </w:p>
        </w:tc>
        <w:tc>
          <w:tcPr>
            <w:tcW w:w="1953" w:type="dxa"/>
            <w:shd w:val="clear" w:color="auto" w:fill="auto"/>
          </w:tcPr>
          <w:p w14:paraId="1C28AB3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.42, </w:t>
            </w:r>
            <w:r w:rsidRPr="00BA03C6">
              <w:rPr>
                <w:rFonts w:ascii="Times New Roman" w:hAnsi="Times New Roman" w:cs="Times New Roman"/>
                <w:i/>
              </w:rPr>
              <w:t>d</w:t>
            </w:r>
            <w:r w:rsidRPr="00BA03C6">
              <w:rPr>
                <w:rFonts w:ascii="Times New Roman" w:hAnsi="Times New Roman" w:cs="Times New Roman"/>
              </w:rPr>
              <w:t xml:space="preserve"> = .04</w:t>
            </w:r>
          </w:p>
        </w:tc>
      </w:tr>
      <w:tr w:rsidR="00BA03C6" w:rsidRPr="00BA03C6" w14:paraId="6667B144" w14:textId="77777777" w:rsidTr="002A1E63">
        <w:trPr>
          <w:trHeight w:val="938"/>
        </w:trPr>
        <w:tc>
          <w:tcPr>
            <w:tcW w:w="3542" w:type="dxa"/>
            <w:shd w:val="clear" w:color="auto" w:fill="auto"/>
          </w:tcPr>
          <w:p w14:paraId="5318041F"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Heavy drinkers</w:t>
            </w:r>
            <w:r w:rsidRPr="00BA03C6">
              <w:rPr>
                <w:rFonts w:ascii="Times New Roman" w:hAnsi="Times New Roman" w:cs="Times New Roman"/>
              </w:rPr>
              <w:t>: alcohol vs. soft-drink</w:t>
            </w:r>
          </w:p>
        </w:tc>
        <w:tc>
          <w:tcPr>
            <w:tcW w:w="1844" w:type="dxa"/>
            <w:shd w:val="clear" w:color="auto" w:fill="auto"/>
          </w:tcPr>
          <w:p w14:paraId="5B62F55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 xml:space="preserve">p </w:t>
            </w:r>
            <w:r w:rsidRPr="00BA03C6">
              <w:rPr>
                <w:rFonts w:ascii="Times New Roman" w:hAnsi="Times New Roman" w:cs="Times New Roman"/>
              </w:rPr>
              <w:t xml:space="preserve">= .48, </w:t>
            </w:r>
            <w:r w:rsidRPr="00BA03C6">
              <w:rPr>
                <w:rFonts w:ascii="Times New Roman" w:hAnsi="Times New Roman" w:cs="Times New Roman"/>
                <w:i/>
              </w:rPr>
              <w:t>d</w:t>
            </w:r>
            <w:r w:rsidRPr="00BA03C6">
              <w:rPr>
                <w:rFonts w:ascii="Times New Roman" w:hAnsi="Times New Roman" w:cs="Times New Roman"/>
              </w:rPr>
              <w:t xml:space="preserve"> = .007</w:t>
            </w:r>
          </w:p>
        </w:tc>
        <w:tc>
          <w:tcPr>
            <w:tcW w:w="1843" w:type="dxa"/>
            <w:shd w:val="clear" w:color="auto" w:fill="auto"/>
          </w:tcPr>
          <w:p w14:paraId="7E6B3A3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.54, </w:t>
            </w:r>
            <w:r w:rsidRPr="00BA03C6">
              <w:rPr>
                <w:rFonts w:ascii="Times New Roman" w:hAnsi="Times New Roman" w:cs="Times New Roman"/>
                <w:i/>
              </w:rPr>
              <w:t>d</w:t>
            </w:r>
            <w:r w:rsidRPr="00BA03C6">
              <w:rPr>
                <w:rFonts w:ascii="Times New Roman" w:hAnsi="Times New Roman" w:cs="Times New Roman"/>
              </w:rPr>
              <w:t xml:space="preserve"> = .01</w:t>
            </w:r>
          </w:p>
        </w:tc>
        <w:tc>
          <w:tcPr>
            <w:tcW w:w="1953" w:type="dxa"/>
            <w:shd w:val="clear" w:color="auto" w:fill="auto"/>
          </w:tcPr>
          <w:p w14:paraId="72A6070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.52, </w:t>
            </w:r>
            <w:r w:rsidRPr="00BA03C6">
              <w:rPr>
                <w:rFonts w:ascii="Times New Roman" w:hAnsi="Times New Roman" w:cs="Times New Roman"/>
                <w:i/>
              </w:rPr>
              <w:t>d</w:t>
            </w:r>
            <w:r w:rsidRPr="00BA03C6">
              <w:rPr>
                <w:rFonts w:ascii="Times New Roman" w:hAnsi="Times New Roman" w:cs="Times New Roman"/>
              </w:rPr>
              <w:t xml:space="preserve"> = .01</w:t>
            </w:r>
          </w:p>
        </w:tc>
      </w:tr>
      <w:tr w:rsidR="00BA03C6" w:rsidRPr="00BA03C6" w14:paraId="38579FFD" w14:textId="77777777" w:rsidTr="002A1E63">
        <w:trPr>
          <w:trHeight w:val="913"/>
        </w:trPr>
        <w:tc>
          <w:tcPr>
            <w:tcW w:w="3542" w:type="dxa"/>
            <w:shd w:val="clear" w:color="auto" w:fill="auto"/>
          </w:tcPr>
          <w:p w14:paraId="330859F1"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Moderated drinkers</w:t>
            </w:r>
            <w:r w:rsidRPr="00BA03C6">
              <w:rPr>
                <w:rFonts w:ascii="Times New Roman" w:hAnsi="Times New Roman" w:cs="Times New Roman"/>
              </w:rPr>
              <w:t>: alcohol vs. soft-drink</w:t>
            </w:r>
          </w:p>
        </w:tc>
        <w:tc>
          <w:tcPr>
            <w:tcW w:w="1844" w:type="dxa"/>
            <w:shd w:val="clear" w:color="auto" w:fill="auto"/>
          </w:tcPr>
          <w:p w14:paraId="626F3D0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 xml:space="preserve">p </w:t>
            </w:r>
            <w:r w:rsidRPr="00BA03C6">
              <w:rPr>
                <w:rFonts w:ascii="Times New Roman" w:hAnsi="Times New Roman" w:cs="Times New Roman"/>
              </w:rPr>
              <w:t xml:space="preserve">= .14, </w:t>
            </w:r>
            <w:r w:rsidRPr="00BA03C6">
              <w:rPr>
                <w:rFonts w:ascii="Times New Roman" w:hAnsi="Times New Roman" w:cs="Times New Roman"/>
                <w:i/>
              </w:rPr>
              <w:t>d</w:t>
            </w:r>
            <w:r w:rsidRPr="00BA03C6">
              <w:rPr>
                <w:rFonts w:ascii="Times New Roman" w:hAnsi="Times New Roman" w:cs="Times New Roman"/>
              </w:rPr>
              <w:t xml:space="preserve"> = .14</w:t>
            </w:r>
          </w:p>
        </w:tc>
        <w:tc>
          <w:tcPr>
            <w:tcW w:w="1843" w:type="dxa"/>
            <w:shd w:val="clear" w:color="auto" w:fill="auto"/>
          </w:tcPr>
          <w:p w14:paraId="6085248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.15, </w:t>
            </w:r>
            <w:r w:rsidRPr="00BA03C6">
              <w:rPr>
                <w:rFonts w:ascii="Times New Roman" w:hAnsi="Times New Roman" w:cs="Times New Roman"/>
                <w:i/>
                <w:iCs/>
              </w:rPr>
              <w:t>d</w:t>
            </w:r>
            <w:r w:rsidRPr="00BA03C6">
              <w:rPr>
                <w:rFonts w:ascii="Times New Roman" w:hAnsi="Times New Roman" w:cs="Times New Roman"/>
                <w:i/>
              </w:rPr>
              <w:t xml:space="preserve"> </w:t>
            </w:r>
            <w:r w:rsidRPr="00BA03C6">
              <w:rPr>
                <w:rFonts w:ascii="Times New Roman" w:hAnsi="Times New Roman" w:cs="Times New Roman"/>
              </w:rPr>
              <w:t>= .13</w:t>
            </w:r>
          </w:p>
        </w:tc>
        <w:tc>
          <w:tcPr>
            <w:tcW w:w="1953" w:type="dxa"/>
            <w:shd w:val="clear" w:color="auto" w:fill="auto"/>
          </w:tcPr>
          <w:p w14:paraId="6ED68FC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 xml:space="preserve">p </w:t>
            </w:r>
            <w:r w:rsidRPr="00BA03C6">
              <w:rPr>
                <w:rFonts w:ascii="Times New Roman" w:hAnsi="Times New Roman" w:cs="Times New Roman"/>
              </w:rPr>
              <w:t xml:space="preserve">= .24, </w:t>
            </w:r>
            <w:r w:rsidRPr="00BA03C6">
              <w:rPr>
                <w:rFonts w:ascii="Times New Roman" w:hAnsi="Times New Roman" w:cs="Times New Roman"/>
                <w:i/>
              </w:rPr>
              <w:t>d</w:t>
            </w:r>
            <w:r w:rsidRPr="00BA03C6">
              <w:rPr>
                <w:rFonts w:ascii="Times New Roman" w:hAnsi="Times New Roman" w:cs="Times New Roman"/>
              </w:rPr>
              <w:t xml:space="preserve"> = .09</w:t>
            </w:r>
          </w:p>
        </w:tc>
      </w:tr>
      <w:tr w:rsidR="00BA03C6" w:rsidRPr="00BA03C6" w14:paraId="6D7F0220" w14:textId="77777777" w:rsidTr="002A1E63">
        <w:trPr>
          <w:trHeight w:val="475"/>
        </w:trPr>
        <w:tc>
          <w:tcPr>
            <w:tcW w:w="3542" w:type="dxa"/>
            <w:shd w:val="clear" w:color="auto" w:fill="auto"/>
          </w:tcPr>
          <w:p w14:paraId="14A171C6" w14:textId="77777777" w:rsidR="00BA03C6" w:rsidRPr="00BA03C6" w:rsidRDefault="00BA03C6" w:rsidP="00BA03C6">
            <w:pPr>
              <w:pStyle w:val="NoSpacing"/>
              <w:rPr>
                <w:rFonts w:ascii="Times New Roman" w:hAnsi="Times New Roman" w:cs="Times New Roman"/>
                <w:b/>
              </w:rPr>
            </w:pPr>
            <w:r w:rsidRPr="00BA03C6">
              <w:rPr>
                <w:rFonts w:ascii="Times New Roman" w:hAnsi="Times New Roman" w:cs="Times New Roman"/>
                <w:b/>
              </w:rPr>
              <w:t>Response threshold / boundary</w:t>
            </w:r>
          </w:p>
        </w:tc>
        <w:tc>
          <w:tcPr>
            <w:tcW w:w="1844" w:type="dxa"/>
            <w:shd w:val="clear" w:color="auto" w:fill="auto"/>
          </w:tcPr>
          <w:p w14:paraId="109669A3" w14:textId="77777777" w:rsidR="00BA03C6" w:rsidRPr="00BA03C6" w:rsidRDefault="00BA03C6" w:rsidP="00BA03C6">
            <w:pPr>
              <w:pStyle w:val="NoSpacing"/>
              <w:rPr>
                <w:rFonts w:ascii="Times New Roman" w:hAnsi="Times New Roman" w:cs="Times New Roman"/>
                <w:i/>
              </w:rPr>
            </w:pPr>
          </w:p>
        </w:tc>
        <w:tc>
          <w:tcPr>
            <w:tcW w:w="1843" w:type="dxa"/>
            <w:shd w:val="clear" w:color="auto" w:fill="auto"/>
          </w:tcPr>
          <w:p w14:paraId="755F483C" w14:textId="77777777" w:rsidR="00BA03C6" w:rsidRPr="00BA03C6" w:rsidRDefault="00BA03C6" w:rsidP="00BA03C6">
            <w:pPr>
              <w:pStyle w:val="NoSpacing"/>
              <w:rPr>
                <w:rFonts w:ascii="Times New Roman" w:hAnsi="Times New Roman" w:cs="Times New Roman"/>
                <w:i/>
              </w:rPr>
            </w:pPr>
          </w:p>
        </w:tc>
        <w:tc>
          <w:tcPr>
            <w:tcW w:w="1953" w:type="dxa"/>
            <w:shd w:val="clear" w:color="auto" w:fill="auto"/>
          </w:tcPr>
          <w:p w14:paraId="63632493" w14:textId="77777777" w:rsidR="00BA03C6" w:rsidRPr="00BA03C6" w:rsidRDefault="00BA03C6" w:rsidP="00BA03C6">
            <w:pPr>
              <w:pStyle w:val="NoSpacing"/>
              <w:rPr>
                <w:rFonts w:ascii="Times New Roman" w:hAnsi="Times New Roman" w:cs="Times New Roman"/>
                <w:i/>
              </w:rPr>
            </w:pPr>
          </w:p>
        </w:tc>
      </w:tr>
      <w:tr w:rsidR="00BA03C6" w:rsidRPr="00BA03C6" w14:paraId="11701BB8" w14:textId="77777777" w:rsidTr="002A1E63">
        <w:trPr>
          <w:trHeight w:val="913"/>
        </w:trPr>
        <w:tc>
          <w:tcPr>
            <w:tcW w:w="3542" w:type="dxa"/>
            <w:shd w:val="clear" w:color="auto" w:fill="auto"/>
          </w:tcPr>
          <w:p w14:paraId="3C8186F4"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Alcohol</w:t>
            </w:r>
            <w:r w:rsidRPr="00BA03C6">
              <w:rPr>
                <w:rFonts w:ascii="Times New Roman" w:hAnsi="Times New Roman" w:cs="Times New Roman"/>
              </w:rPr>
              <w:t>: heavy vs. moderated drinkers</w:t>
            </w:r>
          </w:p>
        </w:tc>
        <w:tc>
          <w:tcPr>
            <w:tcW w:w="1844" w:type="dxa"/>
            <w:shd w:val="clear" w:color="auto" w:fill="auto"/>
          </w:tcPr>
          <w:p w14:paraId="502305E6"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.95, </w:t>
            </w:r>
            <w:r w:rsidRPr="00BA03C6">
              <w:rPr>
                <w:rFonts w:ascii="Times New Roman" w:hAnsi="Times New Roman" w:cs="Times New Roman"/>
                <w:i/>
                <w:iCs/>
              </w:rPr>
              <w:t xml:space="preserve">d </w:t>
            </w:r>
            <w:r w:rsidRPr="00BA03C6">
              <w:rPr>
                <w:rFonts w:ascii="Times New Roman" w:hAnsi="Times New Roman" w:cs="Times New Roman"/>
              </w:rPr>
              <w:t>= .30</w:t>
            </w:r>
          </w:p>
        </w:tc>
        <w:tc>
          <w:tcPr>
            <w:tcW w:w="1843" w:type="dxa"/>
            <w:shd w:val="clear" w:color="auto" w:fill="auto"/>
          </w:tcPr>
          <w:p w14:paraId="6AA6186D" w14:textId="77777777" w:rsidR="00BA03C6" w:rsidRPr="00BA03C6" w:rsidRDefault="00BA03C6" w:rsidP="00BA03C6">
            <w:pPr>
              <w:pStyle w:val="NoSpacing"/>
              <w:rPr>
                <w:rFonts w:ascii="Times New Roman" w:hAnsi="Times New Roman" w:cs="Times New Roman"/>
                <w:i/>
              </w:rPr>
            </w:pPr>
            <w:r w:rsidRPr="00BA03C6">
              <w:rPr>
                <w:rFonts w:ascii="Times New Roman" w:hAnsi="Times New Roman" w:cs="Times New Roman"/>
                <w:i/>
              </w:rPr>
              <w:t xml:space="preserve">p </w:t>
            </w:r>
            <w:r w:rsidRPr="00BA03C6">
              <w:rPr>
                <w:rFonts w:ascii="Times New Roman" w:hAnsi="Times New Roman" w:cs="Times New Roman"/>
              </w:rPr>
              <w:t>= .97,</w:t>
            </w:r>
            <w:r w:rsidRPr="00BA03C6">
              <w:rPr>
                <w:rFonts w:ascii="Times New Roman" w:hAnsi="Times New Roman" w:cs="Times New Roman"/>
                <w:i/>
              </w:rPr>
              <w:t xml:space="preserve"> d </w:t>
            </w:r>
            <w:r w:rsidRPr="00BA03C6">
              <w:rPr>
                <w:rFonts w:ascii="Times New Roman" w:hAnsi="Times New Roman" w:cs="Times New Roman"/>
              </w:rPr>
              <w:t>= .34</w:t>
            </w:r>
          </w:p>
        </w:tc>
        <w:tc>
          <w:tcPr>
            <w:tcW w:w="1953" w:type="dxa"/>
            <w:shd w:val="clear" w:color="auto" w:fill="auto"/>
          </w:tcPr>
          <w:p w14:paraId="0103FF91" w14:textId="77777777" w:rsidR="00BA03C6" w:rsidRPr="00BA03C6" w:rsidRDefault="00BA03C6" w:rsidP="00BA03C6">
            <w:pPr>
              <w:pStyle w:val="NoSpacing"/>
              <w:rPr>
                <w:rFonts w:ascii="Times New Roman" w:hAnsi="Times New Roman" w:cs="Times New Roman"/>
                <w:i/>
              </w:rPr>
            </w:pPr>
            <w:r w:rsidRPr="00BA03C6">
              <w:rPr>
                <w:rFonts w:ascii="Times New Roman" w:hAnsi="Times New Roman" w:cs="Times New Roman"/>
                <w:i/>
              </w:rPr>
              <w:t xml:space="preserve">p </w:t>
            </w:r>
            <w:r w:rsidRPr="00BA03C6">
              <w:rPr>
                <w:rFonts w:ascii="Times New Roman" w:hAnsi="Times New Roman" w:cs="Times New Roman"/>
              </w:rPr>
              <w:t xml:space="preserve">= .85, </w:t>
            </w:r>
            <w:r w:rsidRPr="00BA03C6">
              <w:rPr>
                <w:rFonts w:ascii="Times New Roman" w:hAnsi="Times New Roman" w:cs="Times New Roman"/>
                <w:i/>
              </w:rPr>
              <w:t xml:space="preserve">d </w:t>
            </w:r>
            <w:r w:rsidRPr="00BA03C6">
              <w:rPr>
                <w:rFonts w:ascii="Times New Roman" w:hAnsi="Times New Roman" w:cs="Times New Roman"/>
              </w:rPr>
              <w:t>= .19</w:t>
            </w:r>
          </w:p>
        </w:tc>
      </w:tr>
      <w:tr w:rsidR="00BA03C6" w:rsidRPr="00BA03C6" w14:paraId="78CB6B0A" w14:textId="77777777" w:rsidTr="002A1E63">
        <w:trPr>
          <w:trHeight w:val="913"/>
        </w:trPr>
        <w:tc>
          <w:tcPr>
            <w:tcW w:w="3542" w:type="dxa"/>
            <w:shd w:val="clear" w:color="auto" w:fill="auto"/>
          </w:tcPr>
          <w:p w14:paraId="14E4249C"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Soft-drink</w:t>
            </w:r>
            <w:r w:rsidRPr="00BA03C6">
              <w:rPr>
                <w:rFonts w:ascii="Times New Roman" w:hAnsi="Times New Roman" w:cs="Times New Roman"/>
              </w:rPr>
              <w:t>: heavy vs. moderated drinkers</w:t>
            </w:r>
          </w:p>
        </w:tc>
        <w:tc>
          <w:tcPr>
            <w:tcW w:w="1844" w:type="dxa"/>
            <w:shd w:val="clear" w:color="auto" w:fill="auto"/>
          </w:tcPr>
          <w:p w14:paraId="0F5D2D9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.14, </w:t>
            </w:r>
            <w:r w:rsidRPr="00BA03C6">
              <w:rPr>
                <w:rFonts w:ascii="Times New Roman" w:hAnsi="Times New Roman" w:cs="Times New Roman"/>
                <w:i/>
                <w:iCs/>
              </w:rPr>
              <w:t>d</w:t>
            </w:r>
            <w:r w:rsidRPr="00BA03C6">
              <w:rPr>
                <w:rFonts w:ascii="Times New Roman" w:hAnsi="Times New Roman" w:cs="Times New Roman"/>
                <w:i/>
              </w:rPr>
              <w:t xml:space="preserve"> </w:t>
            </w:r>
            <w:r w:rsidRPr="00BA03C6">
              <w:rPr>
                <w:rFonts w:ascii="Times New Roman" w:hAnsi="Times New Roman" w:cs="Times New Roman"/>
              </w:rPr>
              <w:t>= .20</w:t>
            </w:r>
          </w:p>
        </w:tc>
        <w:tc>
          <w:tcPr>
            <w:tcW w:w="1843" w:type="dxa"/>
            <w:shd w:val="clear" w:color="auto" w:fill="auto"/>
          </w:tcPr>
          <w:p w14:paraId="04AA721B"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.06, </w:t>
            </w:r>
            <w:r w:rsidRPr="00BA03C6">
              <w:rPr>
                <w:rFonts w:ascii="Times New Roman" w:hAnsi="Times New Roman" w:cs="Times New Roman"/>
                <w:i/>
              </w:rPr>
              <w:t>d</w:t>
            </w:r>
            <w:r w:rsidRPr="00BA03C6">
              <w:rPr>
                <w:rFonts w:ascii="Times New Roman" w:hAnsi="Times New Roman" w:cs="Times New Roman"/>
              </w:rPr>
              <w:t xml:space="preserve"> = .28</w:t>
            </w:r>
          </w:p>
        </w:tc>
        <w:tc>
          <w:tcPr>
            <w:tcW w:w="1953" w:type="dxa"/>
            <w:shd w:val="clear" w:color="auto" w:fill="auto"/>
          </w:tcPr>
          <w:p w14:paraId="19E81DC9" w14:textId="77777777" w:rsidR="00BA03C6" w:rsidRPr="00BA03C6" w:rsidRDefault="00BA03C6" w:rsidP="00BA03C6">
            <w:pPr>
              <w:pStyle w:val="NoSpacing"/>
              <w:rPr>
                <w:rFonts w:ascii="Times New Roman" w:hAnsi="Times New Roman" w:cs="Times New Roman"/>
                <w:b/>
              </w:rPr>
            </w:pPr>
            <w:r w:rsidRPr="00BA03C6">
              <w:rPr>
                <w:rFonts w:ascii="Times New Roman" w:hAnsi="Times New Roman" w:cs="Times New Roman"/>
                <w:b/>
                <w:i/>
              </w:rPr>
              <w:t>p</w:t>
            </w:r>
            <w:r w:rsidRPr="00BA03C6">
              <w:rPr>
                <w:rFonts w:ascii="Times New Roman" w:hAnsi="Times New Roman" w:cs="Times New Roman"/>
                <w:b/>
              </w:rPr>
              <w:t xml:space="preserve"> &lt; .01, </w:t>
            </w:r>
            <w:r w:rsidRPr="00BA03C6">
              <w:rPr>
                <w:rFonts w:ascii="Times New Roman" w:hAnsi="Times New Roman" w:cs="Times New Roman"/>
                <w:b/>
                <w:i/>
              </w:rPr>
              <w:t>d</w:t>
            </w:r>
            <w:r w:rsidRPr="00BA03C6">
              <w:rPr>
                <w:rFonts w:ascii="Times New Roman" w:hAnsi="Times New Roman" w:cs="Times New Roman"/>
                <w:b/>
              </w:rPr>
              <w:t xml:space="preserve"> = .53</w:t>
            </w:r>
          </w:p>
        </w:tc>
      </w:tr>
      <w:tr w:rsidR="00BA03C6" w:rsidRPr="00BA03C6" w14:paraId="68AC50C4" w14:textId="77777777" w:rsidTr="002A1E63">
        <w:trPr>
          <w:trHeight w:val="913"/>
        </w:trPr>
        <w:tc>
          <w:tcPr>
            <w:tcW w:w="3542" w:type="dxa"/>
            <w:shd w:val="clear" w:color="auto" w:fill="auto"/>
          </w:tcPr>
          <w:p w14:paraId="2ED65DFA"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Heavy drinkers</w:t>
            </w:r>
            <w:r w:rsidRPr="00BA03C6">
              <w:rPr>
                <w:rFonts w:ascii="Times New Roman" w:hAnsi="Times New Roman" w:cs="Times New Roman"/>
              </w:rPr>
              <w:t>: alcohol vs. soft-drink</w:t>
            </w:r>
          </w:p>
        </w:tc>
        <w:tc>
          <w:tcPr>
            <w:tcW w:w="1844" w:type="dxa"/>
            <w:shd w:val="clear" w:color="auto" w:fill="auto"/>
          </w:tcPr>
          <w:p w14:paraId="70DFFAF0"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.58, </w:t>
            </w:r>
            <w:r w:rsidRPr="00BA03C6">
              <w:rPr>
                <w:rFonts w:ascii="Times New Roman" w:hAnsi="Times New Roman" w:cs="Times New Roman"/>
                <w:i/>
              </w:rPr>
              <w:t>d</w:t>
            </w:r>
            <w:r w:rsidRPr="00BA03C6">
              <w:rPr>
                <w:rFonts w:ascii="Times New Roman" w:hAnsi="Times New Roman" w:cs="Times New Roman"/>
              </w:rPr>
              <w:t xml:space="preserve"> = .03</w:t>
            </w:r>
          </w:p>
        </w:tc>
        <w:tc>
          <w:tcPr>
            <w:tcW w:w="1843" w:type="dxa"/>
            <w:shd w:val="clear" w:color="auto" w:fill="auto"/>
          </w:tcPr>
          <w:p w14:paraId="5BAAAF1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.31, </w:t>
            </w:r>
            <w:r w:rsidRPr="00BA03C6">
              <w:rPr>
                <w:rFonts w:ascii="Times New Roman" w:hAnsi="Times New Roman" w:cs="Times New Roman"/>
                <w:i/>
              </w:rPr>
              <w:t xml:space="preserve">d </w:t>
            </w:r>
            <w:r w:rsidRPr="00BA03C6">
              <w:rPr>
                <w:rFonts w:ascii="Times New Roman" w:hAnsi="Times New Roman" w:cs="Times New Roman"/>
              </w:rPr>
              <w:t>= .07</w:t>
            </w:r>
          </w:p>
        </w:tc>
        <w:tc>
          <w:tcPr>
            <w:tcW w:w="1953" w:type="dxa"/>
            <w:shd w:val="clear" w:color="auto" w:fill="auto"/>
          </w:tcPr>
          <w:p w14:paraId="3E0BE06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p</w:t>
            </w:r>
            <w:r w:rsidRPr="00BA03C6">
              <w:rPr>
                <w:rFonts w:ascii="Times New Roman" w:hAnsi="Times New Roman" w:cs="Times New Roman"/>
              </w:rPr>
              <w:t xml:space="preserve"> = .75, </w:t>
            </w:r>
            <w:r w:rsidRPr="00BA03C6">
              <w:rPr>
                <w:rFonts w:ascii="Times New Roman" w:hAnsi="Times New Roman" w:cs="Times New Roman"/>
                <w:i/>
              </w:rPr>
              <w:t>d</w:t>
            </w:r>
            <w:r w:rsidRPr="00BA03C6">
              <w:rPr>
                <w:rFonts w:ascii="Times New Roman" w:hAnsi="Times New Roman" w:cs="Times New Roman"/>
              </w:rPr>
              <w:t xml:space="preserve"> = .09</w:t>
            </w:r>
          </w:p>
        </w:tc>
      </w:tr>
      <w:tr w:rsidR="00BA03C6" w:rsidRPr="00BA03C6" w14:paraId="5E9A7699" w14:textId="77777777" w:rsidTr="002A1E63">
        <w:trPr>
          <w:trHeight w:val="913"/>
        </w:trPr>
        <w:tc>
          <w:tcPr>
            <w:tcW w:w="3542" w:type="dxa"/>
            <w:tcBorders>
              <w:bottom w:val="single" w:sz="4" w:space="0" w:color="000000"/>
            </w:tcBorders>
            <w:shd w:val="clear" w:color="auto" w:fill="auto"/>
          </w:tcPr>
          <w:p w14:paraId="35A35362" w14:textId="77777777" w:rsidR="00BA03C6" w:rsidRPr="00BA03C6" w:rsidRDefault="00BA03C6" w:rsidP="00BA03C6">
            <w:pPr>
              <w:pStyle w:val="NoSpacing"/>
              <w:rPr>
                <w:rFonts w:ascii="Times New Roman" w:hAnsi="Times New Roman" w:cs="Times New Roman"/>
                <w:u w:val="single"/>
              </w:rPr>
            </w:pPr>
            <w:r w:rsidRPr="00BA03C6">
              <w:rPr>
                <w:rFonts w:ascii="Times New Roman" w:hAnsi="Times New Roman" w:cs="Times New Roman"/>
                <w:u w:val="single"/>
              </w:rPr>
              <w:t>Moderated drinkers</w:t>
            </w:r>
            <w:r w:rsidRPr="00BA03C6">
              <w:rPr>
                <w:rFonts w:ascii="Times New Roman" w:hAnsi="Times New Roman" w:cs="Times New Roman"/>
              </w:rPr>
              <w:t>: alcohol vs. soft-drink</w:t>
            </w:r>
          </w:p>
        </w:tc>
        <w:tc>
          <w:tcPr>
            <w:tcW w:w="1844" w:type="dxa"/>
            <w:tcBorders>
              <w:bottom w:val="single" w:sz="4" w:space="0" w:color="000000"/>
            </w:tcBorders>
            <w:shd w:val="clear" w:color="auto" w:fill="auto"/>
          </w:tcPr>
          <w:p w14:paraId="55C2AAD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rPr>
              <w:t>p</w:t>
            </w:r>
            <w:r w:rsidRPr="00BA03C6">
              <w:rPr>
                <w:rFonts w:ascii="Times New Roman" w:hAnsi="Times New Roman" w:cs="Times New Roman"/>
                <w:bCs/>
              </w:rPr>
              <w:t xml:space="preserve"> = .48, </w:t>
            </w:r>
            <w:r w:rsidRPr="00BA03C6">
              <w:rPr>
                <w:rFonts w:ascii="Times New Roman" w:hAnsi="Times New Roman" w:cs="Times New Roman"/>
                <w:bCs/>
                <w:i/>
              </w:rPr>
              <w:t>d</w:t>
            </w:r>
            <w:r w:rsidRPr="00BA03C6">
              <w:rPr>
                <w:rFonts w:ascii="Times New Roman" w:hAnsi="Times New Roman" w:cs="Times New Roman"/>
                <w:bCs/>
              </w:rPr>
              <w:t xml:space="preserve"> = .01</w:t>
            </w:r>
          </w:p>
        </w:tc>
        <w:tc>
          <w:tcPr>
            <w:tcW w:w="1843" w:type="dxa"/>
            <w:tcBorders>
              <w:bottom w:val="single" w:sz="4" w:space="0" w:color="000000"/>
            </w:tcBorders>
            <w:shd w:val="clear" w:color="auto" w:fill="auto"/>
          </w:tcPr>
          <w:p w14:paraId="28201A6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rPr>
              <w:t xml:space="preserve">p </w:t>
            </w:r>
            <w:r w:rsidRPr="00BA03C6">
              <w:rPr>
                <w:rFonts w:ascii="Times New Roman" w:hAnsi="Times New Roman" w:cs="Times New Roman"/>
              </w:rPr>
              <w:t xml:space="preserve">= .77, </w:t>
            </w:r>
            <w:r w:rsidRPr="00BA03C6">
              <w:rPr>
                <w:rFonts w:ascii="Times New Roman" w:hAnsi="Times New Roman" w:cs="Times New Roman"/>
                <w:i/>
              </w:rPr>
              <w:t>d</w:t>
            </w:r>
            <w:r w:rsidRPr="00BA03C6">
              <w:rPr>
                <w:rFonts w:ascii="Times New Roman" w:hAnsi="Times New Roman" w:cs="Times New Roman"/>
              </w:rPr>
              <w:t xml:space="preserve"> = .09</w:t>
            </w:r>
          </w:p>
        </w:tc>
        <w:tc>
          <w:tcPr>
            <w:tcW w:w="1953" w:type="dxa"/>
            <w:tcBorders>
              <w:bottom w:val="single" w:sz="4" w:space="0" w:color="000000"/>
            </w:tcBorders>
            <w:shd w:val="clear" w:color="auto" w:fill="auto"/>
          </w:tcPr>
          <w:p w14:paraId="72A27CCB"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i/>
              </w:rPr>
              <w:t>p</w:t>
            </w:r>
            <w:r w:rsidRPr="00BA03C6">
              <w:rPr>
                <w:rFonts w:ascii="Times New Roman" w:hAnsi="Times New Roman" w:cs="Times New Roman"/>
                <w:b/>
                <w:bCs/>
              </w:rPr>
              <w:t xml:space="preserve"> &lt; .001, </w:t>
            </w:r>
            <w:r w:rsidRPr="00BA03C6">
              <w:rPr>
                <w:rFonts w:ascii="Times New Roman" w:hAnsi="Times New Roman" w:cs="Times New Roman"/>
                <w:b/>
                <w:bCs/>
                <w:i/>
              </w:rPr>
              <w:t>d</w:t>
            </w:r>
            <w:r w:rsidRPr="00BA03C6">
              <w:rPr>
                <w:rFonts w:ascii="Times New Roman" w:hAnsi="Times New Roman" w:cs="Times New Roman"/>
                <w:b/>
                <w:bCs/>
              </w:rPr>
              <w:t xml:space="preserve"> = .43</w:t>
            </w:r>
          </w:p>
        </w:tc>
      </w:tr>
    </w:tbl>
    <w:p w14:paraId="0394DF7E" w14:textId="6ACB0CA2" w:rsid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i/>
        </w:rPr>
        <w:t xml:space="preserve">Note. d </w:t>
      </w:r>
      <w:r w:rsidRPr="00BA03C6">
        <w:rPr>
          <w:rFonts w:ascii="Times New Roman" w:hAnsi="Times New Roman" w:cs="Times New Roman"/>
        </w:rPr>
        <w:t xml:space="preserve">= Cohen’s </w:t>
      </w:r>
      <w:r w:rsidRPr="00BA03C6">
        <w:rPr>
          <w:rFonts w:ascii="Times New Roman" w:hAnsi="Times New Roman" w:cs="Times New Roman"/>
          <w:i/>
        </w:rPr>
        <w:t>d</w:t>
      </w:r>
      <w:r w:rsidRPr="00BA03C6">
        <w:rPr>
          <w:rFonts w:ascii="Times New Roman" w:hAnsi="Times New Roman" w:cs="Times New Roman"/>
        </w:rPr>
        <w:t xml:space="preserve"> effect size, </w:t>
      </w:r>
      <w:proofErr w:type="spellStart"/>
      <w:r w:rsidRPr="00BA03C6">
        <w:rPr>
          <w:rFonts w:ascii="Times New Roman" w:hAnsi="Times New Roman" w:cs="Times New Roman"/>
          <w:i/>
          <w:iCs/>
        </w:rPr>
        <w:t>r</w:t>
      </w:r>
      <w:r w:rsidRPr="00BA03C6">
        <w:rPr>
          <w:rFonts w:ascii="Times New Roman" w:hAnsi="Times New Roman" w:cs="Times New Roman"/>
          <w:vertAlign w:val="subscript"/>
        </w:rPr>
        <w:t>rb</w:t>
      </w:r>
      <w:proofErr w:type="spellEnd"/>
      <w:r w:rsidRPr="00BA03C6">
        <w:rPr>
          <w:rFonts w:ascii="Times New Roman" w:hAnsi="Times New Roman" w:cs="Times New Roman"/>
          <w:i/>
        </w:rPr>
        <w:t xml:space="preserve"> </w:t>
      </w:r>
      <w:r w:rsidRPr="00BA03C6">
        <w:rPr>
          <w:rFonts w:ascii="Times New Roman" w:hAnsi="Times New Roman" w:cs="Times New Roman"/>
        </w:rPr>
        <w:t xml:space="preserve">= rank biserial correlation effect size. </w:t>
      </w:r>
    </w:p>
    <w:p w14:paraId="0AB09F63" w14:textId="77777777" w:rsidR="00BA03C6" w:rsidRPr="00BA03C6" w:rsidRDefault="00BA03C6" w:rsidP="00BA03C6">
      <w:pPr>
        <w:pStyle w:val="NoSpacing"/>
        <w:spacing w:line="480" w:lineRule="auto"/>
        <w:rPr>
          <w:rFonts w:ascii="Times New Roman" w:hAnsi="Times New Roman" w:cs="Times New Roman"/>
        </w:rPr>
      </w:pPr>
    </w:p>
    <w:p w14:paraId="24078F82"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 xml:space="preserve">The finding that moderated drinkers have significantly lower response thresholds for soft-drinks reported in the manuscript appears to be carried by trials that are </w:t>
      </w:r>
      <w:r w:rsidRPr="00BA03C6">
        <w:rPr>
          <w:rFonts w:ascii="Times New Roman" w:hAnsi="Times New Roman" w:cs="Times New Roman"/>
          <w:u w:val="single"/>
        </w:rPr>
        <w:t>difficult</w:t>
      </w:r>
      <w:r w:rsidRPr="00BA03C6">
        <w:rPr>
          <w:rFonts w:ascii="Times New Roman" w:hAnsi="Times New Roman" w:cs="Times New Roman"/>
        </w:rPr>
        <w:t xml:space="preserve">. To elaborate, in difficult trials, soft-drink response thresholds were lower in moderated drinkers (M = 1.41, SD = .27) compared to in heavy drinkers (M = 1.56, SD = .28). Interestingly, </w:t>
      </w:r>
      <w:r w:rsidRPr="00BA03C6">
        <w:rPr>
          <w:rFonts w:ascii="Times New Roman" w:hAnsi="Times New Roman" w:cs="Times New Roman"/>
        </w:rPr>
        <w:lastRenderedPageBreak/>
        <w:t xml:space="preserve">although the within-subject comparison in moderated drinkers between average alcohol and soft-drink response thresholds was non-significant, when looking at difficulty levels in isolation, moderated drinkers have significantly reduced soft-drink response thresholds compared to their alcohol response thresholds (M = 1.52, SD = .32), but only on trials that are </w:t>
      </w:r>
      <w:r w:rsidRPr="00BA03C6">
        <w:rPr>
          <w:rFonts w:ascii="Times New Roman" w:hAnsi="Times New Roman" w:cs="Times New Roman"/>
          <w:u w:val="single"/>
        </w:rPr>
        <w:t>difficult</w:t>
      </w:r>
      <w:r w:rsidRPr="00BA03C6">
        <w:rPr>
          <w:rFonts w:ascii="Times New Roman" w:hAnsi="Times New Roman" w:cs="Times New Roman"/>
        </w:rPr>
        <w:t>.</w:t>
      </w:r>
    </w:p>
    <w:p w14:paraId="51193196" w14:textId="77777777" w:rsidR="00BA03C6" w:rsidRPr="00BA03C6" w:rsidRDefault="00BA03C6" w:rsidP="00BA03C6">
      <w:pPr>
        <w:pStyle w:val="NoSpacing"/>
      </w:pPr>
    </w:p>
    <w:p w14:paraId="4E902CA5" w14:textId="77777777" w:rsidR="00BA03C6" w:rsidRPr="00BA03C6" w:rsidRDefault="00BA03C6" w:rsidP="00BA03C6">
      <w:pPr>
        <w:pStyle w:val="NoSpacing"/>
      </w:pPr>
    </w:p>
    <w:p w14:paraId="0C0D9807" w14:textId="77777777" w:rsidR="00BA03C6" w:rsidRPr="00BA03C6" w:rsidRDefault="00BA03C6" w:rsidP="00BA03C6">
      <w:pPr>
        <w:pStyle w:val="NoSpacing"/>
      </w:pPr>
    </w:p>
    <w:p w14:paraId="008DEF1B" w14:textId="77777777" w:rsidR="00BA03C6" w:rsidRPr="00BA03C6" w:rsidRDefault="00BA03C6" w:rsidP="00BA03C6">
      <w:pPr>
        <w:pStyle w:val="NoSpacing"/>
      </w:pPr>
    </w:p>
    <w:p w14:paraId="601A98E0" w14:textId="77777777" w:rsidR="00BA03C6" w:rsidRPr="00BA03C6" w:rsidRDefault="00BA03C6" w:rsidP="00BA03C6">
      <w:pPr>
        <w:pStyle w:val="NoSpacing"/>
      </w:pPr>
    </w:p>
    <w:p w14:paraId="3EEEF4A8" w14:textId="77777777" w:rsidR="00BA03C6" w:rsidRDefault="00BA03C6" w:rsidP="00093B56">
      <w:pPr>
        <w:pStyle w:val="NoSpacing"/>
      </w:pPr>
    </w:p>
    <w:p w14:paraId="2B62BFEF" w14:textId="066A0DF7" w:rsidR="0010042E" w:rsidRDefault="0010042E" w:rsidP="00093B56">
      <w:pPr>
        <w:pStyle w:val="NoSpacing"/>
      </w:pPr>
    </w:p>
    <w:p w14:paraId="2DA683EA" w14:textId="681F70E9" w:rsidR="0010042E" w:rsidRDefault="0010042E" w:rsidP="00093B56">
      <w:pPr>
        <w:pStyle w:val="NoSpacing"/>
      </w:pPr>
    </w:p>
    <w:p w14:paraId="193B90BC" w14:textId="1D2C39F7" w:rsidR="0010042E" w:rsidRDefault="0010042E" w:rsidP="00093B56">
      <w:pPr>
        <w:pStyle w:val="NoSpacing"/>
      </w:pPr>
    </w:p>
    <w:p w14:paraId="44B87F03" w14:textId="74ED7E76" w:rsidR="0010042E" w:rsidRDefault="0010042E" w:rsidP="00093B56">
      <w:pPr>
        <w:pStyle w:val="NoSpacing"/>
      </w:pPr>
    </w:p>
    <w:p w14:paraId="5619760B" w14:textId="29D26388" w:rsidR="0010042E" w:rsidRDefault="0010042E" w:rsidP="00093B56">
      <w:pPr>
        <w:pStyle w:val="NoSpacing"/>
      </w:pPr>
    </w:p>
    <w:p w14:paraId="07412297" w14:textId="0518BC78" w:rsidR="0010042E" w:rsidRDefault="0010042E" w:rsidP="00093B56">
      <w:pPr>
        <w:pStyle w:val="NoSpacing"/>
      </w:pPr>
    </w:p>
    <w:p w14:paraId="210302DD" w14:textId="0B91A5C4" w:rsidR="00BA03C6" w:rsidRDefault="00BA03C6" w:rsidP="00093B56">
      <w:pPr>
        <w:pStyle w:val="NoSpacing"/>
      </w:pPr>
    </w:p>
    <w:p w14:paraId="6D90FCA2" w14:textId="6E38C809" w:rsidR="00BA03C6" w:rsidRDefault="00BA03C6" w:rsidP="00093B56">
      <w:pPr>
        <w:pStyle w:val="NoSpacing"/>
      </w:pPr>
    </w:p>
    <w:p w14:paraId="135F04C6" w14:textId="3F46CB04" w:rsidR="00BA03C6" w:rsidRDefault="00BA03C6" w:rsidP="00093B56">
      <w:pPr>
        <w:pStyle w:val="NoSpacing"/>
      </w:pPr>
    </w:p>
    <w:p w14:paraId="19E71CF1" w14:textId="524DFDC6" w:rsidR="00BA03C6" w:rsidRDefault="00BA03C6" w:rsidP="00093B56">
      <w:pPr>
        <w:pStyle w:val="NoSpacing"/>
      </w:pPr>
    </w:p>
    <w:p w14:paraId="150D85ED" w14:textId="42D78547" w:rsidR="00BA03C6" w:rsidRDefault="00BA03C6" w:rsidP="00093B56">
      <w:pPr>
        <w:pStyle w:val="NoSpacing"/>
      </w:pPr>
    </w:p>
    <w:p w14:paraId="6120C6C3" w14:textId="41761C1A" w:rsidR="00BA03C6" w:rsidRDefault="00BA03C6" w:rsidP="00093B56">
      <w:pPr>
        <w:pStyle w:val="NoSpacing"/>
      </w:pPr>
    </w:p>
    <w:p w14:paraId="6B20F58C" w14:textId="6A78EF79" w:rsidR="00BA03C6" w:rsidRDefault="00BA03C6" w:rsidP="00093B56">
      <w:pPr>
        <w:pStyle w:val="NoSpacing"/>
      </w:pPr>
    </w:p>
    <w:p w14:paraId="3C87D949" w14:textId="42A7A7AD" w:rsidR="00BA03C6" w:rsidRDefault="00BA03C6" w:rsidP="00093B56">
      <w:pPr>
        <w:pStyle w:val="NoSpacing"/>
      </w:pPr>
    </w:p>
    <w:p w14:paraId="34D86FBD" w14:textId="6E4381F8" w:rsidR="00BA03C6" w:rsidRDefault="00BA03C6" w:rsidP="00093B56">
      <w:pPr>
        <w:pStyle w:val="NoSpacing"/>
      </w:pPr>
    </w:p>
    <w:p w14:paraId="2EDDFEE8" w14:textId="1588CED8" w:rsidR="00BA03C6" w:rsidRDefault="00BA03C6" w:rsidP="00093B56">
      <w:pPr>
        <w:pStyle w:val="NoSpacing"/>
      </w:pPr>
    </w:p>
    <w:p w14:paraId="3C73EFAA" w14:textId="46BE1344" w:rsidR="00BA03C6" w:rsidRDefault="00BA03C6" w:rsidP="00093B56">
      <w:pPr>
        <w:pStyle w:val="NoSpacing"/>
      </w:pPr>
    </w:p>
    <w:p w14:paraId="04F5EEA0" w14:textId="69D01836" w:rsidR="00BA03C6" w:rsidRDefault="00BA03C6" w:rsidP="00093B56">
      <w:pPr>
        <w:pStyle w:val="NoSpacing"/>
      </w:pPr>
    </w:p>
    <w:p w14:paraId="6F3DB046" w14:textId="2CA05369" w:rsidR="00BA03C6" w:rsidRDefault="00BA03C6" w:rsidP="00093B56">
      <w:pPr>
        <w:pStyle w:val="NoSpacing"/>
      </w:pPr>
    </w:p>
    <w:p w14:paraId="1DAC9EDD" w14:textId="02575536" w:rsidR="00BA03C6" w:rsidRDefault="00BA03C6" w:rsidP="00093B56">
      <w:pPr>
        <w:pStyle w:val="NoSpacing"/>
      </w:pPr>
    </w:p>
    <w:p w14:paraId="6B6CB2AF" w14:textId="440FDB03" w:rsidR="00BA03C6" w:rsidRDefault="00BA03C6" w:rsidP="00093B56">
      <w:pPr>
        <w:pStyle w:val="NoSpacing"/>
      </w:pPr>
    </w:p>
    <w:p w14:paraId="2F51E12D" w14:textId="73384214" w:rsidR="00BA03C6" w:rsidRDefault="00BA03C6" w:rsidP="00093B56">
      <w:pPr>
        <w:pStyle w:val="NoSpacing"/>
      </w:pPr>
    </w:p>
    <w:p w14:paraId="504BE516" w14:textId="0AA06585" w:rsidR="00BA03C6" w:rsidRDefault="00BA03C6" w:rsidP="00093B56">
      <w:pPr>
        <w:pStyle w:val="NoSpacing"/>
      </w:pPr>
    </w:p>
    <w:p w14:paraId="466361B4" w14:textId="6DA80DAE" w:rsidR="00BA03C6" w:rsidRDefault="00BA03C6" w:rsidP="00093B56">
      <w:pPr>
        <w:pStyle w:val="NoSpacing"/>
      </w:pPr>
    </w:p>
    <w:p w14:paraId="6321BD80" w14:textId="206FC9EB" w:rsidR="00BA03C6" w:rsidRDefault="00BA03C6" w:rsidP="00093B56">
      <w:pPr>
        <w:pStyle w:val="NoSpacing"/>
      </w:pPr>
    </w:p>
    <w:p w14:paraId="7BA1FDDB" w14:textId="1094B153" w:rsidR="00BA03C6" w:rsidRDefault="00BA03C6" w:rsidP="00093B56">
      <w:pPr>
        <w:pStyle w:val="NoSpacing"/>
      </w:pPr>
    </w:p>
    <w:p w14:paraId="33636CE2" w14:textId="67D86ED3" w:rsidR="00BA03C6" w:rsidRDefault="00BA03C6" w:rsidP="00093B56">
      <w:pPr>
        <w:pStyle w:val="NoSpacing"/>
      </w:pPr>
    </w:p>
    <w:p w14:paraId="75208D36" w14:textId="77777777" w:rsidR="00BA03C6" w:rsidRDefault="00BA03C6" w:rsidP="00093B56">
      <w:pPr>
        <w:pStyle w:val="NoSpacing"/>
      </w:pPr>
    </w:p>
    <w:p w14:paraId="3C6D29C0" w14:textId="42E78C9B" w:rsidR="00BA03C6" w:rsidRDefault="00BA03C6" w:rsidP="00093B56">
      <w:pPr>
        <w:pStyle w:val="NoSpacing"/>
      </w:pPr>
    </w:p>
    <w:p w14:paraId="4809F8B0" w14:textId="419664BC" w:rsidR="00BA03C6" w:rsidRDefault="00BA03C6" w:rsidP="00093B56">
      <w:pPr>
        <w:pStyle w:val="NoSpacing"/>
      </w:pPr>
    </w:p>
    <w:p w14:paraId="41A3503F" w14:textId="314A5375" w:rsidR="00BA03C6" w:rsidRDefault="00BA03C6" w:rsidP="00093B56">
      <w:pPr>
        <w:pStyle w:val="NoSpacing"/>
      </w:pPr>
    </w:p>
    <w:p w14:paraId="5E6C0A6C" w14:textId="77777777" w:rsidR="00BA03C6" w:rsidRPr="00BA03C6" w:rsidRDefault="00BA03C6" w:rsidP="00BA03C6">
      <w:pPr>
        <w:pStyle w:val="NoSpacing"/>
        <w:spacing w:line="480" w:lineRule="auto"/>
        <w:rPr>
          <w:rFonts w:ascii="Times New Roman" w:hAnsi="Times New Roman" w:cs="Times New Roman"/>
          <w:b/>
          <w:bCs/>
        </w:rPr>
      </w:pPr>
      <w:r w:rsidRPr="00BA03C6">
        <w:rPr>
          <w:rFonts w:ascii="Times New Roman" w:hAnsi="Times New Roman" w:cs="Times New Roman"/>
          <w:b/>
          <w:bCs/>
        </w:rPr>
        <w:t>7. Order of blocks of trials on the VBDM task: does this matter?</w:t>
      </w:r>
    </w:p>
    <w:p w14:paraId="71D8AA52"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 xml:space="preserve">The order of blocks in the decision-making task was randomized, such that for some participants the soft-drink trials were completed first, whilst for others the alcohol trials were completed first. To explore the importance of order of blocks presented in the decision-making task, we conducted a two-way between-subjects ANOVA with drinker type (2: heavy; moderated) and order (2: soft-drink first; alcohol first). In the data, order of blocks is coded as 1 = soft-drink first, and 2 = alcohol first. Overall, for EA rates and response thresholds for both alcohol and soft-drinks, there was no evidence to suggest that the order in which participants completed the blocks altered the decision-parameters (all </w:t>
      </w:r>
      <w:proofErr w:type="spellStart"/>
      <w:r w:rsidRPr="00BA03C6">
        <w:rPr>
          <w:rFonts w:ascii="Times New Roman" w:hAnsi="Times New Roman" w:cs="Times New Roman"/>
          <w:i/>
          <w:iCs/>
        </w:rPr>
        <w:t>p</w:t>
      </w:r>
      <w:r w:rsidRPr="00BA03C6">
        <w:rPr>
          <w:rFonts w:ascii="Times New Roman" w:hAnsi="Times New Roman" w:cs="Times New Roman"/>
        </w:rPr>
        <w:t>s</w:t>
      </w:r>
      <w:proofErr w:type="spellEnd"/>
      <w:r w:rsidRPr="00BA03C6">
        <w:rPr>
          <w:rFonts w:ascii="Times New Roman" w:hAnsi="Times New Roman" w:cs="Times New Roman"/>
        </w:rPr>
        <w:t xml:space="preserve"> &gt; .05, see below). </w:t>
      </w:r>
    </w:p>
    <w:p w14:paraId="200B0ADF" w14:textId="77777777" w:rsidR="00BA03C6" w:rsidRPr="00BA03C6" w:rsidRDefault="00BA03C6" w:rsidP="00BA03C6">
      <w:pPr>
        <w:pStyle w:val="NoSpacing"/>
        <w:spacing w:line="480" w:lineRule="auto"/>
        <w:rPr>
          <w:rFonts w:ascii="Times New Roman" w:hAnsi="Times New Roman" w:cs="Times New Roman"/>
        </w:rPr>
      </w:pPr>
    </w:p>
    <w:p w14:paraId="62ACC2E2" w14:textId="77777777" w:rsidR="00BA03C6" w:rsidRPr="00BA03C6" w:rsidRDefault="00BA03C6" w:rsidP="00BA03C6">
      <w:pPr>
        <w:pStyle w:val="NoSpacing"/>
        <w:spacing w:line="480" w:lineRule="auto"/>
        <w:rPr>
          <w:rFonts w:ascii="Times New Roman" w:hAnsi="Times New Roman" w:cs="Times New Roman"/>
          <w:u w:val="single"/>
        </w:rPr>
      </w:pPr>
      <w:r w:rsidRPr="00BA03C6">
        <w:rPr>
          <w:rFonts w:ascii="Times New Roman" w:hAnsi="Times New Roman" w:cs="Times New Roman"/>
          <w:u w:val="single"/>
        </w:rPr>
        <w:t>EA rates</w:t>
      </w:r>
    </w:p>
    <w:p w14:paraId="18BD48F2"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There was no significant main effect of drinker status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1,116) = .13, </w:t>
      </w:r>
      <w:r w:rsidRPr="00BA03C6">
        <w:rPr>
          <w:rFonts w:ascii="Times New Roman" w:hAnsi="Times New Roman" w:cs="Times New Roman"/>
          <w:i/>
          <w:iCs/>
        </w:rPr>
        <w:t>p</w:t>
      </w:r>
      <w:r w:rsidRPr="00BA03C6">
        <w:rPr>
          <w:rFonts w:ascii="Times New Roman" w:hAnsi="Times New Roman" w:cs="Times New Roman"/>
        </w:rPr>
        <w:t xml:space="preserve"> = .72, np</w:t>
      </w:r>
      <w:r w:rsidRPr="00BA03C6">
        <w:rPr>
          <w:rFonts w:ascii="Times New Roman" w:hAnsi="Times New Roman" w:cs="Times New Roman"/>
          <w:vertAlign w:val="superscript"/>
        </w:rPr>
        <w:t>2</w:t>
      </w:r>
      <w:r w:rsidRPr="00BA03C6">
        <w:rPr>
          <w:rFonts w:ascii="Times New Roman" w:hAnsi="Times New Roman" w:cs="Times New Roman"/>
        </w:rPr>
        <w:t xml:space="preserve"> = .00) or order of blocks (</w:t>
      </w:r>
      <w:r w:rsidRPr="00BA03C6">
        <w:rPr>
          <w:rFonts w:ascii="Times New Roman" w:hAnsi="Times New Roman" w:cs="Times New Roman"/>
          <w:i/>
          <w:iCs/>
        </w:rPr>
        <w:t>F</w:t>
      </w:r>
      <w:r w:rsidRPr="00BA03C6">
        <w:rPr>
          <w:rFonts w:ascii="Times New Roman" w:hAnsi="Times New Roman" w:cs="Times New Roman"/>
        </w:rPr>
        <w:t>(1, 116) = .35, p = .56, np2 = .00) on alcohol EA rates. Furthermore, there was no significant interaction between drinker status and order of blocks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 116) = .19, </w:t>
      </w:r>
      <w:r w:rsidRPr="00BA03C6">
        <w:rPr>
          <w:rFonts w:ascii="Times New Roman" w:hAnsi="Times New Roman" w:cs="Times New Roman"/>
          <w:i/>
          <w:iCs/>
        </w:rPr>
        <w:t>p</w:t>
      </w:r>
      <w:r w:rsidRPr="00BA03C6">
        <w:rPr>
          <w:rFonts w:ascii="Times New Roman" w:hAnsi="Times New Roman" w:cs="Times New Roman"/>
        </w:rPr>
        <w:t xml:space="preserve"> = .66, np</w:t>
      </w:r>
      <w:r w:rsidRPr="00BA03C6">
        <w:rPr>
          <w:rFonts w:ascii="Times New Roman" w:hAnsi="Times New Roman" w:cs="Times New Roman"/>
          <w:vertAlign w:val="superscript"/>
        </w:rPr>
        <w:t>2</w:t>
      </w:r>
      <w:r w:rsidRPr="00BA03C6">
        <w:rPr>
          <w:rFonts w:ascii="Times New Roman" w:hAnsi="Times New Roman" w:cs="Times New Roman"/>
        </w:rPr>
        <w:t xml:space="preserve"> = .00). There was no significant main effect of drinker status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1,116) = .49, </w:t>
      </w:r>
      <w:r w:rsidRPr="00BA03C6">
        <w:rPr>
          <w:rFonts w:ascii="Times New Roman" w:hAnsi="Times New Roman" w:cs="Times New Roman"/>
          <w:i/>
          <w:iCs/>
        </w:rPr>
        <w:t>p</w:t>
      </w:r>
      <w:r w:rsidRPr="00BA03C6">
        <w:rPr>
          <w:rFonts w:ascii="Times New Roman" w:hAnsi="Times New Roman" w:cs="Times New Roman"/>
        </w:rPr>
        <w:t xml:space="preserve"> = .48, np</w:t>
      </w:r>
      <w:r w:rsidRPr="00BA03C6">
        <w:rPr>
          <w:rFonts w:ascii="Times New Roman" w:hAnsi="Times New Roman" w:cs="Times New Roman"/>
          <w:vertAlign w:val="superscript"/>
        </w:rPr>
        <w:t>2</w:t>
      </w:r>
      <w:r w:rsidRPr="00BA03C6">
        <w:rPr>
          <w:rFonts w:ascii="Times New Roman" w:hAnsi="Times New Roman" w:cs="Times New Roman"/>
        </w:rPr>
        <w:t xml:space="preserve"> = .00) or order of blocks (</w:t>
      </w:r>
      <w:r w:rsidRPr="00BA03C6">
        <w:rPr>
          <w:rFonts w:ascii="Times New Roman" w:hAnsi="Times New Roman" w:cs="Times New Roman"/>
          <w:i/>
          <w:iCs/>
        </w:rPr>
        <w:t>F</w:t>
      </w:r>
      <w:r w:rsidRPr="00BA03C6">
        <w:rPr>
          <w:rFonts w:ascii="Times New Roman" w:hAnsi="Times New Roman" w:cs="Times New Roman"/>
        </w:rPr>
        <w:t xml:space="preserve">(1, 116) = 1.43, </w:t>
      </w:r>
      <w:r w:rsidRPr="00BA03C6">
        <w:rPr>
          <w:rFonts w:ascii="Times New Roman" w:hAnsi="Times New Roman" w:cs="Times New Roman"/>
          <w:i/>
          <w:iCs/>
        </w:rPr>
        <w:t>p</w:t>
      </w:r>
      <w:r w:rsidRPr="00BA03C6">
        <w:rPr>
          <w:rFonts w:ascii="Times New Roman" w:hAnsi="Times New Roman" w:cs="Times New Roman"/>
        </w:rPr>
        <w:t xml:space="preserve"> = .23, np</w:t>
      </w:r>
      <w:r w:rsidRPr="00BA03C6">
        <w:rPr>
          <w:rFonts w:ascii="Times New Roman" w:hAnsi="Times New Roman" w:cs="Times New Roman"/>
          <w:vertAlign w:val="superscript"/>
        </w:rPr>
        <w:t>2</w:t>
      </w:r>
      <w:r w:rsidRPr="00BA03C6">
        <w:rPr>
          <w:rFonts w:ascii="Times New Roman" w:hAnsi="Times New Roman" w:cs="Times New Roman"/>
        </w:rPr>
        <w:t xml:space="preserve"> = .01) on soft-drink EA rates. Furthermore, there was no significant interaction between drinker status and order of blocks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 116) = .13, </w:t>
      </w:r>
      <w:r w:rsidRPr="00BA03C6">
        <w:rPr>
          <w:rFonts w:ascii="Times New Roman" w:hAnsi="Times New Roman" w:cs="Times New Roman"/>
          <w:i/>
          <w:iCs/>
        </w:rPr>
        <w:t>p</w:t>
      </w:r>
      <w:r w:rsidRPr="00BA03C6">
        <w:rPr>
          <w:rFonts w:ascii="Times New Roman" w:hAnsi="Times New Roman" w:cs="Times New Roman"/>
        </w:rPr>
        <w:t xml:space="preserve"> = .72, np</w:t>
      </w:r>
      <w:r w:rsidRPr="00BA03C6">
        <w:rPr>
          <w:rFonts w:ascii="Times New Roman" w:hAnsi="Times New Roman" w:cs="Times New Roman"/>
          <w:vertAlign w:val="superscript"/>
        </w:rPr>
        <w:t>2</w:t>
      </w:r>
      <w:r w:rsidRPr="00BA03C6">
        <w:rPr>
          <w:rFonts w:ascii="Times New Roman" w:hAnsi="Times New Roman" w:cs="Times New Roman"/>
        </w:rPr>
        <w:t xml:space="preserve"> = .00). </w:t>
      </w:r>
    </w:p>
    <w:p w14:paraId="30A43485" w14:textId="77777777" w:rsidR="00BA03C6" w:rsidRPr="00BA03C6" w:rsidRDefault="00BA03C6" w:rsidP="00BA03C6">
      <w:pPr>
        <w:pStyle w:val="NoSpacing"/>
        <w:spacing w:line="480" w:lineRule="auto"/>
        <w:rPr>
          <w:rFonts w:ascii="Times New Roman" w:hAnsi="Times New Roman" w:cs="Times New Roman"/>
        </w:rPr>
      </w:pPr>
    </w:p>
    <w:p w14:paraId="267FAC88" w14:textId="77777777" w:rsidR="00BA03C6" w:rsidRPr="00BA03C6" w:rsidRDefault="00BA03C6" w:rsidP="00BA03C6">
      <w:pPr>
        <w:pStyle w:val="NoSpacing"/>
        <w:spacing w:line="480" w:lineRule="auto"/>
        <w:rPr>
          <w:rFonts w:ascii="Times New Roman" w:hAnsi="Times New Roman" w:cs="Times New Roman"/>
          <w:u w:val="single"/>
        </w:rPr>
      </w:pPr>
      <w:r w:rsidRPr="00BA03C6">
        <w:rPr>
          <w:rFonts w:ascii="Times New Roman" w:hAnsi="Times New Roman" w:cs="Times New Roman"/>
          <w:u w:val="single"/>
        </w:rPr>
        <w:t>Response thresholds</w:t>
      </w:r>
    </w:p>
    <w:p w14:paraId="0B0AAB8F"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There was no significant main effect of drinker status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1,116) = 3.11, </w:t>
      </w:r>
      <w:r w:rsidRPr="00BA03C6">
        <w:rPr>
          <w:rFonts w:ascii="Times New Roman" w:hAnsi="Times New Roman" w:cs="Times New Roman"/>
          <w:i/>
          <w:iCs/>
        </w:rPr>
        <w:t>p</w:t>
      </w:r>
      <w:r w:rsidRPr="00BA03C6">
        <w:rPr>
          <w:rFonts w:ascii="Times New Roman" w:hAnsi="Times New Roman" w:cs="Times New Roman"/>
        </w:rPr>
        <w:t xml:space="preserve"> = .08, np</w:t>
      </w:r>
      <w:r w:rsidRPr="00BA03C6">
        <w:rPr>
          <w:rFonts w:ascii="Times New Roman" w:hAnsi="Times New Roman" w:cs="Times New Roman"/>
          <w:vertAlign w:val="superscript"/>
        </w:rPr>
        <w:t>2</w:t>
      </w:r>
      <w:r w:rsidRPr="00BA03C6">
        <w:rPr>
          <w:rFonts w:ascii="Times New Roman" w:hAnsi="Times New Roman" w:cs="Times New Roman"/>
        </w:rPr>
        <w:t xml:space="preserve"> = .03) or order of blocks (</w:t>
      </w:r>
      <w:r w:rsidRPr="00BA03C6">
        <w:rPr>
          <w:rFonts w:ascii="Times New Roman" w:hAnsi="Times New Roman" w:cs="Times New Roman"/>
          <w:i/>
          <w:iCs/>
        </w:rPr>
        <w:t>F</w:t>
      </w:r>
      <w:r w:rsidRPr="00BA03C6">
        <w:rPr>
          <w:rFonts w:ascii="Times New Roman" w:hAnsi="Times New Roman" w:cs="Times New Roman"/>
        </w:rPr>
        <w:t xml:space="preserve">(1, 116) = .66, </w:t>
      </w:r>
      <w:r w:rsidRPr="00BA03C6">
        <w:rPr>
          <w:rFonts w:ascii="Times New Roman" w:hAnsi="Times New Roman" w:cs="Times New Roman"/>
          <w:i/>
          <w:iCs/>
        </w:rPr>
        <w:t>p</w:t>
      </w:r>
      <w:r w:rsidRPr="00BA03C6">
        <w:rPr>
          <w:rFonts w:ascii="Times New Roman" w:hAnsi="Times New Roman" w:cs="Times New Roman"/>
        </w:rPr>
        <w:t xml:space="preserve"> = .42, np</w:t>
      </w:r>
      <w:r w:rsidRPr="00BA03C6">
        <w:rPr>
          <w:rFonts w:ascii="Times New Roman" w:hAnsi="Times New Roman" w:cs="Times New Roman"/>
          <w:vertAlign w:val="superscript"/>
        </w:rPr>
        <w:t>2</w:t>
      </w:r>
      <w:r w:rsidRPr="00BA03C6">
        <w:rPr>
          <w:rFonts w:ascii="Times New Roman" w:hAnsi="Times New Roman" w:cs="Times New Roman"/>
        </w:rPr>
        <w:t xml:space="preserve"> = .01) on alcohol response thresholds. Furthermore, there was no significant interaction between drinker status and order of blocks </w:t>
      </w:r>
      <w:r w:rsidRPr="00BA03C6">
        <w:rPr>
          <w:rFonts w:ascii="Times New Roman" w:hAnsi="Times New Roman" w:cs="Times New Roman"/>
        </w:rPr>
        <w:lastRenderedPageBreak/>
        <w:t>(</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 116) = 1.21, </w:t>
      </w:r>
      <w:r w:rsidRPr="00BA03C6">
        <w:rPr>
          <w:rFonts w:ascii="Times New Roman" w:hAnsi="Times New Roman" w:cs="Times New Roman"/>
          <w:i/>
          <w:iCs/>
        </w:rPr>
        <w:t>p</w:t>
      </w:r>
      <w:r w:rsidRPr="00BA03C6">
        <w:rPr>
          <w:rFonts w:ascii="Times New Roman" w:hAnsi="Times New Roman" w:cs="Times New Roman"/>
        </w:rPr>
        <w:t xml:space="preserve"> = .27, np</w:t>
      </w:r>
      <w:r w:rsidRPr="00BA03C6">
        <w:rPr>
          <w:rFonts w:ascii="Times New Roman" w:hAnsi="Times New Roman" w:cs="Times New Roman"/>
          <w:vertAlign w:val="superscript"/>
        </w:rPr>
        <w:t>2</w:t>
      </w:r>
      <w:r w:rsidRPr="00BA03C6">
        <w:rPr>
          <w:rFonts w:ascii="Times New Roman" w:hAnsi="Times New Roman" w:cs="Times New Roman"/>
        </w:rPr>
        <w:t xml:space="preserve"> = .01). There was a marginally significant main effect of drinker status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1,116) = 3.78, </w:t>
      </w:r>
      <w:r w:rsidRPr="00BA03C6">
        <w:rPr>
          <w:rFonts w:ascii="Times New Roman" w:hAnsi="Times New Roman" w:cs="Times New Roman"/>
          <w:i/>
          <w:iCs/>
        </w:rPr>
        <w:t>p</w:t>
      </w:r>
      <w:r w:rsidRPr="00BA03C6">
        <w:rPr>
          <w:rFonts w:ascii="Times New Roman" w:hAnsi="Times New Roman" w:cs="Times New Roman"/>
        </w:rPr>
        <w:t xml:space="preserve"> = .05, np</w:t>
      </w:r>
      <w:r w:rsidRPr="00BA03C6">
        <w:rPr>
          <w:rFonts w:ascii="Times New Roman" w:hAnsi="Times New Roman" w:cs="Times New Roman"/>
          <w:vertAlign w:val="superscript"/>
        </w:rPr>
        <w:t>2</w:t>
      </w:r>
      <w:r w:rsidRPr="00BA03C6">
        <w:rPr>
          <w:rFonts w:ascii="Times New Roman" w:hAnsi="Times New Roman" w:cs="Times New Roman"/>
        </w:rPr>
        <w:t xml:space="preserve"> = .03) on soft-drink response thresholds. There was however no significant main effect of order of blocks (</w:t>
      </w:r>
      <w:proofErr w:type="gramStart"/>
      <w:r w:rsidRPr="00BA03C6">
        <w:rPr>
          <w:rFonts w:ascii="Times New Roman" w:hAnsi="Times New Roman" w:cs="Times New Roman"/>
          <w:i/>
          <w:iCs/>
        </w:rPr>
        <w:t>F</w:t>
      </w:r>
      <w:r w:rsidRPr="00BA03C6">
        <w:rPr>
          <w:rFonts w:ascii="Times New Roman" w:hAnsi="Times New Roman" w:cs="Times New Roman"/>
        </w:rPr>
        <w:t>(</w:t>
      </w:r>
      <w:proofErr w:type="gramEnd"/>
      <w:r w:rsidRPr="00BA03C6">
        <w:rPr>
          <w:rFonts w:ascii="Times New Roman" w:hAnsi="Times New Roman" w:cs="Times New Roman"/>
        </w:rPr>
        <w:t xml:space="preserve">1, 116) = .00, </w:t>
      </w:r>
      <w:r w:rsidRPr="00BA03C6">
        <w:rPr>
          <w:rFonts w:ascii="Times New Roman" w:hAnsi="Times New Roman" w:cs="Times New Roman"/>
          <w:i/>
          <w:iCs/>
        </w:rPr>
        <w:t>p</w:t>
      </w:r>
      <w:r w:rsidRPr="00BA03C6">
        <w:rPr>
          <w:rFonts w:ascii="Times New Roman" w:hAnsi="Times New Roman" w:cs="Times New Roman"/>
        </w:rPr>
        <w:t xml:space="preserve"> = 1.00, np</w:t>
      </w:r>
      <w:r w:rsidRPr="00BA03C6">
        <w:rPr>
          <w:rFonts w:ascii="Times New Roman" w:hAnsi="Times New Roman" w:cs="Times New Roman"/>
          <w:vertAlign w:val="superscript"/>
        </w:rPr>
        <w:t xml:space="preserve">2 </w:t>
      </w:r>
      <w:r w:rsidRPr="00BA03C6">
        <w:rPr>
          <w:rFonts w:ascii="Times New Roman" w:hAnsi="Times New Roman" w:cs="Times New Roman"/>
        </w:rPr>
        <w:t>= .00) or interaction between drinker status and order of blocks (</w:t>
      </w:r>
      <w:r w:rsidRPr="00BA03C6">
        <w:rPr>
          <w:rFonts w:ascii="Times New Roman" w:hAnsi="Times New Roman" w:cs="Times New Roman"/>
          <w:i/>
          <w:iCs/>
        </w:rPr>
        <w:t>F</w:t>
      </w:r>
      <w:r w:rsidRPr="00BA03C6">
        <w:rPr>
          <w:rFonts w:ascii="Times New Roman" w:hAnsi="Times New Roman" w:cs="Times New Roman"/>
        </w:rPr>
        <w:t xml:space="preserve">(1, 116) = 1.13, </w:t>
      </w:r>
      <w:r w:rsidRPr="00BA03C6">
        <w:rPr>
          <w:rFonts w:ascii="Times New Roman" w:hAnsi="Times New Roman" w:cs="Times New Roman"/>
          <w:i/>
          <w:iCs/>
        </w:rPr>
        <w:t>p</w:t>
      </w:r>
      <w:r w:rsidRPr="00BA03C6">
        <w:rPr>
          <w:rFonts w:ascii="Times New Roman" w:hAnsi="Times New Roman" w:cs="Times New Roman"/>
        </w:rPr>
        <w:t xml:space="preserve"> = .29, np</w:t>
      </w:r>
      <w:r w:rsidRPr="00BA03C6">
        <w:rPr>
          <w:rFonts w:ascii="Times New Roman" w:hAnsi="Times New Roman" w:cs="Times New Roman"/>
          <w:vertAlign w:val="superscript"/>
        </w:rPr>
        <w:t>2</w:t>
      </w:r>
      <w:r w:rsidRPr="00BA03C6">
        <w:rPr>
          <w:rFonts w:ascii="Times New Roman" w:hAnsi="Times New Roman" w:cs="Times New Roman"/>
        </w:rPr>
        <w:t xml:space="preserve"> = .01). </w:t>
      </w:r>
    </w:p>
    <w:p w14:paraId="336451BC" w14:textId="77777777" w:rsidR="00BA03C6" w:rsidRPr="00BA03C6" w:rsidRDefault="00BA03C6" w:rsidP="00BA03C6">
      <w:pPr>
        <w:pStyle w:val="NoSpacing"/>
        <w:spacing w:line="480" w:lineRule="auto"/>
        <w:rPr>
          <w:rFonts w:ascii="Times New Roman" w:hAnsi="Times New Roman" w:cs="Times New Roman"/>
        </w:rPr>
      </w:pPr>
    </w:p>
    <w:p w14:paraId="2AA06966" w14:textId="77777777" w:rsidR="00BA03C6" w:rsidRPr="00BA03C6" w:rsidRDefault="00BA03C6" w:rsidP="00BA03C6">
      <w:pPr>
        <w:pStyle w:val="NoSpacing"/>
      </w:pPr>
    </w:p>
    <w:p w14:paraId="66F82832" w14:textId="77777777" w:rsidR="00BA03C6" w:rsidRPr="00BA03C6" w:rsidRDefault="00BA03C6" w:rsidP="00BA03C6">
      <w:pPr>
        <w:pStyle w:val="NoSpacing"/>
      </w:pPr>
    </w:p>
    <w:p w14:paraId="592B0491" w14:textId="77777777" w:rsidR="00BA03C6" w:rsidRPr="00BA03C6" w:rsidRDefault="00BA03C6" w:rsidP="00BA03C6">
      <w:pPr>
        <w:pStyle w:val="NoSpacing"/>
      </w:pPr>
    </w:p>
    <w:p w14:paraId="625B18EC" w14:textId="77777777" w:rsidR="00BA03C6" w:rsidRPr="00BA03C6" w:rsidRDefault="00BA03C6" w:rsidP="00BA03C6">
      <w:pPr>
        <w:pStyle w:val="NoSpacing"/>
      </w:pPr>
    </w:p>
    <w:p w14:paraId="5BD8054D" w14:textId="77777777" w:rsidR="00BA03C6" w:rsidRPr="00BA03C6" w:rsidRDefault="00BA03C6" w:rsidP="00BA03C6">
      <w:pPr>
        <w:pStyle w:val="NoSpacing"/>
      </w:pPr>
    </w:p>
    <w:p w14:paraId="09504693" w14:textId="77777777" w:rsidR="00BA03C6" w:rsidRPr="00BA03C6" w:rsidRDefault="00BA03C6" w:rsidP="00BA03C6">
      <w:pPr>
        <w:pStyle w:val="NoSpacing"/>
      </w:pPr>
    </w:p>
    <w:p w14:paraId="67B02295" w14:textId="77777777" w:rsidR="00BA03C6" w:rsidRPr="00BA03C6" w:rsidRDefault="00BA03C6" w:rsidP="00BA03C6">
      <w:pPr>
        <w:pStyle w:val="NoSpacing"/>
      </w:pPr>
    </w:p>
    <w:p w14:paraId="6B2B9C45" w14:textId="77777777" w:rsidR="00BA03C6" w:rsidRPr="00BA03C6" w:rsidRDefault="00BA03C6" w:rsidP="00BA03C6">
      <w:pPr>
        <w:pStyle w:val="NoSpacing"/>
      </w:pPr>
    </w:p>
    <w:p w14:paraId="031703B9" w14:textId="77777777" w:rsidR="00BA03C6" w:rsidRPr="00BA03C6" w:rsidRDefault="00BA03C6" w:rsidP="00BA03C6">
      <w:pPr>
        <w:pStyle w:val="NoSpacing"/>
      </w:pPr>
    </w:p>
    <w:p w14:paraId="24F67F0A" w14:textId="77777777" w:rsidR="00BA03C6" w:rsidRPr="00BA03C6" w:rsidRDefault="00BA03C6" w:rsidP="00BA03C6">
      <w:pPr>
        <w:pStyle w:val="NoSpacing"/>
      </w:pPr>
    </w:p>
    <w:p w14:paraId="1F746A45" w14:textId="77777777" w:rsidR="00BA03C6" w:rsidRPr="00BA03C6" w:rsidRDefault="00BA03C6" w:rsidP="00BA03C6">
      <w:pPr>
        <w:pStyle w:val="NoSpacing"/>
      </w:pPr>
    </w:p>
    <w:p w14:paraId="501D960F" w14:textId="77777777" w:rsidR="00BA03C6" w:rsidRPr="00BA03C6" w:rsidRDefault="00BA03C6" w:rsidP="00BA03C6">
      <w:pPr>
        <w:pStyle w:val="NoSpacing"/>
      </w:pPr>
    </w:p>
    <w:p w14:paraId="1A1291BF" w14:textId="77777777" w:rsidR="00BA03C6" w:rsidRPr="00BA03C6" w:rsidRDefault="00BA03C6" w:rsidP="00BA03C6">
      <w:pPr>
        <w:pStyle w:val="NoSpacing"/>
      </w:pPr>
    </w:p>
    <w:p w14:paraId="556E0D20" w14:textId="77777777" w:rsidR="00BA03C6" w:rsidRPr="00BA03C6" w:rsidRDefault="00BA03C6" w:rsidP="00BA03C6">
      <w:pPr>
        <w:pStyle w:val="NoSpacing"/>
      </w:pPr>
    </w:p>
    <w:p w14:paraId="0B708FCA" w14:textId="7848FB84" w:rsidR="00BA03C6" w:rsidRDefault="00BA03C6" w:rsidP="00093B56">
      <w:pPr>
        <w:pStyle w:val="NoSpacing"/>
      </w:pPr>
    </w:p>
    <w:p w14:paraId="22E5ED91" w14:textId="69D79BD4" w:rsidR="00BA03C6" w:rsidRDefault="00BA03C6" w:rsidP="00093B56">
      <w:pPr>
        <w:pStyle w:val="NoSpacing"/>
      </w:pPr>
    </w:p>
    <w:p w14:paraId="0F821126" w14:textId="0BD89F52" w:rsidR="00BA03C6" w:rsidRDefault="00BA03C6" w:rsidP="00093B56">
      <w:pPr>
        <w:pStyle w:val="NoSpacing"/>
      </w:pPr>
    </w:p>
    <w:p w14:paraId="1064CF54" w14:textId="06728862" w:rsidR="00BA03C6" w:rsidRDefault="00BA03C6" w:rsidP="00093B56">
      <w:pPr>
        <w:pStyle w:val="NoSpacing"/>
      </w:pPr>
    </w:p>
    <w:p w14:paraId="72E6DA49" w14:textId="1D5115B0" w:rsidR="00BA03C6" w:rsidRDefault="00BA03C6" w:rsidP="00093B56">
      <w:pPr>
        <w:pStyle w:val="NoSpacing"/>
      </w:pPr>
    </w:p>
    <w:p w14:paraId="4AB9BB75" w14:textId="52594C06" w:rsidR="00BA03C6" w:rsidRDefault="00BA03C6" w:rsidP="00093B56">
      <w:pPr>
        <w:pStyle w:val="NoSpacing"/>
      </w:pPr>
    </w:p>
    <w:p w14:paraId="46C657D3" w14:textId="422404BB" w:rsidR="00BA03C6" w:rsidRDefault="00BA03C6" w:rsidP="00093B56">
      <w:pPr>
        <w:pStyle w:val="NoSpacing"/>
      </w:pPr>
    </w:p>
    <w:p w14:paraId="7AD653EB" w14:textId="0B5E6459" w:rsidR="00BA03C6" w:rsidRDefault="00BA03C6" w:rsidP="00093B56">
      <w:pPr>
        <w:pStyle w:val="NoSpacing"/>
      </w:pPr>
    </w:p>
    <w:p w14:paraId="3F3C551E" w14:textId="089A2EE0" w:rsidR="00BA03C6" w:rsidRDefault="00BA03C6" w:rsidP="00093B56">
      <w:pPr>
        <w:pStyle w:val="NoSpacing"/>
      </w:pPr>
    </w:p>
    <w:p w14:paraId="1E050C16" w14:textId="42AD711F" w:rsidR="00BA03C6" w:rsidRDefault="00BA03C6" w:rsidP="00093B56">
      <w:pPr>
        <w:pStyle w:val="NoSpacing"/>
      </w:pPr>
    </w:p>
    <w:p w14:paraId="12D996E5" w14:textId="407E807F" w:rsidR="00BA03C6" w:rsidRDefault="00BA03C6" w:rsidP="00093B56">
      <w:pPr>
        <w:pStyle w:val="NoSpacing"/>
      </w:pPr>
    </w:p>
    <w:p w14:paraId="50144F8B" w14:textId="363C654F" w:rsidR="00BA03C6" w:rsidRDefault="00BA03C6" w:rsidP="00093B56">
      <w:pPr>
        <w:pStyle w:val="NoSpacing"/>
      </w:pPr>
    </w:p>
    <w:p w14:paraId="46074B0F" w14:textId="20D7639B" w:rsidR="00BA03C6" w:rsidRDefault="00BA03C6" w:rsidP="00093B56">
      <w:pPr>
        <w:pStyle w:val="NoSpacing"/>
      </w:pPr>
    </w:p>
    <w:p w14:paraId="0214ED08" w14:textId="77D5F676" w:rsidR="00BA03C6" w:rsidRDefault="00BA03C6" w:rsidP="00093B56">
      <w:pPr>
        <w:pStyle w:val="NoSpacing"/>
      </w:pPr>
    </w:p>
    <w:p w14:paraId="665D13AA" w14:textId="1BC848D6" w:rsidR="00BA03C6" w:rsidRDefault="00BA03C6" w:rsidP="00093B56">
      <w:pPr>
        <w:pStyle w:val="NoSpacing"/>
      </w:pPr>
    </w:p>
    <w:p w14:paraId="6D9EF8AE" w14:textId="06B71B3C" w:rsidR="00BA03C6" w:rsidRDefault="00BA03C6" w:rsidP="00093B56">
      <w:pPr>
        <w:pStyle w:val="NoSpacing"/>
      </w:pPr>
    </w:p>
    <w:p w14:paraId="399C6F31" w14:textId="41626C97" w:rsidR="00BA03C6" w:rsidRDefault="00BA03C6" w:rsidP="00093B56">
      <w:pPr>
        <w:pStyle w:val="NoSpacing"/>
      </w:pPr>
    </w:p>
    <w:p w14:paraId="77ECA2C3" w14:textId="4C2CFEBC" w:rsidR="00BA03C6" w:rsidRDefault="00BA03C6" w:rsidP="00093B56">
      <w:pPr>
        <w:pStyle w:val="NoSpacing"/>
      </w:pPr>
    </w:p>
    <w:p w14:paraId="753561B6" w14:textId="1BF28725" w:rsidR="00BA03C6" w:rsidRDefault="00BA03C6" w:rsidP="00093B56">
      <w:pPr>
        <w:pStyle w:val="NoSpacing"/>
      </w:pPr>
    </w:p>
    <w:p w14:paraId="42374C04" w14:textId="77777777" w:rsidR="00BA03C6" w:rsidRDefault="00BA03C6" w:rsidP="00093B56">
      <w:pPr>
        <w:pStyle w:val="NoSpacing"/>
      </w:pPr>
    </w:p>
    <w:p w14:paraId="743A9ADC" w14:textId="48744896" w:rsidR="00672927" w:rsidRDefault="00672927" w:rsidP="00093B56">
      <w:pPr>
        <w:pStyle w:val="NoSpacing"/>
      </w:pPr>
    </w:p>
    <w:p w14:paraId="2BFDC1FB" w14:textId="77777777" w:rsidR="00BA03C6" w:rsidRPr="00BA03C6" w:rsidRDefault="00BA03C6" w:rsidP="00BA03C6">
      <w:pPr>
        <w:pStyle w:val="NoSpacing"/>
        <w:spacing w:line="480" w:lineRule="auto"/>
        <w:rPr>
          <w:rFonts w:ascii="Times New Roman" w:hAnsi="Times New Roman" w:cs="Times New Roman"/>
          <w:b/>
        </w:rPr>
      </w:pPr>
      <w:bookmarkStart w:id="438" w:name="_Hlk85799794"/>
      <w:r w:rsidRPr="00BA03C6">
        <w:rPr>
          <w:rFonts w:ascii="Times New Roman" w:hAnsi="Times New Roman" w:cs="Times New Roman"/>
          <w:b/>
        </w:rPr>
        <w:lastRenderedPageBreak/>
        <w:t>8. Activity Level Questionnaire: exploring whether self-reported frequency of engagement with activities has changed since lockdown restrictions were introduced in March 2020 (Table S6.4 and Table S6.5).</w:t>
      </w:r>
      <w:bookmarkEnd w:id="438"/>
    </w:p>
    <w:p w14:paraId="410783D7"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 xml:space="preserve">On the Activity Level Questionnaire, we added an additional column containing a question on a 5-point scale about whether people’s frequency of engagement in each activity has changed since the national COVID-19 lockdowns began in March 2020 (0 = </w:t>
      </w:r>
      <w:r w:rsidRPr="00BA03C6">
        <w:rPr>
          <w:rFonts w:ascii="Times New Roman" w:hAnsi="Times New Roman" w:cs="Times New Roman"/>
          <w:i/>
          <w:iCs/>
        </w:rPr>
        <w:t>much less often</w:t>
      </w:r>
      <w:r w:rsidRPr="00BA03C6">
        <w:rPr>
          <w:rFonts w:ascii="Times New Roman" w:hAnsi="Times New Roman" w:cs="Times New Roman"/>
        </w:rPr>
        <w:t xml:space="preserve">, </w:t>
      </w:r>
      <w:r w:rsidRPr="00BA03C6">
        <w:rPr>
          <w:rFonts w:ascii="Times New Roman" w:hAnsi="Times New Roman" w:cs="Times New Roman"/>
          <w:bCs/>
        </w:rPr>
        <w:t xml:space="preserve">1 = </w:t>
      </w:r>
      <w:r w:rsidRPr="00BA03C6">
        <w:rPr>
          <w:rFonts w:ascii="Times New Roman" w:hAnsi="Times New Roman" w:cs="Times New Roman"/>
          <w:bCs/>
          <w:i/>
          <w:iCs/>
        </w:rPr>
        <w:t>slightly less often</w:t>
      </w:r>
      <w:r w:rsidRPr="00BA03C6">
        <w:rPr>
          <w:rFonts w:ascii="Times New Roman" w:hAnsi="Times New Roman" w:cs="Times New Roman"/>
          <w:bCs/>
        </w:rPr>
        <w:t xml:space="preserve">, 2 = </w:t>
      </w:r>
      <w:r w:rsidRPr="00BA03C6">
        <w:rPr>
          <w:rFonts w:ascii="Times New Roman" w:hAnsi="Times New Roman" w:cs="Times New Roman"/>
          <w:bCs/>
          <w:i/>
          <w:iCs/>
        </w:rPr>
        <w:t>no change</w:t>
      </w:r>
      <w:r w:rsidRPr="00BA03C6">
        <w:rPr>
          <w:rFonts w:ascii="Times New Roman" w:hAnsi="Times New Roman" w:cs="Times New Roman"/>
          <w:bCs/>
        </w:rPr>
        <w:t xml:space="preserve">, 3 = </w:t>
      </w:r>
      <w:r w:rsidRPr="00BA03C6">
        <w:rPr>
          <w:rFonts w:ascii="Times New Roman" w:hAnsi="Times New Roman" w:cs="Times New Roman"/>
          <w:bCs/>
          <w:i/>
          <w:iCs/>
        </w:rPr>
        <w:t>slightly more often</w:t>
      </w:r>
      <w:r w:rsidRPr="00BA03C6">
        <w:rPr>
          <w:rFonts w:ascii="Times New Roman" w:hAnsi="Times New Roman" w:cs="Times New Roman"/>
          <w:bCs/>
        </w:rPr>
        <w:t xml:space="preserve">, 4 = </w:t>
      </w:r>
      <w:r w:rsidRPr="00BA03C6">
        <w:rPr>
          <w:rFonts w:ascii="Times New Roman" w:hAnsi="Times New Roman" w:cs="Times New Roman"/>
          <w:bCs/>
          <w:i/>
          <w:iCs/>
        </w:rPr>
        <w:t>much more often</w:t>
      </w:r>
      <w:r w:rsidRPr="00BA03C6">
        <w:rPr>
          <w:rFonts w:ascii="Times New Roman" w:hAnsi="Times New Roman" w:cs="Times New Roman"/>
          <w:bCs/>
        </w:rPr>
        <w:t xml:space="preserve">). </w:t>
      </w:r>
      <w:r w:rsidRPr="00BA03C6">
        <w:rPr>
          <w:rFonts w:ascii="Times New Roman" w:hAnsi="Times New Roman" w:cs="Times New Roman"/>
        </w:rPr>
        <w:t>The scores were then averaged across all activities to compute a mean value reflecting self-reported change for alcohol-related and alcohol-free scores.</w:t>
      </w:r>
    </w:p>
    <w:p w14:paraId="585997C9" w14:textId="77777777" w:rsidR="00BA03C6" w:rsidRPr="00BA03C6" w:rsidRDefault="00BA03C6" w:rsidP="00BA03C6">
      <w:pPr>
        <w:pStyle w:val="NoSpacing"/>
        <w:spacing w:line="480" w:lineRule="auto"/>
        <w:rPr>
          <w:rFonts w:ascii="Times New Roman" w:hAnsi="Times New Roman" w:cs="Times New Roman"/>
        </w:rPr>
      </w:pPr>
    </w:p>
    <w:p w14:paraId="0020DB35" w14:textId="77777777" w:rsidR="00BA03C6" w:rsidRPr="00BA03C6" w:rsidRDefault="00BA03C6" w:rsidP="00BA03C6">
      <w:pPr>
        <w:pStyle w:val="NoSpacing"/>
        <w:spacing w:line="480" w:lineRule="auto"/>
        <w:rPr>
          <w:rFonts w:ascii="Times New Roman" w:hAnsi="Times New Roman" w:cs="Times New Roman"/>
          <w:u w:val="single"/>
        </w:rPr>
      </w:pPr>
      <w:r w:rsidRPr="00BA03C6">
        <w:rPr>
          <w:rFonts w:ascii="Times New Roman" w:hAnsi="Times New Roman" w:cs="Times New Roman"/>
          <w:u w:val="single"/>
        </w:rPr>
        <w:t>Total sample</w:t>
      </w:r>
    </w:p>
    <w:p w14:paraId="078623EC"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The mean score for alcohol-free reinforcement was 1.96 (SD = .35) and alcohol-related reinforcement was 1.89 (SD = .34); these were significantly different (</w:t>
      </w:r>
      <w:r w:rsidRPr="00BA03C6">
        <w:rPr>
          <w:rFonts w:ascii="Times New Roman" w:hAnsi="Times New Roman" w:cs="Times New Roman"/>
          <w:i/>
          <w:iCs/>
        </w:rPr>
        <w:t>p</w:t>
      </w:r>
      <w:r w:rsidRPr="00BA03C6">
        <w:rPr>
          <w:rFonts w:ascii="Times New Roman" w:hAnsi="Times New Roman" w:cs="Times New Roman"/>
        </w:rPr>
        <w:t xml:space="preserve"> = .03, </w:t>
      </w:r>
      <w:r w:rsidRPr="00BA03C6">
        <w:rPr>
          <w:rFonts w:ascii="Times New Roman" w:hAnsi="Times New Roman" w:cs="Times New Roman"/>
          <w:i/>
          <w:iCs/>
        </w:rPr>
        <w:t xml:space="preserve">d </w:t>
      </w:r>
      <w:r w:rsidRPr="00BA03C6">
        <w:rPr>
          <w:rFonts w:ascii="Times New Roman" w:hAnsi="Times New Roman" w:cs="Times New Roman"/>
        </w:rPr>
        <w:t xml:space="preserve">= .21). Therefore, since lockdown restrictions in March 2020, overall means are located within </w:t>
      </w:r>
      <w:r w:rsidRPr="00BA03C6">
        <w:rPr>
          <w:rFonts w:ascii="Times New Roman" w:hAnsi="Times New Roman" w:cs="Times New Roman"/>
          <w:i/>
          <w:iCs/>
        </w:rPr>
        <w:t>slightly less often</w:t>
      </w:r>
      <w:r w:rsidRPr="00BA03C6">
        <w:rPr>
          <w:rFonts w:ascii="Times New Roman" w:hAnsi="Times New Roman" w:cs="Times New Roman"/>
        </w:rPr>
        <w:t xml:space="preserve"> and </w:t>
      </w:r>
      <w:r w:rsidRPr="00BA03C6">
        <w:rPr>
          <w:rFonts w:ascii="Times New Roman" w:hAnsi="Times New Roman" w:cs="Times New Roman"/>
          <w:i/>
          <w:iCs/>
        </w:rPr>
        <w:t>no change</w:t>
      </w:r>
      <w:r w:rsidRPr="00BA03C6">
        <w:rPr>
          <w:rFonts w:ascii="Times New Roman" w:hAnsi="Times New Roman" w:cs="Times New Roman"/>
        </w:rPr>
        <w:t>. Alcohol-related reinforcement declined (slightly but significantly) more in response to the lockdown, compared to alcohol-free reinforcement.</w:t>
      </w:r>
    </w:p>
    <w:p w14:paraId="401CD9E5" w14:textId="77777777" w:rsidR="00BA03C6" w:rsidRPr="00BA03C6" w:rsidRDefault="00BA03C6" w:rsidP="00BA03C6">
      <w:pPr>
        <w:pStyle w:val="NoSpacing"/>
        <w:spacing w:line="480" w:lineRule="auto"/>
        <w:rPr>
          <w:rFonts w:ascii="Times New Roman" w:hAnsi="Times New Roman" w:cs="Times New Roman"/>
        </w:rPr>
      </w:pPr>
    </w:p>
    <w:p w14:paraId="2DE00125" w14:textId="77777777" w:rsidR="00BA03C6" w:rsidRPr="00BA03C6" w:rsidRDefault="00BA03C6" w:rsidP="00BA03C6">
      <w:pPr>
        <w:pStyle w:val="NoSpacing"/>
        <w:spacing w:line="480" w:lineRule="auto"/>
        <w:rPr>
          <w:rFonts w:ascii="Times New Roman" w:hAnsi="Times New Roman" w:cs="Times New Roman"/>
          <w:u w:val="single"/>
        </w:rPr>
      </w:pPr>
      <w:r w:rsidRPr="00BA03C6">
        <w:rPr>
          <w:rFonts w:ascii="Times New Roman" w:hAnsi="Times New Roman" w:cs="Times New Roman"/>
          <w:u w:val="single"/>
        </w:rPr>
        <w:t>Comparison by drinker type</w:t>
      </w:r>
    </w:p>
    <w:p w14:paraId="0598C6A1"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When comparing moderated and heavy drinkers, there were no significant differences in self-reported change in frequency of engagement in alcohol-related (</w:t>
      </w:r>
      <w:r w:rsidRPr="00BA03C6">
        <w:rPr>
          <w:rFonts w:ascii="Times New Roman" w:hAnsi="Times New Roman" w:cs="Times New Roman"/>
          <w:i/>
          <w:iCs/>
        </w:rPr>
        <w:t>p</w:t>
      </w:r>
      <w:r w:rsidRPr="00BA03C6">
        <w:rPr>
          <w:rFonts w:ascii="Times New Roman" w:hAnsi="Times New Roman" w:cs="Times New Roman"/>
        </w:rPr>
        <w:t xml:space="preserve"> = .35, </w:t>
      </w:r>
      <w:r w:rsidRPr="00BA03C6">
        <w:rPr>
          <w:rFonts w:ascii="Times New Roman" w:hAnsi="Times New Roman" w:cs="Times New Roman"/>
          <w:i/>
          <w:iCs/>
        </w:rPr>
        <w:t>d</w:t>
      </w:r>
      <w:r w:rsidRPr="00BA03C6">
        <w:rPr>
          <w:rFonts w:ascii="Times New Roman" w:hAnsi="Times New Roman" w:cs="Times New Roman"/>
        </w:rPr>
        <w:t xml:space="preserve"> = .18) or alcohol-free (</w:t>
      </w:r>
      <w:r w:rsidRPr="00BA03C6">
        <w:rPr>
          <w:rFonts w:ascii="Times New Roman" w:hAnsi="Times New Roman" w:cs="Times New Roman"/>
          <w:i/>
          <w:iCs/>
        </w:rPr>
        <w:t xml:space="preserve">p </w:t>
      </w:r>
      <w:r w:rsidRPr="00BA03C6">
        <w:rPr>
          <w:rFonts w:ascii="Times New Roman" w:hAnsi="Times New Roman" w:cs="Times New Roman"/>
        </w:rPr>
        <w:t xml:space="preserve">= .40, </w:t>
      </w:r>
      <w:r w:rsidRPr="00BA03C6">
        <w:rPr>
          <w:rFonts w:ascii="Times New Roman" w:hAnsi="Times New Roman" w:cs="Times New Roman"/>
          <w:i/>
          <w:iCs/>
        </w:rPr>
        <w:t>d</w:t>
      </w:r>
      <w:r w:rsidRPr="00BA03C6">
        <w:rPr>
          <w:rFonts w:ascii="Times New Roman" w:hAnsi="Times New Roman" w:cs="Times New Roman"/>
        </w:rPr>
        <w:t xml:space="preserve"> = .16) activities since COVID-19 lockdown restrictions were introduced in March 2020. </w:t>
      </w:r>
    </w:p>
    <w:p w14:paraId="5108CE54" w14:textId="77777777" w:rsidR="00BA03C6" w:rsidRPr="00BA03C6" w:rsidRDefault="00BA03C6" w:rsidP="00BA03C6">
      <w:pPr>
        <w:pStyle w:val="NoSpacing"/>
        <w:spacing w:line="480" w:lineRule="auto"/>
        <w:rPr>
          <w:rFonts w:ascii="Times New Roman" w:hAnsi="Times New Roman" w:cs="Times New Roman"/>
        </w:rPr>
      </w:pPr>
    </w:p>
    <w:p w14:paraId="59E03D10" w14:textId="77777777" w:rsidR="00BA03C6" w:rsidRPr="00BA03C6" w:rsidRDefault="00BA03C6" w:rsidP="00BA03C6">
      <w:pPr>
        <w:pStyle w:val="NoSpacing"/>
        <w:spacing w:line="480" w:lineRule="auto"/>
        <w:rPr>
          <w:rFonts w:ascii="Times New Roman" w:hAnsi="Times New Roman" w:cs="Times New Roman"/>
          <w:bCs/>
        </w:rPr>
      </w:pPr>
      <w:r w:rsidRPr="00BA03C6">
        <w:rPr>
          <w:rFonts w:ascii="Times New Roman" w:hAnsi="Times New Roman" w:cs="Times New Roman"/>
        </w:rPr>
        <w:t xml:space="preserve">The Activity Level Questionnaire comprises 17 different items, and </w:t>
      </w:r>
      <w:r w:rsidRPr="00BA03C6">
        <w:rPr>
          <w:rFonts w:ascii="Times New Roman" w:hAnsi="Times New Roman" w:cs="Times New Roman"/>
          <w:bCs/>
        </w:rPr>
        <w:t xml:space="preserve">a further breakdown by activity revealed that changes in frequency of engagement in some of the </w:t>
      </w:r>
      <w:r w:rsidRPr="00BA03C6">
        <w:rPr>
          <w:rFonts w:ascii="Times New Roman" w:hAnsi="Times New Roman" w:cs="Times New Roman"/>
          <w:b/>
        </w:rPr>
        <w:t xml:space="preserve">alcohol-related </w:t>
      </w:r>
      <w:r w:rsidRPr="00BA03C6">
        <w:rPr>
          <w:rFonts w:ascii="Times New Roman" w:hAnsi="Times New Roman" w:cs="Times New Roman"/>
          <w:b/>
        </w:rPr>
        <w:lastRenderedPageBreak/>
        <w:t>activities</w:t>
      </w:r>
      <w:r w:rsidRPr="00BA03C6">
        <w:rPr>
          <w:rFonts w:ascii="Times New Roman" w:hAnsi="Times New Roman" w:cs="Times New Roman"/>
          <w:bCs/>
        </w:rPr>
        <w:t xml:space="preserve"> since COVID-19 lockdown restrictions were more pronounced than others.</w:t>
      </w:r>
      <w:r w:rsidRPr="00BA03C6">
        <w:rPr>
          <w:rFonts w:ascii="Times New Roman" w:hAnsi="Times New Roman" w:cs="Times New Roman"/>
        </w:rPr>
        <w:t xml:space="preserve"> </w:t>
      </w:r>
      <w:r w:rsidRPr="00BA03C6">
        <w:rPr>
          <w:rFonts w:ascii="Times New Roman" w:hAnsi="Times New Roman" w:cs="Times New Roman"/>
          <w:bCs/>
        </w:rPr>
        <w:t>Meeting up with people and entertainment outside the home were estimated to be less frequent (scores below 2), whilst entertainment within the home and virtual socialising were estimated to be more frequent (scores above 2), compared to before COVID-19 lockdown restrictions, for example (see table below for means and standard deviations). Some activities remained relatively unchanged, such as work and time in nature.</w:t>
      </w:r>
      <w:r w:rsidRPr="00BA03C6">
        <w:rPr>
          <w:rFonts w:ascii="Times New Roman" w:hAnsi="Times New Roman" w:cs="Times New Roman"/>
        </w:rPr>
        <w:t xml:space="preserve"> </w:t>
      </w:r>
      <w:r w:rsidRPr="00BA03C6">
        <w:rPr>
          <w:rFonts w:ascii="Times New Roman" w:hAnsi="Times New Roman" w:cs="Times New Roman"/>
          <w:bCs/>
        </w:rPr>
        <w:t>There was a significant difference between heavy drinkers and moderated drinkers in the frequency of entertainment at home with alcohol since COVID-19 lockdown restrictions were introduced (see Table S6.4 below).</w:t>
      </w:r>
    </w:p>
    <w:p w14:paraId="0A9372C5" w14:textId="77777777" w:rsidR="00BA03C6" w:rsidRPr="00BA03C6" w:rsidRDefault="00BA03C6" w:rsidP="00BA03C6">
      <w:pPr>
        <w:pStyle w:val="NoSpacing"/>
        <w:spacing w:line="480" w:lineRule="auto"/>
        <w:rPr>
          <w:rFonts w:ascii="Times New Roman" w:hAnsi="Times New Roman" w:cs="Times New Roman"/>
          <w:bCs/>
        </w:rPr>
      </w:pPr>
    </w:p>
    <w:p w14:paraId="1B9C2B98" w14:textId="4AA30667" w:rsidR="00BA03C6" w:rsidRDefault="00BA03C6" w:rsidP="00BA03C6">
      <w:pPr>
        <w:pStyle w:val="NoSpacing"/>
        <w:spacing w:line="480" w:lineRule="auto"/>
        <w:rPr>
          <w:rFonts w:ascii="Times New Roman" w:hAnsi="Times New Roman" w:cs="Times New Roman"/>
          <w:b/>
        </w:rPr>
      </w:pPr>
      <w:r w:rsidRPr="00BA03C6">
        <w:rPr>
          <w:rFonts w:ascii="Times New Roman" w:hAnsi="Times New Roman" w:cs="Times New Roman"/>
          <w:b/>
        </w:rPr>
        <w:t>Table S6.4</w:t>
      </w:r>
    </w:p>
    <w:p w14:paraId="55A6AEE1" w14:textId="6E8FBEEB" w:rsidR="00BA03C6" w:rsidRPr="00BA03C6" w:rsidRDefault="00BA03C6" w:rsidP="00BA03C6">
      <w:pPr>
        <w:pStyle w:val="NoSpacing"/>
        <w:spacing w:line="480" w:lineRule="auto"/>
        <w:rPr>
          <w:rFonts w:ascii="Times New Roman" w:hAnsi="Times New Roman" w:cs="Times New Roman"/>
          <w:bCs/>
          <w:i/>
          <w:iCs/>
        </w:rPr>
      </w:pPr>
      <w:r w:rsidRPr="00BA03C6">
        <w:rPr>
          <w:rFonts w:ascii="Times New Roman" w:hAnsi="Times New Roman" w:cs="Times New Roman"/>
          <w:bCs/>
          <w:i/>
          <w:iCs/>
        </w:rPr>
        <w:t>A table to show whether engagement with alcohol-related activities changed since national lockdown restrictions began in March 2020 (values are means and standard deviations)</w:t>
      </w:r>
    </w:p>
    <w:tbl>
      <w:tblPr>
        <w:tblW w:w="9184" w:type="dxa"/>
        <w:tblLook w:val="04A0" w:firstRow="1" w:lastRow="0" w:firstColumn="1" w:lastColumn="0" w:noHBand="0" w:noVBand="1"/>
      </w:tblPr>
      <w:tblGrid>
        <w:gridCol w:w="2296"/>
        <w:gridCol w:w="1439"/>
        <w:gridCol w:w="1750"/>
        <w:gridCol w:w="1701"/>
        <w:gridCol w:w="1998"/>
      </w:tblGrid>
      <w:tr w:rsidR="00BA03C6" w:rsidRPr="00BA03C6" w14:paraId="6063CCED" w14:textId="77777777" w:rsidTr="002A1E63">
        <w:trPr>
          <w:trHeight w:val="970"/>
        </w:trPr>
        <w:tc>
          <w:tcPr>
            <w:tcW w:w="2296" w:type="dxa"/>
            <w:tcBorders>
              <w:top w:val="single" w:sz="18" w:space="0" w:color="000000"/>
              <w:bottom w:val="single" w:sz="4" w:space="0" w:color="000000"/>
            </w:tcBorders>
          </w:tcPr>
          <w:p w14:paraId="768FDA3B"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 xml:space="preserve">Activities </w:t>
            </w:r>
            <w:r w:rsidRPr="00BA03C6">
              <w:rPr>
                <w:rFonts w:ascii="Times New Roman" w:hAnsi="Times New Roman" w:cs="Times New Roman"/>
                <w:b/>
                <w:bCs/>
                <w:u w:val="single"/>
              </w:rPr>
              <w:t xml:space="preserve">with </w:t>
            </w:r>
            <w:r w:rsidRPr="00BA03C6">
              <w:rPr>
                <w:rFonts w:ascii="Times New Roman" w:hAnsi="Times New Roman" w:cs="Times New Roman"/>
                <w:b/>
                <w:bCs/>
              </w:rPr>
              <w:t>alcohol</w:t>
            </w:r>
          </w:p>
        </w:tc>
        <w:tc>
          <w:tcPr>
            <w:tcW w:w="1439" w:type="dxa"/>
            <w:tcBorders>
              <w:top w:val="single" w:sz="18" w:space="0" w:color="000000"/>
              <w:bottom w:val="single" w:sz="4" w:space="0" w:color="000000"/>
            </w:tcBorders>
          </w:tcPr>
          <w:p w14:paraId="07B40A3D"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Total sample</w:t>
            </w:r>
          </w:p>
        </w:tc>
        <w:tc>
          <w:tcPr>
            <w:tcW w:w="1750" w:type="dxa"/>
            <w:tcBorders>
              <w:top w:val="single" w:sz="18" w:space="0" w:color="000000"/>
              <w:bottom w:val="single" w:sz="4" w:space="0" w:color="000000"/>
            </w:tcBorders>
          </w:tcPr>
          <w:p w14:paraId="20F982EE"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Heavy drinkers</w:t>
            </w:r>
          </w:p>
        </w:tc>
        <w:tc>
          <w:tcPr>
            <w:tcW w:w="1701" w:type="dxa"/>
            <w:tcBorders>
              <w:top w:val="single" w:sz="18" w:space="0" w:color="000000"/>
              <w:bottom w:val="single" w:sz="4" w:space="0" w:color="000000"/>
            </w:tcBorders>
          </w:tcPr>
          <w:p w14:paraId="1F20A3DA"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Moderated drinkers</w:t>
            </w:r>
          </w:p>
        </w:tc>
        <w:tc>
          <w:tcPr>
            <w:tcW w:w="1998" w:type="dxa"/>
            <w:tcBorders>
              <w:top w:val="single" w:sz="18" w:space="0" w:color="000000"/>
              <w:bottom w:val="single" w:sz="4" w:space="0" w:color="000000"/>
            </w:tcBorders>
          </w:tcPr>
          <w:p w14:paraId="423AAF4C"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i/>
                <w:iCs/>
              </w:rPr>
              <w:t>p</w:t>
            </w:r>
            <w:r w:rsidRPr="00BA03C6">
              <w:rPr>
                <w:rFonts w:ascii="Times New Roman" w:hAnsi="Times New Roman" w:cs="Times New Roman"/>
                <w:b/>
                <w:bCs/>
              </w:rPr>
              <w:t>-value</w:t>
            </w:r>
          </w:p>
        </w:tc>
      </w:tr>
      <w:tr w:rsidR="00BA03C6" w:rsidRPr="00BA03C6" w14:paraId="0C782CA0" w14:textId="77777777" w:rsidTr="002A1E63">
        <w:trPr>
          <w:trHeight w:val="820"/>
        </w:trPr>
        <w:tc>
          <w:tcPr>
            <w:tcW w:w="2296" w:type="dxa"/>
            <w:tcBorders>
              <w:top w:val="single" w:sz="4" w:space="0" w:color="000000"/>
            </w:tcBorders>
          </w:tcPr>
          <w:p w14:paraId="6FB9838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 xml:space="preserve">Meeting individuals and small groups </w:t>
            </w:r>
          </w:p>
        </w:tc>
        <w:tc>
          <w:tcPr>
            <w:tcW w:w="1439" w:type="dxa"/>
            <w:tcBorders>
              <w:top w:val="single" w:sz="4" w:space="0" w:color="000000"/>
            </w:tcBorders>
          </w:tcPr>
          <w:p w14:paraId="3AF7AD4E"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1.11 (1.23)</w:t>
            </w:r>
          </w:p>
        </w:tc>
        <w:tc>
          <w:tcPr>
            <w:tcW w:w="1750" w:type="dxa"/>
            <w:tcBorders>
              <w:top w:val="single" w:sz="4" w:space="0" w:color="000000"/>
            </w:tcBorders>
          </w:tcPr>
          <w:p w14:paraId="4AC06C77"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1.02 (1.18)</w:t>
            </w:r>
          </w:p>
        </w:tc>
        <w:tc>
          <w:tcPr>
            <w:tcW w:w="1701" w:type="dxa"/>
            <w:tcBorders>
              <w:top w:val="single" w:sz="4" w:space="0" w:color="000000"/>
            </w:tcBorders>
          </w:tcPr>
          <w:p w14:paraId="530DF6FB"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1.21 (1.27)</w:t>
            </w:r>
          </w:p>
        </w:tc>
        <w:tc>
          <w:tcPr>
            <w:tcW w:w="1998" w:type="dxa"/>
            <w:tcBorders>
              <w:top w:val="single" w:sz="4" w:space="0" w:color="000000"/>
            </w:tcBorders>
          </w:tcPr>
          <w:p w14:paraId="59C8EEA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 xml:space="preserve">p </w:t>
            </w:r>
            <w:r w:rsidRPr="00BA03C6">
              <w:rPr>
                <w:rFonts w:ascii="Times New Roman" w:hAnsi="Times New Roman" w:cs="Times New Roman"/>
                <w:bCs/>
              </w:rPr>
              <w:t>= .44</w:t>
            </w:r>
          </w:p>
        </w:tc>
      </w:tr>
      <w:tr w:rsidR="00BA03C6" w:rsidRPr="00BA03C6" w14:paraId="77B02501" w14:textId="77777777" w:rsidTr="002A1E63">
        <w:trPr>
          <w:trHeight w:val="671"/>
        </w:trPr>
        <w:tc>
          <w:tcPr>
            <w:tcW w:w="2296" w:type="dxa"/>
          </w:tcPr>
          <w:p w14:paraId="7954B33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 xml:space="preserve">Larger group meet-ups </w:t>
            </w:r>
          </w:p>
        </w:tc>
        <w:tc>
          <w:tcPr>
            <w:tcW w:w="1439" w:type="dxa"/>
          </w:tcPr>
          <w:p w14:paraId="416B3A1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1.04 (1.28)</w:t>
            </w:r>
          </w:p>
        </w:tc>
        <w:tc>
          <w:tcPr>
            <w:tcW w:w="1750" w:type="dxa"/>
          </w:tcPr>
          <w:p w14:paraId="499F5AF1"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.93 (1.19)</w:t>
            </w:r>
          </w:p>
        </w:tc>
        <w:tc>
          <w:tcPr>
            <w:tcW w:w="1701" w:type="dxa"/>
          </w:tcPr>
          <w:p w14:paraId="0170B54F"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1.15 (1.38)</w:t>
            </w:r>
          </w:p>
        </w:tc>
        <w:tc>
          <w:tcPr>
            <w:tcW w:w="1998" w:type="dxa"/>
          </w:tcPr>
          <w:p w14:paraId="5BE83E7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.52</w:t>
            </w:r>
          </w:p>
        </w:tc>
      </w:tr>
      <w:tr w:rsidR="00BA03C6" w:rsidRPr="00BA03C6" w14:paraId="27F336CA" w14:textId="77777777" w:rsidTr="002A1E63">
        <w:trPr>
          <w:trHeight w:val="690"/>
        </w:trPr>
        <w:tc>
          <w:tcPr>
            <w:tcW w:w="2296" w:type="dxa"/>
          </w:tcPr>
          <w:p w14:paraId="3B88864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Virtual socialising</w:t>
            </w:r>
          </w:p>
        </w:tc>
        <w:tc>
          <w:tcPr>
            <w:tcW w:w="1439" w:type="dxa"/>
          </w:tcPr>
          <w:p w14:paraId="7F93653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2.36 (1.13)</w:t>
            </w:r>
          </w:p>
        </w:tc>
        <w:tc>
          <w:tcPr>
            <w:tcW w:w="1750" w:type="dxa"/>
          </w:tcPr>
          <w:p w14:paraId="549F0DF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2.48 (1.03)</w:t>
            </w:r>
          </w:p>
        </w:tc>
        <w:tc>
          <w:tcPr>
            <w:tcW w:w="1701" w:type="dxa"/>
          </w:tcPr>
          <w:p w14:paraId="74E81ABD"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2.23 (1.23)</w:t>
            </w:r>
          </w:p>
        </w:tc>
        <w:tc>
          <w:tcPr>
            <w:tcW w:w="1998" w:type="dxa"/>
          </w:tcPr>
          <w:p w14:paraId="0756CC95"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.29</w:t>
            </w:r>
          </w:p>
        </w:tc>
      </w:tr>
      <w:tr w:rsidR="00BA03C6" w:rsidRPr="00BA03C6" w14:paraId="37C979DF" w14:textId="77777777" w:rsidTr="002A1E63">
        <w:trPr>
          <w:trHeight w:val="671"/>
        </w:trPr>
        <w:tc>
          <w:tcPr>
            <w:tcW w:w="2296" w:type="dxa"/>
          </w:tcPr>
          <w:p w14:paraId="3889A1E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Sport and exercise</w:t>
            </w:r>
          </w:p>
        </w:tc>
        <w:tc>
          <w:tcPr>
            <w:tcW w:w="1439" w:type="dxa"/>
          </w:tcPr>
          <w:p w14:paraId="1313D49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1.73 (.80)</w:t>
            </w:r>
          </w:p>
        </w:tc>
        <w:tc>
          <w:tcPr>
            <w:tcW w:w="1750" w:type="dxa"/>
          </w:tcPr>
          <w:p w14:paraId="7ACF398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1.77 (.66)</w:t>
            </w:r>
          </w:p>
        </w:tc>
        <w:tc>
          <w:tcPr>
            <w:tcW w:w="1701" w:type="dxa"/>
          </w:tcPr>
          <w:p w14:paraId="7ADF1BB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1.69 (.94)</w:t>
            </w:r>
          </w:p>
        </w:tc>
        <w:tc>
          <w:tcPr>
            <w:tcW w:w="1998" w:type="dxa"/>
          </w:tcPr>
          <w:p w14:paraId="5C36A7A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.64</w:t>
            </w:r>
          </w:p>
        </w:tc>
      </w:tr>
      <w:tr w:rsidR="00BA03C6" w:rsidRPr="00BA03C6" w14:paraId="6E791403" w14:textId="77777777" w:rsidTr="002A1E63">
        <w:trPr>
          <w:trHeight w:val="690"/>
        </w:trPr>
        <w:tc>
          <w:tcPr>
            <w:tcW w:w="2296" w:type="dxa"/>
          </w:tcPr>
          <w:p w14:paraId="4755243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Entertainment at home</w:t>
            </w:r>
          </w:p>
        </w:tc>
        <w:tc>
          <w:tcPr>
            <w:tcW w:w="1439" w:type="dxa"/>
          </w:tcPr>
          <w:p w14:paraId="285A773E"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2.43 (.85)</w:t>
            </w:r>
          </w:p>
        </w:tc>
        <w:tc>
          <w:tcPr>
            <w:tcW w:w="1750" w:type="dxa"/>
          </w:tcPr>
          <w:p w14:paraId="319D60A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2.62 (.84)</w:t>
            </w:r>
          </w:p>
        </w:tc>
        <w:tc>
          <w:tcPr>
            <w:tcW w:w="1701" w:type="dxa"/>
          </w:tcPr>
          <w:p w14:paraId="7D912241"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Cs/>
              </w:rPr>
              <w:t>2.21 (.80)</w:t>
            </w:r>
          </w:p>
        </w:tc>
        <w:tc>
          <w:tcPr>
            <w:tcW w:w="1998" w:type="dxa"/>
          </w:tcPr>
          <w:p w14:paraId="43DC1E09"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
                <w:i/>
                <w:iCs/>
              </w:rPr>
              <w:t>p</w:t>
            </w:r>
            <w:r w:rsidRPr="00BA03C6">
              <w:rPr>
                <w:rFonts w:ascii="Times New Roman" w:hAnsi="Times New Roman" w:cs="Times New Roman"/>
                <w:b/>
              </w:rPr>
              <w:t xml:space="preserve"> &lt; .01*</w:t>
            </w:r>
          </w:p>
        </w:tc>
      </w:tr>
      <w:tr w:rsidR="00BA03C6" w:rsidRPr="00BA03C6" w14:paraId="6DE4B425" w14:textId="77777777" w:rsidTr="002A1E63">
        <w:trPr>
          <w:trHeight w:val="671"/>
        </w:trPr>
        <w:tc>
          <w:tcPr>
            <w:tcW w:w="2296" w:type="dxa"/>
          </w:tcPr>
          <w:p w14:paraId="3601A1A4"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Entertainment outside the home</w:t>
            </w:r>
          </w:p>
        </w:tc>
        <w:tc>
          <w:tcPr>
            <w:tcW w:w="1439" w:type="dxa"/>
          </w:tcPr>
          <w:p w14:paraId="77A2CF71"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1.46 (.90)</w:t>
            </w:r>
          </w:p>
        </w:tc>
        <w:tc>
          <w:tcPr>
            <w:tcW w:w="1750" w:type="dxa"/>
          </w:tcPr>
          <w:p w14:paraId="3BFD0B1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1.43 (.85)</w:t>
            </w:r>
          </w:p>
        </w:tc>
        <w:tc>
          <w:tcPr>
            <w:tcW w:w="1701" w:type="dxa"/>
          </w:tcPr>
          <w:p w14:paraId="759FB165"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1.50 (.96)</w:t>
            </w:r>
          </w:p>
        </w:tc>
        <w:tc>
          <w:tcPr>
            <w:tcW w:w="1998" w:type="dxa"/>
          </w:tcPr>
          <w:p w14:paraId="0A655E7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.76</w:t>
            </w:r>
          </w:p>
        </w:tc>
      </w:tr>
      <w:tr w:rsidR="00BA03C6" w:rsidRPr="00BA03C6" w14:paraId="56BD225B" w14:textId="77777777" w:rsidTr="002A1E63">
        <w:trPr>
          <w:trHeight w:val="690"/>
        </w:trPr>
        <w:tc>
          <w:tcPr>
            <w:tcW w:w="2296" w:type="dxa"/>
          </w:tcPr>
          <w:p w14:paraId="79DFD7E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Hobbies</w:t>
            </w:r>
          </w:p>
        </w:tc>
        <w:tc>
          <w:tcPr>
            <w:tcW w:w="1439" w:type="dxa"/>
          </w:tcPr>
          <w:p w14:paraId="1B6A27C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1.92 (.74)</w:t>
            </w:r>
          </w:p>
        </w:tc>
        <w:tc>
          <w:tcPr>
            <w:tcW w:w="1750" w:type="dxa"/>
          </w:tcPr>
          <w:p w14:paraId="528426E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1.96 (.63)</w:t>
            </w:r>
          </w:p>
        </w:tc>
        <w:tc>
          <w:tcPr>
            <w:tcW w:w="1701" w:type="dxa"/>
          </w:tcPr>
          <w:p w14:paraId="32D5353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1.87 (.84)</w:t>
            </w:r>
          </w:p>
        </w:tc>
        <w:tc>
          <w:tcPr>
            <w:tcW w:w="1998" w:type="dxa"/>
          </w:tcPr>
          <w:p w14:paraId="3866B1BB"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.78</w:t>
            </w:r>
          </w:p>
        </w:tc>
      </w:tr>
      <w:tr w:rsidR="00BA03C6" w:rsidRPr="00BA03C6" w14:paraId="7D8D5C00" w14:textId="77777777" w:rsidTr="002A1E63">
        <w:trPr>
          <w:trHeight w:val="671"/>
        </w:trPr>
        <w:tc>
          <w:tcPr>
            <w:tcW w:w="2296" w:type="dxa"/>
          </w:tcPr>
          <w:p w14:paraId="30DBEB94"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lastRenderedPageBreak/>
              <w:t>Work</w:t>
            </w:r>
          </w:p>
        </w:tc>
        <w:tc>
          <w:tcPr>
            <w:tcW w:w="1439" w:type="dxa"/>
          </w:tcPr>
          <w:p w14:paraId="7FE96387"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1.95 (.48)</w:t>
            </w:r>
          </w:p>
        </w:tc>
        <w:tc>
          <w:tcPr>
            <w:tcW w:w="1750" w:type="dxa"/>
          </w:tcPr>
          <w:p w14:paraId="379C3F49"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1.96 (.42)</w:t>
            </w:r>
          </w:p>
        </w:tc>
        <w:tc>
          <w:tcPr>
            <w:tcW w:w="1701" w:type="dxa"/>
          </w:tcPr>
          <w:p w14:paraId="00349623"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1.94 (.54)</w:t>
            </w:r>
          </w:p>
        </w:tc>
        <w:tc>
          <w:tcPr>
            <w:tcW w:w="1998" w:type="dxa"/>
          </w:tcPr>
          <w:p w14:paraId="7C705C2E"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1.00</w:t>
            </w:r>
          </w:p>
        </w:tc>
      </w:tr>
      <w:tr w:rsidR="00BA03C6" w:rsidRPr="00BA03C6" w14:paraId="6235420C" w14:textId="77777777" w:rsidTr="002A1E63">
        <w:trPr>
          <w:trHeight w:val="690"/>
        </w:trPr>
        <w:tc>
          <w:tcPr>
            <w:tcW w:w="2296" w:type="dxa"/>
          </w:tcPr>
          <w:p w14:paraId="330F6E0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University</w:t>
            </w:r>
          </w:p>
        </w:tc>
        <w:tc>
          <w:tcPr>
            <w:tcW w:w="1439" w:type="dxa"/>
          </w:tcPr>
          <w:p w14:paraId="71FBD58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1.89 (.59)</w:t>
            </w:r>
          </w:p>
        </w:tc>
        <w:tc>
          <w:tcPr>
            <w:tcW w:w="1750" w:type="dxa"/>
          </w:tcPr>
          <w:p w14:paraId="653BB2F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1.91 (.44)</w:t>
            </w:r>
          </w:p>
        </w:tc>
        <w:tc>
          <w:tcPr>
            <w:tcW w:w="1701" w:type="dxa"/>
          </w:tcPr>
          <w:p w14:paraId="3E4CE78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1.87 (.71)</w:t>
            </w:r>
          </w:p>
        </w:tc>
        <w:tc>
          <w:tcPr>
            <w:tcW w:w="1998" w:type="dxa"/>
          </w:tcPr>
          <w:p w14:paraId="275AD1F4"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.72</w:t>
            </w:r>
          </w:p>
        </w:tc>
      </w:tr>
      <w:tr w:rsidR="00BA03C6" w:rsidRPr="00BA03C6" w14:paraId="0FD4D716" w14:textId="77777777" w:rsidTr="002A1E63">
        <w:trPr>
          <w:trHeight w:val="671"/>
        </w:trPr>
        <w:tc>
          <w:tcPr>
            <w:tcW w:w="2296" w:type="dxa"/>
          </w:tcPr>
          <w:p w14:paraId="3033C05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Volunteering</w:t>
            </w:r>
          </w:p>
        </w:tc>
        <w:tc>
          <w:tcPr>
            <w:tcW w:w="1439" w:type="dxa"/>
          </w:tcPr>
          <w:p w14:paraId="4C66BEB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1.86 (.52)</w:t>
            </w:r>
          </w:p>
        </w:tc>
        <w:tc>
          <w:tcPr>
            <w:tcW w:w="1750" w:type="dxa"/>
          </w:tcPr>
          <w:p w14:paraId="1CAF6F04"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1.88 (.54)</w:t>
            </w:r>
          </w:p>
        </w:tc>
        <w:tc>
          <w:tcPr>
            <w:tcW w:w="1701" w:type="dxa"/>
          </w:tcPr>
          <w:p w14:paraId="11429B9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1.85 (.50)</w:t>
            </w:r>
          </w:p>
        </w:tc>
        <w:tc>
          <w:tcPr>
            <w:tcW w:w="1998" w:type="dxa"/>
          </w:tcPr>
          <w:p w14:paraId="435786A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.50</w:t>
            </w:r>
          </w:p>
        </w:tc>
      </w:tr>
      <w:tr w:rsidR="00BA03C6" w:rsidRPr="00BA03C6" w14:paraId="69E076AB" w14:textId="77777777" w:rsidTr="002A1E63">
        <w:trPr>
          <w:trHeight w:val="690"/>
        </w:trPr>
        <w:tc>
          <w:tcPr>
            <w:tcW w:w="2296" w:type="dxa"/>
          </w:tcPr>
          <w:p w14:paraId="734C1F7C"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Relaxing</w:t>
            </w:r>
          </w:p>
        </w:tc>
        <w:tc>
          <w:tcPr>
            <w:tcW w:w="1439" w:type="dxa"/>
          </w:tcPr>
          <w:p w14:paraId="4A60D69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2.20 (.75)</w:t>
            </w:r>
          </w:p>
        </w:tc>
        <w:tc>
          <w:tcPr>
            <w:tcW w:w="1750" w:type="dxa"/>
          </w:tcPr>
          <w:p w14:paraId="0015A3D9"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2.30 (.78)</w:t>
            </w:r>
          </w:p>
        </w:tc>
        <w:tc>
          <w:tcPr>
            <w:tcW w:w="1701" w:type="dxa"/>
          </w:tcPr>
          <w:p w14:paraId="593B5D6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2.10 (.69)</w:t>
            </w:r>
          </w:p>
        </w:tc>
        <w:tc>
          <w:tcPr>
            <w:tcW w:w="1998" w:type="dxa"/>
          </w:tcPr>
          <w:p w14:paraId="557AFA48"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.13</w:t>
            </w:r>
          </w:p>
        </w:tc>
      </w:tr>
      <w:tr w:rsidR="00BA03C6" w:rsidRPr="00BA03C6" w14:paraId="37D37F8A" w14:textId="77777777" w:rsidTr="002A1E63">
        <w:trPr>
          <w:trHeight w:val="671"/>
        </w:trPr>
        <w:tc>
          <w:tcPr>
            <w:tcW w:w="2296" w:type="dxa"/>
          </w:tcPr>
          <w:p w14:paraId="63356825"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Being alone</w:t>
            </w:r>
          </w:p>
        </w:tc>
        <w:tc>
          <w:tcPr>
            <w:tcW w:w="1439" w:type="dxa"/>
          </w:tcPr>
          <w:p w14:paraId="12E92E1C"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2.25 (.87)</w:t>
            </w:r>
          </w:p>
        </w:tc>
        <w:tc>
          <w:tcPr>
            <w:tcW w:w="1750" w:type="dxa"/>
          </w:tcPr>
          <w:p w14:paraId="169A9369"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2.30 (.93)</w:t>
            </w:r>
          </w:p>
        </w:tc>
        <w:tc>
          <w:tcPr>
            <w:tcW w:w="1701" w:type="dxa"/>
          </w:tcPr>
          <w:p w14:paraId="4315CF34"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2.19 (.79)</w:t>
            </w:r>
          </w:p>
        </w:tc>
        <w:tc>
          <w:tcPr>
            <w:tcW w:w="1998" w:type="dxa"/>
          </w:tcPr>
          <w:p w14:paraId="36BAD03D"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.37</w:t>
            </w:r>
          </w:p>
        </w:tc>
      </w:tr>
      <w:tr w:rsidR="00BA03C6" w:rsidRPr="00BA03C6" w14:paraId="7E37086F" w14:textId="77777777" w:rsidTr="002A1E63">
        <w:trPr>
          <w:trHeight w:val="671"/>
        </w:trPr>
        <w:tc>
          <w:tcPr>
            <w:tcW w:w="2296" w:type="dxa"/>
          </w:tcPr>
          <w:p w14:paraId="47D0A0A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Religion and politics</w:t>
            </w:r>
          </w:p>
        </w:tc>
        <w:tc>
          <w:tcPr>
            <w:tcW w:w="1439" w:type="dxa"/>
          </w:tcPr>
          <w:p w14:paraId="29AF35F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1.90 (.51)</w:t>
            </w:r>
          </w:p>
        </w:tc>
        <w:tc>
          <w:tcPr>
            <w:tcW w:w="1750" w:type="dxa"/>
          </w:tcPr>
          <w:p w14:paraId="41B68A77"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1.89 (.45)</w:t>
            </w:r>
          </w:p>
        </w:tc>
        <w:tc>
          <w:tcPr>
            <w:tcW w:w="1701" w:type="dxa"/>
          </w:tcPr>
          <w:p w14:paraId="12EADE7C"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1.90 (.57)</w:t>
            </w:r>
          </w:p>
        </w:tc>
        <w:tc>
          <w:tcPr>
            <w:tcW w:w="1998" w:type="dxa"/>
          </w:tcPr>
          <w:p w14:paraId="5765FA0F"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.94</w:t>
            </w:r>
          </w:p>
        </w:tc>
      </w:tr>
      <w:tr w:rsidR="00BA03C6" w:rsidRPr="00BA03C6" w14:paraId="60F6F5EC" w14:textId="77777777" w:rsidTr="002A1E63">
        <w:trPr>
          <w:trHeight w:val="690"/>
        </w:trPr>
        <w:tc>
          <w:tcPr>
            <w:tcW w:w="2296" w:type="dxa"/>
          </w:tcPr>
          <w:p w14:paraId="204B754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Sexual activity</w:t>
            </w:r>
          </w:p>
        </w:tc>
        <w:tc>
          <w:tcPr>
            <w:tcW w:w="1439" w:type="dxa"/>
          </w:tcPr>
          <w:p w14:paraId="09DDD38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1.80 (.99)</w:t>
            </w:r>
          </w:p>
        </w:tc>
        <w:tc>
          <w:tcPr>
            <w:tcW w:w="1750" w:type="dxa"/>
          </w:tcPr>
          <w:p w14:paraId="1E0862CB"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1.80 (.96)</w:t>
            </w:r>
          </w:p>
        </w:tc>
        <w:tc>
          <w:tcPr>
            <w:tcW w:w="1701" w:type="dxa"/>
          </w:tcPr>
          <w:p w14:paraId="42C2D88B"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1.79 (1.04)</w:t>
            </w:r>
          </w:p>
        </w:tc>
        <w:tc>
          <w:tcPr>
            <w:tcW w:w="1998" w:type="dxa"/>
          </w:tcPr>
          <w:p w14:paraId="47FA1B52"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.80</w:t>
            </w:r>
          </w:p>
        </w:tc>
      </w:tr>
      <w:tr w:rsidR="00BA03C6" w:rsidRPr="00BA03C6" w14:paraId="4D95E0F7" w14:textId="77777777" w:rsidTr="002A1E63">
        <w:trPr>
          <w:trHeight w:val="671"/>
        </w:trPr>
        <w:tc>
          <w:tcPr>
            <w:tcW w:w="2296" w:type="dxa"/>
          </w:tcPr>
          <w:p w14:paraId="7D455677"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Caring for others</w:t>
            </w:r>
          </w:p>
        </w:tc>
        <w:tc>
          <w:tcPr>
            <w:tcW w:w="1439" w:type="dxa"/>
          </w:tcPr>
          <w:p w14:paraId="68131D79"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1.95 (.54)</w:t>
            </w:r>
          </w:p>
        </w:tc>
        <w:tc>
          <w:tcPr>
            <w:tcW w:w="1750" w:type="dxa"/>
          </w:tcPr>
          <w:p w14:paraId="405E89BE"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1.95 (.59)</w:t>
            </w:r>
          </w:p>
        </w:tc>
        <w:tc>
          <w:tcPr>
            <w:tcW w:w="1701" w:type="dxa"/>
          </w:tcPr>
          <w:p w14:paraId="05D70F4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1.96 (.48)</w:t>
            </w:r>
          </w:p>
        </w:tc>
        <w:tc>
          <w:tcPr>
            <w:tcW w:w="1998" w:type="dxa"/>
          </w:tcPr>
          <w:p w14:paraId="2670B9D5"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1.00</w:t>
            </w:r>
          </w:p>
        </w:tc>
      </w:tr>
      <w:tr w:rsidR="00BA03C6" w:rsidRPr="00BA03C6" w14:paraId="338D03AA" w14:textId="77777777" w:rsidTr="002A1E63">
        <w:trPr>
          <w:trHeight w:val="690"/>
        </w:trPr>
        <w:tc>
          <w:tcPr>
            <w:tcW w:w="2296" w:type="dxa"/>
          </w:tcPr>
          <w:p w14:paraId="09E4539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Domestic activity</w:t>
            </w:r>
          </w:p>
        </w:tc>
        <w:tc>
          <w:tcPr>
            <w:tcW w:w="1439" w:type="dxa"/>
          </w:tcPr>
          <w:p w14:paraId="1767F5B1"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2.07 (.71)</w:t>
            </w:r>
          </w:p>
        </w:tc>
        <w:tc>
          <w:tcPr>
            <w:tcW w:w="1750" w:type="dxa"/>
          </w:tcPr>
          <w:p w14:paraId="0A494A5D"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2.14 (.72)</w:t>
            </w:r>
          </w:p>
        </w:tc>
        <w:tc>
          <w:tcPr>
            <w:tcW w:w="1701" w:type="dxa"/>
          </w:tcPr>
          <w:p w14:paraId="38B69B11"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2.00 (.69)</w:t>
            </w:r>
          </w:p>
        </w:tc>
        <w:tc>
          <w:tcPr>
            <w:tcW w:w="1998" w:type="dxa"/>
          </w:tcPr>
          <w:p w14:paraId="5067A761"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.35</w:t>
            </w:r>
          </w:p>
        </w:tc>
      </w:tr>
      <w:tr w:rsidR="00BA03C6" w:rsidRPr="00BA03C6" w14:paraId="2A6FBC9F" w14:textId="77777777" w:rsidTr="002A1E63">
        <w:trPr>
          <w:trHeight w:val="671"/>
        </w:trPr>
        <w:tc>
          <w:tcPr>
            <w:tcW w:w="2296" w:type="dxa"/>
            <w:tcBorders>
              <w:bottom w:val="single" w:sz="18" w:space="0" w:color="000000"/>
            </w:tcBorders>
          </w:tcPr>
          <w:p w14:paraId="43D258EA"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 xml:space="preserve">Time in nature </w:t>
            </w:r>
          </w:p>
        </w:tc>
        <w:tc>
          <w:tcPr>
            <w:tcW w:w="1439" w:type="dxa"/>
            <w:tcBorders>
              <w:bottom w:val="single" w:sz="18" w:space="0" w:color="000000"/>
            </w:tcBorders>
          </w:tcPr>
          <w:p w14:paraId="77A9DFC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1.97 (.72)</w:t>
            </w:r>
          </w:p>
        </w:tc>
        <w:tc>
          <w:tcPr>
            <w:tcW w:w="1750" w:type="dxa"/>
            <w:tcBorders>
              <w:bottom w:val="single" w:sz="18" w:space="0" w:color="000000"/>
            </w:tcBorders>
          </w:tcPr>
          <w:p w14:paraId="4AFA95CE"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2.04 (.74)</w:t>
            </w:r>
          </w:p>
        </w:tc>
        <w:tc>
          <w:tcPr>
            <w:tcW w:w="1701" w:type="dxa"/>
            <w:tcBorders>
              <w:bottom w:val="single" w:sz="18" w:space="0" w:color="000000"/>
            </w:tcBorders>
          </w:tcPr>
          <w:p w14:paraId="0A51E8D0"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rPr>
              <w:t>1.90 (.69)</w:t>
            </w:r>
          </w:p>
        </w:tc>
        <w:tc>
          <w:tcPr>
            <w:tcW w:w="1998" w:type="dxa"/>
            <w:tcBorders>
              <w:bottom w:val="single" w:sz="18" w:space="0" w:color="000000"/>
            </w:tcBorders>
          </w:tcPr>
          <w:p w14:paraId="035D3966" w14:textId="77777777" w:rsidR="00BA03C6" w:rsidRPr="00BA03C6" w:rsidRDefault="00BA03C6" w:rsidP="00BA03C6">
            <w:pPr>
              <w:pStyle w:val="NoSpacing"/>
              <w:rPr>
                <w:rFonts w:ascii="Times New Roman" w:hAnsi="Times New Roman" w:cs="Times New Roman"/>
                <w:bCs/>
              </w:rPr>
            </w:pPr>
            <w:r w:rsidRPr="00BA03C6">
              <w:rPr>
                <w:rFonts w:ascii="Times New Roman" w:hAnsi="Times New Roman" w:cs="Times New Roman"/>
                <w:bCs/>
                <w:i/>
                <w:iCs/>
              </w:rPr>
              <w:t>p</w:t>
            </w:r>
            <w:r w:rsidRPr="00BA03C6">
              <w:rPr>
                <w:rFonts w:ascii="Times New Roman" w:hAnsi="Times New Roman" w:cs="Times New Roman"/>
                <w:bCs/>
              </w:rPr>
              <w:t xml:space="preserve"> = .62</w:t>
            </w:r>
          </w:p>
        </w:tc>
      </w:tr>
    </w:tbl>
    <w:p w14:paraId="1BA3ECF1" w14:textId="59337FA1"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bCs/>
          <w:i/>
          <w:iCs/>
        </w:rPr>
        <w:t>Note</w:t>
      </w:r>
      <w:r w:rsidRPr="00BA03C6">
        <w:rPr>
          <w:rFonts w:ascii="Times New Roman" w:hAnsi="Times New Roman" w:cs="Times New Roman"/>
          <w:bCs/>
        </w:rPr>
        <w:t xml:space="preserve">: </w:t>
      </w:r>
      <w:r w:rsidRPr="00BA03C6">
        <w:rPr>
          <w:rFonts w:ascii="Times New Roman" w:hAnsi="Times New Roman" w:cs="Times New Roman"/>
          <w:bCs/>
          <w:i/>
          <w:iCs/>
        </w:rPr>
        <w:t>p</w:t>
      </w:r>
      <w:r w:rsidRPr="00BA03C6">
        <w:rPr>
          <w:rFonts w:ascii="Times New Roman" w:hAnsi="Times New Roman" w:cs="Times New Roman"/>
          <w:bCs/>
        </w:rPr>
        <w:t xml:space="preserve">-values correspond to comparisons in heavy drinkers and moderated drinkers. Significance is in bold. Meeting individuals and small groups refers to under 6 people. Larger group meet-ups refers to 6 or more people. </w:t>
      </w:r>
      <w:bookmarkStart w:id="439" w:name="_Hlk85648503"/>
      <w:bookmarkEnd w:id="439"/>
      <w:r w:rsidRPr="00BA03C6">
        <w:rPr>
          <w:rFonts w:ascii="Times New Roman" w:hAnsi="Times New Roman" w:cs="Times New Roman"/>
          <w:bCs/>
        </w:rPr>
        <w:t xml:space="preserve">Responses are scored on a </w:t>
      </w:r>
      <w:r w:rsidRPr="00BA03C6">
        <w:rPr>
          <w:rFonts w:ascii="Times New Roman" w:hAnsi="Times New Roman" w:cs="Times New Roman"/>
        </w:rPr>
        <w:t xml:space="preserve">5-point scale (0 = much less often; 1 = slightly less often; 2 = no change; 3 = slightly more often, 4 = much more often). </w:t>
      </w:r>
    </w:p>
    <w:p w14:paraId="7AC59078" w14:textId="77777777" w:rsidR="00BA03C6" w:rsidRPr="00BA03C6" w:rsidRDefault="00BA03C6" w:rsidP="00BA03C6">
      <w:pPr>
        <w:pStyle w:val="NoSpacing"/>
      </w:pPr>
    </w:p>
    <w:p w14:paraId="08445145" w14:textId="77777777" w:rsidR="00BA03C6" w:rsidRPr="00BA03C6" w:rsidRDefault="00BA03C6" w:rsidP="00BA03C6">
      <w:pPr>
        <w:pStyle w:val="NoSpacing"/>
        <w:spacing w:line="480" w:lineRule="auto"/>
        <w:rPr>
          <w:rFonts w:ascii="Times New Roman" w:hAnsi="Times New Roman" w:cs="Times New Roman"/>
        </w:rPr>
      </w:pPr>
      <w:r w:rsidRPr="00BA03C6">
        <w:rPr>
          <w:rFonts w:ascii="Times New Roman" w:hAnsi="Times New Roman" w:cs="Times New Roman"/>
        </w:rPr>
        <w:t xml:space="preserve">A further breakdown by activity revealed that changes in frequency of engagement in some of the </w:t>
      </w:r>
      <w:r w:rsidRPr="00BA03C6">
        <w:rPr>
          <w:rFonts w:ascii="Times New Roman" w:hAnsi="Times New Roman" w:cs="Times New Roman"/>
          <w:b/>
          <w:bCs/>
        </w:rPr>
        <w:t>alcohol-free</w:t>
      </w:r>
      <w:r w:rsidRPr="00BA03C6">
        <w:rPr>
          <w:rFonts w:ascii="Times New Roman" w:hAnsi="Times New Roman" w:cs="Times New Roman"/>
        </w:rPr>
        <w:t xml:space="preserve"> </w:t>
      </w:r>
      <w:r w:rsidRPr="00BA03C6">
        <w:rPr>
          <w:rFonts w:ascii="Times New Roman" w:hAnsi="Times New Roman" w:cs="Times New Roman"/>
          <w:b/>
          <w:bCs/>
        </w:rPr>
        <w:t>activities</w:t>
      </w:r>
      <w:r w:rsidRPr="00BA03C6">
        <w:rPr>
          <w:rFonts w:ascii="Times New Roman" w:hAnsi="Times New Roman" w:cs="Times New Roman"/>
        </w:rPr>
        <w:t xml:space="preserve"> since COVID-19 lockdown restrictions were more pronounced than others (see table below). For example, activities such as meeting up with people and entertainment outside the home were estimated to be less frequent (scores below 2), whilst entertainment within the home, domestic activity, and virtual socialising were estimated to be more frequent (scores above 2), compared to before COVID-19 lockdown restrictions. Some activities remained relatively unchanged, such as work and university. There was a </w:t>
      </w:r>
      <w:r w:rsidRPr="00BA03C6">
        <w:rPr>
          <w:rFonts w:ascii="Times New Roman" w:hAnsi="Times New Roman" w:cs="Times New Roman"/>
        </w:rPr>
        <w:lastRenderedPageBreak/>
        <w:t>significant difference between heavy drinkers and moderated drinkers in the frequency of engagement in religion and politics without alcohol since COVID-19 lockdown restrictions were introduced (see Table S6.5).</w:t>
      </w:r>
    </w:p>
    <w:p w14:paraId="3FEE7957" w14:textId="77777777" w:rsidR="00BA03C6" w:rsidRPr="00BA03C6" w:rsidRDefault="00BA03C6" w:rsidP="00BA03C6">
      <w:pPr>
        <w:pStyle w:val="NoSpacing"/>
        <w:spacing w:line="480" w:lineRule="auto"/>
        <w:rPr>
          <w:rFonts w:ascii="Times New Roman" w:hAnsi="Times New Roman" w:cs="Times New Roman"/>
        </w:rPr>
      </w:pPr>
    </w:p>
    <w:p w14:paraId="34C479B7" w14:textId="77777777" w:rsidR="00BA03C6" w:rsidRDefault="00BA03C6" w:rsidP="00BA03C6">
      <w:pPr>
        <w:pStyle w:val="NoSpacing"/>
        <w:spacing w:line="480" w:lineRule="auto"/>
        <w:rPr>
          <w:rFonts w:ascii="Times New Roman" w:hAnsi="Times New Roman" w:cs="Times New Roman"/>
          <w:b/>
          <w:bCs/>
        </w:rPr>
      </w:pPr>
      <w:r w:rsidRPr="00BA03C6">
        <w:rPr>
          <w:rFonts w:ascii="Times New Roman" w:hAnsi="Times New Roman" w:cs="Times New Roman"/>
          <w:b/>
          <w:bCs/>
        </w:rPr>
        <w:t>Table S6.5</w:t>
      </w:r>
    </w:p>
    <w:p w14:paraId="3AB1DE11" w14:textId="707E31F3" w:rsidR="00BA03C6" w:rsidRPr="00BA03C6" w:rsidRDefault="00BA03C6" w:rsidP="00BA03C6">
      <w:pPr>
        <w:pStyle w:val="NoSpacing"/>
        <w:spacing w:line="480" w:lineRule="auto"/>
        <w:rPr>
          <w:rFonts w:ascii="Times New Roman" w:hAnsi="Times New Roman" w:cs="Times New Roman"/>
          <w:b/>
          <w:bCs/>
        </w:rPr>
      </w:pPr>
      <w:r w:rsidRPr="00BA03C6">
        <w:rPr>
          <w:rFonts w:ascii="Times New Roman" w:hAnsi="Times New Roman" w:cs="Times New Roman"/>
          <w:i/>
          <w:iCs/>
        </w:rPr>
        <w:t>A table to show whether engagement with alcohol-free activities changed since national lockdown restrictions began in March 2020 (values are means and standard deviations)</w:t>
      </w:r>
    </w:p>
    <w:tbl>
      <w:tblPr>
        <w:tblW w:w="9143" w:type="dxa"/>
        <w:tblLook w:val="04A0" w:firstRow="1" w:lastRow="0" w:firstColumn="1" w:lastColumn="0" w:noHBand="0" w:noVBand="1"/>
      </w:tblPr>
      <w:tblGrid>
        <w:gridCol w:w="2403"/>
        <w:gridCol w:w="1277"/>
        <w:gridCol w:w="1558"/>
        <w:gridCol w:w="1661"/>
        <w:gridCol w:w="2244"/>
      </w:tblGrid>
      <w:tr w:rsidR="00BA03C6" w:rsidRPr="00BA03C6" w14:paraId="415C16F7" w14:textId="77777777" w:rsidTr="002A1E63">
        <w:trPr>
          <w:trHeight w:val="968"/>
        </w:trPr>
        <w:tc>
          <w:tcPr>
            <w:tcW w:w="2403" w:type="dxa"/>
            <w:tcBorders>
              <w:top w:val="single" w:sz="18" w:space="0" w:color="000000"/>
              <w:bottom w:val="single" w:sz="4" w:space="0" w:color="000000"/>
            </w:tcBorders>
          </w:tcPr>
          <w:p w14:paraId="54A0F563" w14:textId="77777777" w:rsidR="00BA03C6" w:rsidRPr="00BA03C6" w:rsidRDefault="00BA03C6" w:rsidP="00BA03C6">
            <w:pPr>
              <w:pStyle w:val="NoSpacing"/>
              <w:rPr>
                <w:rFonts w:ascii="Times New Roman" w:hAnsi="Times New Roman" w:cs="Times New Roman"/>
                <w:b/>
                <w:bCs/>
              </w:rPr>
            </w:pPr>
            <w:bookmarkStart w:id="440" w:name="_Hlk85545002"/>
            <w:bookmarkEnd w:id="440"/>
            <w:r w:rsidRPr="00BA03C6">
              <w:rPr>
                <w:rFonts w:ascii="Times New Roman" w:hAnsi="Times New Roman" w:cs="Times New Roman"/>
                <w:b/>
                <w:bCs/>
              </w:rPr>
              <w:t xml:space="preserve">Activities </w:t>
            </w:r>
            <w:r w:rsidRPr="00BA03C6">
              <w:rPr>
                <w:rFonts w:ascii="Times New Roman" w:hAnsi="Times New Roman" w:cs="Times New Roman"/>
                <w:b/>
                <w:bCs/>
                <w:u w:val="single"/>
              </w:rPr>
              <w:t>without</w:t>
            </w:r>
            <w:r w:rsidRPr="00BA03C6">
              <w:rPr>
                <w:rFonts w:ascii="Times New Roman" w:hAnsi="Times New Roman" w:cs="Times New Roman"/>
                <w:b/>
                <w:bCs/>
              </w:rPr>
              <w:t xml:space="preserve"> alcohol</w:t>
            </w:r>
          </w:p>
        </w:tc>
        <w:tc>
          <w:tcPr>
            <w:tcW w:w="1277" w:type="dxa"/>
            <w:tcBorders>
              <w:top w:val="single" w:sz="18" w:space="0" w:color="000000"/>
              <w:bottom w:val="single" w:sz="4" w:space="0" w:color="000000"/>
            </w:tcBorders>
          </w:tcPr>
          <w:p w14:paraId="3DF2AE2F"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Total sample</w:t>
            </w:r>
          </w:p>
        </w:tc>
        <w:tc>
          <w:tcPr>
            <w:tcW w:w="1558" w:type="dxa"/>
            <w:tcBorders>
              <w:top w:val="single" w:sz="18" w:space="0" w:color="000000"/>
              <w:bottom w:val="single" w:sz="4" w:space="0" w:color="000000"/>
            </w:tcBorders>
          </w:tcPr>
          <w:p w14:paraId="22110509"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Heavy drinkers</w:t>
            </w:r>
          </w:p>
        </w:tc>
        <w:tc>
          <w:tcPr>
            <w:tcW w:w="1661" w:type="dxa"/>
            <w:tcBorders>
              <w:top w:val="single" w:sz="18" w:space="0" w:color="000000"/>
              <w:bottom w:val="single" w:sz="4" w:space="0" w:color="000000"/>
            </w:tcBorders>
          </w:tcPr>
          <w:p w14:paraId="01FAFA72"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t>Moderated drinkers</w:t>
            </w:r>
          </w:p>
        </w:tc>
        <w:tc>
          <w:tcPr>
            <w:tcW w:w="2244" w:type="dxa"/>
            <w:tcBorders>
              <w:top w:val="single" w:sz="18" w:space="0" w:color="000000"/>
              <w:bottom w:val="single" w:sz="4" w:space="0" w:color="000000"/>
            </w:tcBorders>
          </w:tcPr>
          <w:p w14:paraId="1466A888"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i/>
                <w:iCs/>
              </w:rPr>
              <w:t>p</w:t>
            </w:r>
            <w:r w:rsidRPr="00BA03C6">
              <w:rPr>
                <w:rFonts w:ascii="Times New Roman" w:hAnsi="Times New Roman" w:cs="Times New Roman"/>
                <w:b/>
                <w:bCs/>
              </w:rPr>
              <w:t xml:space="preserve">-value </w:t>
            </w:r>
          </w:p>
        </w:tc>
      </w:tr>
      <w:tr w:rsidR="00BA03C6" w:rsidRPr="00BA03C6" w14:paraId="55EE6A64" w14:textId="77777777" w:rsidTr="002A1E63">
        <w:trPr>
          <w:trHeight w:val="855"/>
        </w:trPr>
        <w:tc>
          <w:tcPr>
            <w:tcW w:w="2403" w:type="dxa"/>
            <w:tcBorders>
              <w:top w:val="single" w:sz="4" w:space="0" w:color="000000"/>
            </w:tcBorders>
          </w:tcPr>
          <w:p w14:paraId="04E9DCFF" w14:textId="77777777" w:rsidR="00BA03C6" w:rsidRPr="00BA03C6" w:rsidRDefault="00BA03C6" w:rsidP="00BA03C6">
            <w:pPr>
              <w:pStyle w:val="NoSpacing"/>
              <w:rPr>
                <w:rFonts w:ascii="Times New Roman" w:hAnsi="Times New Roman" w:cs="Times New Roman"/>
              </w:rPr>
            </w:pPr>
            <w:bookmarkStart w:id="441" w:name="_Hlk85540555"/>
            <w:bookmarkEnd w:id="441"/>
            <w:r w:rsidRPr="00BA03C6">
              <w:rPr>
                <w:rFonts w:ascii="Times New Roman" w:hAnsi="Times New Roman" w:cs="Times New Roman"/>
              </w:rPr>
              <w:t xml:space="preserve">Meeting individuals and small groups </w:t>
            </w:r>
          </w:p>
        </w:tc>
        <w:tc>
          <w:tcPr>
            <w:tcW w:w="1277" w:type="dxa"/>
            <w:tcBorders>
              <w:top w:val="single" w:sz="4" w:space="0" w:color="000000"/>
            </w:tcBorders>
          </w:tcPr>
          <w:p w14:paraId="1ACFDF42"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1.18 (1.46)</w:t>
            </w:r>
          </w:p>
        </w:tc>
        <w:tc>
          <w:tcPr>
            <w:tcW w:w="1558" w:type="dxa"/>
            <w:tcBorders>
              <w:top w:val="single" w:sz="4" w:space="0" w:color="000000"/>
            </w:tcBorders>
          </w:tcPr>
          <w:p w14:paraId="33B4986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1.05 (1.44)</w:t>
            </w:r>
          </w:p>
        </w:tc>
        <w:tc>
          <w:tcPr>
            <w:tcW w:w="1661" w:type="dxa"/>
            <w:tcBorders>
              <w:top w:val="single" w:sz="4" w:space="0" w:color="000000"/>
            </w:tcBorders>
          </w:tcPr>
          <w:p w14:paraId="3248894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1.31 (1.48)</w:t>
            </w:r>
          </w:p>
        </w:tc>
        <w:tc>
          <w:tcPr>
            <w:tcW w:w="2244" w:type="dxa"/>
            <w:tcBorders>
              <w:top w:val="single" w:sz="4" w:space="0" w:color="000000"/>
            </w:tcBorders>
          </w:tcPr>
          <w:p w14:paraId="23C84AE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.27</w:t>
            </w:r>
          </w:p>
        </w:tc>
      </w:tr>
      <w:tr w:rsidR="00BA03C6" w:rsidRPr="00BA03C6" w14:paraId="2ED00E7B" w14:textId="77777777" w:rsidTr="002A1E63">
        <w:trPr>
          <w:trHeight w:val="689"/>
        </w:trPr>
        <w:tc>
          <w:tcPr>
            <w:tcW w:w="2403" w:type="dxa"/>
          </w:tcPr>
          <w:p w14:paraId="36745C70"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 xml:space="preserve">Larger group meet-ups </w:t>
            </w:r>
          </w:p>
        </w:tc>
        <w:tc>
          <w:tcPr>
            <w:tcW w:w="1277" w:type="dxa"/>
          </w:tcPr>
          <w:p w14:paraId="290B13E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1.15 (1.45)</w:t>
            </w:r>
          </w:p>
        </w:tc>
        <w:tc>
          <w:tcPr>
            <w:tcW w:w="1558" w:type="dxa"/>
          </w:tcPr>
          <w:p w14:paraId="2908196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1.04 (1.43)</w:t>
            </w:r>
          </w:p>
        </w:tc>
        <w:tc>
          <w:tcPr>
            <w:tcW w:w="1661" w:type="dxa"/>
          </w:tcPr>
          <w:p w14:paraId="36C36800"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1.27 (1.48)</w:t>
            </w:r>
          </w:p>
        </w:tc>
        <w:tc>
          <w:tcPr>
            <w:tcW w:w="2244" w:type="dxa"/>
          </w:tcPr>
          <w:p w14:paraId="01798AD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.37</w:t>
            </w:r>
          </w:p>
        </w:tc>
      </w:tr>
      <w:tr w:rsidR="00BA03C6" w:rsidRPr="00BA03C6" w14:paraId="16F3092C" w14:textId="77777777" w:rsidTr="002A1E63">
        <w:trPr>
          <w:trHeight w:val="709"/>
        </w:trPr>
        <w:tc>
          <w:tcPr>
            <w:tcW w:w="2403" w:type="dxa"/>
          </w:tcPr>
          <w:p w14:paraId="7EC85D3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Virtual socialising</w:t>
            </w:r>
          </w:p>
        </w:tc>
        <w:tc>
          <w:tcPr>
            <w:tcW w:w="1277" w:type="dxa"/>
          </w:tcPr>
          <w:p w14:paraId="67AE3A0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2.69 (1.16)</w:t>
            </w:r>
          </w:p>
        </w:tc>
        <w:tc>
          <w:tcPr>
            <w:tcW w:w="1558" w:type="dxa"/>
          </w:tcPr>
          <w:p w14:paraId="21F5E63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2.54 (1.14)</w:t>
            </w:r>
          </w:p>
        </w:tc>
        <w:tc>
          <w:tcPr>
            <w:tcW w:w="1661" w:type="dxa"/>
          </w:tcPr>
          <w:p w14:paraId="718D3ECA"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2.85 (1.16)</w:t>
            </w:r>
          </w:p>
        </w:tc>
        <w:tc>
          <w:tcPr>
            <w:tcW w:w="2244" w:type="dxa"/>
          </w:tcPr>
          <w:p w14:paraId="52AECCC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 xml:space="preserve">p </w:t>
            </w:r>
            <w:r w:rsidRPr="00BA03C6">
              <w:rPr>
                <w:rFonts w:ascii="Times New Roman" w:hAnsi="Times New Roman" w:cs="Times New Roman"/>
              </w:rPr>
              <w:t>= .11</w:t>
            </w:r>
          </w:p>
        </w:tc>
      </w:tr>
      <w:tr w:rsidR="00BA03C6" w:rsidRPr="00BA03C6" w14:paraId="1029B9A3" w14:textId="77777777" w:rsidTr="002A1E63">
        <w:trPr>
          <w:trHeight w:val="689"/>
        </w:trPr>
        <w:tc>
          <w:tcPr>
            <w:tcW w:w="2403" w:type="dxa"/>
          </w:tcPr>
          <w:p w14:paraId="04B3A1C6"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Sport and exercise</w:t>
            </w:r>
          </w:p>
        </w:tc>
        <w:tc>
          <w:tcPr>
            <w:tcW w:w="1277" w:type="dxa"/>
          </w:tcPr>
          <w:p w14:paraId="7A51D2A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1.70 (1.19)</w:t>
            </w:r>
          </w:p>
        </w:tc>
        <w:tc>
          <w:tcPr>
            <w:tcW w:w="1558" w:type="dxa"/>
          </w:tcPr>
          <w:p w14:paraId="300BA44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1.77 (1.13)</w:t>
            </w:r>
          </w:p>
        </w:tc>
        <w:tc>
          <w:tcPr>
            <w:tcW w:w="1661" w:type="dxa"/>
          </w:tcPr>
          <w:p w14:paraId="49A99CB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1.63 (1.25)</w:t>
            </w:r>
          </w:p>
        </w:tc>
        <w:tc>
          <w:tcPr>
            <w:tcW w:w="2244" w:type="dxa"/>
          </w:tcPr>
          <w:p w14:paraId="0AEF0F46"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 xml:space="preserve">p </w:t>
            </w:r>
            <w:r w:rsidRPr="00BA03C6">
              <w:rPr>
                <w:rFonts w:ascii="Times New Roman" w:hAnsi="Times New Roman" w:cs="Times New Roman"/>
              </w:rPr>
              <w:t>= .57</w:t>
            </w:r>
          </w:p>
        </w:tc>
      </w:tr>
      <w:tr w:rsidR="00BA03C6" w:rsidRPr="00BA03C6" w14:paraId="0D8CAEFF" w14:textId="77777777" w:rsidTr="002A1E63">
        <w:trPr>
          <w:trHeight w:val="709"/>
        </w:trPr>
        <w:tc>
          <w:tcPr>
            <w:tcW w:w="2403" w:type="dxa"/>
          </w:tcPr>
          <w:p w14:paraId="2BC3677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Entertainment at home</w:t>
            </w:r>
          </w:p>
        </w:tc>
        <w:tc>
          <w:tcPr>
            <w:tcW w:w="1277" w:type="dxa"/>
          </w:tcPr>
          <w:p w14:paraId="02647A5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2.80 (0.92)</w:t>
            </w:r>
          </w:p>
        </w:tc>
        <w:tc>
          <w:tcPr>
            <w:tcW w:w="1558" w:type="dxa"/>
          </w:tcPr>
          <w:p w14:paraId="63B589E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2.73 (0.94)</w:t>
            </w:r>
          </w:p>
        </w:tc>
        <w:tc>
          <w:tcPr>
            <w:tcW w:w="1661" w:type="dxa"/>
          </w:tcPr>
          <w:p w14:paraId="4679701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2.87 (0.91)</w:t>
            </w:r>
          </w:p>
        </w:tc>
        <w:tc>
          <w:tcPr>
            <w:tcW w:w="2244" w:type="dxa"/>
          </w:tcPr>
          <w:p w14:paraId="3BCEF4A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.40</w:t>
            </w:r>
          </w:p>
        </w:tc>
      </w:tr>
      <w:tr w:rsidR="00BA03C6" w:rsidRPr="00BA03C6" w14:paraId="34BAF043" w14:textId="77777777" w:rsidTr="002A1E63">
        <w:trPr>
          <w:trHeight w:val="689"/>
        </w:trPr>
        <w:tc>
          <w:tcPr>
            <w:tcW w:w="2403" w:type="dxa"/>
          </w:tcPr>
          <w:p w14:paraId="69221792"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Entertainment outside the home</w:t>
            </w:r>
          </w:p>
        </w:tc>
        <w:tc>
          <w:tcPr>
            <w:tcW w:w="1277" w:type="dxa"/>
          </w:tcPr>
          <w:p w14:paraId="5BEF18F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1.06 (1.24)</w:t>
            </w:r>
          </w:p>
        </w:tc>
        <w:tc>
          <w:tcPr>
            <w:tcW w:w="1558" w:type="dxa"/>
          </w:tcPr>
          <w:p w14:paraId="7E9D051B"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0.95 (1.17)</w:t>
            </w:r>
          </w:p>
        </w:tc>
        <w:tc>
          <w:tcPr>
            <w:tcW w:w="1661" w:type="dxa"/>
          </w:tcPr>
          <w:p w14:paraId="68D9CD0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1.17 (1.32)</w:t>
            </w:r>
          </w:p>
        </w:tc>
        <w:tc>
          <w:tcPr>
            <w:tcW w:w="2244" w:type="dxa"/>
          </w:tcPr>
          <w:p w14:paraId="069C4976"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.39</w:t>
            </w:r>
          </w:p>
        </w:tc>
      </w:tr>
      <w:tr w:rsidR="00BA03C6" w:rsidRPr="00BA03C6" w14:paraId="73D96EA7" w14:textId="77777777" w:rsidTr="002A1E63">
        <w:trPr>
          <w:trHeight w:val="689"/>
        </w:trPr>
        <w:tc>
          <w:tcPr>
            <w:tcW w:w="2403" w:type="dxa"/>
          </w:tcPr>
          <w:p w14:paraId="029FFD4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Hobbies</w:t>
            </w:r>
          </w:p>
        </w:tc>
        <w:tc>
          <w:tcPr>
            <w:tcW w:w="1277" w:type="dxa"/>
          </w:tcPr>
          <w:p w14:paraId="4EC361F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2.18 (1.04)</w:t>
            </w:r>
          </w:p>
        </w:tc>
        <w:tc>
          <w:tcPr>
            <w:tcW w:w="1558" w:type="dxa"/>
          </w:tcPr>
          <w:p w14:paraId="3891C87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2.18 (1.06)</w:t>
            </w:r>
          </w:p>
        </w:tc>
        <w:tc>
          <w:tcPr>
            <w:tcW w:w="1661" w:type="dxa"/>
          </w:tcPr>
          <w:p w14:paraId="4BC3C97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2.17 (1.02)</w:t>
            </w:r>
          </w:p>
        </w:tc>
        <w:tc>
          <w:tcPr>
            <w:tcW w:w="2244" w:type="dxa"/>
          </w:tcPr>
          <w:p w14:paraId="311453A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.78</w:t>
            </w:r>
          </w:p>
        </w:tc>
      </w:tr>
      <w:tr w:rsidR="00BA03C6" w:rsidRPr="00BA03C6" w14:paraId="63F9E787" w14:textId="77777777" w:rsidTr="002A1E63">
        <w:trPr>
          <w:trHeight w:val="709"/>
        </w:trPr>
        <w:tc>
          <w:tcPr>
            <w:tcW w:w="2403" w:type="dxa"/>
          </w:tcPr>
          <w:p w14:paraId="7776DFB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Work</w:t>
            </w:r>
          </w:p>
        </w:tc>
        <w:tc>
          <w:tcPr>
            <w:tcW w:w="1277" w:type="dxa"/>
          </w:tcPr>
          <w:p w14:paraId="26719B2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1.84 (0.98)</w:t>
            </w:r>
          </w:p>
        </w:tc>
        <w:tc>
          <w:tcPr>
            <w:tcW w:w="1558" w:type="dxa"/>
          </w:tcPr>
          <w:p w14:paraId="6F59934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1.86 (0.90)</w:t>
            </w:r>
          </w:p>
        </w:tc>
        <w:tc>
          <w:tcPr>
            <w:tcW w:w="1661" w:type="dxa"/>
          </w:tcPr>
          <w:p w14:paraId="5A7538BB"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1.83 (1.06)</w:t>
            </w:r>
          </w:p>
        </w:tc>
        <w:tc>
          <w:tcPr>
            <w:tcW w:w="2244" w:type="dxa"/>
          </w:tcPr>
          <w:p w14:paraId="5E0E41A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.89</w:t>
            </w:r>
          </w:p>
        </w:tc>
      </w:tr>
      <w:tr w:rsidR="00BA03C6" w:rsidRPr="00BA03C6" w14:paraId="416BC43D" w14:textId="77777777" w:rsidTr="002A1E63">
        <w:trPr>
          <w:trHeight w:val="689"/>
        </w:trPr>
        <w:tc>
          <w:tcPr>
            <w:tcW w:w="2403" w:type="dxa"/>
          </w:tcPr>
          <w:p w14:paraId="05341EE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University</w:t>
            </w:r>
          </w:p>
        </w:tc>
        <w:tc>
          <w:tcPr>
            <w:tcW w:w="1277" w:type="dxa"/>
          </w:tcPr>
          <w:p w14:paraId="3B925D3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1.98 (0.79)</w:t>
            </w:r>
          </w:p>
        </w:tc>
        <w:tc>
          <w:tcPr>
            <w:tcW w:w="1558" w:type="dxa"/>
          </w:tcPr>
          <w:p w14:paraId="790F8E0D"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1.95 (0.59)</w:t>
            </w:r>
          </w:p>
        </w:tc>
        <w:tc>
          <w:tcPr>
            <w:tcW w:w="1661" w:type="dxa"/>
          </w:tcPr>
          <w:p w14:paraId="64C97EF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2.02 (0.96)</w:t>
            </w:r>
          </w:p>
        </w:tc>
        <w:tc>
          <w:tcPr>
            <w:tcW w:w="2244" w:type="dxa"/>
          </w:tcPr>
          <w:p w14:paraId="21186F1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.49</w:t>
            </w:r>
          </w:p>
        </w:tc>
      </w:tr>
      <w:tr w:rsidR="00BA03C6" w:rsidRPr="00BA03C6" w14:paraId="1792D036" w14:textId="77777777" w:rsidTr="002A1E63">
        <w:trPr>
          <w:trHeight w:val="709"/>
        </w:trPr>
        <w:tc>
          <w:tcPr>
            <w:tcW w:w="2403" w:type="dxa"/>
          </w:tcPr>
          <w:p w14:paraId="5E54390A"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Volunteering</w:t>
            </w:r>
          </w:p>
        </w:tc>
        <w:tc>
          <w:tcPr>
            <w:tcW w:w="1277" w:type="dxa"/>
          </w:tcPr>
          <w:p w14:paraId="601D2F8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1.81 (0.80)</w:t>
            </w:r>
          </w:p>
        </w:tc>
        <w:tc>
          <w:tcPr>
            <w:tcW w:w="1558" w:type="dxa"/>
          </w:tcPr>
          <w:p w14:paraId="5AB4B09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1.82 (0.77)</w:t>
            </w:r>
          </w:p>
        </w:tc>
        <w:tc>
          <w:tcPr>
            <w:tcW w:w="1661" w:type="dxa"/>
          </w:tcPr>
          <w:p w14:paraId="60E7A8A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1.81 (0.84)</w:t>
            </w:r>
          </w:p>
        </w:tc>
        <w:tc>
          <w:tcPr>
            <w:tcW w:w="2244" w:type="dxa"/>
          </w:tcPr>
          <w:p w14:paraId="323E3562"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.87</w:t>
            </w:r>
          </w:p>
        </w:tc>
      </w:tr>
      <w:tr w:rsidR="00BA03C6" w:rsidRPr="00BA03C6" w14:paraId="02300995" w14:textId="77777777" w:rsidTr="002A1E63">
        <w:trPr>
          <w:trHeight w:val="689"/>
        </w:trPr>
        <w:tc>
          <w:tcPr>
            <w:tcW w:w="2403" w:type="dxa"/>
          </w:tcPr>
          <w:p w14:paraId="764A78C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Relaxing</w:t>
            </w:r>
          </w:p>
        </w:tc>
        <w:tc>
          <w:tcPr>
            <w:tcW w:w="1277" w:type="dxa"/>
          </w:tcPr>
          <w:p w14:paraId="2207C62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2.32 (0.93)</w:t>
            </w:r>
          </w:p>
        </w:tc>
        <w:tc>
          <w:tcPr>
            <w:tcW w:w="1558" w:type="dxa"/>
          </w:tcPr>
          <w:p w14:paraId="1F4A979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2.29 (1.00)</w:t>
            </w:r>
          </w:p>
        </w:tc>
        <w:tc>
          <w:tcPr>
            <w:tcW w:w="1661" w:type="dxa"/>
          </w:tcPr>
          <w:p w14:paraId="0BA5931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2.37 (0.84)</w:t>
            </w:r>
          </w:p>
        </w:tc>
        <w:tc>
          <w:tcPr>
            <w:tcW w:w="2244" w:type="dxa"/>
          </w:tcPr>
          <w:p w14:paraId="6A094F3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.58</w:t>
            </w:r>
          </w:p>
        </w:tc>
      </w:tr>
      <w:tr w:rsidR="00BA03C6" w:rsidRPr="00BA03C6" w14:paraId="7E51A9EE" w14:textId="77777777" w:rsidTr="002A1E63">
        <w:trPr>
          <w:trHeight w:val="709"/>
        </w:trPr>
        <w:tc>
          <w:tcPr>
            <w:tcW w:w="2403" w:type="dxa"/>
          </w:tcPr>
          <w:p w14:paraId="07EC597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Being alone</w:t>
            </w:r>
          </w:p>
        </w:tc>
        <w:tc>
          <w:tcPr>
            <w:tcW w:w="1277" w:type="dxa"/>
          </w:tcPr>
          <w:p w14:paraId="113211B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2.26 (1.24)</w:t>
            </w:r>
          </w:p>
        </w:tc>
        <w:tc>
          <w:tcPr>
            <w:tcW w:w="1558" w:type="dxa"/>
          </w:tcPr>
          <w:p w14:paraId="48DF5DC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2.32 (1.18)</w:t>
            </w:r>
          </w:p>
        </w:tc>
        <w:tc>
          <w:tcPr>
            <w:tcW w:w="1661" w:type="dxa"/>
          </w:tcPr>
          <w:p w14:paraId="3C1CD1D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2.19 (1.31)</w:t>
            </w:r>
          </w:p>
        </w:tc>
        <w:tc>
          <w:tcPr>
            <w:tcW w:w="2244" w:type="dxa"/>
          </w:tcPr>
          <w:p w14:paraId="38AA74DA"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.64</w:t>
            </w:r>
          </w:p>
        </w:tc>
      </w:tr>
      <w:tr w:rsidR="00BA03C6" w:rsidRPr="00BA03C6" w14:paraId="2B0E6A97" w14:textId="77777777" w:rsidTr="002A1E63">
        <w:trPr>
          <w:trHeight w:val="689"/>
        </w:trPr>
        <w:tc>
          <w:tcPr>
            <w:tcW w:w="2403" w:type="dxa"/>
          </w:tcPr>
          <w:p w14:paraId="1DF10E64"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lastRenderedPageBreak/>
              <w:t>Religion and politics</w:t>
            </w:r>
          </w:p>
        </w:tc>
        <w:tc>
          <w:tcPr>
            <w:tcW w:w="1277" w:type="dxa"/>
          </w:tcPr>
          <w:p w14:paraId="43C1E0C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1.81 (0.55)</w:t>
            </w:r>
          </w:p>
        </w:tc>
        <w:tc>
          <w:tcPr>
            <w:tcW w:w="1558" w:type="dxa"/>
          </w:tcPr>
          <w:p w14:paraId="7FD912F2"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1.93 (0.42)</w:t>
            </w:r>
          </w:p>
        </w:tc>
        <w:tc>
          <w:tcPr>
            <w:tcW w:w="1661" w:type="dxa"/>
          </w:tcPr>
          <w:p w14:paraId="45B8DA4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1.67 (0.65)</w:t>
            </w:r>
          </w:p>
        </w:tc>
        <w:tc>
          <w:tcPr>
            <w:tcW w:w="2244" w:type="dxa"/>
          </w:tcPr>
          <w:p w14:paraId="5F99D1B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b/>
                <w:bCs/>
                <w:i/>
                <w:iCs/>
              </w:rPr>
              <w:t>p</w:t>
            </w:r>
            <w:r w:rsidRPr="00BA03C6">
              <w:rPr>
                <w:rFonts w:ascii="Times New Roman" w:hAnsi="Times New Roman" w:cs="Times New Roman"/>
                <w:b/>
                <w:bCs/>
              </w:rPr>
              <w:t xml:space="preserve"> &lt; .01*</w:t>
            </w:r>
          </w:p>
        </w:tc>
      </w:tr>
      <w:tr w:rsidR="00BA03C6" w:rsidRPr="00BA03C6" w14:paraId="3574CD77" w14:textId="77777777" w:rsidTr="002A1E63">
        <w:trPr>
          <w:trHeight w:val="709"/>
        </w:trPr>
        <w:tc>
          <w:tcPr>
            <w:tcW w:w="2403" w:type="dxa"/>
          </w:tcPr>
          <w:p w14:paraId="631BDCE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Sexual activity</w:t>
            </w:r>
          </w:p>
        </w:tc>
        <w:tc>
          <w:tcPr>
            <w:tcW w:w="1277" w:type="dxa"/>
          </w:tcPr>
          <w:p w14:paraId="3EF7412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1.63 (1.01)</w:t>
            </w:r>
          </w:p>
        </w:tc>
        <w:tc>
          <w:tcPr>
            <w:tcW w:w="1558" w:type="dxa"/>
          </w:tcPr>
          <w:p w14:paraId="2E8BFCF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1.70 (0.93)</w:t>
            </w:r>
          </w:p>
        </w:tc>
        <w:tc>
          <w:tcPr>
            <w:tcW w:w="1661" w:type="dxa"/>
          </w:tcPr>
          <w:p w14:paraId="4B75651A"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1.56 (1.09)</w:t>
            </w:r>
          </w:p>
        </w:tc>
        <w:tc>
          <w:tcPr>
            <w:tcW w:w="2244" w:type="dxa"/>
          </w:tcPr>
          <w:p w14:paraId="71B48590"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.33</w:t>
            </w:r>
          </w:p>
        </w:tc>
      </w:tr>
      <w:tr w:rsidR="00BA03C6" w:rsidRPr="00BA03C6" w14:paraId="0814465F" w14:textId="77777777" w:rsidTr="002A1E63">
        <w:trPr>
          <w:trHeight w:val="689"/>
        </w:trPr>
        <w:tc>
          <w:tcPr>
            <w:tcW w:w="2403" w:type="dxa"/>
          </w:tcPr>
          <w:p w14:paraId="5CFB1449"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Caring for others</w:t>
            </w:r>
          </w:p>
        </w:tc>
        <w:tc>
          <w:tcPr>
            <w:tcW w:w="1277" w:type="dxa"/>
          </w:tcPr>
          <w:p w14:paraId="27462E5B"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2.15 (0.97)</w:t>
            </w:r>
          </w:p>
        </w:tc>
        <w:tc>
          <w:tcPr>
            <w:tcW w:w="1558" w:type="dxa"/>
          </w:tcPr>
          <w:p w14:paraId="4A6D19DF"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2.05 (0.84)</w:t>
            </w:r>
          </w:p>
        </w:tc>
        <w:tc>
          <w:tcPr>
            <w:tcW w:w="1661" w:type="dxa"/>
          </w:tcPr>
          <w:p w14:paraId="56865E6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2.25 (1.10)</w:t>
            </w:r>
          </w:p>
        </w:tc>
        <w:tc>
          <w:tcPr>
            <w:tcW w:w="2244" w:type="dxa"/>
          </w:tcPr>
          <w:p w14:paraId="7BE129FA"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.36</w:t>
            </w:r>
          </w:p>
        </w:tc>
      </w:tr>
      <w:tr w:rsidR="00BA03C6" w:rsidRPr="00BA03C6" w14:paraId="2458E7E6" w14:textId="77777777" w:rsidTr="002A1E63">
        <w:trPr>
          <w:trHeight w:val="709"/>
        </w:trPr>
        <w:tc>
          <w:tcPr>
            <w:tcW w:w="2403" w:type="dxa"/>
          </w:tcPr>
          <w:p w14:paraId="0CDC696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Domestic activity</w:t>
            </w:r>
          </w:p>
        </w:tc>
        <w:tc>
          <w:tcPr>
            <w:tcW w:w="1277" w:type="dxa"/>
          </w:tcPr>
          <w:p w14:paraId="7EC370EC"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2.50 (0.89)</w:t>
            </w:r>
          </w:p>
        </w:tc>
        <w:tc>
          <w:tcPr>
            <w:tcW w:w="1558" w:type="dxa"/>
          </w:tcPr>
          <w:p w14:paraId="2AD000E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2.43 (0.81)</w:t>
            </w:r>
          </w:p>
        </w:tc>
        <w:tc>
          <w:tcPr>
            <w:tcW w:w="1661" w:type="dxa"/>
          </w:tcPr>
          <w:p w14:paraId="08BF5871"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2.58 (0.98)</w:t>
            </w:r>
          </w:p>
        </w:tc>
        <w:tc>
          <w:tcPr>
            <w:tcW w:w="2244" w:type="dxa"/>
          </w:tcPr>
          <w:p w14:paraId="2FB09535"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.24</w:t>
            </w:r>
          </w:p>
        </w:tc>
      </w:tr>
      <w:tr w:rsidR="00BA03C6" w:rsidRPr="00BA03C6" w14:paraId="04EBBD26" w14:textId="77777777" w:rsidTr="002A1E63">
        <w:trPr>
          <w:trHeight w:val="689"/>
        </w:trPr>
        <w:tc>
          <w:tcPr>
            <w:tcW w:w="2403" w:type="dxa"/>
            <w:tcBorders>
              <w:bottom w:val="single" w:sz="18" w:space="0" w:color="000000"/>
            </w:tcBorders>
          </w:tcPr>
          <w:p w14:paraId="01C52DA3"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 xml:space="preserve">Time in nature </w:t>
            </w:r>
          </w:p>
        </w:tc>
        <w:tc>
          <w:tcPr>
            <w:tcW w:w="1277" w:type="dxa"/>
            <w:tcBorders>
              <w:bottom w:val="single" w:sz="18" w:space="0" w:color="000000"/>
            </w:tcBorders>
          </w:tcPr>
          <w:p w14:paraId="047479D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2.20 (1.14)</w:t>
            </w:r>
          </w:p>
        </w:tc>
        <w:tc>
          <w:tcPr>
            <w:tcW w:w="1558" w:type="dxa"/>
            <w:tcBorders>
              <w:bottom w:val="single" w:sz="18" w:space="0" w:color="000000"/>
            </w:tcBorders>
          </w:tcPr>
          <w:p w14:paraId="03730CB8"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2.20 (1.15)</w:t>
            </w:r>
          </w:p>
        </w:tc>
        <w:tc>
          <w:tcPr>
            <w:tcW w:w="1661" w:type="dxa"/>
            <w:tcBorders>
              <w:bottom w:val="single" w:sz="18" w:space="0" w:color="000000"/>
            </w:tcBorders>
          </w:tcPr>
          <w:p w14:paraId="6FBBB09E"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rPr>
              <w:t>2.21 (1.14)</w:t>
            </w:r>
          </w:p>
        </w:tc>
        <w:tc>
          <w:tcPr>
            <w:tcW w:w="2244" w:type="dxa"/>
            <w:tcBorders>
              <w:bottom w:val="single" w:sz="18" w:space="0" w:color="000000"/>
            </w:tcBorders>
          </w:tcPr>
          <w:p w14:paraId="0E73A0C7" w14:textId="77777777" w:rsidR="00BA03C6" w:rsidRPr="00BA03C6" w:rsidRDefault="00BA03C6" w:rsidP="00BA03C6">
            <w:pPr>
              <w:pStyle w:val="NoSpacing"/>
              <w:rPr>
                <w:rFonts w:ascii="Times New Roman" w:hAnsi="Times New Roman" w:cs="Times New Roman"/>
              </w:rPr>
            </w:pPr>
            <w:r w:rsidRPr="00BA03C6">
              <w:rPr>
                <w:rFonts w:ascii="Times New Roman" w:hAnsi="Times New Roman" w:cs="Times New Roman"/>
                <w:i/>
                <w:iCs/>
              </w:rPr>
              <w:t>p</w:t>
            </w:r>
            <w:r w:rsidRPr="00BA03C6">
              <w:rPr>
                <w:rFonts w:ascii="Times New Roman" w:hAnsi="Times New Roman" w:cs="Times New Roman"/>
              </w:rPr>
              <w:t xml:space="preserve"> = .78</w:t>
            </w:r>
          </w:p>
        </w:tc>
      </w:tr>
    </w:tbl>
    <w:p w14:paraId="62C41FE3" w14:textId="71E42A31" w:rsidR="00BA03C6" w:rsidRPr="00BA03C6" w:rsidRDefault="00BA03C6" w:rsidP="00BA03C6">
      <w:pPr>
        <w:pStyle w:val="NoSpacing"/>
        <w:spacing w:line="480" w:lineRule="auto"/>
        <w:rPr>
          <w:rFonts w:ascii="Times New Roman" w:hAnsi="Times New Roman" w:cs="Times New Roman"/>
        </w:rPr>
      </w:pPr>
      <w:bookmarkStart w:id="442" w:name="_Hlk855405551"/>
      <w:bookmarkStart w:id="443" w:name="_Hlk855450021"/>
      <w:bookmarkEnd w:id="442"/>
      <w:bookmarkEnd w:id="443"/>
      <w:r w:rsidRPr="00BA03C6">
        <w:rPr>
          <w:rFonts w:ascii="Times New Roman" w:hAnsi="Times New Roman" w:cs="Times New Roman"/>
          <w:i/>
          <w:iCs/>
        </w:rPr>
        <w:t>Note</w:t>
      </w:r>
      <w:r w:rsidRPr="00BA03C6">
        <w:rPr>
          <w:rFonts w:ascii="Times New Roman" w:hAnsi="Times New Roman" w:cs="Times New Roman"/>
        </w:rPr>
        <w:t>:</w:t>
      </w:r>
      <w:r w:rsidRPr="00BA03C6">
        <w:rPr>
          <w:rFonts w:ascii="Times New Roman" w:hAnsi="Times New Roman" w:cs="Times New Roman"/>
          <w:i/>
          <w:iCs/>
        </w:rPr>
        <w:t xml:space="preserve"> p</w:t>
      </w:r>
      <w:r w:rsidRPr="00BA03C6">
        <w:rPr>
          <w:rFonts w:ascii="Times New Roman" w:hAnsi="Times New Roman" w:cs="Times New Roman"/>
        </w:rPr>
        <w:t>-values correspond to comparisons in heavy drinkers and moderated drinkers. Significance is in bold. Meeting individuals and small groups refers to under 6 people. Larger group meet-ups refers to 6 or more people.</w:t>
      </w:r>
      <w:r w:rsidRPr="00BA03C6">
        <w:rPr>
          <w:rFonts w:ascii="Times New Roman" w:hAnsi="Times New Roman" w:cs="Times New Roman"/>
          <w:bCs/>
        </w:rPr>
        <w:t xml:space="preserve"> Responses are scored on a </w:t>
      </w:r>
      <w:r w:rsidRPr="00BA03C6">
        <w:rPr>
          <w:rFonts w:ascii="Times New Roman" w:hAnsi="Times New Roman" w:cs="Times New Roman"/>
        </w:rPr>
        <w:t>5-point scale (0 = much less often; 1 = slightly less often; 2 = no change; 3 = slightly more often, 4 = much more often).</w:t>
      </w:r>
    </w:p>
    <w:p w14:paraId="30118A92" w14:textId="77777777" w:rsidR="00BA03C6" w:rsidRPr="00BA03C6" w:rsidRDefault="00BA03C6" w:rsidP="00093B56">
      <w:pPr>
        <w:pStyle w:val="NoSpacing"/>
        <w:rPr>
          <w:rFonts w:ascii="Times New Roman" w:hAnsi="Times New Roman" w:cs="Times New Roman"/>
        </w:rPr>
      </w:pPr>
    </w:p>
    <w:p w14:paraId="6CCE8C0D" w14:textId="15303BF2" w:rsidR="00672927" w:rsidRDefault="00672927" w:rsidP="00093B56">
      <w:pPr>
        <w:pStyle w:val="NoSpacing"/>
        <w:rPr>
          <w:rFonts w:ascii="Times New Roman" w:hAnsi="Times New Roman" w:cs="Times New Roman"/>
        </w:rPr>
      </w:pPr>
    </w:p>
    <w:p w14:paraId="767881D0" w14:textId="0818ECAC" w:rsidR="00BA03C6" w:rsidRDefault="00BA03C6" w:rsidP="00093B56">
      <w:pPr>
        <w:pStyle w:val="NoSpacing"/>
        <w:rPr>
          <w:rFonts w:ascii="Times New Roman" w:hAnsi="Times New Roman" w:cs="Times New Roman"/>
        </w:rPr>
      </w:pPr>
    </w:p>
    <w:p w14:paraId="3F3C295F" w14:textId="020C05C5" w:rsidR="00BA03C6" w:rsidRDefault="00BA03C6" w:rsidP="00093B56">
      <w:pPr>
        <w:pStyle w:val="NoSpacing"/>
        <w:rPr>
          <w:rFonts w:ascii="Times New Roman" w:hAnsi="Times New Roman" w:cs="Times New Roman"/>
        </w:rPr>
      </w:pPr>
    </w:p>
    <w:p w14:paraId="22460B65" w14:textId="742FD757" w:rsidR="00BA03C6" w:rsidRDefault="00BA03C6" w:rsidP="00093B56">
      <w:pPr>
        <w:pStyle w:val="NoSpacing"/>
        <w:rPr>
          <w:rFonts w:ascii="Times New Roman" w:hAnsi="Times New Roman" w:cs="Times New Roman"/>
        </w:rPr>
      </w:pPr>
    </w:p>
    <w:p w14:paraId="6A65178B" w14:textId="434521E9" w:rsidR="00BA03C6" w:rsidRDefault="00BA03C6" w:rsidP="00093B56">
      <w:pPr>
        <w:pStyle w:val="NoSpacing"/>
        <w:rPr>
          <w:rFonts w:ascii="Times New Roman" w:hAnsi="Times New Roman" w:cs="Times New Roman"/>
        </w:rPr>
      </w:pPr>
    </w:p>
    <w:p w14:paraId="4E32CF7F" w14:textId="0E4F0B8A" w:rsidR="00BA03C6" w:rsidRDefault="00BA03C6" w:rsidP="00093B56">
      <w:pPr>
        <w:pStyle w:val="NoSpacing"/>
        <w:rPr>
          <w:rFonts w:ascii="Times New Roman" w:hAnsi="Times New Roman" w:cs="Times New Roman"/>
        </w:rPr>
      </w:pPr>
    </w:p>
    <w:p w14:paraId="097A5CCA" w14:textId="364678F1" w:rsidR="00BA03C6" w:rsidRDefault="00BA03C6" w:rsidP="00093B56">
      <w:pPr>
        <w:pStyle w:val="NoSpacing"/>
        <w:rPr>
          <w:rFonts w:ascii="Times New Roman" w:hAnsi="Times New Roman" w:cs="Times New Roman"/>
        </w:rPr>
      </w:pPr>
    </w:p>
    <w:p w14:paraId="489A7AEF" w14:textId="696B044E" w:rsidR="00BA03C6" w:rsidRDefault="00BA03C6" w:rsidP="00093B56">
      <w:pPr>
        <w:pStyle w:val="NoSpacing"/>
        <w:rPr>
          <w:rFonts w:ascii="Times New Roman" w:hAnsi="Times New Roman" w:cs="Times New Roman"/>
        </w:rPr>
      </w:pPr>
    </w:p>
    <w:p w14:paraId="49910A3D" w14:textId="5C42A132" w:rsidR="00BA03C6" w:rsidRDefault="00BA03C6" w:rsidP="00093B56">
      <w:pPr>
        <w:pStyle w:val="NoSpacing"/>
        <w:rPr>
          <w:rFonts w:ascii="Times New Roman" w:hAnsi="Times New Roman" w:cs="Times New Roman"/>
        </w:rPr>
      </w:pPr>
    </w:p>
    <w:p w14:paraId="032EEF9B" w14:textId="3AAACB20" w:rsidR="00BA03C6" w:rsidRDefault="00BA03C6" w:rsidP="00093B56">
      <w:pPr>
        <w:pStyle w:val="NoSpacing"/>
        <w:rPr>
          <w:rFonts w:ascii="Times New Roman" w:hAnsi="Times New Roman" w:cs="Times New Roman"/>
        </w:rPr>
      </w:pPr>
    </w:p>
    <w:p w14:paraId="453F5ED9" w14:textId="2B267B9B" w:rsidR="00BA03C6" w:rsidRDefault="00BA03C6" w:rsidP="00093B56">
      <w:pPr>
        <w:pStyle w:val="NoSpacing"/>
        <w:rPr>
          <w:rFonts w:ascii="Times New Roman" w:hAnsi="Times New Roman" w:cs="Times New Roman"/>
        </w:rPr>
      </w:pPr>
    </w:p>
    <w:p w14:paraId="7E60BBCD" w14:textId="6011A726" w:rsidR="00BA03C6" w:rsidRDefault="00BA03C6" w:rsidP="00093B56">
      <w:pPr>
        <w:pStyle w:val="NoSpacing"/>
        <w:rPr>
          <w:rFonts w:ascii="Times New Roman" w:hAnsi="Times New Roman" w:cs="Times New Roman"/>
        </w:rPr>
      </w:pPr>
    </w:p>
    <w:p w14:paraId="20464A6D" w14:textId="43A20779" w:rsidR="00BA03C6" w:rsidRDefault="00BA03C6" w:rsidP="00093B56">
      <w:pPr>
        <w:pStyle w:val="NoSpacing"/>
        <w:rPr>
          <w:rFonts w:ascii="Times New Roman" w:hAnsi="Times New Roman" w:cs="Times New Roman"/>
        </w:rPr>
      </w:pPr>
    </w:p>
    <w:p w14:paraId="3A05788F" w14:textId="7EEEEA5A" w:rsidR="00BA03C6" w:rsidRDefault="00BA03C6" w:rsidP="00093B56">
      <w:pPr>
        <w:pStyle w:val="NoSpacing"/>
        <w:rPr>
          <w:rFonts w:ascii="Times New Roman" w:hAnsi="Times New Roman" w:cs="Times New Roman"/>
        </w:rPr>
      </w:pPr>
    </w:p>
    <w:p w14:paraId="2EA167D2" w14:textId="0118B723" w:rsidR="00BA03C6" w:rsidRDefault="00BA03C6" w:rsidP="00093B56">
      <w:pPr>
        <w:pStyle w:val="NoSpacing"/>
        <w:rPr>
          <w:rFonts w:ascii="Times New Roman" w:hAnsi="Times New Roman" w:cs="Times New Roman"/>
        </w:rPr>
      </w:pPr>
    </w:p>
    <w:p w14:paraId="2C367702" w14:textId="40805188" w:rsidR="00BA03C6" w:rsidRDefault="00BA03C6" w:rsidP="00093B56">
      <w:pPr>
        <w:pStyle w:val="NoSpacing"/>
        <w:rPr>
          <w:rFonts w:ascii="Times New Roman" w:hAnsi="Times New Roman" w:cs="Times New Roman"/>
        </w:rPr>
      </w:pPr>
    </w:p>
    <w:p w14:paraId="15C4B087" w14:textId="35B4EC3B" w:rsidR="00BA03C6" w:rsidRDefault="00BA03C6" w:rsidP="00093B56">
      <w:pPr>
        <w:pStyle w:val="NoSpacing"/>
        <w:rPr>
          <w:rFonts w:ascii="Times New Roman" w:hAnsi="Times New Roman" w:cs="Times New Roman"/>
        </w:rPr>
      </w:pPr>
    </w:p>
    <w:p w14:paraId="78D76E52" w14:textId="7BB0264A" w:rsidR="00BA03C6" w:rsidRDefault="00BA03C6" w:rsidP="00093B56">
      <w:pPr>
        <w:pStyle w:val="NoSpacing"/>
        <w:rPr>
          <w:rFonts w:ascii="Times New Roman" w:hAnsi="Times New Roman" w:cs="Times New Roman"/>
        </w:rPr>
      </w:pPr>
    </w:p>
    <w:p w14:paraId="2FB9D14E" w14:textId="069F70E3" w:rsidR="00BA03C6" w:rsidRDefault="00BA03C6" w:rsidP="00093B56">
      <w:pPr>
        <w:pStyle w:val="NoSpacing"/>
        <w:rPr>
          <w:rFonts w:ascii="Times New Roman" w:hAnsi="Times New Roman" w:cs="Times New Roman"/>
        </w:rPr>
      </w:pPr>
    </w:p>
    <w:p w14:paraId="2DBA55E2" w14:textId="607D9963" w:rsidR="00BA03C6" w:rsidRDefault="00BA03C6" w:rsidP="00093B56">
      <w:pPr>
        <w:pStyle w:val="NoSpacing"/>
        <w:rPr>
          <w:rFonts w:ascii="Times New Roman" w:hAnsi="Times New Roman" w:cs="Times New Roman"/>
        </w:rPr>
      </w:pPr>
    </w:p>
    <w:p w14:paraId="4D726672" w14:textId="38D10A71" w:rsidR="00BA03C6" w:rsidRDefault="00BA03C6" w:rsidP="00093B56">
      <w:pPr>
        <w:pStyle w:val="NoSpacing"/>
        <w:rPr>
          <w:rFonts w:ascii="Times New Roman" w:hAnsi="Times New Roman" w:cs="Times New Roman"/>
        </w:rPr>
      </w:pPr>
    </w:p>
    <w:p w14:paraId="468A6186" w14:textId="45CC2EAA" w:rsidR="00BA03C6" w:rsidRDefault="00BA03C6" w:rsidP="00093B56">
      <w:pPr>
        <w:pStyle w:val="NoSpacing"/>
        <w:rPr>
          <w:rFonts w:ascii="Times New Roman" w:hAnsi="Times New Roman" w:cs="Times New Roman"/>
        </w:rPr>
      </w:pPr>
    </w:p>
    <w:p w14:paraId="4527198E" w14:textId="080C48B6" w:rsidR="00BA03C6" w:rsidRDefault="00BA03C6" w:rsidP="00093B56">
      <w:pPr>
        <w:pStyle w:val="NoSpacing"/>
        <w:rPr>
          <w:rFonts w:ascii="Times New Roman" w:hAnsi="Times New Roman" w:cs="Times New Roman"/>
        </w:rPr>
      </w:pPr>
    </w:p>
    <w:p w14:paraId="5A4E25B6" w14:textId="0309AEC8" w:rsidR="00BA03C6" w:rsidRDefault="00BA03C6" w:rsidP="00093B56">
      <w:pPr>
        <w:pStyle w:val="NoSpacing"/>
        <w:rPr>
          <w:rFonts w:ascii="Times New Roman" w:hAnsi="Times New Roman" w:cs="Times New Roman"/>
        </w:rPr>
      </w:pPr>
    </w:p>
    <w:p w14:paraId="44899008" w14:textId="77777777" w:rsidR="00BA03C6" w:rsidRDefault="00BA03C6" w:rsidP="00093B56">
      <w:pPr>
        <w:pStyle w:val="NoSpacing"/>
        <w:rPr>
          <w:rFonts w:ascii="Times New Roman" w:hAnsi="Times New Roman" w:cs="Times New Roman"/>
        </w:rPr>
        <w:sectPr w:rsidR="00BA03C6" w:rsidSect="00E60EFD">
          <w:pgSz w:w="11900" w:h="16840"/>
          <w:pgMar w:top="1440" w:right="1440" w:bottom="1440" w:left="1440" w:header="708" w:footer="708" w:gutter="0"/>
          <w:cols w:space="708"/>
          <w:docGrid w:linePitch="360"/>
        </w:sectPr>
      </w:pPr>
    </w:p>
    <w:p w14:paraId="2175720B" w14:textId="77777777" w:rsidR="00BA03C6" w:rsidRPr="00BA03C6" w:rsidRDefault="00BA03C6" w:rsidP="00BA03C6">
      <w:pPr>
        <w:pStyle w:val="NoSpacing"/>
        <w:rPr>
          <w:rFonts w:ascii="Times New Roman" w:hAnsi="Times New Roman" w:cs="Times New Roman"/>
          <w:b/>
          <w:bCs/>
        </w:rPr>
      </w:pPr>
      <w:r w:rsidRPr="00BA03C6">
        <w:rPr>
          <w:rFonts w:ascii="Times New Roman" w:hAnsi="Times New Roman" w:cs="Times New Roman"/>
          <w:b/>
          <w:bCs/>
        </w:rPr>
        <w:lastRenderedPageBreak/>
        <w:t>9. Exploratory correlations between self-report variables and DDM parameters split by drinker status (Table S6 and Table S7).</w:t>
      </w:r>
    </w:p>
    <w:p w14:paraId="2582E535" w14:textId="299FDEBA" w:rsidR="00BA03C6" w:rsidRDefault="00BA03C6" w:rsidP="00093B56">
      <w:pPr>
        <w:pStyle w:val="NoSpacing"/>
        <w:rPr>
          <w:rFonts w:ascii="Times New Roman" w:hAnsi="Times New Roman" w:cs="Times New Roman"/>
        </w:rPr>
      </w:pPr>
    </w:p>
    <w:p w14:paraId="30F80689" w14:textId="77777777" w:rsidR="00BA03C6" w:rsidRDefault="00BA03C6" w:rsidP="00BA03C6">
      <w:pPr>
        <w:pStyle w:val="NoSpacing"/>
        <w:spacing w:line="480" w:lineRule="auto"/>
        <w:rPr>
          <w:rFonts w:ascii="Times New Roman" w:hAnsi="Times New Roman" w:cs="Times New Roman"/>
          <w:b/>
          <w:bCs/>
        </w:rPr>
      </w:pPr>
      <w:r w:rsidRPr="00BA03C6">
        <w:rPr>
          <w:rFonts w:ascii="Times New Roman" w:hAnsi="Times New Roman" w:cs="Times New Roman"/>
          <w:b/>
          <w:bCs/>
        </w:rPr>
        <w:t>Table S6.6</w:t>
      </w:r>
    </w:p>
    <w:p w14:paraId="75304016" w14:textId="646F3943" w:rsidR="00BA03C6" w:rsidRPr="00BA03C6" w:rsidRDefault="00BA03C6" w:rsidP="00BA03C6">
      <w:pPr>
        <w:pStyle w:val="NoSpacing"/>
        <w:spacing w:line="480" w:lineRule="auto"/>
        <w:rPr>
          <w:rFonts w:ascii="Times New Roman" w:hAnsi="Times New Roman" w:cs="Times New Roman"/>
          <w:b/>
          <w:bCs/>
        </w:rPr>
      </w:pPr>
      <w:r w:rsidRPr="00BA03C6">
        <w:rPr>
          <w:rFonts w:ascii="Times New Roman" w:hAnsi="Times New Roman" w:cs="Times New Roman"/>
          <w:i/>
          <w:iCs/>
        </w:rPr>
        <w:t>Correlations between self-report variables and DDM parameters in moderated drinkers</w:t>
      </w:r>
    </w:p>
    <w:tbl>
      <w:tblPr>
        <w:tblStyle w:val="TableGrid5"/>
        <w:tblW w:w="14554" w:type="dxa"/>
        <w:tblLook w:val="04A0" w:firstRow="1" w:lastRow="0" w:firstColumn="1" w:lastColumn="0" w:noHBand="0" w:noVBand="1"/>
      </w:tblPr>
      <w:tblGrid>
        <w:gridCol w:w="1334"/>
        <w:gridCol w:w="766"/>
        <w:gridCol w:w="633"/>
        <w:gridCol w:w="766"/>
        <w:gridCol w:w="633"/>
        <w:gridCol w:w="766"/>
        <w:gridCol w:w="733"/>
        <w:gridCol w:w="766"/>
        <w:gridCol w:w="566"/>
        <w:gridCol w:w="733"/>
        <w:gridCol w:w="833"/>
        <w:gridCol w:w="557"/>
        <w:gridCol w:w="533"/>
        <w:gridCol w:w="550"/>
        <w:gridCol w:w="560"/>
        <w:gridCol w:w="533"/>
        <w:gridCol w:w="836"/>
        <w:gridCol w:w="837"/>
        <w:gridCol w:w="766"/>
        <w:gridCol w:w="418"/>
        <w:gridCol w:w="435"/>
      </w:tblGrid>
      <w:tr w:rsidR="00BA03C6" w:rsidRPr="00BA03C6" w14:paraId="74AA8AE9" w14:textId="77777777" w:rsidTr="00A865A7">
        <w:trPr>
          <w:trHeight w:val="635"/>
        </w:trPr>
        <w:tc>
          <w:tcPr>
            <w:tcW w:w="1334" w:type="dxa"/>
            <w:tcBorders>
              <w:top w:val="single" w:sz="18" w:space="0" w:color="000000"/>
              <w:left w:val="nil"/>
              <w:right w:val="nil"/>
            </w:tcBorders>
          </w:tcPr>
          <w:p w14:paraId="4455CBB0"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66" w:type="dxa"/>
            <w:tcBorders>
              <w:top w:val="single" w:sz="18" w:space="0" w:color="000000"/>
              <w:left w:val="nil"/>
              <w:right w:val="nil"/>
            </w:tcBorders>
          </w:tcPr>
          <w:p w14:paraId="2A73F2EF" w14:textId="77777777" w:rsidR="00BA03C6" w:rsidRPr="00BA03C6" w:rsidRDefault="00BA03C6" w:rsidP="00BA03C6">
            <w:pPr>
              <w:spacing w:line="276" w:lineRule="auto"/>
              <w:jc w:val="center"/>
              <w:rPr>
                <w:rFonts w:ascii="Times New Roman" w:hAnsi="Times New Roman" w:cs="Times New Roman"/>
                <w:bCs/>
                <w:sz w:val="20"/>
                <w:szCs w:val="20"/>
              </w:rPr>
            </w:pPr>
          </w:p>
          <w:p w14:paraId="3D3B860D"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w:t>
            </w:r>
          </w:p>
        </w:tc>
        <w:tc>
          <w:tcPr>
            <w:tcW w:w="633" w:type="dxa"/>
            <w:tcBorders>
              <w:top w:val="single" w:sz="18" w:space="0" w:color="000000"/>
              <w:left w:val="nil"/>
              <w:right w:val="nil"/>
            </w:tcBorders>
          </w:tcPr>
          <w:p w14:paraId="2F9288A6" w14:textId="77777777" w:rsidR="00BA03C6" w:rsidRPr="00BA03C6" w:rsidRDefault="00BA03C6" w:rsidP="00BA03C6">
            <w:pPr>
              <w:spacing w:line="276" w:lineRule="auto"/>
              <w:jc w:val="center"/>
              <w:rPr>
                <w:rFonts w:ascii="Times New Roman" w:hAnsi="Times New Roman" w:cs="Times New Roman"/>
                <w:bCs/>
                <w:sz w:val="20"/>
                <w:szCs w:val="20"/>
              </w:rPr>
            </w:pPr>
          </w:p>
          <w:p w14:paraId="23911FAC"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2</w:t>
            </w:r>
          </w:p>
        </w:tc>
        <w:tc>
          <w:tcPr>
            <w:tcW w:w="766" w:type="dxa"/>
            <w:tcBorders>
              <w:top w:val="single" w:sz="18" w:space="0" w:color="000000"/>
              <w:left w:val="nil"/>
              <w:right w:val="nil"/>
            </w:tcBorders>
          </w:tcPr>
          <w:p w14:paraId="1178DB62" w14:textId="77777777" w:rsidR="00BA03C6" w:rsidRPr="00BA03C6" w:rsidRDefault="00BA03C6" w:rsidP="00BA03C6">
            <w:pPr>
              <w:spacing w:line="276" w:lineRule="auto"/>
              <w:jc w:val="center"/>
              <w:rPr>
                <w:rFonts w:ascii="Times New Roman" w:hAnsi="Times New Roman" w:cs="Times New Roman"/>
                <w:bCs/>
                <w:sz w:val="20"/>
                <w:szCs w:val="20"/>
              </w:rPr>
            </w:pPr>
          </w:p>
          <w:p w14:paraId="64850688"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3</w:t>
            </w:r>
          </w:p>
        </w:tc>
        <w:tc>
          <w:tcPr>
            <w:tcW w:w="633" w:type="dxa"/>
            <w:tcBorders>
              <w:top w:val="single" w:sz="18" w:space="0" w:color="000000"/>
              <w:left w:val="nil"/>
              <w:right w:val="nil"/>
            </w:tcBorders>
          </w:tcPr>
          <w:p w14:paraId="5E5877A1" w14:textId="77777777" w:rsidR="00BA03C6" w:rsidRPr="00BA03C6" w:rsidRDefault="00BA03C6" w:rsidP="00BA03C6">
            <w:pPr>
              <w:spacing w:line="276" w:lineRule="auto"/>
              <w:jc w:val="center"/>
              <w:rPr>
                <w:rFonts w:ascii="Times New Roman" w:hAnsi="Times New Roman" w:cs="Times New Roman"/>
                <w:bCs/>
                <w:sz w:val="20"/>
                <w:szCs w:val="20"/>
              </w:rPr>
            </w:pPr>
          </w:p>
          <w:p w14:paraId="02F24EBB"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4</w:t>
            </w:r>
          </w:p>
        </w:tc>
        <w:tc>
          <w:tcPr>
            <w:tcW w:w="766" w:type="dxa"/>
            <w:tcBorders>
              <w:top w:val="single" w:sz="18" w:space="0" w:color="000000"/>
              <w:left w:val="nil"/>
              <w:right w:val="nil"/>
            </w:tcBorders>
          </w:tcPr>
          <w:p w14:paraId="24C31D59" w14:textId="77777777" w:rsidR="00BA03C6" w:rsidRPr="00BA03C6" w:rsidRDefault="00BA03C6" w:rsidP="00BA03C6">
            <w:pPr>
              <w:spacing w:line="276" w:lineRule="auto"/>
              <w:jc w:val="center"/>
              <w:rPr>
                <w:rFonts w:ascii="Times New Roman" w:hAnsi="Times New Roman" w:cs="Times New Roman"/>
                <w:bCs/>
                <w:sz w:val="20"/>
                <w:szCs w:val="20"/>
              </w:rPr>
            </w:pPr>
          </w:p>
          <w:p w14:paraId="6C49A8C3"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5</w:t>
            </w:r>
          </w:p>
        </w:tc>
        <w:tc>
          <w:tcPr>
            <w:tcW w:w="733" w:type="dxa"/>
            <w:tcBorders>
              <w:top w:val="single" w:sz="18" w:space="0" w:color="000000"/>
              <w:left w:val="nil"/>
              <w:right w:val="nil"/>
            </w:tcBorders>
          </w:tcPr>
          <w:p w14:paraId="60DC31FB" w14:textId="77777777" w:rsidR="00BA03C6" w:rsidRPr="00BA03C6" w:rsidRDefault="00BA03C6" w:rsidP="00BA03C6">
            <w:pPr>
              <w:spacing w:line="276" w:lineRule="auto"/>
              <w:jc w:val="center"/>
              <w:rPr>
                <w:rFonts w:ascii="Times New Roman" w:hAnsi="Times New Roman" w:cs="Times New Roman"/>
                <w:bCs/>
                <w:sz w:val="20"/>
                <w:szCs w:val="20"/>
              </w:rPr>
            </w:pPr>
          </w:p>
          <w:p w14:paraId="7A764ECF"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6</w:t>
            </w:r>
          </w:p>
        </w:tc>
        <w:tc>
          <w:tcPr>
            <w:tcW w:w="766" w:type="dxa"/>
            <w:tcBorders>
              <w:top w:val="single" w:sz="18" w:space="0" w:color="000000"/>
              <w:left w:val="nil"/>
              <w:right w:val="nil"/>
            </w:tcBorders>
          </w:tcPr>
          <w:p w14:paraId="27BA593B" w14:textId="77777777" w:rsidR="00BA03C6" w:rsidRPr="00BA03C6" w:rsidRDefault="00BA03C6" w:rsidP="00BA03C6">
            <w:pPr>
              <w:spacing w:line="276" w:lineRule="auto"/>
              <w:jc w:val="center"/>
              <w:rPr>
                <w:rFonts w:ascii="Times New Roman" w:hAnsi="Times New Roman" w:cs="Times New Roman"/>
                <w:bCs/>
                <w:sz w:val="20"/>
                <w:szCs w:val="20"/>
              </w:rPr>
            </w:pPr>
          </w:p>
          <w:p w14:paraId="32FDF3FE"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7</w:t>
            </w:r>
          </w:p>
        </w:tc>
        <w:tc>
          <w:tcPr>
            <w:tcW w:w="566" w:type="dxa"/>
            <w:tcBorders>
              <w:top w:val="single" w:sz="18" w:space="0" w:color="000000"/>
              <w:left w:val="nil"/>
              <w:right w:val="nil"/>
            </w:tcBorders>
          </w:tcPr>
          <w:p w14:paraId="53861CA8" w14:textId="77777777" w:rsidR="00BA03C6" w:rsidRPr="00BA03C6" w:rsidRDefault="00BA03C6" w:rsidP="00BA03C6">
            <w:pPr>
              <w:spacing w:line="276" w:lineRule="auto"/>
              <w:jc w:val="center"/>
              <w:rPr>
                <w:rFonts w:ascii="Times New Roman" w:hAnsi="Times New Roman" w:cs="Times New Roman"/>
                <w:bCs/>
                <w:sz w:val="20"/>
                <w:szCs w:val="20"/>
              </w:rPr>
            </w:pPr>
          </w:p>
          <w:p w14:paraId="5B063A83"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8</w:t>
            </w:r>
          </w:p>
        </w:tc>
        <w:tc>
          <w:tcPr>
            <w:tcW w:w="733" w:type="dxa"/>
            <w:tcBorders>
              <w:top w:val="single" w:sz="18" w:space="0" w:color="000000"/>
              <w:left w:val="nil"/>
              <w:right w:val="nil"/>
            </w:tcBorders>
          </w:tcPr>
          <w:p w14:paraId="18FF997F" w14:textId="77777777" w:rsidR="00BA03C6" w:rsidRPr="00BA03C6" w:rsidRDefault="00BA03C6" w:rsidP="00BA03C6">
            <w:pPr>
              <w:spacing w:line="276" w:lineRule="auto"/>
              <w:jc w:val="center"/>
              <w:rPr>
                <w:rFonts w:ascii="Times New Roman" w:hAnsi="Times New Roman" w:cs="Times New Roman"/>
                <w:bCs/>
                <w:sz w:val="20"/>
                <w:szCs w:val="20"/>
              </w:rPr>
            </w:pPr>
          </w:p>
          <w:p w14:paraId="20B051D0"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9</w:t>
            </w:r>
          </w:p>
        </w:tc>
        <w:tc>
          <w:tcPr>
            <w:tcW w:w="833" w:type="dxa"/>
            <w:tcBorders>
              <w:top w:val="single" w:sz="18" w:space="0" w:color="000000"/>
              <w:left w:val="nil"/>
              <w:right w:val="nil"/>
            </w:tcBorders>
          </w:tcPr>
          <w:p w14:paraId="273F66A4" w14:textId="77777777" w:rsidR="00BA03C6" w:rsidRPr="00BA03C6" w:rsidRDefault="00BA03C6" w:rsidP="00BA03C6">
            <w:pPr>
              <w:spacing w:line="276" w:lineRule="auto"/>
              <w:jc w:val="center"/>
              <w:rPr>
                <w:rFonts w:ascii="Times New Roman" w:hAnsi="Times New Roman" w:cs="Times New Roman"/>
                <w:bCs/>
                <w:sz w:val="20"/>
                <w:szCs w:val="20"/>
              </w:rPr>
            </w:pPr>
          </w:p>
          <w:p w14:paraId="46515F65"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10</w:t>
            </w:r>
          </w:p>
        </w:tc>
        <w:tc>
          <w:tcPr>
            <w:tcW w:w="557" w:type="dxa"/>
            <w:tcBorders>
              <w:top w:val="single" w:sz="18" w:space="0" w:color="000000"/>
              <w:left w:val="nil"/>
              <w:right w:val="nil"/>
            </w:tcBorders>
          </w:tcPr>
          <w:p w14:paraId="3AC579E9" w14:textId="77777777" w:rsidR="00BA03C6" w:rsidRPr="00BA03C6" w:rsidRDefault="00BA03C6" w:rsidP="00BA03C6">
            <w:pPr>
              <w:spacing w:line="276" w:lineRule="auto"/>
              <w:jc w:val="center"/>
              <w:rPr>
                <w:rFonts w:ascii="Times New Roman" w:hAnsi="Times New Roman" w:cs="Times New Roman"/>
                <w:bCs/>
                <w:sz w:val="20"/>
                <w:szCs w:val="20"/>
              </w:rPr>
            </w:pPr>
          </w:p>
          <w:p w14:paraId="44E2BFC7"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11</w:t>
            </w:r>
          </w:p>
        </w:tc>
        <w:tc>
          <w:tcPr>
            <w:tcW w:w="533" w:type="dxa"/>
            <w:tcBorders>
              <w:top w:val="single" w:sz="18" w:space="0" w:color="000000"/>
              <w:left w:val="nil"/>
              <w:right w:val="nil"/>
            </w:tcBorders>
          </w:tcPr>
          <w:p w14:paraId="49E410DB" w14:textId="77777777" w:rsidR="00BA03C6" w:rsidRPr="00BA03C6" w:rsidRDefault="00BA03C6" w:rsidP="00BA03C6">
            <w:pPr>
              <w:spacing w:line="276" w:lineRule="auto"/>
              <w:jc w:val="center"/>
              <w:rPr>
                <w:rFonts w:ascii="Times New Roman" w:hAnsi="Times New Roman" w:cs="Times New Roman"/>
                <w:bCs/>
                <w:sz w:val="20"/>
                <w:szCs w:val="20"/>
              </w:rPr>
            </w:pPr>
          </w:p>
          <w:p w14:paraId="4D677A0C"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12</w:t>
            </w:r>
          </w:p>
        </w:tc>
        <w:tc>
          <w:tcPr>
            <w:tcW w:w="550" w:type="dxa"/>
            <w:tcBorders>
              <w:top w:val="single" w:sz="18" w:space="0" w:color="000000"/>
              <w:left w:val="nil"/>
              <w:right w:val="nil"/>
            </w:tcBorders>
          </w:tcPr>
          <w:p w14:paraId="15C20C0F" w14:textId="77777777" w:rsidR="00BA03C6" w:rsidRPr="00BA03C6" w:rsidRDefault="00BA03C6" w:rsidP="00BA03C6">
            <w:pPr>
              <w:spacing w:line="276" w:lineRule="auto"/>
              <w:jc w:val="center"/>
              <w:rPr>
                <w:rFonts w:ascii="Times New Roman" w:hAnsi="Times New Roman" w:cs="Times New Roman"/>
                <w:bCs/>
                <w:sz w:val="20"/>
                <w:szCs w:val="20"/>
              </w:rPr>
            </w:pPr>
          </w:p>
          <w:p w14:paraId="50554BED"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13</w:t>
            </w:r>
          </w:p>
        </w:tc>
        <w:tc>
          <w:tcPr>
            <w:tcW w:w="560" w:type="dxa"/>
            <w:tcBorders>
              <w:top w:val="single" w:sz="18" w:space="0" w:color="000000"/>
              <w:left w:val="nil"/>
              <w:right w:val="nil"/>
            </w:tcBorders>
          </w:tcPr>
          <w:p w14:paraId="734EB0F1" w14:textId="77777777" w:rsidR="00BA03C6" w:rsidRPr="00BA03C6" w:rsidRDefault="00BA03C6" w:rsidP="00BA03C6">
            <w:pPr>
              <w:spacing w:line="276" w:lineRule="auto"/>
              <w:jc w:val="center"/>
              <w:rPr>
                <w:rFonts w:ascii="Times New Roman" w:hAnsi="Times New Roman" w:cs="Times New Roman"/>
                <w:bCs/>
                <w:sz w:val="20"/>
                <w:szCs w:val="20"/>
              </w:rPr>
            </w:pPr>
          </w:p>
          <w:p w14:paraId="2CE6F255"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14</w:t>
            </w:r>
          </w:p>
        </w:tc>
        <w:tc>
          <w:tcPr>
            <w:tcW w:w="533" w:type="dxa"/>
            <w:tcBorders>
              <w:top w:val="single" w:sz="18" w:space="0" w:color="000000"/>
              <w:left w:val="nil"/>
              <w:right w:val="nil"/>
            </w:tcBorders>
          </w:tcPr>
          <w:p w14:paraId="32EB6632" w14:textId="77777777" w:rsidR="00BA03C6" w:rsidRPr="00BA03C6" w:rsidRDefault="00BA03C6" w:rsidP="00BA03C6">
            <w:pPr>
              <w:spacing w:line="276" w:lineRule="auto"/>
              <w:jc w:val="center"/>
              <w:rPr>
                <w:rFonts w:ascii="Times New Roman" w:hAnsi="Times New Roman" w:cs="Times New Roman"/>
                <w:bCs/>
                <w:sz w:val="20"/>
                <w:szCs w:val="20"/>
              </w:rPr>
            </w:pPr>
          </w:p>
          <w:p w14:paraId="0BBC524D"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15</w:t>
            </w:r>
          </w:p>
        </w:tc>
        <w:tc>
          <w:tcPr>
            <w:tcW w:w="836" w:type="dxa"/>
            <w:tcBorders>
              <w:top w:val="single" w:sz="18" w:space="0" w:color="000000"/>
              <w:left w:val="nil"/>
              <w:right w:val="nil"/>
            </w:tcBorders>
          </w:tcPr>
          <w:p w14:paraId="52AE080C" w14:textId="77777777" w:rsidR="00BA03C6" w:rsidRPr="00BA03C6" w:rsidRDefault="00BA03C6" w:rsidP="00BA03C6">
            <w:pPr>
              <w:spacing w:line="276" w:lineRule="auto"/>
              <w:jc w:val="center"/>
              <w:rPr>
                <w:rFonts w:ascii="Times New Roman" w:hAnsi="Times New Roman" w:cs="Times New Roman"/>
                <w:bCs/>
                <w:sz w:val="20"/>
                <w:szCs w:val="20"/>
              </w:rPr>
            </w:pPr>
          </w:p>
          <w:p w14:paraId="79779769"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16</w:t>
            </w:r>
          </w:p>
        </w:tc>
        <w:tc>
          <w:tcPr>
            <w:tcW w:w="837" w:type="dxa"/>
            <w:tcBorders>
              <w:top w:val="single" w:sz="18" w:space="0" w:color="000000"/>
              <w:left w:val="nil"/>
              <w:right w:val="nil"/>
            </w:tcBorders>
          </w:tcPr>
          <w:p w14:paraId="7BF89C4A" w14:textId="77777777" w:rsidR="00BA03C6" w:rsidRPr="00BA03C6" w:rsidRDefault="00BA03C6" w:rsidP="00BA03C6">
            <w:pPr>
              <w:spacing w:line="276" w:lineRule="auto"/>
              <w:jc w:val="center"/>
              <w:rPr>
                <w:rFonts w:ascii="Times New Roman" w:hAnsi="Times New Roman" w:cs="Times New Roman"/>
                <w:bCs/>
                <w:sz w:val="20"/>
                <w:szCs w:val="20"/>
              </w:rPr>
            </w:pPr>
          </w:p>
          <w:p w14:paraId="0B90BA8C"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17</w:t>
            </w:r>
          </w:p>
        </w:tc>
        <w:tc>
          <w:tcPr>
            <w:tcW w:w="766" w:type="dxa"/>
            <w:tcBorders>
              <w:top w:val="single" w:sz="18" w:space="0" w:color="000000"/>
              <w:left w:val="nil"/>
              <w:right w:val="nil"/>
            </w:tcBorders>
          </w:tcPr>
          <w:p w14:paraId="4A51437B" w14:textId="77777777" w:rsidR="00BA03C6" w:rsidRPr="00BA03C6" w:rsidRDefault="00BA03C6" w:rsidP="00BA03C6">
            <w:pPr>
              <w:spacing w:line="276" w:lineRule="auto"/>
              <w:jc w:val="center"/>
              <w:rPr>
                <w:rFonts w:ascii="Times New Roman" w:hAnsi="Times New Roman" w:cs="Times New Roman"/>
                <w:bCs/>
                <w:sz w:val="20"/>
                <w:szCs w:val="20"/>
              </w:rPr>
            </w:pPr>
          </w:p>
          <w:p w14:paraId="2A96AF7C"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18</w:t>
            </w:r>
          </w:p>
        </w:tc>
        <w:tc>
          <w:tcPr>
            <w:tcW w:w="418" w:type="dxa"/>
            <w:tcBorders>
              <w:top w:val="single" w:sz="18" w:space="0" w:color="000000"/>
              <w:left w:val="nil"/>
              <w:right w:val="nil"/>
            </w:tcBorders>
          </w:tcPr>
          <w:p w14:paraId="71D6EDCD" w14:textId="77777777" w:rsidR="00BA03C6" w:rsidRPr="00BA03C6" w:rsidRDefault="00BA03C6" w:rsidP="00BA03C6">
            <w:pPr>
              <w:spacing w:line="276" w:lineRule="auto"/>
              <w:jc w:val="center"/>
              <w:rPr>
                <w:rFonts w:ascii="Times New Roman" w:hAnsi="Times New Roman" w:cs="Times New Roman"/>
                <w:bCs/>
                <w:sz w:val="20"/>
                <w:szCs w:val="20"/>
              </w:rPr>
            </w:pPr>
          </w:p>
          <w:p w14:paraId="5D6DD5CB"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19</w:t>
            </w:r>
          </w:p>
        </w:tc>
        <w:tc>
          <w:tcPr>
            <w:tcW w:w="435" w:type="dxa"/>
            <w:tcBorders>
              <w:top w:val="single" w:sz="18" w:space="0" w:color="000000"/>
              <w:left w:val="nil"/>
              <w:right w:val="nil"/>
            </w:tcBorders>
          </w:tcPr>
          <w:p w14:paraId="59AFC48E" w14:textId="77777777" w:rsidR="00BA03C6" w:rsidRPr="00BA03C6" w:rsidRDefault="00BA03C6" w:rsidP="00BA03C6">
            <w:pPr>
              <w:spacing w:line="276" w:lineRule="auto"/>
              <w:jc w:val="center"/>
              <w:rPr>
                <w:rFonts w:ascii="Times New Roman" w:hAnsi="Times New Roman" w:cs="Times New Roman"/>
                <w:bCs/>
                <w:sz w:val="20"/>
                <w:szCs w:val="20"/>
              </w:rPr>
            </w:pPr>
          </w:p>
          <w:p w14:paraId="4714666F" w14:textId="77777777" w:rsidR="00BA03C6" w:rsidRPr="00BA03C6" w:rsidRDefault="00BA03C6" w:rsidP="00BA03C6">
            <w:pPr>
              <w:spacing w:line="276" w:lineRule="auto"/>
              <w:jc w:val="center"/>
              <w:rPr>
                <w:rFonts w:ascii="Times New Roman" w:hAnsi="Times New Roman" w:cs="Times New Roman"/>
                <w:bCs/>
                <w:sz w:val="20"/>
                <w:szCs w:val="20"/>
              </w:rPr>
            </w:pPr>
            <w:r w:rsidRPr="00BA03C6">
              <w:rPr>
                <w:rFonts w:ascii="Times New Roman" w:hAnsi="Times New Roman" w:cs="Times New Roman"/>
                <w:bCs/>
                <w:sz w:val="20"/>
                <w:szCs w:val="20"/>
              </w:rPr>
              <w:t>20</w:t>
            </w:r>
          </w:p>
        </w:tc>
      </w:tr>
      <w:tr w:rsidR="00BA03C6" w:rsidRPr="00BA03C6" w14:paraId="748DF18A" w14:textId="77777777" w:rsidTr="00A865A7">
        <w:trPr>
          <w:trHeight w:val="635"/>
        </w:trPr>
        <w:tc>
          <w:tcPr>
            <w:tcW w:w="1334" w:type="dxa"/>
            <w:tcBorders>
              <w:left w:val="nil"/>
              <w:bottom w:val="nil"/>
              <w:right w:val="nil"/>
            </w:tcBorders>
          </w:tcPr>
          <w:p w14:paraId="4D9FFDA3"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1. Alcohol drift</w:t>
            </w:r>
          </w:p>
        </w:tc>
        <w:tc>
          <w:tcPr>
            <w:tcW w:w="766" w:type="dxa"/>
            <w:tcBorders>
              <w:left w:val="nil"/>
              <w:bottom w:val="nil"/>
              <w:right w:val="nil"/>
            </w:tcBorders>
          </w:tcPr>
          <w:p w14:paraId="0DD22CC3" w14:textId="77777777" w:rsidR="00BA03C6" w:rsidRPr="00BA03C6" w:rsidRDefault="00BA03C6" w:rsidP="00BA03C6">
            <w:pPr>
              <w:spacing w:line="276" w:lineRule="auto"/>
              <w:jc w:val="center"/>
              <w:rPr>
                <w:rFonts w:ascii="Times New Roman" w:hAnsi="Times New Roman" w:cs="Times New Roman"/>
                <w:bCs/>
                <w:sz w:val="20"/>
                <w:szCs w:val="20"/>
              </w:rPr>
            </w:pPr>
          </w:p>
        </w:tc>
        <w:tc>
          <w:tcPr>
            <w:tcW w:w="633" w:type="dxa"/>
            <w:tcBorders>
              <w:left w:val="nil"/>
              <w:bottom w:val="nil"/>
              <w:right w:val="nil"/>
            </w:tcBorders>
          </w:tcPr>
          <w:p w14:paraId="530BE073"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66" w:type="dxa"/>
            <w:tcBorders>
              <w:left w:val="nil"/>
              <w:bottom w:val="nil"/>
              <w:right w:val="nil"/>
            </w:tcBorders>
          </w:tcPr>
          <w:p w14:paraId="09AE6AAE" w14:textId="77777777" w:rsidR="00BA03C6" w:rsidRPr="00BA03C6" w:rsidRDefault="00BA03C6" w:rsidP="00BA03C6">
            <w:pPr>
              <w:spacing w:line="276" w:lineRule="auto"/>
              <w:jc w:val="center"/>
              <w:rPr>
                <w:rFonts w:ascii="Times New Roman" w:hAnsi="Times New Roman" w:cs="Times New Roman"/>
                <w:bCs/>
                <w:sz w:val="20"/>
                <w:szCs w:val="20"/>
              </w:rPr>
            </w:pPr>
          </w:p>
        </w:tc>
        <w:tc>
          <w:tcPr>
            <w:tcW w:w="633" w:type="dxa"/>
            <w:tcBorders>
              <w:left w:val="nil"/>
              <w:bottom w:val="nil"/>
              <w:right w:val="nil"/>
            </w:tcBorders>
          </w:tcPr>
          <w:p w14:paraId="033F52F5"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66" w:type="dxa"/>
            <w:tcBorders>
              <w:left w:val="nil"/>
              <w:bottom w:val="nil"/>
              <w:right w:val="nil"/>
            </w:tcBorders>
          </w:tcPr>
          <w:p w14:paraId="2F5E27E5"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33" w:type="dxa"/>
            <w:tcBorders>
              <w:left w:val="nil"/>
              <w:bottom w:val="nil"/>
              <w:right w:val="nil"/>
            </w:tcBorders>
          </w:tcPr>
          <w:p w14:paraId="4A2D3A16"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66" w:type="dxa"/>
            <w:tcBorders>
              <w:left w:val="nil"/>
              <w:bottom w:val="nil"/>
              <w:right w:val="nil"/>
            </w:tcBorders>
          </w:tcPr>
          <w:p w14:paraId="441A29D2"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66" w:type="dxa"/>
            <w:tcBorders>
              <w:left w:val="nil"/>
              <w:bottom w:val="nil"/>
              <w:right w:val="nil"/>
            </w:tcBorders>
          </w:tcPr>
          <w:p w14:paraId="3AC3303C"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33" w:type="dxa"/>
            <w:tcBorders>
              <w:left w:val="nil"/>
              <w:bottom w:val="nil"/>
              <w:right w:val="nil"/>
            </w:tcBorders>
          </w:tcPr>
          <w:p w14:paraId="6D1E4A8E" w14:textId="77777777" w:rsidR="00BA03C6" w:rsidRPr="00BA03C6" w:rsidRDefault="00BA03C6" w:rsidP="00BA03C6">
            <w:pPr>
              <w:spacing w:line="276" w:lineRule="auto"/>
              <w:jc w:val="center"/>
              <w:rPr>
                <w:rFonts w:ascii="Times New Roman" w:hAnsi="Times New Roman" w:cs="Times New Roman"/>
                <w:bCs/>
                <w:sz w:val="20"/>
                <w:szCs w:val="20"/>
              </w:rPr>
            </w:pPr>
          </w:p>
        </w:tc>
        <w:tc>
          <w:tcPr>
            <w:tcW w:w="833" w:type="dxa"/>
            <w:tcBorders>
              <w:left w:val="nil"/>
              <w:bottom w:val="nil"/>
              <w:right w:val="nil"/>
            </w:tcBorders>
          </w:tcPr>
          <w:p w14:paraId="3E1F24D8"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57" w:type="dxa"/>
            <w:tcBorders>
              <w:left w:val="nil"/>
              <w:bottom w:val="nil"/>
              <w:right w:val="nil"/>
            </w:tcBorders>
          </w:tcPr>
          <w:p w14:paraId="4BD544AA"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33" w:type="dxa"/>
            <w:tcBorders>
              <w:left w:val="nil"/>
              <w:bottom w:val="nil"/>
              <w:right w:val="nil"/>
            </w:tcBorders>
          </w:tcPr>
          <w:p w14:paraId="4FB81190"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50" w:type="dxa"/>
            <w:tcBorders>
              <w:left w:val="nil"/>
              <w:bottom w:val="nil"/>
              <w:right w:val="nil"/>
            </w:tcBorders>
          </w:tcPr>
          <w:p w14:paraId="6386990D"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60" w:type="dxa"/>
            <w:tcBorders>
              <w:left w:val="nil"/>
              <w:bottom w:val="nil"/>
              <w:right w:val="nil"/>
            </w:tcBorders>
          </w:tcPr>
          <w:p w14:paraId="3DAA7C76" w14:textId="77777777" w:rsidR="00BA03C6" w:rsidRPr="00BA03C6" w:rsidRDefault="00BA03C6" w:rsidP="00BA03C6">
            <w:pPr>
              <w:spacing w:line="276" w:lineRule="auto"/>
              <w:jc w:val="center"/>
              <w:rPr>
                <w:rFonts w:ascii="Times New Roman" w:hAnsi="Times New Roman" w:cs="Times New Roman"/>
                <w:bCs/>
                <w:sz w:val="20"/>
                <w:szCs w:val="20"/>
              </w:rPr>
            </w:pPr>
          </w:p>
        </w:tc>
        <w:tc>
          <w:tcPr>
            <w:tcW w:w="533" w:type="dxa"/>
            <w:tcBorders>
              <w:left w:val="nil"/>
              <w:bottom w:val="nil"/>
              <w:right w:val="nil"/>
            </w:tcBorders>
          </w:tcPr>
          <w:p w14:paraId="5075948E" w14:textId="77777777" w:rsidR="00BA03C6" w:rsidRPr="00BA03C6" w:rsidRDefault="00BA03C6" w:rsidP="00BA03C6">
            <w:pPr>
              <w:spacing w:line="276" w:lineRule="auto"/>
              <w:jc w:val="center"/>
              <w:rPr>
                <w:rFonts w:ascii="Times New Roman" w:hAnsi="Times New Roman" w:cs="Times New Roman"/>
                <w:bCs/>
                <w:sz w:val="20"/>
                <w:szCs w:val="20"/>
              </w:rPr>
            </w:pPr>
          </w:p>
        </w:tc>
        <w:tc>
          <w:tcPr>
            <w:tcW w:w="836" w:type="dxa"/>
            <w:tcBorders>
              <w:left w:val="nil"/>
              <w:bottom w:val="nil"/>
              <w:right w:val="nil"/>
            </w:tcBorders>
          </w:tcPr>
          <w:p w14:paraId="49D0F5AF" w14:textId="77777777" w:rsidR="00BA03C6" w:rsidRPr="00BA03C6" w:rsidRDefault="00BA03C6" w:rsidP="00BA03C6">
            <w:pPr>
              <w:spacing w:line="276" w:lineRule="auto"/>
              <w:jc w:val="center"/>
              <w:rPr>
                <w:rFonts w:ascii="Times New Roman" w:hAnsi="Times New Roman" w:cs="Times New Roman"/>
                <w:bCs/>
                <w:sz w:val="20"/>
                <w:szCs w:val="20"/>
              </w:rPr>
            </w:pPr>
          </w:p>
        </w:tc>
        <w:tc>
          <w:tcPr>
            <w:tcW w:w="837" w:type="dxa"/>
            <w:tcBorders>
              <w:left w:val="nil"/>
              <w:bottom w:val="nil"/>
              <w:right w:val="nil"/>
            </w:tcBorders>
          </w:tcPr>
          <w:p w14:paraId="706E1C34" w14:textId="77777777" w:rsidR="00BA03C6" w:rsidRPr="00BA03C6" w:rsidRDefault="00BA03C6" w:rsidP="00BA03C6">
            <w:pPr>
              <w:spacing w:line="276" w:lineRule="auto"/>
              <w:jc w:val="center"/>
              <w:rPr>
                <w:rFonts w:ascii="Times New Roman" w:hAnsi="Times New Roman" w:cs="Times New Roman"/>
                <w:bCs/>
                <w:sz w:val="20"/>
                <w:szCs w:val="20"/>
              </w:rPr>
            </w:pPr>
          </w:p>
        </w:tc>
        <w:tc>
          <w:tcPr>
            <w:tcW w:w="766" w:type="dxa"/>
            <w:tcBorders>
              <w:left w:val="nil"/>
              <w:bottom w:val="nil"/>
              <w:right w:val="nil"/>
            </w:tcBorders>
          </w:tcPr>
          <w:p w14:paraId="4B3CEABB" w14:textId="77777777" w:rsidR="00BA03C6" w:rsidRPr="00BA03C6" w:rsidRDefault="00BA03C6" w:rsidP="00BA03C6">
            <w:pPr>
              <w:spacing w:line="276" w:lineRule="auto"/>
              <w:jc w:val="center"/>
              <w:rPr>
                <w:rFonts w:ascii="Times New Roman" w:hAnsi="Times New Roman" w:cs="Times New Roman"/>
                <w:bCs/>
                <w:sz w:val="20"/>
                <w:szCs w:val="20"/>
              </w:rPr>
            </w:pPr>
          </w:p>
        </w:tc>
        <w:tc>
          <w:tcPr>
            <w:tcW w:w="418" w:type="dxa"/>
            <w:tcBorders>
              <w:left w:val="nil"/>
              <w:bottom w:val="nil"/>
              <w:right w:val="nil"/>
            </w:tcBorders>
          </w:tcPr>
          <w:p w14:paraId="7B05DAE0" w14:textId="77777777" w:rsidR="00BA03C6" w:rsidRPr="00BA03C6" w:rsidRDefault="00BA03C6" w:rsidP="00BA03C6">
            <w:pPr>
              <w:spacing w:line="276" w:lineRule="auto"/>
              <w:jc w:val="center"/>
              <w:rPr>
                <w:rFonts w:ascii="Times New Roman" w:hAnsi="Times New Roman" w:cs="Times New Roman"/>
                <w:bCs/>
                <w:sz w:val="20"/>
                <w:szCs w:val="20"/>
              </w:rPr>
            </w:pPr>
          </w:p>
        </w:tc>
        <w:tc>
          <w:tcPr>
            <w:tcW w:w="435" w:type="dxa"/>
            <w:tcBorders>
              <w:left w:val="nil"/>
              <w:bottom w:val="nil"/>
              <w:right w:val="nil"/>
            </w:tcBorders>
          </w:tcPr>
          <w:p w14:paraId="2AAAC680" w14:textId="77777777" w:rsidR="00BA03C6" w:rsidRPr="00BA03C6" w:rsidRDefault="00BA03C6" w:rsidP="00BA03C6">
            <w:pPr>
              <w:spacing w:line="276" w:lineRule="auto"/>
              <w:jc w:val="center"/>
              <w:rPr>
                <w:rFonts w:ascii="Times New Roman" w:hAnsi="Times New Roman" w:cs="Times New Roman"/>
                <w:bCs/>
                <w:sz w:val="20"/>
                <w:szCs w:val="20"/>
              </w:rPr>
            </w:pPr>
          </w:p>
        </w:tc>
      </w:tr>
      <w:tr w:rsidR="00BA03C6" w:rsidRPr="00BA03C6" w14:paraId="62AA32C7" w14:textId="77777777" w:rsidTr="00A865A7">
        <w:trPr>
          <w:trHeight w:val="635"/>
        </w:trPr>
        <w:tc>
          <w:tcPr>
            <w:tcW w:w="1334" w:type="dxa"/>
            <w:tcBorders>
              <w:top w:val="nil"/>
              <w:left w:val="nil"/>
              <w:bottom w:val="nil"/>
              <w:right w:val="nil"/>
            </w:tcBorders>
          </w:tcPr>
          <w:p w14:paraId="0478418F"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2. Soft-drink drift</w:t>
            </w:r>
          </w:p>
        </w:tc>
        <w:tc>
          <w:tcPr>
            <w:tcW w:w="766" w:type="dxa"/>
            <w:tcBorders>
              <w:top w:val="nil"/>
              <w:left w:val="nil"/>
              <w:bottom w:val="nil"/>
              <w:right w:val="nil"/>
            </w:tcBorders>
          </w:tcPr>
          <w:p w14:paraId="1477B955"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.36***</w:t>
            </w:r>
          </w:p>
        </w:tc>
        <w:tc>
          <w:tcPr>
            <w:tcW w:w="633" w:type="dxa"/>
            <w:tcBorders>
              <w:top w:val="nil"/>
              <w:left w:val="nil"/>
              <w:bottom w:val="nil"/>
              <w:right w:val="nil"/>
            </w:tcBorders>
          </w:tcPr>
          <w:p w14:paraId="500DB61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390E68E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633" w:type="dxa"/>
            <w:tcBorders>
              <w:top w:val="nil"/>
              <w:left w:val="nil"/>
              <w:bottom w:val="nil"/>
              <w:right w:val="nil"/>
            </w:tcBorders>
          </w:tcPr>
          <w:p w14:paraId="78DACDF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D1B6B9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1FFB865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0F5E065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2525CA5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35D02ED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0EA0DF2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4C9D526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4A6F099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20CFCD5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5F0509C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5F55C1B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77F60EF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35A98A2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4426B5D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1C1ADC9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4D8E2EE7"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21A49A8C" w14:textId="77777777" w:rsidTr="00A865A7">
        <w:trPr>
          <w:trHeight w:val="635"/>
        </w:trPr>
        <w:tc>
          <w:tcPr>
            <w:tcW w:w="1334" w:type="dxa"/>
            <w:tcBorders>
              <w:top w:val="nil"/>
              <w:left w:val="nil"/>
              <w:bottom w:val="nil"/>
              <w:right w:val="nil"/>
            </w:tcBorders>
          </w:tcPr>
          <w:p w14:paraId="366AD47C"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3. Alcohol boundary</w:t>
            </w:r>
          </w:p>
        </w:tc>
        <w:tc>
          <w:tcPr>
            <w:tcW w:w="766" w:type="dxa"/>
            <w:tcBorders>
              <w:top w:val="nil"/>
              <w:left w:val="nil"/>
              <w:bottom w:val="nil"/>
              <w:right w:val="nil"/>
            </w:tcBorders>
          </w:tcPr>
          <w:p w14:paraId="3B666AD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-.19</w:t>
            </w:r>
          </w:p>
        </w:tc>
        <w:tc>
          <w:tcPr>
            <w:tcW w:w="633" w:type="dxa"/>
            <w:tcBorders>
              <w:top w:val="nil"/>
              <w:left w:val="nil"/>
              <w:bottom w:val="nil"/>
              <w:right w:val="nil"/>
            </w:tcBorders>
          </w:tcPr>
          <w:p w14:paraId="631EADF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-.23</w:t>
            </w:r>
          </w:p>
        </w:tc>
        <w:tc>
          <w:tcPr>
            <w:tcW w:w="766" w:type="dxa"/>
            <w:tcBorders>
              <w:top w:val="nil"/>
              <w:left w:val="nil"/>
              <w:bottom w:val="nil"/>
              <w:right w:val="nil"/>
            </w:tcBorders>
          </w:tcPr>
          <w:p w14:paraId="2B0515C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633" w:type="dxa"/>
            <w:tcBorders>
              <w:top w:val="nil"/>
              <w:left w:val="nil"/>
              <w:bottom w:val="nil"/>
              <w:right w:val="nil"/>
            </w:tcBorders>
          </w:tcPr>
          <w:p w14:paraId="7D224C5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27D76A8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0E1F0E2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586F5FE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43BE604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797F80D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2B7DBEA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1207AF5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4BDF3A1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4DC4136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7629B6E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395A9D4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644F784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57C6992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8ED768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48EA112F"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56A20B9E"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1C75BAC3" w14:textId="77777777" w:rsidTr="00A865A7">
        <w:trPr>
          <w:trHeight w:val="635"/>
        </w:trPr>
        <w:tc>
          <w:tcPr>
            <w:tcW w:w="1334" w:type="dxa"/>
            <w:tcBorders>
              <w:top w:val="nil"/>
              <w:left w:val="nil"/>
              <w:bottom w:val="nil"/>
              <w:right w:val="nil"/>
            </w:tcBorders>
          </w:tcPr>
          <w:p w14:paraId="42C9A0C9"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4. Soft-drink boundary</w:t>
            </w:r>
          </w:p>
        </w:tc>
        <w:tc>
          <w:tcPr>
            <w:tcW w:w="766" w:type="dxa"/>
            <w:tcBorders>
              <w:top w:val="nil"/>
              <w:left w:val="nil"/>
              <w:bottom w:val="nil"/>
              <w:right w:val="nil"/>
            </w:tcBorders>
          </w:tcPr>
          <w:p w14:paraId="4C2A142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633" w:type="dxa"/>
            <w:tcBorders>
              <w:top w:val="nil"/>
              <w:left w:val="nil"/>
              <w:bottom w:val="nil"/>
              <w:right w:val="nil"/>
            </w:tcBorders>
          </w:tcPr>
          <w:p w14:paraId="055369BF"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-.27*</w:t>
            </w:r>
          </w:p>
        </w:tc>
        <w:tc>
          <w:tcPr>
            <w:tcW w:w="766" w:type="dxa"/>
            <w:tcBorders>
              <w:top w:val="nil"/>
              <w:left w:val="nil"/>
              <w:bottom w:val="nil"/>
              <w:right w:val="nil"/>
            </w:tcBorders>
          </w:tcPr>
          <w:p w14:paraId="6C0C6E7E"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.69***</w:t>
            </w:r>
          </w:p>
        </w:tc>
        <w:tc>
          <w:tcPr>
            <w:tcW w:w="633" w:type="dxa"/>
            <w:tcBorders>
              <w:top w:val="nil"/>
              <w:left w:val="nil"/>
              <w:bottom w:val="nil"/>
              <w:right w:val="nil"/>
            </w:tcBorders>
          </w:tcPr>
          <w:p w14:paraId="33F7DB2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469E1E2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3AF6F17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2E9955E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4B80DD8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29BE50E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0532090F"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6B9229D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615BE91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1E09ABA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740B54D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71C2FC9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6061457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0EB3800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1743B8E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1C1860E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6E49B370"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422E29B0" w14:textId="77777777" w:rsidTr="00A865A7">
        <w:trPr>
          <w:trHeight w:val="525"/>
        </w:trPr>
        <w:tc>
          <w:tcPr>
            <w:tcW w:w="1334" w:type="dxa"/>
            <w:tcBorders>
              <w:top w:val="nil"/>
              <w:left w:val="nil"/>
              <w:bottom w:val="nil"/>
              <w:right w:val="nil"/>
            </w:tcBorders>
          </w:tcPr>
          <w:p w14:paraId="6B8A940B"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5. AUDIT</w:t>
            </w:r>
          </w:p>
        </w:tc>
        <w:tc>
          <w:tcPr>
            <w:tcW w:w="766" w:type="dxa"/>
            <w:tcBorders>
              <w:top w:val="nil"/>
              <w:left w:val="nil"/>
              <w:bottom w:val="nil"/>
              <w:right w:val="nil"/>
            </w:tcBorders>
          </w:tcPr>
          <w:p w14:paraId="3E5E559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.07</w:t>
            </w:r>
          </w:p>
        </w:tc>
        <w:tc>
          <w:tcPr>
            <w:tcW w:w="633" w:type="dxa"/>
            <w:tcBorders>
              <w:top w:val="nil"/>
              <w:left w:val="nil"/>
              <w:bottom w:val="nil"/>
              <w:right w:val="nil"/>
            </w:tcBorders>
          </w:tcPr>
          <w:p w14:paraId="44067BC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766" w:type="dxa"/>
            <w:tcBorders>
              <w:top w:val="nil"/>
              <w:left w:val="nil"/>
              <w:bottom w:val="nil"/>
              <w:right w:val="nil"/>
            </w:tcBorders>
          </w:tcPr>
          <w:p w14:paraId="47C6D5F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633" w:type="dxa"/>
            <w:tcBorders>
              <w:top w:val="nil"/>
              <w:left w:val="nil"/>
              <w:bottom w:val="nil"/>
              <w:right w:val="nil"/>
            </w:tcBorders>
          </w:tcPr>
          <w:p w14:paraId="320BFED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.07</w:t>
            </w:r>
          </w:p>
        </w:tc>
        <w:tc>
          <w:tcPr>
            <w:tcW w:w="766" w:type="dxa"/>
            <w:tcBorders>
              <w:top w:val="nil"/>
              <w:left w:val="nil"/>
              <w:bottom w:val="nil"/>
              <w:right w:val="nil"/>
            </w:tcBorders>
          </w:tcPr>
          <w:p w14:paraId="113C2CD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4C91DAF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12896CC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3D1DDEB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3DF6BC1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3D9AD0D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774AA61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05D1AB7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57AC1DF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0105905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4D7F927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32224A1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6881A43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50855A2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26E035E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0281A1F0"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1F2DFA84" w14:textId="77777777" w:rsidTr="00A865A7">
        <w:trPr>
          <w:trHeight w:val="635"/>
        </w:trPr>
        <w:tc>
          <w:tcPr>
            <w:tcW w:w="1334" w:type="dxa"/>
            <w:tcBorders>
              <w:top w:val="nil"/>
              <w:left w:val="nil"/>
              <w:bottom w:val="nil"/>
              <w:right w:val="nil"/>
            </w:tcBorders>
          </w:tcPr>
          <w:p w14:paraId="000212F2"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6. Problem recognition</w:t>
            </w:r>
          </w:p>
        </w:tc>
        <w:tc>
          <w:tcPr>
            <w:tcW w:w="766" w:type="dxa"/>
            <w:tcBorders>
              <w:top w:val="nil"/>
              <w:left w:val="nil"/>
              <w:bottom w:val="nil"/>
              <w:right w:val="nil"/>
            </w:tcBorders>
          </w:tcPr>
          <w:p w14:paraId="6A9D756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-.07</w:t>
            </w:r>
          </w:p>
        </w:tc>
        <w:tc>
          <w:tcPr>
            <w:tcW w:w="633" w:type="dxa"/>
            <w:tcBorders>
              <w:top w:val="nil"/>
              <w:left w:val="nil"/>
              <w:bottom w:val="nil"/>
              <w:right w:val="nil"/>
            </w:tcBorders>
          </w:tcPr>
          <w:p w14:paraId="35ADBFB2"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-.27*</w:t>
            </w:r>
          </w:p>
        </w:tc>
        <w:tc>
          <w:tcPr>
            <w:tcW w:w="766" w:type="dxa"/>
            <w:tcBorders>
              <w:top w:val="nil"/>
              <w:left w:val="nil"/>
              <w:bottom w:val="nil"/>
              <w:right w:val="nil"/>
            </w:tcBorders>
          </w:tcPr>
          <w:p w14:paraId="659FD7B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633" w:type="dxa"/>
            <w:tcBorders>
              <w:top w:val="nil"/>
              <w:left w:val="nil"/>
              <w:bottom w:val="nil"/>
              <w:right w:val="nil"/>
            </w:tcBorders>
          </w:tcPr>
          <w:p w14:paraId="40248A3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766" w:type="dxa"/>
            <w:tcBorders>
              <w:top w:val="nil"/>
              <w:left w:val="nil"/>
              <w:bottom w:val="nil"/>
              <w:right w:val="nil"/>
            </w:tcBorders>
          </w:tcPr>
          <w:p w14:paraId="54D6181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w:t>
            </w:r>
            <w:r w:rsidRPr="00BA03C6">
              <w:rPr>
                <w:rFonts w:ascii="Times New Roman" w:hAnsi="Times New Roman" w:cs="Times New Roman"/>
                <w:b/>
                <w:sz w:val="18"/>
                <w:szCs w:val="18"/>
              </w:rPr>
              <w:t>42***</w:t>
            </w:r>
          </w:p>
        </w:tc>
        <w:tc>
          <w:tcPr>
            <w:tcW w:w="733" w:type="dxa"/>
            <w:tcBorders>
              <w:top w:val="nil"/>
              <w:left w:val="nil"/>
              <w:bottom w:val="nil"/>
              <w:right w:val="nil"/>
            </w:tcBorders>
          </w:tcPr>
          <w:p w14:paraId="3466531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548D759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51E3EC9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2FF8C13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751A0D3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0379B87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6FA6A42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66F3DD0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347361B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49793D5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4B34115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278A40C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DE3C3A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25D66BD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2DF4B0C3"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79914DC0" w14:textId="77777777" w:rsidTr="00A865A7">
        <w:trPr>
          <w:trHeight w:val="635"/>
        </w:trPr>
        <w:tc>
          <w:tcPr>
            <w:tcW w:w="1334" w:type="dxa"/>
            <w:tcBorders>
              <w:top w:val="nil"/>
              <w:left w:val="nil"/>
              <w:bottom w:val="nil"/>
              <w:right w:val="nil"/>
            </w:tcBorders>
          </w:tcPr>
          <w:p w14:paraId="41F04CFB"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 xml:space="preserve">7. Self-efficacy </w:t>
            </w:r>
          </w:p>
          <w:p w14:paraId="3AC60769"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(social)</w:t>
            </w:r>
          </w:p>
        </w:tc>
        <w:tc>
          <w:tcPr>
            <w:tcW w:w="766" w:type="dxa"/>
            <w:tcBorders>
              <w:top w:val="nil"/>
              <w:left w:val="nil"/>
              <w:bottom w:val="nil"/>
              <w:right w:val="nil"/>
            </w:tcBorders>
          </w:tcPr>
          <w:p w14:paraId="5A1712E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-.20</w:t>
            </w:r>
          </w:p>
        </w:tc>
        <w:tc>
          <w:tcPr>
            <w:tcW w:w="633" w:type="dxa"/>
            <w:tcBorders>
              <w:top w:val="nil"/>
              <w:left w:val="nil"/>
              <w:bottom w:val="nil"/>
              <w:right w:val="nil"/>
            </w:tcBorders>
          </w:tcPr>
          <w:p w14:paraId="423CCD8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-.18</w:t>
            </w:r>
          </w:p>
        </w:tc>
        <w:tc>
          <w:tcPr>
            <w:tcW w:w="766" w:type="dxa"/>
            <w:tcBorders>
              <w:top w:val="nil"/>
              <w:left w:val="nil"/>
              <w:bottom w:val="nil"/>
              <w:right w:val="nil"/>
            </w:tcBorders>
          </w:tcPr>
          <w:p w14:paraId="31A5BB4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633" w:type="dxa"/>
            <w:tcBorders>
              <w:top w:val="nil"/>
              <w:left w:val="nil"/>
              <w:bottom w:val="nil"/>
              <w:right w:val="nil"/>
            </w:tcBorders>
          </w:tcPr>
          <w:p w14:paraId="3E0EDA6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766" w:type="dxa"/>
            <w:tcBorders>
              <w:top w:val="nil"/>
              <w:left w:val="nil"/>
              <w:bottom w:val="nil"/>
              <w:right w:val="nil"/>
            </w:tcBorders>
          </w:tcPr>
          <w:p w14:paraId="5ADD770F"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-.36**</w:t>
            </w:r>
          </w:p>
        </w:tc>
        <w:tc>
          <w:tcPr>
            <w:tcW w:w="733" w:type="dxa"/>
            <w:tcBorders>
              <w:top w:val="nil"/>
              <w:left w:val="nil"/>
              <w:bottom w:val="nil"/>
              <w:right w:val="nil"/>
            </w:tcBorders>
          </w:tcPr>
          <w:p w14:paraId="7D2D6BE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766" w:type="dxa"/>
            <w:tcBorders>
              <w:top w:val="nil"/>
              <w:left w:val="nil"/>
              <w:bottom w:val="nil"/>
              <w:right w:val="nil"/>
            </w:tcBorders>
          </w:tcPr>
          <w:p w14:paraId="5290E3D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1B80A89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31D140C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43AF503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37A5F93F"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7557AB7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3F5AF72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1FC8B97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727EB37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01B885E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1EF67B8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0EE179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790B6D5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466DB3A3"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4170458E" w14:textId="77777777" w:rsidTr="00A865A7">
        <w:trPr>
          <w:trHeight w:val="635"/>
        </w:trPr>
        <w:tc>
          <w:tcPr>
            <w:tcW w:w="1334" w:type="dxa"/>
            <w:tcBorders>
              <w:top w:val="nil"/>
              <w:left w:val="nil"/>
              <w:bottom w:val="nil"/>
              <w:right w:val="nil"/>
            </w:tcBorders>
          </w:tcPr>
          <w:p w14:paraId="5660C146"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 xml:space="preserve">8. Self-efficacy </w:t>
            </w:r>
          </w:p>
          <w:p w14:paraId="58E38474"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(emotional)</w:t>
            </w:r>
          </w:p>
        </w:tc>
        <w:tc>
          <w:tcPr>
            <w:tcW w:w="766" w:type="dxa"/>
            <w:tcBorders>
              <w:top w:val="nil"/>
              <w:left w:val="nil"/>
              <w:bottom w:val="nil"/>
              <w:right w:val="nil"/>
            </w:tcBorders>
          </w:tcPr>
          <w:p w14:paraId="2B5D30C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633" w:type="dxa"/>
            <w:tcBorders>
              <w:top w:val="nil"/>
              <w:left w:val="nil"/>
              <w:bottom w:val="nil"/>
              <w:right w:val="nil"/>
            </w:tcBorders>
          </w:tcPr>
          <w:p w14:paraId="3126206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766" w:type="dxa"/>
            <w:tcBorders>
              <w:top w:val="nil"/>
              <w:left w:val="nil"/>
              <w:bottom w:val="nil"/>
              <w:right w:val="nil"/>
            </w:tcBorders>
          </w:tcPr>
          <w:p w14:paraId="1EB714B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633" w:type="dxa"/>
            <w:tcBorders>
              <w:top w:val="nil"/>
              <w:left w:val="nil"/>
              <w:bottom w:val="nil"/>
              <w:right w:val="nil"/>
            </w:tcBorders>
          </w:tcPr>
          <w:p w14:paraId="70A3B5B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.18</w:t>
            </w:r>
          </w:p>
        </w:tc>
        <w:tc>
          <w:tcPr>
            <w:tcW w:w="766" w:type="dxa"/>
            <w:tcBorders>
              <w:top w:val="nil"/>
              <w:left w:val="nil"/>
              <w:bottom w:val="nil"/>
              <w:right w:val="nil"/>
            </w:tcBorders>
          </w:tcPr>
          <w:p w14:paraId="537FB8A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733" w:type="dxa"/>
            <w:tcBorders>
              <w:top w:val="nil"/>
              <w:left w:val="nil"/>
              <w:bottom w:val="nil"/>
              <w:right w:val="nil"/>
            </w:tcBorders>
          </w:tcPr>
          <w:p w14:paraId="65DC947F"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-.35**</w:t>
            </w:r>
          </w:p>
        </w:tc>
        <w:tc>
          <w:tcPr>
            <w:tcW w:w="766" w:type="dxa"/>
            <w:tcBorders>
              <w:top w:val="nil"/>
              <w:left w:val="nil"/>
              <w:bottom w:val="nil"/>
              <w:right w:val="nil"/>
            </w:tcBorders>
          </w:tcPr>
          <w:p w14:paraId="5A39A932"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.42***</w:t>
            </w:r>
          </w:p>
        </w:tc>
        <w:tc>
          <w:tcPr>
            <w:tcW w:w="566" w:type="dxa"/>
            <w:tcBorders>
              <w:top w:val="nil"/>
              <w:left w:val="nil"/>
              <w:bottom w:val="nil"/>
              <w:right w:val="nil"/>
            </w:tcBorders>
          </w:tcPr>
          <w:p w14:paraId="711CD3E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33" w:type="dxa"/>
            <w:tcBorders>
              <w:top w:val="nil"/>
              <w:left w:val="nil"/>
              <w:bottom w:val="nil"/>
              <w:right w:val="nil"/>
            </w:tcBorders>
          </w:tcPr>
          <w:p w14:paraId="79FB397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3" w:type="dxa"/>
            <w:tcBorders>
              <w:top w:val="nil"/>
              <w:left w:val="nil"/>
              <w:bottom w:val="nil"/>
              <w:right w:val="nil"/>
            </w:tcBorders>
          </w:tcPr>
          <w:p w14:paraId="35D8423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447092B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2DBA524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5FF40E3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30D14CD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687C875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0C606B1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69F95FC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1EDCD40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18BFC06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0F4411EC"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1ABFD62D" w14:textId="77777777" w:rsidTr="00A865A7">
        <w:trPr>
          <w:trHeight w:val="635"/>
        </w:trPr>
        <w:tc>
          <w:tcPr>
            <w:tcW w:w="1334" w:type="dxa"/>
            <w:tcBorders>
              <w:top w:val="nil"/>
              <w:left w:val="nil"/>
              <w:bottom w:val="nil"/>
              <w:right w:val="nil"/>
            </w:tcBorders>
          </w:tcPr>
          <w:p w14:paraId="0B29229E"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9. Self-efficacy</w:t>
            </w:r>
          </w:p>
          <w:p w14:paraId="4421CC8F"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 xml:space="preserve"> (opportunity)</w:t>
            </w:r>
          </w:p>
        </w:tc>
        <w:tc>
          <w:tcPr>
            <w:tcW w:w="766" w:type="dxa"/>
            <w:tcBorders>
              <w:top w:val="nil"/>
              <w:left w:val="nil"/>
              <w:bottom w:val="nil"/>
              <w:right w:val="nil"/>
            </w:tcBorders>
          </w:tcPr>
          <w:p w14:paraId="5FB1568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633" w:type="dxa"/>
            <w:tcBorders>
              <w:top w:val="nil"/>
              <w:left w:val="nil"/>
              <w:bottom w:val="nil"/>
              <w:right w:val="nil"/>
            </w:tcBorders>
          </w:tcPr>
          <w:p w14:paraId="315144F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.03</w:t>
            </w:r>
          </w:p>
        </w:tc>
        <w:tc>
          <w:tcPr>
            <w:tcW w:w="766" w:type="dxa"/>
            <w:tcBorders>
              <w:top w:val="nil"/>
              <w:left w:val="nil"/>
              <w:bottom w:val="nil"/>
              <w:right w:val="nil"/>
            </w:tcBorders>
          </w:tcPr>
          <w:p w14:paraId="15CED1D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633" w:type="dxa"/>
            <w:tcBorders>
              <w:top w:val="nil"/>
              <w:left w:val="nil"/>
              <w:bottom w:val="nil"/>
              <w:right w:val="nil"/>
            </w:tcBorders>
          </w:tcPr>
          <w:p w14:paraId="3A548AA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766" w:type="dxa"/>
            <w:tcBorders>
              <w:top w:val="nil"/>
              <w:left w:val="nil"/>
              <w:bottom w:val="nil"/>
              <w:right w:val="nil"/>
            </w:tcBorders>
          </w:tcPr>
          <w:p w14:paraId="5858244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733" w:type="dxa"/>
            <w:tcBorders>
              <w:top w:val="nil"/>
              <w:left w:val="nil"/>
              <w:bottom w:val="nil"/>
              <w:right w:val="nil"/>
            </w:tcBorders>
          </w:tcPr>
          <w:p w14:paraId="48756C9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766" w:type="dxa"/>
            <w:tcBorders>
              <w:top w:val="nil"/>
              <w:left w:val="nil"/>
              <w:bottom w:val="nil"/>
              <w:right w:val="nil"/>
            </w:tcBorders>
          </w:tcPr>
          <w:p w14:paraId="5BD30BA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.23</w:t>
            </w:r>
          </w:p>
        </w:tc>
        <w:tc>
          <w:tcPr>
            <w:tcW w:w="1299" w:type="dxa"/>
            <w:gridSpan w:val="2"/>
            <w:tcBorders>
              <w:top w:val="nil"/>
              <w:left w:val="nil"/>
              <w:bottom w:val="nil"/>
              <w:right w:val="nil"/>
            </w:tcBorders>
          </w:tcPr>
          <w:p w14:paraId="4A722396"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
                <w:sz w:val="18"/>
                <w:szCs w:val="18"/>
              </w:rPr>
              <w:t>.43**</w:t>
            </w:r>
          </w:p>
        </w:tc>
        <w:tc>
          <w:tcPr>
            <w:tcW w:w="833" w:type="dxa"/>
            <w:tcBorders>
              <w:top w:val="nil"/>
              <w:left w:val="nil"/>
              <w:bottom w:val="nil"/>
              <w:right w:val="nil"/>
            </w:tcBorders>
          </w:tcPr>
          <w:p w14:paraId="17CC144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0B319E2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098D6C9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118C246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485CDF0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2DE3F89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1DC385E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70F5B83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1DA96ED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080D61E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0471BF2D"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67C59B98" w14:textId="77777777" w:rsidTr="00A865A7">
        <w:trPr>
          <w:trHeight w:val="635"/>
        </w:trPr>
        <w:tc>
          <w:tcPr>
            <w:tcW w:w="1334" w:type="dxa"/>
            <w:tcBorders>
              <w:top w:val="nil"/>
              <w:left w:val="nil"/>
              <w:bottom w:val="nil"/>
              <w:right w:val="nil"/>
            </w:tcBorders>
          </w:tcPr>
          <w:p w14:paraId="4C8831FF"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10. Presence of meaning</w:t>
            </w:r>
          </w:p>
        </w:tc>
        <w:tc>
          <w:tcPr>
            <w:tcW w:w="766" w:type="dxa"/>
            <w:tcBorders>
              <w:top w:val="nil"/>
              <w:left w:val="nil"/>
              <w:bottom w:val="nil"/>
              <w:right w:val="nil"/>
            </w:tcBorders>
          </w:tcPr>
          <w:p w14:paraId="1FF2DF9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633" w:type="dxa"/>
            <w:tcBorders>
              <w:top w:val="nil"/>
              <w:left w:val="nil"/>
              <w:bottom w:val="nil"/>
              <w:right w:val="nil"/>
            </w:tcBorders>
          </w:tcPr>
          <w:p w14:paraId="4377DF5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766" w:type="dxa"/>
            <w:tcBorders>
              <w:top w:val="nil"/>
              <w:left w:val="nil"/>
              <w:bottom w:val="nil"/>
              <w:right w:val="nil"/>
            </w:tcBorders>
          </w:tcPr>
          <w:p w14:paraId="68C1189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-.22</w:t>
            </w:r>
          </w:p>
        </w:tc>
        <w:tc>
          <w:tcPr>
            <w:tcW w:w="633" w:type="dxa"/>
            <w:tcBorders>
              <w:top w:val="nil"/>
              <w:left w:val="nil"/>
              <w:bottom w:val="nil"/>
              <w:right w:val="nil"/>
            </w:tcBorders>
          </w:tcPr>
          <w:p w14:paraId="52D9A4A9"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-.32*</w:t>
            </w:r>
          </w:p>
        </w:tc>
        <w:tc>
          <w:tcPr>
            <w:tcW w:w="766" w:type="dxa"/>
            <w:tcBorders>
              <w:top w:val="nil"/>
              <w:left w:val="nil"/>
              <w:bottom w:val="nil"/>
              <w:right w:val="nil"/>
            </w:tcBorders>
          </w:tcPr>
          <w:p w14:paraId="028EC3A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733" w:type="dxa"/>
            <w:tcBorders>
              <w:top w:val="nil"/>
              <w:left w:val="nil"/>
              <w:bottom w:val="nil"/>
              <w:right w:val="nil"/>
            </w:tcBorders>
          </w:tcPr>
          <w:p w14:paraId="39F3E85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766" w:type="dxa"/>
            <w:tcBorders>
              <w:top w:val="nil"/>
              <w:left w:val="nil"/>
              <w:bottom w:val="nil"/>
              <w:right w:val="nil"/>
            </w:tcBorders>
          </w:tcPr>
          <w:p w14:paraId="5D24CD7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566" w:type="dxa"/>
            <w:tcBorders>
              <w:top w:val="nil"/>
              <w:left w:val="nil"/>
              <w:bottom w:val="nil"/>
              <w:right w:val="nil"/>
            </w:tcBorders>
          </w:tcPr>
          <w:p w14:paraId="67EBFF4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733" w:type="dxa"/>
            <w:tcBorders>
              <w:top w:val="nil"/>
              <w:left w:val="nil"/>
              <w:bottom w:val="nil"/>
              <w:right w:val="nil"/>
            </w:tcBorders>
          </w:tcPr>
          <w:p w14:paraId="63AC98C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-.20</w:t>
            </w:r>
          </w:p>
        </w:tc>
        <w:tc>
          <w:tcPr>
            <w:tcW w:w="833" w:type="dxa"/>
            <w:tcBorders>
              <w:top w:val="nil"/>
              <w:left w:val="nil"/>
              <w:bottom w:val="nil"/>
              <w:right w:val="nil"/>
            </w:tcBorders>
          </w:tcPr>
          <w:p w14:paraId="6F6E42F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7" w:type="dxa"/>
            <w:tcBorders>
              <w:top w:val="nil"/>
              <w:left w:val="nil"/>
              <w:bottom w:val="nil"/>
              <w:right w:val="nil"/>
            </w:tcBorders>
          </w:tcPr>
          <w:p w14:paraId="740CDA4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2C1F6F2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4CF7E10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5C812D7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62BA69E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247E835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2480623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6C449CC3"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1F3EDB4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496FF98E"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2D4552F4" w14:textId="77777777" w:rsidTr="00A865A7">
        <w:trPr>
          <w:trHeight w:val="635"/>
        </w:trPr>
        <w:tc>
          <w:tcPr>
            <w:tcW w:w="1334" w:type="dxa"/>
            <w:tcBorders>
              <w:top w:val="nil"/>
              <w:left w:val="nil"/>
              <w:bottom w:val="nil"/>
              <w:right w:val="nil"/>
            </w:tcBorders>
          </w:tcPr>
          <w:p w14:paraId="22EEFC59"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lastRenderedPageBreak/>
              <w:t>11. Search for meaning</w:t>
            </w:r>
          </w:p>
        </w:tc>
        <w:tc>
          <w:tcPr>
            <w:tcW w:w="766" w:type="dxa"/>
            <w:tcBorders>
              <w:top w:val="nil"/>
              <w:left w:val="nil"/>
              <w:bottom w:val="nil"/>
              <w:right w:val="nil"/>
            </w:tcBorders>
          </w:tcPr>
          <w:p w14:paraId="4553ABE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.07</w:t>
            </w:r>
          </w:p>
        </w:tc>
        <w:tc>
          <w:tcPr>
            <w:tcW w:w="633" w:type="dxa"/>
            <w:tcBorders>
              <w:top w:val="nil"/>
              <w:left w:val="nil"/>
              <w:bottom w:val="nil"/>
              <w:right w:val="nil"/>
            </w:tcBorders>
          </w:tcPr>
          <w:p w14:paraId="35F6F1B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766" w:type="dxa"/>
            <w:tcBorders>
              <w:top w:val="nil"/>
              <w:left w:val="nil"/>
              <w:bottom w:val="nil"/>
              <w:right w:val="nil"/>
            </w:tcBorders>
          </w:tcPr>
          <w:p w14:paraId="5DA4052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.14</w:t>
            </w:r>
          </w:p>
        </w:tc>
        <w:tc>
          <w:tcPr>
            <w:tcW w:w="633" w:type="dxa"/>
            <w:tcBorders>
              <w:top w:val="nil"/>
              <w:left w:val="nil"/>
              <w:bottom w:val="nil"/>
              <w:right w:val="nil"/>
            </w:tcBorders>
          </w:tcPr>
          <w:p w14:paraId="78664C7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766" w:type="dxa"/>
            <w:tcBorders>
              <w:top w:val="nil"/>
              <w:left w:val="nil"/>
              <w:bottom w:val="nil"/>
              <w:right w:val="nil"/>
            </w:tcBorders>
          </w:tcPr>
          <w:p w14:paraId="0790138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733" w:type="dxa"/>
            <w:tcBorders>
              <w:top w:val="nil"/>
              <w:left w:val="nil"/>
              <w:bottom w:val="nil"/>
              <w:right w:val="nil"/>
            </w:tcBorders>
          </w:tcPr>
          <w:p w14:paraId="3D4AC33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766" w:type="dxa"/>
            <w:tcBorders>
              <w:top w:val="nil"/>
              <w:left w:val="nil"/>
              <w:bottom w:val="nil"/>
              <w:right w:val="nil"/>
            </w:tcBorders>
          </w:tcPr>
          <w:p w14:paraId="782F06C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566" w:type="dxa"/>
            <w:tcBorders>
              <w:top w:val="nil"/>
              <w:left w:val="nil"/>
              <w:bottom w:val="nil"/>
              <w:right w:val="nil"/>
            </w:tcBorders>
          </w:tcPr>
          <w:p w14:paraId="3F23707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733" w:type="dxa"/>
            <w:tcBorders>
              <w:top w:val="nil"/>
              <w:left w:val="nil"/>
              <w:bottom w:val="nil"/>
              <w:right w:val="nil"/>
            </w:tcBorders>
          </w:tcPr>
          <w:p w14:paraId="4D9F127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833" w:type="dxa"/>
            <w:tcBorders>
              <w:top w:val="nil"/>
              <w:left w:val="nil"/>
              <w:bottom w:val="nil"/>
              <w:right w:val="nil"/>
            </w:tcBorders>
          </w:tcPr>
          <w:p w14:paraId="6A93919A"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-.42***</w:t>
            </w:r>
          </w:p>
        </w:tc>
        <w:tc>
          <w:tcPr>
            <w:tcW w:w="557" w:type="dxa"/>
            <w:tcBorders>
              <w:top w:val="nil"/>
              <w:left w:val="nil"/>
              <w:bottom w:val="nil"/>
              <w:right w:val="nil"/>
            </w:tcBorders>
          </w:tcPr>
          <w:p w14:paraId="3A45BA4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20072C6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4E3E33C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4354DEB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29EFE2C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72DBA1C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6EDAB6B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57A19AA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6DB797D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374A0241"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2AF1C424" w14:textId="77777777" w:rsidTr="00A865A7">
        <w:trPr>
          <w:trHeight w:val="635"/>
        </w:trPr>
        <w:tc>
          <w:tcPr>
            <w:tcW w:w="1334" w:type="dxa"/>
            <w:tcBorders>
              <w:top w:val="nil"/>
              <w:left w:val="nil"/>
              <w:bottom w:val="nil"/>
              <w:right w:val="nil"/>
            </w:tcBorders>
          </w:tcPr>
          <w:p w14:paraId="578C1E3A"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12. Brief self-control</w:t>
            </w:r>
          </w:p>
        </w:tc>
        <w:tc>
          <w:tcPr>
            <w:tcW w:w="766" w:type="dxa"/>
            <w:tcBorders>
              <w:top w:val="nil"/>
              <w:left w:val="nil"/>
              <w:bottom w:val="nil"/>
              <w:right w:val="nil"/>
            </w:tcBorders>
          </w:tcPr>
          <w:p w14:paraId="35706AC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633" w:type="dxa"/>
            <w:tcBorders>
              <w:top w:val="nil"/>
              <w:left w:val="nil"/>
              <w:bottom w:val="nil"/>
              <w:right w:val="nil"/>
            </w:tcBorders>
          </w:tcPr>
          <w:p w14:paraId="34BCB6E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766" w:type="dxa"/>
            <w:tcBorders>
              <w:top w:val="nil"/>
              <w:left w:val="nil"/>
              <w:bottom w:val="nil"/>
              <w:right w:val="nil"/>
            </w:tcBorders>
          </w:tcPr>
          <w:p w14:paraId="46C24DC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633" w:type="dxa"/>
            <w:tcBorders>
              <w:top w:val="nil"/>
              <w:left w:val="nil"/>
              <w:bottom w:val="nil"/>
              <w:right w:val="nil"/>
            </w:tcBorders>
          </w:tcPr>
          <w:p w14:paraId="272EC78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-.04</w:t>
            </w:r>
          </w:p>
        </w:tc>
        <w:tc>
          <w:tcPr>
            <w:tcW w:w="766" w:type="dxa"/>
            <w:tcBorders>
              <w:top w:val="nil"/>
              <w:left w:val="nil"/>
              <w:bottom w:val="nil"/>
              <w:right w:val="nil"/>
            </w:tcBorders>
          </w:tcPr>
          <w:p w14:paraId="48A93FA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733" w:type="dxa"/>
            <w:tcBorders>
              <w:top w:val="nil"/>
              <w:left w:val="nil"/>
              <w:bottom w:val="nil"/>
              <w:right w:val="nil"/>
            </w:tcBorders>
          </w:tcPr>
          <w:p w14:paraId="1FFC2A63"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-.40**</w:t>
            </w:r>
          </w:p>
        </w:tc>
        <w:tc>
          <w:tcPr>
            <w:tcW w:w="766" w:type="dxa"/>
            <w:tcBorders>
              <w:top w:val="nil"/>
              <w:left w:val="nil"/>
              <w:bottom w:val="nil"/>
              <w:right w:val="nil"/>
            </w:tcBorders>
          </w:tcPr>
          <w:p w14:paraId="27F2D25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.14</w:t>
            </w:r>
          </w:p>
        </w:tc>
        <w:tc>
          <w:tcPr>
            <w:tcW w:w="566" w:type="dxa"/>
            <w:tcBorders>
              <w:top w:val="nil"/>
              <w:left w:val="nil"/>
              <w:bottom w:val="nil"/>
              <w:right w:val="nil"/>
            </w:tcBorders>
          </w:tcPr>
          <w:p w14:paraId="297BF3D4"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.26*</w:t>
            </w:r>
          </w:p>
        </w:tc>
        <w:tc>
          <w:tcPr>
            <w:tcW w:w="733" w:type="dxa"/>
            <w:tcBorders>
              <w:top w:val="nil"/>
              <w:left w:val="nil"/>
              <w:bottom w:val="nil"/>
              <w:right w:val="nil"/>
            </w:tcBorders>
          </w:tcPr>
          <w:p w14:paraId="1345C38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833" w:type="dxa"/>
            <w:tcBorders>
              <w:top w:val="nil"/>
              <w:left w:val="nil"/>
              <w:bottom w:val="nil"/>
              <w:right w:val="nil"/>
            </w:tcBorders>
          </w:tcPr>
          <w:p w14:paraId="766B4F75"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.37**</w:t>
            </w:r>
          </w:p>
        </w:tc>
        <w:tc>
          <w:tcPr>
            <w:tcW w:w="557" w:type="dxa"/>
            <w:tcBorders>
              <w:top w:val="nil"/>
              <w:left w:val="nil"/>
              <w:bottom w:val="nil"/>
              <w:right w:val="nil"/>
            </w:tcBorders>
          </w:tcPr>
          <w:p w14:paraId="0DD442E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533" w:type="dxa"/>
            <w:tcBorders>
              <w:top w:val="nil"/>
              <w:left w:val="nil"/>
              <w:bottom w:val="nil"/>
              <w:right w:val="nil"/>
            </w:tcBorders>
          </w:tcPr>
          <w:p w14:paraId="2317541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50" w:type="dxa"/>
            <w:tcBorders>
              <w:top w:val="nil"/>
              <w:left w:val="nil"/>
              <w:bottom w:val="nil"/>
              <w:right w:val="nil"/>
            </w:tcBorders>
          </w:tcPr>
          <w:p w14:paraId="5101A45C"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470B4B7E"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175BF419"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3DB015F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27473EA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33B870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4DB7E2C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2283877E"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7F7BC306" w14:textId="77777777" w:rsidTr="00A865A7">
        <w:trPr>
          <w:trHeight w:val="635"/>
        </w:trPr>
        <w:tc>
          <w:tcPr>
            <w:tcW w:w="1334" w:type="dxa"/>
            <w:tcBorders>
              <w:top w:val="nil"/>
              <w:left w:val="nil"/>
              <w:bottom w:val="nil"/>
              <w:right w:val="nil"/>
            </w:tcBorders>
          </w:tcPr>
          <w:p w14:paraId="17FE6AFA"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 xml:space="preserve">13. Alcohol-free </w:t>
            </w:r>
          </w:p>
          <w:p w14:paraId="165AC0C1"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reinforcement</w:t>
            </w:r>
          </w:p>
        </w:tc>
        <w:tc>
          <w:tcPr>
            <w:tcW w:w="766" w:type="dxa"/>
            <w:tcBorders>
              <w:top w:val="nil"/>
              <w:left w:val="nil"/>
              <w:bottom w:val="nil"/>
              <w:right w:val="nil"/>
            </w:tcBorders>
          </w:tcPr>
          <w:p w14:paraId="32A16DF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.17</w:t>
            </w:r>
          </w:p>
        </w:tc>
        <w:tc>
          <w:tcPr>
            <w:tcW w:w="633" w:type="dxa"/>
            <w:tcBorders>
              <w:top w:val="nil"/>
              <w:left w:val="nil"/>
              <w:bottom w:val="nil"/>
              <w:right w:val="nil"/>
            </w:tcBorders>
          </w:tcPr>
          <w:p w14:paraId="7604DCB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.26</w:t>
            </w:r>
          </w:p>
        </w:tc>
        <w:tc>
          <w:tcPr>
            <w:tcW w:w="766" w:type="dxa"/>
            <w:tcBorders>
              <w:top w:val="nil"/>
              <w:left w:val="nil"/>
              <w:bottom w:val="nil"/>
              <w:right w:val="nil"/>
            </w:tcBorders>
          </w:tcPr>
          <w:p w14:paraId="3393807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633" w:type="dxa"/>
            <w:tcBorders>
              <w:top w:val="nil"/>
              <w:left w:val="nil"/>
              <w:bottom w:val="nil"/>
              <w:right w:val="nil"/>
            </w:tcBorders>
          </w:tcPr>
          <w:p w14:paraId="3CB3388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766" w:type="dxa"/>
            <w:tcBorders>
              <w:top w:val="nil"/>
              <w:left w:val="nil"/>
              <w:bottom w:val="nil"/>
              <w:right w:val="nil"/>
            </w:tcBorders>
          </w:tcPr>
          <w:p w14:paraId="428D80B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733" w:type="dxa"/>
            <w:tcBorders>
              <w:top w:val="nil"/>
              <w:left w:val="nil"/>
              <w:bottom w:val="nil"/>
              <w:right w:val="nil"/>
            </w:tcBorders>
          </w:tcPr>
          <w:p w14:paraId="498EEFB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-.03</w:t>
            </w:r>
          </w:p>
        </w:tc>
        <w:tc>
          <w:tcPr>
            <w:tcW w:w="766" w:type="dxa"/>
            <w:tcBorders>
              <w:top w:val="nil"/>
              <w:left w:val="nil"/>
              <w:bottom w:val="nil"/>
              <w:right w:val="nil"/>
            </w:tcBorders>
          </w:tcPr>
          <w:p w14:paraId="0B8F7BD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566" w:type="dxa"/>
            <w:tcBorders>
              <w:top w:val="nil"/>
              <w:left w:val="nil"/>
              <w:bottom w:val="nil"/>
              <w:right w:val="nil"/>
            </w:tcBorders>
          </w:tcPr>
          <w:p w14:paraId="1A8F266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733" w:type="dxa"/>
            <w:tcBorders>
              <w:top w:val="nil"/>
              <w:left w:val="nil"/>
              <w:bottom w:val="nil"/>
              <w:right w:val="nil"/>
            </w:tcBorders>
          </w:tcPr>
          <w:p w14:paraId="00C0E67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833" w:type="dxa"/>
            <w:tcBorders>
              <w:top w:val="nil"/>
              <w:left w:val="nil"/>
              <w:bottom w:val="nil"/>
              <w:right w:val="nil"/>
            </w:tcBorders>
          </w:tcPr>
          <w:p w14:paraId="0356C4D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557" w:type="dxa"/>
            <w:tcBorders>
              <w:top w:val="nil"/>
              <w:left w:val="nil"/>
              <w:bottom w:val="nil"/>
              <w:right w:val="nil"/>
            </w:tcBorders>
          </w:tcPr>
          <w:p w14:paraId="32CA42E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-.17</w:t>
            </w:r>
          </w:p>
        </w:tc>
        <w:tc>
          <w:tcPr>
            <w:tcW w:w="533" w:type="dxa"/>
            <w:tcBorders>
              <w:top w:val="nil"/>
              <w:left w:val="nil"/>
              <w:bottom w:val="nil"/>
              <w:right w:val="nil"/>
            </w:tcBorders>
          </w:tcPr>
          <w:p w14:paraId="1474576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550" w:type="dxa"/>
            <w:tcBorders>
              <w:top w:val="nil"/>
              <w:left w:val="nil"/>
              <w:bottom w:val="nil"/>
              <w:right w:val="nil"/>
            </w:tcBorders>
          </w:tcPr>
          <w:p w14:paraId="4E493A82"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60" w:type="dxa"/>
            <w:tcBorders>
              <w:top w:val="nil"/>
              <w:left w:val="nil"/>
              <w:bottom w:val="nil"/>
              <w:right w:val="nil"/>
            </w:tcBorders>
          </w:tcPr>
          <w:p w14:paraId="6A565EA2" w14:textId="77777777" w:rsidR="00BA03C6" w:rsidRPr="00BA03C6" w:rsidRDefault="00BA03C6" w:rsidP="00BA03C6">
            <w:pPr>
              <w:spacing w:line="276" w:lineRule="auto"/>
              <w:jc w:val="center"/>
              <w:rPr>
                <w:rFonts w:ascii="Times New Roman" w:hAnsi="Times New Roman" w:cs="Times New Roman"/>
                <w:bCs/>
                <w:sz w:val="18"/>
                <w:szCs w:val="18"/>
              </w:rPr>
            </w:pPr>
          </w:p>
        </w:tc>
        <w:tc>
          <w:tcPr>
            <w:tcW w:w="533" w:type="dxa"/>
            <w:tcBorders>
              <w:top w:val="nil"/>
              <w:left w:val="nil"/>
              <w:bottom w:val="nil"/>
              <w:right w:val="nil"/>
            </w:tcBorders>
          </w:tcPr>
          <w:p w14:paraId="0E79677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6281ED75"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2D7F7D1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0EEDCDA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53F7E07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676A98FB"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4D4E7938" w14:textId="77777777" w:rsidTr="00A865A7">
        <w:trPr>
          <w:trHeight w:val="635"/>
        </w:trPr>
        <w:tc>
          <w:tcPr>
            <w:tcW w:w="1334" w:type="dxa"/>
            <w:tcBorders>
              <w:top w:val="nil"/>
              <w:left w:val="nil"/>
              <w:bottom w:val="nil"/>
              <w:right w:val="nil"/>
            </w:tcBorders>
          </w:tcPr>
          <w:p w14:paraId="49F5C852" w14:textId="77777777" w:rsidR="00BA03C6" w:rsidRPr="00BA03C6" w:rsidRDefault="00BA03C6" w:rsidP="00BA03C6">
            <w:pPr>
              <w:spacing w:line="276" w:lineRule="auto"/>
              <w:rPr>
                <w:rFonts w:ascii="Times New Roman" w:hAnsi="Times New Roman" w:cs="Times New Roman"/>
                <w:bCs/>
                <w:sz w:val="18"/>
                <w:szCs w:val="18"/>
              </w:rPr>
            </w:pPr>
            <w:r w:rsidRPr="00BA03C6">
              <w:rPr>
                <w:rFonts w:ascii="Times New Roman" w:hAnsi="Times New Roman" w:cs="Times New Roman"/>
                <w:bCs/>
                <w:sz w:val="18"/>
                <w:szCs w:val="18"/>
              </w:rPr>
              <w:t>14. Alcohol-related</w:t>
            </w:r>
          </w:p>
          <w:p w14:paraId="7512D777"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 xml:space="preserve">reinforcement </w:t>
            </w:r>
          </w:p>
        </w:tc>
        <w:tc>
          <w:tcPr>
            <w:tcW w:w="766" w:type="dxa"/>
            <w:tcBorders>
              <w:top w:val="nil"/>
              <w:left w:val="nil"/>
              <w:bottom w:val="nil"/>
              <w:right w:val="nil"/>
            </w:tcBorders>
          </w:tcPr>
          <w:p w14:paraId="6EE0DCB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633" w:type="dxa"/>
            <w:tcBorders>
              <w:top w:val="nil"/>
              <w:left w:val="nil"/>
              <w:bottom w:val="nil"/>
              <w:right w:val="nil"/>
            </w:tcBorders>
          </w:tcPr>
          <w:p w14:paraId="4380A60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-.16</w:t>
            </w:r>
          </w:p>
        </w:tc>
        <w:tc>
          <w:tcPr>
            <w:tcW w:w="766" w:type="dxa"/>
            <w:tcBorders>
              <w:top w:val="nil"/>
              <w:left w:val="nil"/>
              <w:bottom w:val="nil"/>
              <w:right w:val="nil"/>
            </w:tcBorders>
          </w:tcPr>
          <w:p w14:paraId="396D7DD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-.14</w:t>
            </w:r>
          </w:p>
        </w:tc>
        <w:tc>
          <w:tcPr>
            <w:tcW w:w="633" w:type="dxa"/>
            <w:tcBorders>
              <w:top w:val="nil"/>
              <w:left w:val="nil"/>
              <w:bottom w:val="nil"/>
              <w:right w:val="nil"/>
            </w:tcBorders>
          </w:tcPr>
          <w:p w14:paraId="3882205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766" w:type="dxa"/>
            <w:tcBorders>
              <w:top w:val="nil"/>
              <w:left w:val="nil"/>
              <w:bottom w:val="nil"/>
              <w:right w:val="nil"/>
            </w:tcBorders>
          </w:tcPr>
          <w:p w14:paraId="731E6A29"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.44**</w:t>
            </w:r>
          </w:p>
        </w:tc>
        <w:tc>
          <w:tcPr>
            <w:tcW w:w="733" w:type="dxa"/>
            <w:tcBorders>
              <w:top w:val="nil"/>
              <w:left w:val="nil"/>
              <w:bottom w:val="nil"/>
              <w:right w:val="nil"/>
            </w:tcBorders>
          </w:tcPr>
          <w:p w14:paraId="70DBA39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766" w:type="dxa"/>
            <w:tcBorders>
              <w:top w:val="nil"/>
              <w:left w:val="nil"/>
              <w:bottom w:val="nil"/>
              <w:right w:val="nil"/>
            </w:tcBorders>
          </w:tcPr>
          <w:p w14:paraId="351F21D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566" w:type="dxa"/>
            <w:tcBorders>
              <w:top w:val="nil"/>
              <w:left w:val="nil"/>
              <w:bottom w:val="nil"/>
              <w:right w:val="nil"/>
            </w:tcBorders>
          </w:tcPr>
          <w:p w14:paraId="0661C3B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-.26</w:t>
            </w:r>
          </w:p>
        </w:tc>
        <w:tc>
          <w:tcPr>
            <w:tcW w:w="733" w:type="dxa"/>
            <w:tcBorders>
              <w:top w:val="nil"/>
              <w:left w:val="nil"/>
              <w:bottom w:val="nil"/>
              <w:right w:val="nil"/>
            </w:tcBorders>
          </w:tcPr>
          <w:p w14:paraId="6F9E2D6D"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-.46**</w:t>
            </w:r>
          </w:p>
        </w:tc>
        <w:tc>
          <w:tcPr>
            <w:tcW w:w="833" w:type="dxa"/>
            <w:tcBorders>
              <w:top w:val="nil"/>
              <w:left w:val="nil"/>
              <w:bottom w:val="nil"/>
              <w:right w:val="nil"/>
            </w:tcBorders>
          </w:tcPr>
          <w:p w14:paraId="2241A8A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.17</w:t>
            </w:r>
          </w:p>
        </w:tc>
        <w:tc>
          <w:tcPr>
            <w:tcW w:w="557" w:type="dxa"/>
            <w:tcBorders>
              <w:top w:val="nil"/>
              <w:left w:val="nil"/>
              <w:bottom w:val="nil"/>
              <w:right w:val="nil"/>
            </w:tcBorders>
          </w:tcPr>
          <w:p w14:paraId="4BF00AD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533" w:type="dxa"/>
            <w:tcBorders>
              <w:top w:val="nil"/>
              <w:left w:val="nil"/>
              <w:bottom w:val="nil"/>
              <w:right w:val="nil"/>
            </w:tcBorders>
          </w:tcPr>
          <w:p w14:paraId="52DC19A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550" w:type="dxa"/>
            <w:tcBorders>
              <w:top w:val="nil"/>
              <w:left w:val="nil"/>
              <w:bottom w:val="nil"/>
              <w:right w:val="nil"/>
            </w:tcBorders>
          </w:tcPr>
          <w:p w14:paraId="60D186D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560" w:type="dxa"/>
            <w:tcBorders>
              <w:top w:val="nil"/>
              <w:left w:val="nil"/>
              <w:bottom w:val="nil"/>
              <w:right w:val="nil"/>
            </w:tcBorders>
          </w:tcPr>
          <w:p w14:paraId="612FD301" w14:textId="77777777" w:rsidR="00BA03C6" w:rsidRPr="00BA03C6" w:rsidRDefault="00BA03C6" w:rsidP="00BA03C6">
            <w:pPr>
              <w:spacing w:line="276" w:lineRule="auto"/>
              <w:jc w:val="center"/>
              <w:rPr>
                <w:rFonts w:ascii="Times New Roman" w:hAnsi="Times New Roman" w:cs="Times New Roman"/>
                <w:b/>
                <w:sz w:val="18"/>
                <w:szCs w:val="18"/>
              </w:rPr>
            </w:pPr>
          </w:p>
        </w:tc>
        <w:tc>
          <w:tcPr>
            <w:tcW w:w="533" w:type="dxa"/>
            <w:tcBorders>
              <w:top w:val="nil"/>
              <w:left w:val="nil"/>
              <w:bottom w:val="nil"/>
              <w:right w:val="nil"/>
            </w:tcBorders>
          </w:tcPr>
          <w:p w14:paraId="02BEBDD6" w14:textId="77777777" w:rsidR="00BA03C6" w:rsidRPr="00BA03C6" w:rsidRDefault="00BA03C6" w:rsidP="00BA03C6">
            <w:pPr>
              <w:spacing w:line="276" w:lineRule="auto"/>
              <w:jc w:val="center"/>
              <w:rPr>
                <w:rFonts w:ascii="Times New Roman" w:hAnsi="Times New Roman" w:cs="Times New Roman"/>
                <w:b/>
                <w:sz w:val="18"/>
                <w:szCs w:val="18"/>
              </w:rPr>
            </w:pPr>
          </w:p>
        </w:tc>
        <w:tc>
          <w:tcPr>
            <w:tcW w:w="836" w:type="dxa"/>
            <w:tcBorders>
              <w:top w:val="nil"/>
              <w:left w:val="nil"/>
              <w:bottom w:val="nil"/>
              <w:right w:val="nil"/>
            </w:tcBorders>
          </w:tcPr>
          <w:p w14:paraId="6A856081"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19D423B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A69D3D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48F145E2"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6B12DA52"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7AAE82C6" w14:textId="77777777" w:rsidTr="00A865A7">
        <w:trPr>
          <w:trHeight w:val="635"/>
        </w:trPr>
        <w:tc>
          <w:tcPr>
            <w:tcW w:w="1334" w:type="dxa"/>
            <w:tcBorders>
              <w:top w:val="nil"/>
              <w:left w:val="nil"/>
              <w:bottom w:val="nil"/>
              <w:right w:val="nil"/>
            </w:tcBorders>
          </w:tcPr>
          <w:p w14:paraId="568D35E1"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15. Reinforcement ratio</w:t>
            </w:r>
          </w:p>
        </w:tc>
        <w:tc>
          <w:tcPr>
            <w:tcW w:w="766" w:type="dxa"/>
            <w:tcBorders>
              <w:top w:val="nil"/>
              <w:left w:val="nil"/>
              <w:bottom w:val="nil"/>
              <w:right w:val="nil"/>
            </w:tcBorders>
          </w:tcPr>
          <w:p w14:paraId="0258DF1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.21</w:t>
            </w:r>
          </w:p>
        </w:tc>
        <w:tc>
          <w:tcPr>
            <w:tcW w:w="633" w:type="dxa"/>
            <w:tcBorders>
              <w:top w:val="nil"/>
              <w:left w:val="nil"/>
              <w:bottom w:val="nil"/>
              <w:right w:val="nil"/>
            </w:tcBorders>
          </w:tcPr>
          <w:p w14:paraId="267353D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766" w:type="dxa"/>
            <w:tcBorders>
              <w:top w:val="nil"/>
              <w:left w:val="nil"/>
              <w:bottom w:val="nil"/>
              <w:right w:val="nil"/>
            </w:tcBorders>
          </w:tcPr>
          <w:p w14:paraId="31643AD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633" w:type="dxa"/>
            <w:tcBorders>
              <w:top w:val="nil"/>
              <w:left w:val="nil"/>
              <w:bottom w:val="nil"/>
              <w:right w:val="nil"/>
            </w:tcBorders>
          </w:tcPr>
          <w:p w14:paraId="6D31615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766" w:type="dxa"/>
            <w:tcBorders>
              <w:top w:val="nil"/>
              <w:left w:val="nil"/>
              <w:bottom w:val="nil"/>
              <w:right w:val="nil"/>
            </w:tcBorders>
          </w:tcPr>
          <w:p w14:paraId="1A70BC73" w14:textId="77777777" w:rsidR="00BA03C6" w:rsidRPr="00BA03C6" w:rsidRDefault="00BA03C6" w:rsidP="00BA03C6">
            <w:pPr>
              <w:spacing w:line="276" w:lineRule="auto"/>
              <w:jc w:val="center"/>
              <w:rPr>
                <w:rFonts w:ascii="Times New Roman" w:hAnsi="Times New Roman" w:cs="Times New Roman"/>
                <w:b/>
                <w:sz w:val="18"/>
                <w:szCs w:val="18"/>
                <w:highlight w:val="yellow"/>
              </w:rPr>
            </w:pPr>
            <w:r w:rsidRPr="00BA03C6">
              <w:rPr>
                <w:rFonts w:ascii="Times New Roman" w:hAnsi="Times New Roman" w:cs="Times New Roman"/>
                <w:b/>
                <w:sz w:val="18"/>
                <w:szCs w:val="18"/>
              </w:rPr>
              <w:t>-.38**</w:t>
            </w:r>
          </w:p>
        </w:tc>
        <w:tc>
          <w:tcPr>
            <w:tcW w:w="733" w:type="dxa"/>
            <w:tcBorders>
              <w:top w:val="nil"/>
              <w:left w:val="nil"/>
              <w:bottom w:val="nil"/>
              <w:right w:val="nil"/>
            </w:tcBorders>
          </w:tcPr>
          <w:p w14:paraId="71FA39E7" w14:textId="77777777" w:rsidR="00BA03C6" w:rsidRPr="00BA03C6" w:rsidRDefault="00BA03C6" w:rsidP="00BA03C6">
            <w:pPr>
              <w:spacing w:line="276" w:lineRule="auto"/>
              <w:jc w:val="center"/>
              <w:rPr>
                <w:rFonts w:ascii="Times New Roman" w:hAnsi="Times New Roman" w:cs="Times New Roman"/>
                <w:bCs/>
                <w:sz w:val="18"/>
                <w:szCs w:val="18"/>
                <w:highlight w:val="yellow"/>
              </w:rPr>
            </w:pPr>
            <w:r w:rsidRPr="00BA03C6">
              <w:rPr>
                <w:rFonts w:ascii="Times New Roman" w:hAnsi="Times New Roman" w:cs="Times New Roman"/>
                <w:bCs/>
                <w:sz w:val="18"/>
                <w:szCs w:val="18"/>
              </w:rPr>
              <w:t>-.21</w:t>
            </w:r>
          </w:p>
        </w:tc>
        <w:tc>
          <w:tcPr>
            <w:tcW w:w="766" w:type="dxa"/>
            <w:tcBorders>
              <w:top w:val="nil"/>
              <w:left w:val="nil"/>
              <w:bottom w:val="nil"/>
              <w:right w:val="nil"/>
            </w:tcBorders>
          </w:tcPr>
          <w:p w14:paraId="278C409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.20</w:t>
            </w:r>
          </w:p>
        </w:tc>
        <w:tc>
          <w:tcPr>
            <w:tcW w:w="566" w:type="dxa"/>
            <w:tcBorders>
              <w:top w:val="nil"/>
              <w:left w:val="nil"/>
              <w:bottom w:val="nil"/>
              <w:right w:val="nil"/>
            </w:tcBorders>
          </w:tcPr>
          <w:p w14:paraId="4A979DE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.22</w:t>
            </w:r>
          </w:p>
        </w:tc>
        <w:tc>
          <w:tcPr>
            <w:tcW w:w="733" w:type="dxa"/>
            <w:tcBorders>
              <w:top w:val="nil"/>
              <w:left w:val="nil"/>
              <w:bottom w:val="nil"/>
              <w:right w:val="nil"/>
            </w:tcBorders>
          </w:tcPr>
          <w:p w14:paraId="35908839"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.43**</w:t>
            </w:r>
          </w:p>
        </w:tc>
        <w:tc>
          <w:tcPr>
            <w:tcW w:w="833" w:type="dxa"/>
            <w:tcBorders>
              <w:top w:val="nil"/>
              <w:left w:val="nil"/>
              <w:bottom w:val="nil"/>
              <w:right w:val="nil"/>
            </w:tcBorders>
          </w:tcPr>
          <w:p w14:paraId="04C6B12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557" w:type="dxa"/>
            <w:tcBorders>
              <w:top w:val="nil"/>
              <w:left w:val="nil"/>
              <w:bottom w:val="nil"/>
              <w:right w:val="nil"/>
            </w:tcBorders>
          </w:tcPr>
          <w:p w14:paraId="5585D7D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533" w:type="dxa"/>
            <w:tcBorders>
              <w:top w:val="nil"/>
              <w:left w:val="nil"/>
              <w:bottom w:val="nil"/>
              <w:right w:val="nil"/>
            </w:tcBorders>
          </w:tcPr>
          <w:p w14:paraId="0AB71ED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550" w:type="dxa"/>
            <w:tcBorders>
              <w:top w:val="nil"/>
              <w:left w:val="nil"/>
              <w:bottom w:val="nil"/>
              <w:right w:val="nil"/>
            </w:tcBorders>
          </w:tcPr>
          <w:p w14:paraId="2E25F02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.18</w:t>
            </w:r>
          </w:p>
        </w:tc>
        <w:tc>
          <w:tcPr>
            <w:tcW w:w="1093" w:type="dxa"/>
            <w:gridSpan w:val="2"/>
            <w:tcBorders>
              <w:top w:val="nil"/>
              <w:left w:val="nil"/>
              <w:bottom w:val="nil"/>
              <w:right w:val="nil"/>
            </w:tcBorders>
          </w:tcPr>
          <w:p w14:paraId="0079B7F2" w14:textId="77777777" w:rsidR="00BA03C6" w:rsidRPr="00BA03C6" w:rsidRDefault="00BA03C6" w:rsidP="00BA03C6">
            <w:pPr>
              <w:spacing w:line="276" w:lineRule="auto"/>
              <w:rPr>
                <w:rFonts w:ascii="Times New Roman" w:hAnsi="Times New Roman" w:cs="Times New Roman"/>
                <w:b/>
                <w:sz w:val="18"/>
                <w:szCs w:val="18"/>
              </w:rPr>
            </w:pPr>
            <w:r w:rsidRPr="00BA03C6">
              <w:rPr>
                <w:rFonts w:ascii="Times New Roman" w:hAnsi="Times New Roman" w:cs="Times New Roman"/>
                <w:b/>
                <w:sz w:val="18"/>
                <w:szCs w:val="18"/>
              </w:rPr>
              <w:t xml:space="preserve">  -.91***</w:t>
            </w:r>
          </w:p>
        </w:tc>
        <w:tc>
          <w:tcPr>
            <w:tcW w:w="836" w:type="dxa"/>
            <w:tcBorders>
              <w:top w:val="nil"/>
              <w:left w:val="nil"/>
              <w:bottom w:val="nil"/>
              <w:right w:val="nil"/>
            </w:tcBorders>
          </w:tcPr>
          <w:p w14:paraId="58927AD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0680096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78F4FA7F"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693ACAAD"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0F7E4876"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4117BA8B" w14:textId="77777777" w:rsidTr="00A865A7">
        <w:trPr>
          <w:trHeight w:val="635"/>
        </w:trPr>
        <w:tc>
          <w:tcPr>
            <w:tcW w:w="1334" w:type="dxa"/>
            <w:tcBorders>
              <w:top w:val="nil"/>
              <w:left w:val="nil"/>
              <w:bottom w:val="nil"/>
              <w:right w:val="nil"/>
            </w:tcBorders>
          </w:tcPr>
          <w:p w14:paraId="13DBD0B5"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16. Intensity</w:t>
            </w:r>
          </w:p>
        </w:tc>
        <w:tc>
          <w:tcPr>
            <w:tcW w:w="766" w:type="dxa"/>
            <w:tcBorders>
              <w:top w:val="nil"/>
              <w:left w:val="nil"/>
              <w:bottom w:val="nil"/>
              <w:right w:val="nil"/>
            </w:tcBorders>
          </w:tcPr>
          <w:p w14:paraId="72E25D1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633" w:type="dxa"/>
            <w:tcBorders>
              <w:top w:val="nil"/>
              <w:left w:val="nil"/>
              <w:bottom w:val="nil"/>
              <w:right w:val="nil"/>
            </w:tcBorders>
          </w:tcPr>
          <w:p w14:paraId="7119EAB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766" w:type="dxa"/>
            <w:tcBorders>
              <w:top w:val="nil"/>
              <w:left w:val="nil"/>
              <w:bottom w:val="nil"/>
              <w:right w:val="nil"/>
            </w:tcBorders>
          </w:tcPr>
          <w:p w14:paraId="0A4E1A2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633" w:type="dxa"/>
            <w:tcBorders>
              <w:top w:val="nil"/>
              <w:left w:val="nil"/>
              <w:bottom w:val="nil"/>
              <w:right w:val="nil"/>
            </w:tcBorders>
          </w:tcPr>
          <w:p w14:paraId="714E933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766" w:type="dxa"/>
            <w:tcBorders>
              <w:top w:val="nil"/>
              <w:left w:val="nil"/>
              <w:bottom w:val="nil"/>
              <w:right w:val="nil"/>
            </w:tcBorders>
          </w:tcPr>
          <w:p w14:paraId="6E71F27A"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.42**</w:t>
            </w:r>
          </w:p>
        </w:tc>
        <w:tc>
          <w:tcPr>
            <w:tcW w:w="733" w:type="dxa"/>
            <w:tcBorders>
              <w:top w:val="nil"/>
              <w:left w:val="nil"/>
              <w:bottom w:val="nil"/>
              <w:right w:val="nil"/>
            </w:tcBorders>
          </w:tcPr>
          <w:p w14:paraId="2470225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766" w:type="dxa"/>
            <w:tcBorders>
              <w:top w:val="nil"/>
              <w:left w:val="nil"/>
              <w:bottom w:val="nil"/>
              <w:right w:val="nil"/>
            </w:tcBorders>
          </w:tcPr>
          <w:p w14:paraId="7CE22C5C"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-.36**</w:t>
            </w:r>
          </w:p>
        </w:tc>
        <w:tc>
          <w:tcPr>
            <w:tcW w:w="566" w:type="dxa"/>
            <w:tcBorders>
              <w:top w:val="nil"/>
              <w:left w:val="nil"/>
              <w:bottom w:val="nil"/>
              <w:right w:val="nil"/>
            </w:tcBorders>
          </w:tcPr>
          <w:p w14:paraId="0BCCAD9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733" w:type="dxa"/>
            <w:tcBorders>
              <w:top w:val="nil"/>
              <w:left w:val="nil"/>
              <w:bottom w:val="nil"/>
              <w:right w:val="nil"/>
            </w:tcBorders>
          </w:tcPr>
          <w:p w14:paraId="462BA67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833" w:type="dxa"/>
            <w:tcBorders>
              <w:top w:val="nil"/>
              <w:left w:val="nil"/>
              <w:bottom w:val="nil"/>
              <w:right w:val="nil"/>
            </w:tcBorders>
          </w:tcPr>
          <w:p w14:paraId="139DD05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557" w:type="dxa"/>
            <w:tcBorders>
              <w:top w:val="nil"/>
              <w:left w:val="nil"/>
              <w:bottom w:val="nil"/>
              <w:right w:val="nil"/>
            </w:tcBorders>
          </w:tcPr>
          <w:p w14:paraId="284E5A6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533" w:type="dxa"/>
            <w:tcBorders>
              <w:top w:val="nil"/>
              <w:left w:val="nil"/>
              <w:bottom w:val="nil"/>
              <w:right w:val="nil"/>
            </w:tcBorders>
          </w:tcPr>
          <w:p w14:paraId="60EF994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-.18</w:t>
            </w:r>
          </w:p>
        </w:tc>
        <w:tc>
          <w:tcPr>
            <w:tcW w:w="550" w:type="dxa"/>
            <w:tcBorders>
              <w:top w:val="nil"/>
              <w:left w:val="nil"/>
              <w:bottom w:val="nil"/>
              <w:right w:val="nil"/>
            </w:tcBorders>
          </w:tcPr>
          <w:p w14:paraId="62D833E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560" w:type="dxa"/>
            <w:tcBorders>
              <w:top w:val="nil"/>
              <w:left w:val="nil"/>
              <w:bottom w:val="nil"/>
              <w:right w:val="nil"/>
            </w:tcBorders>
          </w:tcPr>
          <w:p w14:paraId="1B4BE91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533" w:type="dxa"/>
            <w:tcBorders>
              <w:top w:val="nil"/>
              <w:left w:val="nil"/>
              <w:bottom w:val="nil"/>
              <w:right w:val="nil"/>
            </w:tcBorders>
          </w:tcPr>
          <w:p w14:paraId="4A3A6F8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-.15</w:t>
            </w:r>
          </w:p>
        </w:tc>
        <w:tc>
          <w:tcPr>
            <w:tcW w:w="836" w:type="dxa"/>
            <w:tcBorders>
              <w:top w:val="nil"/>
              <w:left w:val="nil"/>
              <w:bottom w:val="nil"/>
              <w:right w:val="nil"/>
            </w:tcBorders>
          </w:tcPr>
          <w:p w14:paraId="3ED542C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837" w:type="dxa"/>
            <w:tcBorders>
              <w:top w:val="nil"/>
              <w:left w:val="nil"/>
              <w:bottom w:val="nil"/>
              <w:right w:val="nil"/>
            </w:tcBorders>
          </w:tcPr>
          <w:p w14:paraId="16703ACB"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6A8C3770"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2037BEA6"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15999C8E"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58ED63B7" w14:textId="77777777" w:rsidTr="00A865A7">
        <w:trPr>
          <w:trHeight w:val="635"/>
        </w:trPr>
        <w:tc>
          <w:tcPr>
            <w:tcW w:w="1334" w:type="dxa"/>
            <w:tcBorders>
              <w:top w:val="nil"/>
              <w:left w:val="nil"/>
              <w:bottom w:val="nil"/>
              <w:right w:val="nil"/>
            </w:tcBorders>
          </w:tcPr>
          <w:p w14:paraId="465C40DC"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17. Breakpoint</w:t>
            </w:r>
          </w:p>
        </w:tc>
        <w:tc>
          <w:tcPr>
            <w:tcW w:w="766" w:type="dxa"/>
            <w:tcBorders>
              <w:top w:val="nil"/>
              <w:left w:val="nil"/>
              <w:bottom w:val="nil"/>
              <w:right w:val="nil"/>
            </w:tcBorders>
          </w:tcPr>
          <w:p w14:paraId="5C311402"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.28*</w:t>
            </w:r>
          </w:p>
        </w:tc>
        <w:tc>
          <w:tcPr>
            <w:tcW w:w="633" w:type="dxa"/>
            <w:tcBorders>
              <w:top w:val="nil"/>
              <w:left w:val="nil"/>
              <w:bottom w:val="nil"/>
              <w:right w:val="nil"/>
            </w:tcBorders>
          </w:tcPr>
          <w:p w14:paraId="61D973A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766" w:type="dxa"/>
            <w:tcBorders>
              <w:top w:val="nil"/>
              <w:left w:val="nil"/>
              <w:bottom w:val="nil"/>
              <w:right w:val="nil"/>
            </w:tcBorders>
          </w:tcPr>
          <w:p w14:paraId="6E35DEB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-.19</w:t>
            </w:r>
          </w:p>
        </w:tc>
        <w:tc>
          <w:tcPr>
            <w:tcW w:w="633" w:type="dxa"/>
            <w:tcBorders>
              <w:top w:val="nil"/>
              <w:left w:val="nil"/>
              <w:bottom w:val="nil"/>
              <w:right w:val="nil"/>
            </w:tcBorders>
          </w:tcPr>
          <w:p w14:paraId="23AD527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-.23</w:t>
            </w:r>
          </w:p>
        </w:tc>
        <w:tc>
          <w:tcPr>
            <w:tcW w:w="766" w:type="dxa"/>
            <w:tcBorders>
              <w:top w:val="nil"/>
              <w:left w:val="nil"/>
              <w:bottom w:val="nil"/>
              <w:right w:val="nil"/>
            </w:tcBorders>
          </w:tcPr>
          <w:p w14:paraId="4B42811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.19</w:t>
            </w:r>
          </w:p>
        </w:tc>
        <w:tc>
          <w:tcPr>
            <w:tcW w:w="733" w:type="dxa"/>
            <w:tcBorders>
              <w:top w:val="nil"/>
              <w:left w:val="nil"/>
              <w:bottom w:val="nil"/>
              <w:right w:val="nil"/>
            </w:tcBorders>
          </w:tcPr>
          <w:p w14:paraId="5160317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766" w:type="dxa"/>
            <w:tcBorders>
              <w:top w:val="nil"/>
              <w:left w:val="nil"/>
              <w:bottom w:val="nil"/>
              <w:right w:val="nil"/>
            </w:tcBorders>
          </w:tcPr>
          <w:p w14:paraId="72568CB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566" w:type="dxa"/>
            <w:tcBorders>
              <w:top w:val="nil"/>
              <w:left w:val="nil"/>
              <w:bottom w:val="nil"/>
              <w:right w:val="nil"/>
            </w:tcBorders>
          </w:tcPr>
          <w:p w14:paraId="7D60B37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733" w:type="dxa"/>
            <w:tcBorders>
              <w:top w:val="nil"/>
              <w:left w:val="nil"/>
              <w:bottom w:val="nil"/>
              <w:right w:val="nil"/>
            </w:tcBorders>
          </w:tcPr>
          <w:p w14:paraId="01D314B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-.03</w:t>
            </w:r>
          </w:p>
        </w:tc>
        <w:tc>
          <w:tcPr>
            <w:tcW w:w="833" w:type="dxa"/>
            <w:tcBorders>
              <w:top w:val="nil"/>
              <w:left w:val="nil"/>
              <w:bottom w:val="nil"/>
              <w:right w:val="nil"/>
            </w:tcBorders>
          </w:tcPr>
          <w:p w14:paraId="19CF450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557" w:type="dxa"/>
            <w:tcBorders>
              <w:top w:val="nil"/>
              <w:left w:val="nil"/>
              <w:bottom w:val="nil"/>
              <w:right w:val="nil"/>
            </w:tcBorders>
          </w:tcPr>
          <w:p w14:paraId="3F987B2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-.16</w:t>
            </w:r>
          </w:p>
        </w:tc>
        <w:tc>
          <w:tcPr>
            <w:tcW w:w="533" w:type="dxa"/>
            <w:tcBorders>
              <w:top w:val="nil"/>
              <w:left w:val="nil"/>
              <w:bottom w:val="nil"/>
              <w:right w:val="nil"/>
            </w:tcBorders>
          </w:tcPr>
          <w:p w14:paraId="57BA8FC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550" w:type="dxa"/>
            <w:tcBorders>
              <w:top w:val="nil"/>
              <w:left w:val="nil"/>
              <w:bottom w:val="nil"/>
              <w:right w:val="nil"/>
            </w:tcBorders>
          </w:tcPr>
          <w:p w14:paraId="2B2B30C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.11</w:t>
            </w:r>
          </w:p>
        </w:tc>
        <w:tc>
          <w:tcPr>
            <w:tcW w:w="560" w:type="dxa"/>
            <w:tcBorders>
              <w:top w:val="nil"/>
              <w:left w:val="nil"/>
              <w:bottom w:val="nil"/>
              <w:right w:val="nil"/>
            </w:tcBorders>
          </w:tcPr>
          <w:p w14:paraId="32FBB19D"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533" w:type="dxa"/>
            <w:tcBorders>
              <w:top w:val="nil"/>
              <w:left w:val="nil"/>
              <w:bottom w:val="nil"/>
              <w:right w:val="nil"/>
            </w:tcBorders>
          </w:tcPr>
          <w:p w14:paraId="7CD9B40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836" w:type="dxa"/>
            <w:tcBorders>
              <w:top w:val="nil"/>
              <w:left w:val="nil"/>
              <w:bottom w:val="nil"/>
              <w:right w:val="nil"/>
            </w:tcBorders>
          </w:tcPr>
          <w:p w14:paraId="46DBF17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.19</w:t>
            </w:r>
          </w:p>
        </w:tc>
        <w:tc>
          <w:tcPr>
            <w:tcW w:w="837" w:type="dxa"/>
            <w:tcBorders>
              <w:top w:val="nil"/>
              <w:left w:val="nil"/>
              <w:bottom w:val="nil"/>
              <w:right w:val="nil"/>
            </w:tcBorders>
          </w:tcPr>
          <w:p w14:paraId="7ECA5CC8" w14:textId="77777777" w:rsidR="00BA03C6" w:rsidRPr="00BA03C6" w:rsidRDefault="00BA03C6" w:rsidP="00BA03C6">
            <w:pPr>
              <w:spacing w:line="276" w:lineRule="auto"/>
              <w:jc w:val="center"/>
              <w:rPr>
                <w:rFonts w:ascii="Times New Roman" w:hAnsi="Times New Roman" w:cs="Times New Roman"/>
                <w:bCs/>
                <w:sz w:val="18"/>
                <w:szCs w:val="18"/>
              </w:rPr>
            </w:pPr>
          </w:p>
        </w:tc>
        <w:tc>
          <w:tcPr>
            <w:tcW w:w="766" w:type="dxa"/>
            <w:tcBorders>
              <w:top w:val="nil"/>
              <w:left w:val="nil"/>
              <w:bottom w:val="nil"/>
              <w:right w:val="nil"/>
            </w:tcBorders>
          </w:tcPr>
          <w:p w14:paraId="3456519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6E855EFA"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0D999B74"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1E77534F" w14:textId="77777777" w:rsidTr="00A865A7">
        <w:trPr>
          <w:trHeight w:val="635"/>
        </w:trPr>
        <w:tc>
          <w:tcPr>
            <w:tcW w:w="1334" w:type="dxa"/>
            <w:tcBorders>
              <w:top w:val="nil"/>
              <w:left w:val="nil"/>
              <w:bottom w:val="nil"/>
              <w:right w:val="nil"/>
            </w:tcBorders>
          </w:tcPr>
          <w:p w14:paraId="261754A0"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 xml:space="preserve">18. </w:t>
            </w:r>
            <w:proofErr w:type="spellStart"/>
            <w:r w:rsidRPr="00BA03C6">
              <w:rPr>
                <w:rFonts w:ascii="Times New Roman" w:hAnsi="Times New Roman" w:cs="Times New Roman"/>
                <w:bCs/>
                <w:sz w:val="18"/>
                <w:szCs w:val="18"/>
              </w:rPr>
              <w:t>Omax</w:t>
            </w:r>
            <w:proofErr w:type="spellEnd"/>
          </w:p>
        </w:tc>
        <w:tc>
          <w:tcPr>
            <w:tcW w:w="766" w:type="dxa"/>
            <w:tcBorders>
              <w:top w:val="nil"/>
              <w:left w:val="nil"/>
              <w:bottom w:val="nil"/>
              <w:right w:val="nil"/>
            </w:tcBorders>
          </w:tcPr>
          <w:p w14:paraId="68163C3D"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.29*</w:t>
            </w:r>
          </w:p>
        </w:tc>
        <w:tc>
          <w:tcPr>
            <w:tcW w:w="633" w:type="dxa"/>
            <w:tcBorders>
              <w:top w:val="nil"/>
              <w:left w:val="nil"/>
              <w:bottom w:val="nil"/>
              <w:right w:val="nil"/>
            </w:tcBorders>
          </w:tcPr>
          <w:p w14:paraId="3811E04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-.12</w:t>
            </w:r>
          </w:p>
        </w:tc>
        <w:tc>
          <w:tcPr>
            <w:tcW w:w="766" w:type="dxa"/>
            <w:tcBorders>
              <w:top w:val="nil"/>
              <w:left w:val="nil"/>
              <w:bottom w:val="nil"/>
              <w:right w:val="nil"/>
            </w:tcBorders>
          </w:tcPr>
          <w:p w14:paraId="20D4ED4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633" w:type="dxa"/>
            <w:tcBorders>
              <w:top w:val="nil"/>
              <w:left w:val="nil"/>
              <w:bottom w:val="nil"/>
              <w:right w:val="nil"/>
            </w:tcBorders>
          </w:tcPr>
          <w:p w14:paraId="239F006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.07</w:t>
            </w:r>
          </w:p>
        </w:tc>
        <w:tc>
          <w:tcPr>
            <w:tcW w:w="766" w:type="dxa"/>
            <w:tcBorders>
              <w:top w:val="nil"/>
              <w:left w:val="nil"/>
              <w:bottom w:val="nil"/>
              <w:right w:val="nil"/>
            </w:tcBorders>
          </w:tcPr>
          <w:p w14:paraId="25DF39D3"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.28*</w:t>
            </w:r>
          </w:p>
        </w:tc>
        <w:tc>
          <w:tcPr>
            <w:tcW w:w="733" w:type="dxa"/>
            <w:tcBorders>
              <w:top w:val="nil"/>
              <w:left w:val="nil"/>
              <w:bottom w:val="nil"/>
              <w:right w:val="nil"/>
            </w:tcBorders>
          </w:tcPr>
          <w:p w14:paraId="7FBA1549"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766" w:type="dxa"/>
            <w:tcBorders>
              <w:top w:val="nil"/>
              <w:left w:val="nil"/>
              <w:bottom w:val="nil"/>
              <w:right w:val="nil"/>
            </w:tcBorders>
          </w:tcPr>
          <w:p w14:paraId="20CF963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566" w:type="dxa"/>
            <w:tcBorders>
              <w:top w:val="nil"/>
              <w:left w:val="nil"/>
              <w:bottom w:val="nil"/>
              <w:right w:val="nil"/>
            </w:tcBorders>
          </w:tcPr>
          <w:p w14:paraId="56C2B03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733" w:type="dxa"/>
            <w:tcBorders>
              <w:top w:val="nil"/>
              <w:left w:val="nil"/>
              <w:bottom w:val="nil"/>
              <w:right w:val="nil"/>
            </w:tcBorders>
          </w:tcPr>
          <w:p w14:paraId="05EE3D7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833" w:type="dxa"/>
            <w:tcBorders>
              <w:top w:val="nil"/>
              <w:left w:val="nil"/>
              <w:bottom w:val="nil"/>
              <w:right w:val="nil"/>
            </w:tcBorders>
          </w:tcPr>
          <w:p w14:paraId="1FB7D24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557" w:type="dxa"/>
            <w:tcBorders>
              <w:top w:val="nil"/>
              <w:left w:val="nil"/>
              <w:bottom w:val="nil"/>
              <w:right w:val="nil"/>
            </w:tcBorders>
          </w:tcPr>
          <w:p w14:paraId="6A0A801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-.23</w:t>
            </w:r>
          </w:p>
        </w:tc>
        <w:tc>
          <w:tcPr>
            <w:tcW w:w="533" w:type="dxa"/>
            <w:tcBorders>
              <w:top w:val="nil"/>
              <w:left w:val="nil"/>
              <w:bottom w:val="nil"/>
              <w:right w:val="nil"/>
            </w:tcBorders>
          </w:tcPr>
          <w:p w14:paraId="2FE03F0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550" w:type="dxa"/>
            <w:tcBorders>
              <w:top w:val="nil"/>
              <w:left w:val="nil"/>
              <w:bottom w:val="nil"/>
              <w:right w:val="nil"/>
            </w:tcBorders>
          </w:tcPr>
          <w:p w14:paraId="48DEDF7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560" w:type="dxa"/>
            <w:tcBorders>
              <w:top w:val="nil"/>
              <w:left w:val="nil"/>
              <w:bottom w:val="nil"/>
              <w:right w:val="nil"/>
            </w:tcBorders>
          </w:tcPr>
          <w:p w14:paraId="2930802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.00</w:t>
            </w:r>
          </w:p>
        </w:tc>
        <w:tc>
          <w:tcPr>
            <w:tcW w:w="533" w:type="dxa"/>
            <w:tcBorders>
              <w:top w:val="nil"/>
              <w:left w:val="nil"/>
              <w:bottom w:val="nil"/>
              <w:right w:val="nil"/>
            </w:tcBorders>
          </w:tcPr>
          <w:p w14:paraId="44B00A9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836" w:type="dxa"/>
            <w:tcBorders>
              <w:top w:val="nil"/>
              <w:left w:val="nil"/>
              <w:bottom w:val="nil"/>
              <w:right w:val="nil"/>
            </w:tcBorders>
          </w:tcPr>
          <w:p w14:paraId="30922655"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.60***</w:t>
            </w:r>
          </w:p>
        </w:tc>
        <w:tc>
          <w:tcPr>
            <w:tcW w:w="837" w:type="dxa"/>
            <w:tcBorders>
              <w:top w:val="nil"/>
              <w:left w:val="nil"/>
              <w:bottom w:val="nil"/>
              <w:right w:val="nil"/>
            </w:tcBorders>
          </w:tcPr>
          <w:p w14:paraId="71D5538E"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.64***</w:t>
            </w:r>
          </w:p>
        </w:tc>
        <w:tc>
          <w:tcPr>
            <w:tcW w:w="766" w:type="dxa"/>
            <w:tcBorders>
              <w:top w:val="nil"/>
              <w:left w:val="nil"/>
              <w:bottom w:val="nil"/>
              <w:right w:val="nil"/>
            </w:tcBorders>
          </w:tcPr>
          <w:p w14:paraId="1FF37622"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18" w:type="dxa"/>
            <w:tcBorders>
              <w:top w:val="nil"/>
              <w:left w:val="nil"/>
              <w:bottom w:val="nil"/>
              <w:right w:val="nil"/>
            </w:tcBorders>
          </w:tcPr>
          <w:p w14:paraId="5A07C074"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766F14A1"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0456288F" w14:textId="77777777" w:rsidTr="00A865A7">
        <w:trPr>
          <w:trHeight w:val="635"/>
        </w:trPr>
        <w:tc>
          <w:tcPr>
            <w:tcW w:w="1334" w:type="dxa"/>
            <w:tcBorders>
              <w:top w:val="nil"/>
              <w:left w:val="nil"/>
              <w:bottom w:val="nil"/>
              <w:right w:val="nil"/>
            </w:tcBorders>
          </w:tcPr>
          <w:p w14:paraId="62C3CA0D"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19. Pmax</w:t>
            </w:r>
          </w:p>
        </w:tc>
        <w:tc>
          <w:tcPr>
            <w:tcW w:w="766" w:type="dxa"/>
            <w:tcBorders>
              <w:top w:val="nil"/>
              <w:left w:val="nil"/>
              <w:bottom w:val="nil"/>
              <w:right w:val="nil"/>
            </w:tcBorders>
          </w:tcPr>
          <w:p w14:paraId="0C2B321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633" w:type="dxa"/>
            <w:tcBorders>
              <w:top w:val="nil"/>
              <w:left w:val="nil"/>
              <w:bottom w:val="nil"/>
              <w:right w:val="nil"/>
            </w:tcBorders>
          </w:tcPr>
          <w:p w14:paraId="702D35E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766" w:type="dxa"/>
            <w:tcBorders>
              <w:top w:val="nil"/>
              <w:left w:val="nil"/>
              <w:bottom w:val="nil"/>
              <w:right w:val="nil"/>
            </w:tcBorders>
          </w:tcPr>
          <w:p w14:paraId="1179DCCD"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-.30*</w:t>
            </w:r>
          </w:p>
        </w:tc>
        <w:tc>
          <w:tcPr>
            <w:tcW w:w="633" w:type="dxa"/>
            <w:tcBorders>
              <w:top w:val="nil"/>
              <w:left w:val="nil"/>
              <w:bottom w:val="nil"/>
              <w:right w:val="nil"/>
            </w:tcBorders>
          </w:tcPr>
          <w:p w14:paraId="0B185DF2"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-.29*</w:t>
            </w:r>
          </w:p>
        </w:tc>
        <w:tc>
          <w:tcPr>
            <w:tcW w:w="766" w:type="dxa"/>
            <w:tcBorders>
              <w:top w:val="nil"/>
              <w:left w:val="nil"/>
              <w:bottom w:val="nil"/>
              <w:right w:val="nil"/>
            </w:tcBorders>
          </w:tcPr>
          <w:p w14:paraId="40D8CC9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733" w:type="dxa"/>
            <w:tcBorders>
              <w:top w:val="nil"/>
              <w:left w:val="nil"/>
              <w:bottom w:val="nil"/>
              <w:right w:val="nil"/>
            </w:tcBorders>
          </w:tcPr>
          <w:p w14:paraId="582E18E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-.01</w:t>
            </w:r>
          </w:p>
        </w:tc>
        <w:tc>
          <w:tcPr>
            <w:tcW w:w="766" w:type="dxa"/>
            <w:tcBorders>
              <w:top w:val="nil"/>
              <w:left w:val="nil"/>
              <w:bottom w:val="nil"/>
              <w:right w:val="nil"/>
            </w:tcBorders>
          </w:tcPr>
          <w:p w14:paraId="7B7EDB9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-.04</w:t>
            </w:r>
          </w:p>
        </w:tc>
        <w:tc>
          <w:tcPr>
            <w:tcW w:w="566" w:type="dxa"/>
            <w:tcBorders>
              <w:top w:val="nil"/>
              <w:left w:val="nil"/>
              <w:bottom w:val="nil"/>
              <w:right w:val="nil"/>
            </w:tcBorders>
          </w:tcPr>
          <w:p w14:paraId="4CBA2E9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733" w:type="dxa"/>
            <w:tcBorders>
              <w:top w:val="nil"/>
              <w:left w:val="nil"/>
              <w:bottom w:val="nil"/>
              <w:right w:val="nil"/>
            </w:tcBorders>
          </w:tcPr>
          <w:p w14:paraId="1D9ABD90"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.04</w:t>
            </w:r>
          </w:p>
        </w:tc>
        <w:tc>
          <w:tcPr>
            <w:tcW w:w="833" w:type="dxa"/>
            <w:tcBorders>
              <w:top w:val="nil"/>
              <w:left w:val="nil"/>
              <w:bottom w:val="nil"/>
              <w:right w:val="nil"/>
            </w:tcBorders>
          </w:tcPr>
          <w:p w14:paraId="5466FB3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.03</w:t>
            </w:r>
          </w:p>
        </w:tc>
        <w:tc>
          <w:tcPr>
            <w:tcW w:w="557" w:type="dxa"/>
            <w:tcBorders>
              <w:top w:val="nil"/>
              <w:left w:val="nil"/>
              <w:bottom w:val="nil"/>
              <w:right w:val="nil"/>
            </w:tcBorders>
          </w:tcPr>
          <w:p w14:paraId="0DBFD515"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-.10</w:t>
            </w:r>
          </w:p>
        </w:tc>
        <w:tc>
          <w:tcPr>
            <w:tcW w:w="533" w:type="dxa"/>
            <w:tcBorders>
              <w:top w:val="nil"/>
              <w:left w:val="nil"/>
              <w:bottom w:val="nil"/>
              <w:right w:val="nil"/>
            </w:tcBorders>
          </w:tcPr>
          <w:p w14:paraId="135E3C4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-.04</w:t>
            </w:r>
          </w:p>
        </w:tc>
        <w:tc>
          <w:tcPr>
            <w:tcW w:w="550" w:type="dxa"/>
            <w:tcBorders>
              <w:top w:val="nil"/>
              <w:left w:val="nil"/>
              <w:bottom w:val="nil"/>
              <w:right w:val="nil"/>
            </w:tcBorders>
          </w:tcPr>
          <w:p w14:paraId="213B4BB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560" w:type="dxa"/>
            <w:tcBorders>
              <w:top w:val="nil"/>
              <w:left w:val="nil"/>
              <w:bottom w:val="nil"/>
              <w:right w:val="nil"/>
            </w:tcBorders>
          </w:tcPr>
          <w:p w14:paraId="7AD519E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533" w:type="dxa"/>
            <w:tcBorders>
              <w:top w:val="nil"/>
              <w:left w:val="nil"/>
              <w:bottom w:val="nil"/>
              <w:right w:val="nil"/>
            </w:tcBorders>
          </w:tcPr>
          <w:p w14:paraId="5C4F8C02"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.18</w:t>
            </w:r>
          </w:p>
        </w:tc>
        <w:tc>
          <w:tcPr>
            <w:tcW w:w="836" w:type="dxa"/>
            <w:tcBorders>
              <w:top w:val="nil"/>
              <w:left w:val="nil"/>
              <w:bottom w:val="nil"/>
              <w:right w:val="nil"/>
            </w:tcBorders>
          </w:tcPr>
          <w:p w14:paraId="72BB0184"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837" w:type="dxa"/>
            <w:tcBorders>
              <w:top w:val="nil"/>
              <w:left w:val="nil"/>
              <w:bottom w:val="nil"/>
              <w:right w:val="nil"/>
            </w:tcBorders>
          </w:tcPr>
          <w:p w14:paraId="0B360829"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.84***</w:t>
            </w:r>
          </w:p>
        </w:tc>
        <w:tc>
          <w:tcPr>
            <w:tcW w:w="766" w:type="dxa"/>
            <w:tcBorders>
              <w:top w:val="nil"/>
              <w:left w:val="nil"/>
              <w:bottom w:val="nil"/>
              <w:right w:val="nil"/>
            </w:tcBorders>
          </w:tcPr>
          <w:p w14:paraId="32E3D341"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.48***</w:t>
            </w:r>
          </w:p>
        </w:tc>
        <w:tc>
          <w:tcPr>
            <w:tcW w:w="418" w:type="dxa"/>
            <w:tcBorders>
              <w:top w:val="nil"/>
              <w:left w:val="nil"/>
              <w:bottom w:val="nil"/>
              <w:right w:val="nil"/>
            </w:tcBorders>
          </w:tcPr>
          <w:p w14:paraId="692C2D97" w14:textId="77777777" w:rsidR="00BA03C6" w:rsidRPr="00BA03C6" w:rsidRDefault="00BA03C6" w:rsidP="00BA03C6">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5EDDF6E9" w14:textId="77777777" w:rsidR="00BA03C6" w:rsidRPr="00BA03C6" w:rsidRDefault="00BA03C6" w:rsidP="00BA03C6">
            <w:pPr>
              <w:spacing w:line="276" w:lineRule="auto"/>
              <w:jc w:val="center"/>
              <w:rPr>
                <w:rFonts w:ascii="Times New Roman" w:hAnsi="Times New Roman" w:cs="Times New Roman"/>
                <w:bCs/>
                <w:sz w:val="18"/>
                <w:szCs w:val="18"/>
              </w:rPr>
            </w:pPr>
          </w:p>
        </w:tc>
      </w:tr>
      <w:tr w:rsidR="00BA03C6" w:rsidRPr="00BA03C6" w14:paraId="7459C940" w14:textId="77777777" w:rsidTr="00A865A7">
        <w:trPr>
          <w:trHeight w:val="635"/>
        </w:trPr>
        <w:tc>
          <w:tcPr>
            <w:tcW w:w="1334" w:type="dxa"/>
            <w:tcBorders>
              <w:top w:val="nil"/>
              <w:left w:val="nil"/>
              <w:bottom w:val="single" w:sz="18" w:space="0" w:color="000000"/>
              <w:right w:val="nil"/>
            </w:tcBorders>
          </w:tcPr>
          <w:p w14:paraId="785E963D" w14:textId="77777777" w:rsidR="00BA03C6" w:rsidRPr="00BA03C6" w:rsidRDefault="00BA03C6" w:rsidP="00BA03C6">
            <w:pPr>
              <w:spacing w:line="276" w:lineRule="auto"/>
              <w:rPr>
                <w:rFonts w:ascii="Times New Roman" w:hAnsi="Times New Roman" w:cs="Times New Roman"/>
                <w:sz w:val="18"/>
                <w:szCs w:val="18"/>
              </w:rPr>
            </w:pPr>
            <w:r w:rsidRPr="00BA03C6">
              <w:rPr>
                <w:rFonts w:ascii="Times New Roman" w:hAnsi="Times New Roman" w:cs="Times New Roman"/>
                <w:bCs/>
                <w:sz w:val="18"/>
                <w:szCs w:val="18"/>
              </w:rPr>
              <w:t>20. Elasticity</w:t>
            </w:r>
          </w:p>
        </w:tc>
        <w:tc>
          <w:tcPr>
            <w:tcW w:w="766" w:type="dxa"/>
            <w:tcBorders>
              <w:top w:val="nil"/>
              <w:left w:val="nil"/>
              <w:bottom w:val="single" w:sz="18" w:space="0" w:color="000000"/>
              <w:right w:val="nil"/>
            </w:tcBorders>
          </w:tcPr>
          <w:p w14:paraId="5FB6AD60"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-.27*</w:t>
            </w:r>
          </w:p>
        </w:tc>
        <w:tc>
          <w:tcPr>
            <w:tcW w:w="633" w:type="dxa"/>
            <w:tcBorders>
              <w:top w:val="nil"/>
              <w:left w:val="nil"/>
              <w:bottom w:val="single" w:sz="18" w:space="0" w:color="000000"/>
              <w:right w:val="nil"/>
            </w:tcBorders>
          </w:tcPr>
          <w:p w14:paraId="7E262898"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766" w:type="dxa"/>
            <w:tcBorders>
              <w:top w:val="nil"/>
              <w:left w:val="nil"/>
              <w:bottom w:val="single" w:sz="18" w:space="0" w:color="000000"/>
              <w:right w:val="nil"/>
            </w:tcBorders>
          </w:tcPr>
          <w:p w14:paraId="18F03E9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633" w:type="dxa"/>
            <w:tcBorders>
              <w:top w:val="nil"/>
              <w:left w:val="nil"/>
              <w:bottom w:val="single" w:sz="18" w:space="0" w:color="000000"/>
              <w:right w:val="nil"/>
            </w:tcBorders>
          </w:tcPr>
          <w:p w14:paraId="539CF12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766" w:type="dxa"/>
            <w:tcBorders>
              <w:top w:val="nil"/>
              <w:left w:val="nil"/>
              <w:bottom w:val="single" w:sz="18" w:space="0" w:color="000000"/>
              <w:right w:val="nil"/>
            </w:tcBorders>
          </w:tcPr>
          <w:p w14:paraId="46DC530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-.24</w:t>
            </w:r>
          </w:p>
        </w:tc>
        <w:tc>
          <w:tcPr>
            <w:tcW w:w="733" w:type="dxa"/>
            <w:tcBorders>
              <w:top w:val="nil"/>
              <w:left w:val="nil"/>
              <w:bottom w:val="single" w:sz="18" w:space="0" w:color="000000"/>
              <w:right w:val="nil"/>
            </w:tcBorders>
          </w:tcPr>
          <w:p w14:paraId="0D697EDF"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.09</w:t>
            </w:r>
          </w:p>
        </w:tc>
        <w:tc>
          <w:tcPr>
            <w:tcW w:w="766" w:type="dxa"/>
            <w:tcBorders>
              <w:top w:val="nil"/>
              <w:left w:val="nil"/>
              <w:bottom w:val="single" w:sz="18" w:space="0" w:color="000000"/>
              <w:right w:val="nil"/>
            </w:tcBorders>
          </w:tcPr>
          <w:p w14:paraId="2334F041"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.26*</w:t>
            </w:r>
          </w:p>
        </w:tc>
        <w:tc>
          <w:tcPr>
            <w:tcW w:w="566" w:type="dxa"/>
            <w:tcBorders>
              <w:top w:val="nil"/>
              <w:left w:val="nil"/>
              <w:bottom w:val="single" w:sz="18" w:space="0" w:color="000000"/>
              <w:right w:val="nil"/>
            </w:tcBorders>
          </w:tcPr>
          <w:p w14:paraId="40F1ACC7"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.14</w:t>
            </w:r>
          </w:p>
        </w:tc>
        <w:tc>
          <w:tcPr>
            <w:tcW w:w="733" w:type="dxa"/>
            <w:tcBorders>
              <w:top w:val="nil"/>
              <w:left w:val="nil"/>
              <w:bottom w:val="single" w:sz="18" w:space="0" w:color="000000"/>
              <w:right w:val="nil"/>
            </w:tcBorders>
          </w:tcPr>
          <w:p w14:paraId="127E2CDB"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.05</w:t>
            </w:r>
          </w:p>
        </w:tc>
        <w:tc>
          <w:tcPr>
            <w:tcW w:w="833" w:type="dxa"/>
            <w:tcBorders>
              <w:top w:val="nil"/>
              <w:left w:val="nil"/>
              <w:bottom w:val="single" w:sz="18" w:space="0" w:color="000000"/>
              <w:right w:val="nil"/>
            </w:tcBorders>
          </w:tcPr>
          <w:p w14:paraId="0D8B89E1"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.08</w:t>
            </w:r>
          </w:p>
        </w:tc>
        <w:tc>
          <w:tcPr>
            <w:tcW w:w="557" w:type="dxa"/>
            <w:tcBorders>
              <w:top w:val="nil"/>
              <w:left w:val="nil"/>
              <w:bottom w:val="single" w:sz="18" w:space="0" w:color="000000"/>
              <w:right w:val="nil"/>
            </w:tcBorders>
          </w:tcPr>
          <w:p w14:paraId="3D3538AE"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.13</w:t>
            </w:r>
          </w:p>
        </w:tc>
        <w:tc>
          <w:tcPr>
            <w:tcW w:w="533" w:type="dxa"/>
            <w:tcBorders>
              <w:top w:val="nil"/>
              <w:left w:val="nil"/>
              <w:bottom w:val="single" w:sz="18" w:space="0" w:color="000000"/>
              <w:right w:val="nil"/>
            </w:tcBorders>
          </w:tcPr>
          <w:p w14:paraId="3DCC510A"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.06</w:t>
            </w:r>
          </w:p>
        </w:tc>
        <w:tc>
          <w:tcPr>
            <w:tcW w:w="550" w:type="dxa"/>
            <w:tcBorders>
              <w:top w:val="nil"/>
              <w:left w:val="nil"/>
              <w:bottom w:val="single" w:sz="18" w:space="0" w:color="000000"/>
              <w:right w:val="nil"/>
            </w:tcBorders>
          </w:tcPr>
          <w:p w14:paraId="624DC0B3"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-.04</w:t>
            </w:r>
          </w:p>
        </w:tc>
        <w:tc>
          <w:tcPr>
            <w:tcW w:w="560" w:type="dxa"/>
            <w:tcBorders>
              <w:top w:val="nil"/>
              <w:left w:val="nil"/>
              <w:bottom w:val="single" w:sz="18" w:space="0" w:color="000000"/>
              <w:right w:val="nil"/>
            </w:tcBorders>
          </w:tcPr>
          <w:p w14:paraId="5BE68B96"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-.02</w:t>
            </w:r>
          </w:p>
        </w:tc>
        <w:tc>
          <w:tcPr>
            <w:tcW w:w="533" w:type="dxa"/>
            <w:tcBorders>
              <w:top w:val="nil"/>
              <w:left w:val="nil"/>
              <w:bottom w:val="single" w:sz="18" w:space="0" w:color="000000"/>
              <w:right w:val="nil"/>
            </w:tcBorders>
          </w:tcPr>
          <w:p w14:paraId="3685DD4C" w14:textId="77777777" w:rsidR="00BA03C6" w:rsidRPr="00BA03C6" w:rsidRDefault="00BA03C6" w:rsidP="00BA03C6">
            <w:pPr>
              <w:spacing w:line="276" w:lineRule="auto"/>
              <w:jc w:val="center"/>
              <w:rPr>
                <w:rFonts w:ascii="Times New Roman" w:hAnsi="Times New Roman" w:cs="Times New Roman"/>
                <w:bCs/>
                <w:sz w:val="18"/>
                <w:szCs w:val="18"/>
              </w:rPr>
            </w:pPr>
            <w:r w:rsidRPr="00BA03C6">
              <w:rPr>
                <w:rFonts w:ascii="Times New Roman" w:hAnsi="Times New Roman" w:cs="Times New Roman"/>
                <w:bCs/>
                <w:sz w:val="18"/>
                <w:szCs w:val="18"/>
              </w:rPr>
              <w:t>-.03</w:t>
            </w:r>
          </w:p>
        </w:tc>
        <w:tc>
          <w:tcPr>
            <w:tcW w:w="836" w:type="dxa"/>
            <w:tcBorders>
              <w:top w:val="nil"/>
              <w:left w:val="nil"/>
              <w:bottom w:val="single" w:sz="18" w:space="0" w:color="000000"/>
              <w:right w:val="nil"/>
            </w:tcBorders>
          </w:tcPr>
          <w:p w14:paraId="4887845A"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-.55***</w:t>
            </w:r>
          </w:p>
        </w:tc>
        <w:tc>
          <w:tcPr>
            <w:tcW w:w="837" w:type="dxa"/>
            <w:tcBorders>
              <w:top w:val="nil"/>
              <w:left w:val="nil"/>
              <w:bottom w:val="single" w:sz="18" w:space="0" w:color="000000"/>
              <w:right w:val="nil"/>
            </w:tcBorders>
          </w:tcPr>
          <w:p w14:paraId="11ED3F13" w14:textId="77777777" w:rsidR="00BA03C6" w:rsidRPr="00BA03C6" w:rsidRDefault="00BA03C6" w:rsidP="00BA03C6">
            <w:pPr>
              <w:spacing w:line="276" w:lineRule="auto"/>
              <w:jc w:val="center"/>
              <w:rPr>
                <w:rFonts w:ascii="Times New Roman" w:hAnsi="Times New Roman" w:cs="Times New Roman"/>
                <w:b/>
                <w:sz w:val="18"/>
                <w:szCs w:val="18"/>
              </w:rPr>
            </w:pPr>
            <w:r w:rsidRPr="00BA03C6">
              <w:rPr>
                <w:rFonts w:ascii="Times New Roman" w:hAnsi="Times New Roman" w:cs="Times New Roman"/>
                <w:b/>
                <w:sz w:val="18"/>
                <w:szCs w:val="18"/>
              </w:rPr>
              <w:t>-.67***</w:t>
            </w:r>
          </w:p>
        </w:tc>
        <w:tc>
          <w:tcPr>
            <w:tcW w:w="1619" w:type="dxa"/>
            <w:gridSpan w:val="3"/>
            <w:tcBorders>
              <w:top w:val="nil"/>
              <w:left w:val="nil"/>
              <w:bottom w:val="single" w:sz="18" w:space="0" w:color="000000"/>
              <w:right w:val="nil"/>
            </w:tcBorders>
          </w:tcPr>
          <w:p w14:paraId="55996F3A" w14:textId="77777777" w:rsidR="00BA03C6" w:rsidRPr="00BA03C6" w:rsidRDefault="00BA03C6" w:rsidP="00BA03C6">
            <w:pPr>
              <w:spacing w:line="276" w:lineRule="auto"/>
              <w:rPr>
                <w:rFonts w:ascii="Times New Roman" w:hAnsi="Times New Roman" w:cs="Times New Roman"/>
                <w:b/>
                <w:sz w:val="18"/>
                <w:szCs w:val="18"/>
              </w:rPr>
            </w:pPr>
            <w:r w:rsidRPr="00BA03C6">
              <w:rPr>
                <w:rFonts w:ascii="Times New Roman" w:hAnsi="Times New Roman" w:cs="Times New Roman"/>
                <w:b/>
                <w:sz w:val="18"/>
                <w:szCs w:val="18"/>
              </w:rPr>
              <w:t>-.97***     -.49***</w:t>
            </w:r>
          </w:p>
          <w:p w14:paraId="7A4CEE2A" w14:textId="77777777" w:rsidR="00BA03C6" w:rsidRPr="00BA03C6" w:rsidRDefault="00BA03C6" w:rsidP="00BA03C6">
            <w:pPr>
              <w:spacing w:line="276" w:lineRule="auto"/>
              <w:jc w:val="center"/>
              <w:rPr>
                <w:rFonts w:ascii="Times New Roman" w:hAnsi="Times New Roman" w:cs="Times New Roman"/>
                <w:bCs/>
                <w:sz w:val="18"/>
                <w:szCs w:val="18"/>
              </w:rPr>
            </w:pPr>
          </w:p>
        </w:tc>
      </w:tr>
    </w:tbl>
    <w:p w14:paraId="033ADFB7" w14:textId="4F3ED2E6" w:rsidR="00A865A7" w:rsidRPr="00A865A7" w:rsidRDefault="00A865A7" w:rsidP="00A865A7">
      <w:pPr>
        <w:pStyle w:val="NoSpacing"/>
        <w:rPr>
          <w:rFonts w:ascii="Times New Roman" w:hAnsi="Times New Roman" w:cs="Times New Roman"/>
        </w:rPr>
      </w:pPr>
      <w:r w:rsidRPr="00A865A7">
        <w:rPr>
          <w:rFonts w:ascii="Times New Roman" w:hAnsi="Times New Roman" w:cs="Times New Roman"/>
          <w:i/>
          <w:iCs/>
        </w:rPr>
        <w:t>Note.</w:t>
      </w:r>
      <w:r w:rsidRPr="00A865A7">
        <w:rPr>
          <w:rFonts w:ascii="Times New Roman" w:hAnsi="Times New Roman" w:cs="Times New Roman"/>
        </w:rPr>
        <w:t xml:space="preserve"> ***</w:t>
      </w:r>
      <w:r w:rsidRPr="00A865A7">
        <w:rPr>
          <w:rFonts w:ascii="Times New Roman" w:hAnsi="Times New Roman" w:cs="Times New Roman"/>
          <w:i/>
          <w:iCs/>
        </w:rPr>
        <w:t>p</w:t>
      </w:r>
      <w:r w:rsidRPr="00A865A7">
        <w:rPr>
          <w:rFonts w:ascii="Times New Roman" w:hAnsi="Times New Roman" w:cs="Times New Roman"/>
        </w:rPr>
        <w:t xml:space="preserve"> &lt;.001, **</w:t>
      </w:r>
      <w:r w:rsidRPr="00A865A7">
        <w:rPr>
          <w:rFonts w:ascii="Times New Roman" w:hAnsi="Times New Roman" w:cs="Times New Roman"/>
          <w:i/>
          <w:iCs/>
        </w:rPr>
        <w:t>p</w:t>
      </w:r>
      <w:r w:rsidRPr="00A865A7">
        <w:rPr>
          <w:rFonts w:ascii="Times New Roman" w:hAnsi="Times New Roman" w:cs="Times New Roman"/>
        </w:rPr>
        <w:t xml:space="preserve"> &lt;.01, *</w:t>
      </w:r>
      <w:r w:rsidRPr="00A865A7">
        <w:rPr>
          <w:rFonts w:ascii="Times New Roman" w:hAnsi="Times New Roman" w:cs="Times New Roman"/>
          <w:i/>
          <w:iCs/>
        </w:rPr>
        <w:t>p</w:t>
      </w:r>
      <w:r w:rsidRPr="00A865A7">
        <w:rPr>
          <w:rFonts w:ascii="Times New Roman" w:hAnsi="Times New Roman" w:cs="Times New Roman"/>
        </w:rPr>
        <w:t xml:space="preserve"> &lt;.05. Reinforcement ratio here is calculated to reflect proportionate substance-free reinforcement</w:t>
      </w:r>
      <w:bookmarkStart w:id="444" w:name="_Hlk85989448"/>
      <w:bookmarkEnd w:id="444"/>
      <w:r>
        <w:rPr>
          <w:rFonts w:ascii="Times New Roman" w:hAnsi="Times New Roman" w:cs="Times New Roman"/>
        </w:rPr>
        <w:t>.</w:t>
      </w:r>
    </w:p>
    <w:p w14:paraId="3C9E1505" w14:textId="27EB2FA6" w:rsidR="00BA03C6" w:rsidRDefault="00BA03C6" w:rsidP="00093B56">
      <w:pPr>
        <w:pStyle w:val="NoSpacing"/>
        <w:rPr>
          <w:rFonts w:ascii="Times New Roman" w:hAnsi="Times New Roman" w:cs="Times New Roman"/>
        </w:rPr>
      </w:pPr>
    </w:p>
    <w:p w14:paraId="51C79076" w14:textId="5B0F03CF" w:rsidR="00A865A7" w:rsidRDefault="00A865A7" w:rsidP="00093B56">
      <w:pPr>
        <w:pStyle w:val="NoSpacing"/>
        <w:rPr>
          <w:rFonts w:ascii="Times New Roman" w:hAnsi="Times New Roman" w:cs="Times New Roman"/>
        </w:rPr>
      </w:pPr>
    </w:p>
    <w:p w14:paraId="6A11FAD5" w14:textId="37A796CA" w:rsidR="00A865A7" w:rsidRDefault="00A865A7" w:rsidP="00093B56">
      <w:pPr>
        <w:pStyle w:val="NoSpacing"/>
        <w:rPr>
          <w:rFonts w:ascii="Times New Roman" w:hAnsi="Times New Roman" w:cs="Times New Roman"/>
        </w:rPr>
      </w:pPr>
    </w:p>
    <w:p w14:paraId="3350A7A3" w14:textId="383BF367" w:rsidR="00A865A7" w:rsidRDefault="00A865A7" w:rsidP="00093B56">
      <w:pPr>
        <w:pStyle w:val="NoSpacing"/>
        <w:rPr>
          <w:rFonts w:ascii="Times New Roman" w:hAnsi="Times New Roman" w:cs="Times New Roman"/>
        </w:rPr>
      </w:pPr>
    </w:p>
    <w:p w14:paraId="0B98722D" w14:textId="7260DE98" w:rsidR="00A865A7" w:rsidRDefault="00A865A7" w:rsidP="00093B56">
      <w:pPr>
        <w:pStyle w:val="NoSpacing"/>
        <w:rPr>
          <w:rFonts w:ascii="Times New Roman" w:hAnsi="Times New Roman" w:cs="Times New Roman"/>
        </w:rPr>
      </w:pPr>
    </w:p>
    <w:p w14:paraId="09485A8B" w14:textId="77777777" w:rsidR="00A865A7" w:rsidRDefault="00A865A7" w:rsidP="00093B56">
      <w:pPr>
        <w:pStyle w:val="NoSpacing"/>
        <w:rPr>
          <w:rFonts w:ascii="Times New Roman" w:hAnsi="Times New Roman" w:cs="Times New Roman"/>
        </w:rPr>
      </w:pPr>
    </w:p>
    <w:p w14:paraId="7ABB0B0A" w14:textId="70375249" w:rsidR="00A865A7" w:rsidRDefault="00A865A7" w:rsidP="00A865A7">
      <w:pPr>
        <w:pStyle w:val="NoSpacing"/>
        <w:spacing w:line="480" w:lineRule="auto"/>
        <w:rPr>
          <w:rFonts w:ascii="Times New Roman" w:hAnsi="Times New Roman" w:cs="Times New Roman"/>
        </w:rPr>
      </w:pPr>
      <w:r w:rsidRPr="00A865A7">
        <w:rPr>
          <w:rFonts w:ascii="Times New Roman" w:hAnsi="Times New Roman" w:cs="Times New Roman"/>
          <w:b/>
          <w:bCs/>
        </w:rPr>
        <w:lastRenderedPageBreak/>
        <w:t>Table S6.7</w:t>
      </w:r>
    </w:p>
    <w:p w14:paraId="6416F47F" w14:textId="74A37E03" w:rsidR="00A865A7" w:rsidRPr="00A865A7" w:rsidRDefault="00A865A7" w:rsidP="00A865A7">
      <w:pPr>
        <w:pStyle w:val="NoSpacing"/>
        <w:spacing w:line="480" w:lineRule="auto"/>
        <w:rPr>
          <w:rFonts w:ascii="Times New Roman" w:hAnsi="Times New Roman" w:cs="Times New Roman"/>
          <w:i/>
          <w:iCs/>
        </w:rPr>
      </w:pPr>
      <w:r w:rsidRPr="00A865A7">
        <w:rPr>
          <w:rFonts w:ascii="Times New Roman" w:hAnsi="Times New Roman" w:cs="Times New Roman"/>
          <w:i/>
          <w:iCs/>
        </w:rPr>
        <w:t>Correlations between self-report variables and DDM parameters in heavy drinkers</w:t>
      </w:r>
    </w:p>
    <w:tbl>
      <w:tblPr>
        <w:tblStyle w:val="TableGrid6"/>
        <w:tblW w:w="14554" w:type="dxa"/>
        <w:tblLook w:val="04A0" w:firstRow="1" w:lastRow="0" w:firstColumn="1" w:lastColumn="0" w:noHBand="0" w:noVBand="1"/>
      </w:tblPr>
      <w:tblGrid>
        <w:gridCol w:w="1503"/>
        <w:gridCol w:w="711"/>
        <w:gridCol w:w="501"/>
        <w:gridCol w:w="711"/>
        <w:gridCol w:w="565"/>
        <w:gridCol w:w="850"/>
        <w:gridCol w:w="850"/>
        <w:gridCol w:w="711"/>
        <w:gridCol w:w="705"/>
        <w:gridCol w:w="564"/>
        <w:gridCol w:w="711"/>
        <w:gridCol w:w="566"/>
        <w:gridCol w:w="704"/>
        <w:gridCol w:w="836"/>
        <w:gridCol w:w="435"/>
        <w:gridCol w:w="138"/>
        <w:gridCol w:w="565"/>
        <w:gridCol w:w="846"/>
        <w:gridCol w:w="711"/>
        <w:gridCol w:w="441"/>
        <w:gridCol w:w="427"/>
        <w:gridCol w:w="503"/>
      </w:tblGrid>
      <w:tr w:rsidR="00A865A7" w:rsidRPr="00A865A7" w14:paraId="74311B85" w14:textId="77777777" w:rsidTr="00A865A7">
        <w:trPr>
          <w:trHeight w:val="635"/>
        </w:trPr>
        <w:tc>
          <w:tcPr>
            <w:tcW w:w="1503" w:type="dxa"/>
            <w:tcBorders>
              <w:top w:val="single" w:sz="18" w:space="0" w:color="000000"/>
              <w:left w:val="nil"/>
              <w:right w:val="nil"/>
            </w:tcBorders>
          </w:tcPr>
          <w:p w14:paraId="5182D810"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11" w:type="dxa"/>
            <w:tcBorders>
              <w:top w:val="single" w:sz="18" w:space="0" w:color="000000"/>
              <w:left w:val="nil"/>
              <w:right w:val="nil"/>
            </w:tcBorders>
          </w:tcPr>
          <w:p w14:paraId="23A7B063" w14:textId="77777777" w:rsidR="00A865A7" w:rsidRPr="00A865A7" w:rsidRDefault="00A865A7" w:rsidP="00A865A7">
            <w:pPr>
              <w:spacing w:line="276" w:lineRule="auto"/>
              <w:jc w:val="center"/>
              <w:rPr>
                <w:rFonts w:ascii="Times New Roman" w:hAnsi="Times New Roman" w:cs="Times New Roman"/>
                <w:bCs/>
                <w:sz w:val="20"/>
                <w:szCs w:val="20"/>
              </w:rPr>
            </w:pPr>
          </w:p>
          <w:p w14:paraId="73267FE2"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w:t>
            </w:r>
          </w:p>
        </w:tc>
        <w:tc>
          <w:tcPr>
            <w:tcW w:w="501" w:type="dxa"/>
            <w:tcBorders>
              <w:top w:val="single" w:sz="18" w:space="0" w:color="000000"/>
              <w:left w:val="nil"/>
              <w:right w:val="nil"/>
            </w:tcBorders>
          </w:tcPr>
          <w:p w14:paraId="2704EA9A" w14:textId="77777777" w:rsidR="00A865A7" w:rsidRPr="00A865A7" w:rsidRDefault="00A865A7" w:rsidP="00A865A7">
            <w:pPr>
              <w:spacing w:line="276" w:lineRule="auto"/>
              <w:jc w:val="center"/>
              <w:rPr>
                <w:rFonts w:ascii="Times New Roman" w:hAnsi="Times New Roman" w:cs="Times New Roman"/>
                <w:bCs/>
                <w:sz w:val="20"/>
                <w:szCs w:val="20"/>
              </w:rPr>
            </w:pPr>
          </w:p>
          <w:p w14:paraId="02A8E633"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2</w:t>
            </w:r>
          </w:p>
        </w:tc>
        <w:tc>
          <w:tcPr>
            <w:tcW w:w="711" w:type="dxa"/>
            <w:tcBorders>
              <w:top w:val="single" w:sz="18" w:space="0" w:color="000000"/>
              <w:left w:val="nil"/>
              <w:right w:val="nil"/>
            </w:tcBorders>
          </w:tcPr>
          <w:p w14:paraId="2493D43F" w14:textId="77777777" w:rsidR="00A865A7" w:rsidRPr="00A865A7" w:rsidRDefault="00A865A7" w:rsidP="00A865A7">
            <w:pPr>
              <w:spacing w:line="276" w:lineRule="auto"/>
              <w:jc w:val="center"/>
              <w:rPr>
                <w:rFonts w:ascii="Times New Roman" w:hAnsi="Times New Roman" w:cs="Times New Roman"/>
                <w:bCs/>
                <w:sz w:val="20"/>
                <w:szCs w:val="20"/>
              </w:rPr>
            </w:pPr>
          </w:p>
          <w:p w14:paraId="564244B0"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3</w:t>
            </w:r>
          </w:p>
        </w:tc>
        <w:tc>
          <w:tcPr>
            <w:tcW w:w="565" w:type="dxa"/>
            <w:tcBorders>
              <w:top w:val="single" w:sz="18" w:space="0" w:color="000000"/>
              <w:left w:val="nil"/>
              <w:right w:val="nil"/>
            </w:tcBorders>
          </w:tcPr>
          <w:p w14:paraId="4751EF93" w14:textId="77777777" w:rsidR="00A865A7" w:rsidRPr="00A865A7" w:rsidRDefault="00A865A7" w:rsidP="00A865A7">
            <w:pPr>
              <w:spacing w:line="276" w:lineRule="auto"/>
              <w:jc w:val="center"/>
              <w:rPr>
                <w:rFonts w:ascii="Times New Roman" w:hAnsi="Times New Roman" w:cs="Times New Roman"/>
                <w:bCs/>
                <w:sz w:val="20"/>
                <w:szCs w:val="20"/>
              </w:rPr>
            </w:pPr>
          </w:p>
          <w:p w14:paraId="2D60B9DD"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4</w:t>
            </w:r>
          </w:p>
        </w:tc>
        <w:tc>
          <w:tcPr>
            <w:tcW w:w="850" w:type="dxa"/>
            <w:tcBorders>
              <w:top w:val="single" w:sz="18" w:space="0" w:color="000000"/>
              <w:left w:val="nil"/>
              <w:right w:val="nil"/>
            </w:tcBorders>
          </w:tcPr>
          <w:p w14:paraId="72C7167E" w14:textId="77777777" w:rsidR="00A865A7" w:rsidRPr="00A865A7" w:rsidRDefault="00A865A7" w:rsidP="00A865A7">
            <w:pPr>
              <w:spacing w:line="276" w:lineRule="auto"/>
              <w:jc w:val="center"/>
              <w:rPr>
                <w:rFonts w:ascii="Times New Roman" w:hAnsi="Times New Roman" w:cs="Times New Roman"/>
                <w:bCs/>
                <w:sz w:val="20"/>
                <w:szCs w:val="20"/>
              </w:rPr>
            </w:pPr>
          </w:p>
          <w:p w14:paraId="5AB6DD5A"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5</w:t>
            </w:r>
          </w:p>
        </w:tc>
        <w:tc>
          <w:tcPr>
            <w:tcW w:w="850" w:type="dxa"/>
            <w:tcBorders>
              <w:top w:val="single" w:sz="18" w:space="0" w:color="000000"/>
              <w:left w:val="nil"/>
              <w:right w:val="nil"/>
            </w:tcBorders>
          </w:tcPr>
          <w:p w14:paraId="3456B005" w14:textId="77777777" w:rsidR="00A865A7" w:rsidRPr="00A865A7" w:rsidRDefault="00A865A7" w:rsidP="00A865A7">
            <w:pPr>
              <w:spacing w:line="276" w:lineRule="auto"/>
              <w:jc w:val="center"/>
              <w:rPr>
                <w:rFonts w:ascii="Times New Roman" w:hAnsi="Times New Roman" w:cs="Times New Roman"/>
                <w:bCs/>
                <w:sz w:val="20"/>
                <w:szCs w:val="20"/>
              </w:rPr>
            </w:pPr>
          </w:p>
          <w:p w14:paraId="7CAB7FFC"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6</w:t>
            </w:r>
          </w:p>
        </w:tc>
        <w:tc>
          <w:tcPr>
            <w:tcW w:w="711" w:type="dxa"/>
            <w:tcBorders>
              <w:top w:val="single" w:sz="18" w:space="0" w:color="000000"/>
              <w:left w:val="nil"/>
              <w:right w:val="nil"/>
            </w:tcBorders>
          </w:tcPr>
          <w:p w14:paraId="5A59F463" w14:textId="77777777" w:rsidR="00A865A7" w:rsidRPr="00A865A7" w:rsidRDefault="00A865A7" w:rsidP="00A865A7">
            <w:pPr>
              <w:spacing w:line="276" w:lineRule="auto"/>
              <w:jc w:val="center"/>
              <w:rPr>
                <w:rFonts w:ascii="Times New Roman" w:hAnsi="Times New Roman" w:cs="Times New Roman"/>
                <w:bCs/>
                <w:sz w:val="20"/>
                <w:szCs w:val="20"/>
              </w:rPr>
            </w:pPr>
          </w:p>
          <w:p w14:paraId="48014DF6"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7</w:t>
            </w:r>
          </w:p>
        </w:tc>
        <w:tc>
          <w:tcPr>
            <w:tcW w:w="705" w:type="dxa"/>
            <w:tcBorders>
              <w:top w:val="single" w:sz="18" w:space="0" w:color="000000"/>
              <w:left w:val="nil"/>
              <w:right w:val="nil"/>
            </w:tcBorders>
          </w:tcPr>
          <w:p w14:paraId="7518A198" w14:textId="77777777" w:rsidR="00A865A7" w:rsidRPr="00A865A7" w:rsidRDefault="00A865A7" w:rsidP="00A865A7">
            <w:pPr>
              <w:spacing w:line="276" w:lineRule="auto"/>
              <w:jc w:val="center"/>
              <w:rPr>
                <w:rFonts w:ascii="Times New Roman" w:hAnsi="Times New Roman" w:cs="Times New Roman"/>
                <w:bCs/>
                <w:sz w:val="20"/>
                <w:szCs w:val="20"/>
              </w:rPr>
            </w:pPr>
          </w:p>
          <w:p w14:paraId="4CFC2C25"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8</w:t>
            </w:r>
          </w:p>
        </w:tc>
        <w:tc>
          <w:tcPr>
            <w:tcW w:w="564" w:type="dxa"/>
            <w:tcBorders>
              <w:top w:val="single" w:sz="18" w:space="0" w:color="000000"/>
              <w:left w:val="nil"/>
              <w:right w:val="nil"/>
            </w:tcBorders>
          </w:tcPr>
          <w:p w14:paraId="01365EE3" w14:textId="77777777" w:rsidR="00A865A7" w:rsidRPr="00A865A7" w:rsidRDefault="00A865A7" w:rsidP="00A865A7">
            <w:pPr>
              <w:spacing w:line="276" w:lineRule="auto"/>
              <w:jc w:val="center"/>
              <w:rPr>
                <w:rFonts w:ascii="Times New Roman" w:hAnsi="Times New Roman" w:cs="Times New Roman"/>
                <w:bCs/>
                <w:sz w:val="20"/>
                <w:szCs w:val="20"/>
              </w:rPr>
            </w:pPr>
          </w:p>
          <w:p w14:paraId="1DE2DCF8"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9</w:t>
            </w:r>
          </w:p>
        </w:tc>
        <w:tc>
          <w:tcPr>
            <w:tcW w:w="711" w:type="dxa"/>
            <w:tcBorders>
              <w:top w:val="single" w:sz="18" w:space="0" w:color="000000"/>
              <w:left w:val="nil"/>
              <w:right w:val="nil"/>
            </w:tcBorders>
          </w:tcPr>
          <w:p w14:paraId="2343D9E8" w14:textId="77777777" w:rsidR="00A865A7" w:rsidRPr="00A865A7" w:rsidRDefault="00A865A7" w:rsidP="00A865A7">
            <w:pPr>
              <w:spacing w:line="276" w:lineRule="auto"/>
              <w:jc w:val="center"/>
              <w:rPr>
                <w:rFonts w:ascii="Times New Roman" w:hAnsi="Times New Roman" w:cs="Times New Roman"/>
                <w:bCs/>
                <w:sz w:val="20"/>
                <w:szCs w:val="20"/>
              </w:rPr>
            </w:pPr>
          </w:p>
          <w:p w14:paraId="7D0B6704"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10</w:t>
            </w:r>
          </w:p>
        </w:tc>
        <w:tc>
          <w:tcPr>
            <w:tcW w:w="566" w:type="dxa"/>
            <w:tcBorders>
              <w:top w:val="single" w:sz="18" w:space="0" w:color="000000"/>
              <w:left w:val="nil"/>
              <w:right w:val="nil"/>
            </w:tcBorders>
          </w:tcPr>
          <w:p w14:paraId="397C02D2" w14:textId="77777777" w:rsidR="00A865A7" w:rsidRPr="00A865A7" w:rsidRDefault="00A865A7" w:rsidP="00A865A7">
            <w:pPr>
              <w:spacing w:line="276" w:lineRule="auto"/>
              <w:jc w:val="center"/>
              <w:rPr>
                <w:rFonts w:ascii="Times New Roman" w:hAnsi="Times New Roman" w:cs="Times New Roman"/>
                <w:bCs/>
                <w:sz w:val="20"/>
                <w:szCs w:val="20"/>
              </w:rPr>
            </w:pPr>
          </w:p>
          <w:p w14:paraId="658505FB"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11</w:t>
            </w:r>
          </w:p>
        </w:tc>
        <w:tc>
          <w:tcPr>
            <w:tcW w:w="704" w:type="dxa"/>
            <w:tcBorders>
              <w:top w:val="single" w:sz="18" w:space="0" w:color="000000"/>
              <w:left w:val="nil"/>
              <w:right w:val="nil"/>
            </w:tcBorders>
          </w:tcPr>
          <w:p w14:paraId="3B436A44" w14:textId="77777777" w:rsidR="00A865A7" w:rsidRPr="00A865A7" w:rsidRDefault="00A865A7" w:rsidP="00A865A7">
            <w:pPr>
              <w:spacing w:line="276" w:lineRule="auto"/>
              <w:jc w:val="center"/>
              <w:rPr>
                <w:rFonts w:ascii="Times New Roman" w:hAnsi="Times New Roman" w:cs="Times New Roman"/>
                <w:bCs/>
                <w:sz w:val="20"/>
                <w:szCs w:val="20"/>
              </w:rPr>
            </w:pPr>
          </w:p>
          <w:p w14:paraId="245084C0"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12</w:t>
            </w:r>
          </w:p>
        </w:tc>
        <w:tc>
          <w:tcPr>
            <w:tcW w:w="836" w:type="dxa"/>
            <w:tcBorders>
              <w:top w:val="single" w:sz="18" w:space="0" w:color="000000"/>
              <w:left w:val="nil"/>
              <w:right w:val="nil"/>
            </w:tcBorders>
          </w:tcPr>
          <w:p w14:paraId="40018F9E" w14:textId="77777777" w:rsidR="00A865A7" w:rsidRPr="00A865A7" w:rsidRDefault="00A865A7" w:rsidP="00A865A7">
            <w:pPr>
              <w:spacing w:line="276" w:lineRule="auto"/>
              <w:jc w:val="center"/>
              <w:rPr>
                <w:rFonts w:ascii="Times New Roman" w:hAnsi="Times New Roman" w:cs="Times New Roman"/>
                <w:bCs/>
                <w:sz w:val="20"/>
                <w:szCs w:val="20"/>
              </w:rPr>
            </w:pPr>
          </w:p>
          <w:p w14:paraId="16EF8062"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13</w:t>
            </w:r>
          </w:p>
        </w:tc>
        <w:tc>
          <w:tcPr>
            <w:tcW w:w="573" w:type="dxa"/>
            <w:gridSpan w:val="2"/>
            <w:tcBorders>
              <w:top w:val="single" w:sz="18" w:space="0" w:color="000000"/>
              <w:left w:val="nil"/>
              <w:right w:val="nil"/>
            </w:tcBorders>
          </w:tcPr>
          <w:p w14:paraId="7D1CFD39" w14:textId="77777777" w:rsidR="00A865A7" w:rsidRPr="00A865A7" w:rsidRDefault="00A865A7" w:rsidP="00A865A7">
            <w:pPr>
              <w:spacing w:line="276" w:lineRule="auto"/>
              <w:jc w:val="center"/>
              <w:rPr>
                <w:rFonts w:ascii="Times New Roman" w:hAnsi="Times New Roman" w:cs="Times New Roman"/>
                <w:bCs/>
                <w:sz w:val="20"/>
                <w:szCs w:val="20"/>
              </w:rPr>
            </w:pPr>
          </w:p>
          <w:p w14:paraId="5C2B7ACD"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14</w:t>
            </w:r>
          </w:p>
        </w:tc>
        <w:tc>
          <w:tcPr>
            <w:tcW w:w="565" w:type="dxa"/>
            <w:tcBorders>
              <w:top w:val="single" w:sz="18" w:space="0" w:color="000000"/>
              <w:left w:val="nil"/>
              <w:right w:val="nil"/>
            </w:tcBorders>
          </w:tcPr>
          <w:p w14:paraId="0B12F77F" w14:textId="77777777" w:rsidR="00A865A7" w:rsidRPr="00A865A7" w:rsidRDefault="00A865A7" w:rsidP="00A865A7">
            <w:pPr>
              <w:spacing w:line="276" w:lineRule="auto"/>
              <w:jc w:val="center"/>
              <w:rPr>
                <w:rFonts w:ascii="Times New Roman" w:hAnsi="Times New Roman" w:cs="Times New Roman"/>
                <w:bCs/>
                <w:sz w:val="20"/>
                <w:szCs w:val="20"/>
              </w:rPr>
            </w:pPr>
          </w:p>
          <w:p w14:paraId="71AD81A0"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15</w:t>
            </w:r>
          </w:p>
        </w:tc>
        <w:tc>
          <w:tcPr>
            <w:tcW w:w="846" w:type="dxa"/>
            <w:tcBorders>
              <w:top w:val="single" w:sz="18" w:space="0" w:color="000000"/>
              <w:left w:val="nil"/>
              <w:right w:val="nil"/>
            </w:tcBorders>
          </w:tcPr>
          <w:p w14:paraId="2852C3B3" w14:textId="77777777" w:rsidR="00A865A7" w:rsidRPr="00A865A7" w:rsidRDefault="00A865A7" w:rsidP="00A865A7">
            <w:pPr>
              <w:spacing w:line="276" w:lineRule="auto"/>
              <w:jc w:val="center"/>
              <w:rPr>
                <w:rFonts w:ascii="Times New Roman" w:hAnsi="Times New Roman" w:cs="Times New Roman"/>
                <w:bCs/>
                <w:sz w:val="20"/>
                <w:szCs w:val="20"/>
              </w:rPr>
            </w:pPr>
          </w:p>
          <w:p w14:paraId="0A2A6526"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16</w:t>
            </w:r>
          </w:p>
        </w:tc>
        <w:tc>
          <w:tcPr>
            <w:tcW w:w="711" w:type="dxa"/>
            <w:tcBorders>
              <w:top w:val="single" w:sz="18" w:space="0" w:color="000000"/>
              <w:left w:val="nil"/>
              <w:right w:val="nil"/>
            </w:tcBorders>
          </w:tcPr>
          <w:p w14:paraId="17772259" w14:textId="77777777" w:rsidR="00A865A7" w:rsidRPr="00A865A7" w:rsidRDefault="00A865A7" w:rsidP="00A865A7">
            <w:pPr>
              <w:spacing w:line="276" w:lineRule="auto"/>
              <w:jc w:val="center"/>
              <w:rPr>
                <w:rFonts w:ascii="Times New Roman" w:hAnsi="Times New Roman" w:cs="Times New Roman"/>
                <w:bCs/>
                <w:sz w:val="20"/>
                <w:szCs w:val="20"/>
              </w:rPr>
            </w:pPr>
          </w:p>
          <w:p w14:paraId="506D6502"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17</w:t>
            </w:r>
          </w:p>
        </w:tc>
        <w:tc>
          <w:tcPr>
            <w:tcW w:w="441" w:type="dxa"/>
            <w:tcBorders>
              <w:top w:val="single" w:sz="18" w:space="0" w:color="000000"/>
              <w:left w:val="nil"/>
              <w:right w:val="nil"/>
            </w:tcBorders>
          </w:tcPr>
          <w:p w14:paraId="0FC8CBCE" w14:textId="77777777" w:rsidR="00A865A7" w:rsidRPr="00A865A7" w:rsidRDefault="00A865A7" w:rsidP="00A865A7">
            <w:pPr>
              <w:spacing w:line="276" w:lineRule="auto"/>
              <w:jc w:val="center"/>
              <w:rPr>
                <w:rFonts w:ascii="Times New Roman" w:hAnsi="Times New Roman" w:cs="Times New Roman"/>
                <w:bCs/>
                <w:sz w:val="20"/>
                <w:szCs w:val="20"/>
              </w:rPr>
            </w:pPr>
          </w:p>
          <w:p w14:paraId="253F5BA7"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18</w:t>
            </w:r>
          </w:p>
        </w:tc>
        <w:tc>
          <w:tcPr>
            <w:tcW w:w="427" w:type="dxa"/>
            <w:tcBorders>
              <w:top w:val="single" w:sz="18" w:space="0" w:color="000000"/>
              <w:left w:val="nil"/>
              <w:right w:val="nil"/>
            </w:tcBorders>
          </w:tcPr>
          <w:p w14:paraId="0AABE9E4" w14:textId="77777777" w:rsidR="00A865A7" w:rsidRPr="00A865A7" w:rsidRDefault="00A865A7" w:rsidP="00A865A7">
            <w:pPr>
              <w:spacing w:line="276" w:lineRule="auto"/>
              <w:jc w:val="center"/>
              <w:rPr>
                <w:rFonts w:ascii="Times New Roman" w:hAnsi="Times New Roman" w:cs="Times New Roman"/>
                <w:bCs/>
                <w:sz w:val="20"/>
                <w:szCs w:val="20"/>
              </w:rPr>
            </w:pPr>
          </w:p>
          <w:p w14:paraId="0038899A"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19</w:t>
            </w:r>
          </w:p>
        </w:tc>
        <w:tc>
          <w:tcPr>
            <w:tcW w:w="503" w:type="dxa"/>
            <w:tcBorders>
              <w:top w:val="single" w:sz="18" w:space="0" w:color="000000"/>
              <w:left w:val="nil"/>
              <w:right w:val="nil"/>
            </w:tcBorders>
          </w:tcPr>
          <w:p w14:paraId="14038E26" w14:textId="77777777" w:rsidR="00A865A7" w:rsidRPr="00A865A7" w:rsidRDefault="00A865A7" w:rsidP="00A865A7">
            <w:pPr>
              <w:spacing w:line="276" w:lineRule="auto"/>
              <w:jc w:val="center"/>
              <w:rPr>
                <w:rFonts w:ascii="Times New Roman" w:hAnsi="Times New Roman" w:cs="Times New Roman"/>
                <w:bCs/>
                <w:sz w:val="20"/>
                <w:szCs w:val="20"/>
              </w:rPr>
            </w:pPr>
          </w:p>
          <w:p w14:paraId="6770F9EE" w14:textId="77777777" w:rsidR="00A865A7" w:rsidRPr="00A865A7" w:rsidRDefault="00A865A7" w:rsidP="00A865A7">
            <w:pPr>
              <w:spacing w:line="276" w:lineRule="auto"/>
              <w:jc w:val="center"/>
              <w:rPr>
                <w:rFonts w:ascii="Times New Roman" w:hAnsi="Times New Roman" w:cs="Times New Roman"/>
                <w:bCs/>
                <w:sz w:val="20"/>
                <w:szCs w:val="20"/>
              </w:rPr>
            </w:pPr>
            <w:r w:rsidRPr="00A865A7">
              <w:rPr>
                <w:rFonts w:ascii="Times New Roman" w:hAnsi="Times New Roman" w:cs="Times New Roman"/>
                <w:bCs/>
                <w:sz w:val="20"/>
                <w:szCs w:val="20"/>
              </w:rPr>
              <w:t>20</w:t>
            </w:r>
          </w:p>
        </w:tc>
      </w:tr>
      <w:tr w:rsidR="00A865A7" w:rsidRPr="00A865A7" w14:paraId="67D1DE94" w14:textId="77777777" w:rsidTr="00A865A7">
        <w:trPr>
          <w:trHeight w:val="635"/>
        </w:trPr>
        <w:tc>
          <w:tcPr>
            <w:tcW w:w="1503" w:type="dxa"/>
            <w:tcBorders>
              <w:left w:val="nil"/>
              <w:bottom w:val="nil"/>
              <w:right w:val="nil"/>
            </w:tcBorders>
          </w:tcPr>
          <w:p w14:paraId="1AF9BD99"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1. Alcohol drift</w:t>
            </w:r>
          </w:p>
        </w:tc>
        <w:tc>
          <w:tcPr>
            <w:tcW w:w="711" w:type="dxa"/>
            <w:tcBorders>
              <w:left w:val="nil"/>
              <w:bottom w:val="nil"/>
              <w:right w:val="nil"/>
            </w:tcBorders>
          </w:tcPr>
          <w:p w14:paraId="79EB48DB"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01" w:type="dxa"/>
            <w:tcBorders>
              <w:left w:val="nil"/>
              <w:bottom w:val="nil"/>
              <w:right w:val="nil"/>
            </w:tcBorders>
          </w:tcPr>
          <w:p w14:paraId="5256F531"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11" w:type="dxa"/>
            <w:tcBorders>
              <w:left w:val="nil"/>
              <w:bottom w:val="nil"/>
              <w:right w:val="nil"/>
            </w:tcBorders>
          </w:tcPr>
          <w:p w14:paraId="6D09278C"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65" w:type="dxa"/>
            <w:tcBorders>
              <w:left w:val="nil"/>
              <w:bottom w:val="nil"/>
              <w:right w:val="nil"/>
            </w:tcBorders>
          </w:tcPr>
          <w:p w14:paraId="133F2265" w14:textId="77777777" w:rsidR="00A865A7" w:rsidRPr="00A865A7" w:rsidRDefault="00A865A7" w:rsidP="00A865A7">
            <w:pPr>
              <w:spacing w:line="276" w:lineRule="auto"/>
              <w:jc w:val="center"/>
              <w:rPr>
                <w:rFonts w:ascii="Times New Roman" w:hAnsi="Times New Roman" w:cs="Times New Roman"/>
                <w:bCs/>
                <w:sz w:val="20"/>
                <w:szCs w:val="20"/>
              </w:rPr>
            </w:pPr>
          </w:p>
        </w:tc>
        <w:tc>
          <w:tcPr>
            <w:tcW w:w="850" w:type="dxa"/>
            <w:tcBorders>
              <w:left w:val="nil"/>
              <w:bottom w:val="nil"/>
              <w:right w:val="nil"/>
            </w:tcBorders>
          </w:tcPr>
          <w:p w14:paraId="78172BF8" w14:textId="77777777" w:rsidR="00A865A7" w:rsidRPr="00A865A7" w:rsidRDefault="00A865A7" w:rsidP="00A865A7">
            <w:pPr>
              <w:spacing w:line="276" w:lineRule="auto"/>
              <w:jc w:val="center"/>
              <w:rPr>
                <w:rFonts w:ascii="Times New Roman" w:hAnsi="Times New Roman" w:cs="Times New Roman"/>
                <w:bCs/>
                <w:sz w:val="20"/>
                <w:szCs w:val="20"/>
              </w:rPr>
            </w:pPr>
          </w:p>
        </w:tc>
        <w:tc>
          <w:tcPr>
            <w:tcW w:w="850" w:type="dxa"/>
            <w:tcBorders>
              <w:left w:val="nil"/>
              <w:bottom w:val="nil"/>
              <w:right w:val="nil"/>
            </w:tcBorders>
          </w:tcPr>
          <w:p w14:paraId="2BFEBA89"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11" w:type="dxa"/>
            <w:tcBorders>
              <w:left w:val="nil"/>
              <w:bottom w:val="nil"/>
              <w:right w:val="nil"/>
            </w:tcBorders>
          </w:tcPr>
          <w:p w14:paraId="6646F3E8"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05" w:type="dxa"/>
            <w:tcBorders>
              <w:left w:val="nil"/>
              <w:bottom w:val="nil"/>
              <w:right w:val="nil"/>
            </w:tcBorders>
          </w:tcPr>
          <w:p w14:paraId="4B07F8D3"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64" w:type="dxa"/>
            <w:tcBorders>
              <w:left w:val="nil"/>
              <w:bottom w:val="nil"/>
              <w:right w:val="nil"/>
            </w:tcBorders>
          </w:tcPr>
          <w:p w14:paraId="0BE1A5ED"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11" w:type="dxa"/>
            <w:tcBorders>
              <w:left w:val="nil"/>
              <w:bottom w:val="nil"/>
              <w:right w:val="nil"/>
            </w:tcBorders>
          </w:tcPr>
          <w:p w14:paraId="6AA71E75"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66" w:type="dxa"/>
            <w:tcBorders>
              <w:left w:val="nil"/>
              <w:bottom w:val="nil"/>
              <w:right w:val="nil"/>
            </w:tcBorders>
          </w:tcPr>
          <w:p w14:paraId="28485289"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04" w:type="dxa"/>
            <w:tcBorders>
              <w:left w:val="nil"/>
              <w:bottom w:val="nil"/>
              <w:right w:val="nil"/>
            </w:tcBorders>
          </w:tcPr>
          <w:p w14:paraId="7993180D" w14:textId="77777777" w:rsidR="00A865A7" w:rsidRPr="00A865A7" w:rsidRDefault="00A865A7" w:rsidP="00A865A7">
            <w:pPr>
              <w:spacing w:line="276" w:lineRule="auto"/>
              <w:jc w:val="center"/>
              <w:rPr>
                <w:rFonts w:ascii="Times New Roman" w:hAnsi="Times New Roman" w:cs="Times New Roman"/>
                <w:bCs/>
                <w:sz w:val="20"/>
                <w:szCs w:val="20"/>
              </w:rPr>
            </w:pPr>
          </w:p>
        </w:tc>
        <w:tc>
          <w:tcPr>
            <w:tcW w:w="836" w:type="dxa"/>
            <w:tcBorders>
              <w:left w:val="nil"/>
              <w:bottom w:val="nil"/>
              <w:right w:val="nil"/>
            </w:tcBorders>
          </w:tcPr>
          <w:p w14:paraId="1B0E931A"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73" w:type="dxa"/>
            <w:gridSpan w:val="2"/>
            <w:tcBorders>
              <w:left w:val="nil"/>
              <w:bottom w:val="nil"/>
              <w:right w:val="nil"/>
            </w:tcBorders>
          </w:tcPr>
          <w:p w14:paraId="192E00F9"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65" w:type="dxa"/>
            <w:tcBorders>
              <w:left w:val="nil"/>
              <w:bottom w:val="nil"/>
              <w:right w:val="nil"/>
            </w:tcBorders>
          </w:tcPr>
          <w:p w14:paraId="14E81099" w14:textId="77777777" w:rsidR="00A865A7" w:rsidRPr="00A865A7" w:rsidRDefault="00A865A7" w:rsidP="00A865A7">
            <w:pPr>
              <w:spacing w:line="276" w:lineRule="auto"/>
              <w:jc w:val="center"/>
              <w:rPr>
                <w:rFonts w:ascii="Times New Roman" w:hAnsi="Times New Roman" w:cs="Times New Roman"/>
                <w:bCs/>
                <w:sz w:val="20"/>
                <w:szCs w:val="20"/>
              </w:rPr>
            </w:pPr>
          </w:p>
        </w:tc>
        <w:tc>
          <w:tcPr>
            <w:tcW w:w="846" w:type="dxa"/>
            <w:tcBorders>
              <w:left w:val="nil"/>
              <w:bottom w:val="nil"/>
              <w:right w:val="nil"/>
            </w:tcBorders>
          </w:tcPr>
          <w:p w14:paraId="25D183A4" w14:textId="77777777" w:rsidR="00A865A7" w:rsidRPr="00A865A7" w:rsidRDefault="00A865A7" w:rsidP="00A865A7">
            <w:pPr>
              <w:spacing w:line="276" w:lineRule="auto"/>
              <w:jc w:val="center"/>
              <w:rPr>
                <w:rFonts w:ascii="Times New Roman" w:hAnsi="Times New Roman" w:cs="Times New Roman"/>
                <w:bCs/>
                <w:sz w:val="20"/>
                <w:szCs w:val="20"/>
              </w:rPr>
            </w:pPr>
          </w:p>
        </w:tc>
        <w:tc>
          <w:tcPr>
            <w:tcW w:w="711" w:type="dxa"/>
            <w:tcBorders>
              <w:left w:val="nil"/>
              <w:bottom w:val="nil"/>
              <w:right w:val="nil"/>
            </w:tcBorders>
          </w:tcPr>
          <w:p w14:paraId="71B3FE0C" w14:textId="77777777" w:rsidR="00A865A7" w:rsidRPr="00A865A7" w:rsidRDefault="00A865A7" w:rsidP="00A865A7">
            <w:pPr>
              <w:spacing w:line="276" w:lineRule="auto"/>
              <w:jc w:val="center"/>
              <w:rPr>
                <w:rFonts w:ascii="Times New Roman" w:hAnsi="Times New Roman" w:cs="Times New Roman"/>
                <w:bCs/>
                <w:sz w:val="20"/>
                <w:szCs w:val="20"/>
              </w:rPr>
            </w:pPr>
          </w:p>
        </w:tc>
        <w:tc>
          <w:tcPr>
            <w:tcW w:w="441" w:type="dxa"/>
            <w:tcBorders>
              <w:left w:val="nil"/>
              <w:bottom w:val="nil"/>
              <w:right w:val="nil"/>
            </w:tcBorders>
          </w:tcPr>
          <w:p w14:paraId="2125F98A" w14:textId="77777777" w:rsidR="00A865A7" w:rsidRPr="00A865A7" w:rsidRDefault="00A865A7" w:rsidP="00A865A7">
            <w:pPr>
              <w:spacing w:line="276" w:lineRule="auto"/>
              <w:jc w:val="center"/>
              <w:rPr>
                <w:rFonts w:ascii="Times New Roman" w:hAnsi="Times New Roman" w:cs="Times New Roman"/>
                <w:bCs/>
                <w:sz w:val="20"/>
                <w:szCs w:val="20"/>
              </w:rPr>
            </w:pPr>
          </w:p>
        </w:tc>
        <w:tc>
          <w:tcPr>
            <w:tcW w:w="427" w:type="dxa"/>
            <w:tcBorders>
              <w:left w:val="nil"/>
              <w:bottom w:val="nil"/>
              <w:right w:val="nil"/>
            </w:tcBorders>
          </w:tcPr>
          <w:p w14:paraId="48E2DB41" w14:textId="77777777" w:rsidR="00A865A7" w:rsidRPr="00A865A7" w:rsidRDefault="00A865A7" w:rsidP="00A865A7">
            <w:pPr>
              <w:spacing w:line="276" w:lineRule="auto"/>
              <w:jc w:val="center"/>
              <w:rPr>
                <w:rFonts w:ascii="Times New Roman" w:hAnsi="Times New Roman" w:cs="Times New Roman"/>
                <w:bCs/>
                <w:sz w:val="20"/>
                <w:szCs w:val="20"/>
              </w:rPr>
            </w:pPr>
          </w:p>
        </w:tc>
        <w:tc>
          <w:tcPr>
            <w:tcW w:w="503" w:type="dxa"/>
            <w:tcBorders>
              <w:left w:val="nil"/>
              <w:bottom w:val="nil"/>
              <w:right w:val="nil"/>
            </w:tcBorders>
          </w:tcPr>
          <w:p w14:paraId="42022853" w14:textId="77777777" w:rsidR="00A865A7" w:rsidRPr="00A865A7" w:rsidRDefault="00A865A7" w:rsidP="00A865A7">
            <w:pPr>
              <w:spacing w:line="276" w:lineRule="auto"/>
              <w:jc w:val="center"/>
              <w:rPr>
                <w:rFonts w:ascii="Times New Roman" w:hAnsi="Times New Roman" w:cs="Times New Roman"/>
                <w:bCs/>
                <w:sz w:val="20"/>
                <w:szCs w:val="20"/>
              </w:rPr>
            </w:pPr>
          </w:p>
        </w:tc>
      </w:tr>
      <w:tr w:rsidR="00A865A7" w:rsidRPr="00A865A7" w14:paraId="2AAF9540" w14:textId="77777777" w:rsidTr="00A865A7">
        <w:trPr>
          <w:trHeight w:val="635"/>
        </w:trPr>
        <w:tc>
          <w:tcPr>
            <w:tcW w:w="1503" w:type="dxa"/>
            <w:tcBorders>
              <w:top w:val="nil"/>
              <w:left w:val="nil"/>
              <w:bottom w:val="nil"/>
              <w:right w:val="nil"/>
            </w:tcBorders>
          </w:tcPr>
          <w:p w14:paraId="7954B937"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2. Soft-drink drift</w:t>
            </w:r>
          </w:p>
        </w:tc>
        <w:tc>
          <w:tcPr>
            <w:tcW w:w="711" w:type="dxa"/>
            <w:tcBorders>
              <w:top w:val="nil"/>
              <w:left w:val="nil"/>
              <w:bottom w:val="nil"/>
              <w:right w:val="nil"/>
            </w:tcBorders>
          </w:tcPr>
          <w:p w14:paraId="425270EF"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.59***</w:t>
            </w:r>
          </w:p>
        </w:tc>
        <w:tc>
          <w:tcPr>
            <w:tcW w:w="501" w:type="dxa"/>
            <w:tcBorders>
              <w:top w:val="nil"/>
              <w:left w:val="nil"/>
              <w:bottom w:val="nil"/>
              <w:right w:val="nil"/>
            </w:tcBorders>
          </w:tcPr>
          <w:p w14:paraId="6FC367B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66E26E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3AD8375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13CF543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13DE1BB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4AD9361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09FD9DB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61989BF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6A46A2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5C89846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22A957A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5593B12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1DFEF93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59AB454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1A8D017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2E7E222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37F1DA1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544756C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4FD7F3C4"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37B2D7AA" w14:textId="77777777" w:rsidTr="00A865A7">
        <w:trPr>
          <w:trHeight w:val="635"/>
        </w:trPr>
        <w:tc>
          <w:tcPr>
            <w:tcW w:w="1503" w:type="dxa"/>
            <w:tcBorders>
              <w:top w:val="nil"/>
              <w:left w:val="nil"/>
              <w:bottom w:val="nil"/>
              <w:right w:val="nil"/>
            </w:tcBorders>
          </w:tcPr>
          <w:p w14:paraId="2CFD7312"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3. Alcohol boundary</w:t>
            </w:r>
          </w:p>
        </w:tc>
        <w:tc>
          <w:tcPr>
            <w:tcW w:w="711" w:type="dxa"/>
            <w:tcBorders>
              <w:top w:val="nil"/>
              <w:left w:val="nil"/>
              <w:bottom w:val="nil"/>
              <w:right w:val="nil"/>
            </w:tcBorders>
          </w:tcPr>
          <w:p w14:paraId="1234439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01" w:type="dxa"/>
            <w:tcBorders>
              <w:top w:val="nil"/>
              <w:left w:val="nil"/>
              <w:bottom w:val="nil"/>
              <w:right w:val="nil"/>
            </w:tcBorders>
          </w:tcPr>
          <w:p w14:paraId="7A10FD3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711" w:type="dxa"/>
            <w:tcBorders>
              <w:top w:val="nil"/>
              <w:left w:val="nil"/>
              <w:bottom w:val="nil"/>
              <w:right w:val="nil"/>
            </w:tcBorders>
          </w:tcPr>
          <w:p w14:paraId="78CE5A1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1F6389D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48ACA4D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223CF03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16D7A66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6A186B8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45E2024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0A7DDDF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19B84E5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4EA1B5F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2CCDDF0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70F2E34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310596F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3E7D9E4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742D0E9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7F965F3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46CEE9F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0AF36D40"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19D751C9" w14:textId="77777777" w:rsidTr="00A865A7">
        <w:trPr>
          <w:trHeight w:val="635"/>
        </w:trPr>
        <w:tc>
          <w:tcPr>
            <w:tcW w:w="1503" w:type="dxa"/>
            <w:tcBorders>
              <w:top w:val="nil"/>
              <w:left w:val="nil"/>
              <w:bottom w:val="nil"/>
              <w:right w:val="nil"/>
            </w:tcBorders>
          </w:tcPr>
          <w:p w14:paraId="63085D10"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4. Soft-drink boundary</w:t>
            </w:r>
          </w:p>
        </w:tc>
        <w:tc>
          <w:tcPr>
            <w:tcW w:w="711" w:type="dxa"/>
            <w:tcBorders>
              <w:top w:val="nil"/>
              <w:left w:val="nil"/>
              <w:bottom w:val="nil"/>
              <w:right w:val="nil"/>
            </w:tcBorders>
          </w:tcPr>
          <w:p w14:paraId="52E7138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501" w:type="dxa"/>
            <w:tcBorders>
              <w:top w:val="nil"/>
              <w:left w:val="nil"/>
              <w:bottom w:val="nil"/>
              <w:right w:val="nil"/>
            </w:tcBorders>
          </w:tcPr>
          <w:p w14:paraId="05E48D9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-.19</w:t>
            </w:r>
          </w:p>
        </w:tc>
        <w:tc>
          <w:tcPr>
            <w:tcW w:w="711" w:type="dxa"/>
            <w:tcBorders>
              <w:top w:val="nil"/>
              <w:left w:val="nil"/>
              <w:bottom w:val="nil"/>
              <w:right w:val="nil"/>
            </w:tcBorders>
          </w:tcPr>
          <w:p w14:paraId="2C189D25"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.70***</w:t>
            </w:r>
          </w:p>
        </w:tc>
        <w:tc>
          <w:tcPr>
            <w:tcW w:w="565" w:type="dxa"/>
            <w:tcBorders>
              <w:top w:val="nil"/>
              <w:left w:val="nil"/>
              <w:bottom w:val="nil"/>
              <w:right w:val="nil"/>
            </w:tcBorders>
          </w:tcPr>
          <w:p w14:paraId="47514C4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14E78C8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1207810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44EE66F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08F05DF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0851462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0FC872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62D9C63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5796577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3DA74DFF"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5668059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FAAE5B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0A3B8D5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29AA708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0AAB41F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670F25B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4B265D55"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53BBB850" w14:textId="77777777" w:rsidTr="00A865A7">
        <w:trPr>
          <w:trHeight w:val="436"/>
        </w:trPr>
        <w:tc>
          <w:tcPr>
            <w:tcW w:w="1503" w:type="dxa"/>
            <w:tcBorders>
              <w:top w:val="nil"/>
              <w:left w:val="nil"/>
              <w:bottom w:val="nil"/>
              <w:right w:val="nil"/>
            </w:tcBorders>
          </w:tcPr>
          <w:p w14:paraId="74693F91"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5. AUDIT</w:t>
            </w:r>
          </w:p>
        </w:tc>
        <w:tc>
          <w:tcPr>
            <w:tcW w:w="711" w:type="dxa"/>
            <w:tcBorders>
              <w:top w:val="nil"/>
              <w:left w:val="nil"/>
              <w:bottom w:val="nil"/>
              <w:right w:val="nil"/>
            </w:tcBorders>
          </w:tcPr>
          <w:p w14:paraId="04B89CA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01" w:type="dxa"/>
            <w:tcBorders>
              <w:top w:val="nil"/>
              <w:left w:val="nil"/>
              <w:bottom w:val="nil"/>
              <w:right w:val="nil"/>
            </w:tcBorders>
          </w:tcPr>
          <w:p w14:paraId="395F948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711" w:type="dxa"/>
            <w:tcBorders>
              <w:top w:val="nil"/>
              <w:left w:val="nil"/>
              <w:bottom w:val="nil"/>
              <w:right w:val="nil"/>
            </w:tcBorders>
          </w:tcPr>
          <w:p w14:paraId="22D2E128"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.26*</w:t>
            </w:r>
          </w:p>
        </w:tc>
        <w:tc>
          <w:tcPr>
            <w:tcW w:w="565" w:type="dxa"/>
            <w:tcBorders>
              <w:top w:val="nil"/>
              <w:left w:val="nil"/>
              <w:bottom w:val="nil"/>
              <w:right w:val="nil"/>
            </w:tcBorders>
          </w:tcPr>
          <w:p w14:paraId="0F147FA5"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.26*</w:t>
            </w:r>
          </w:p>
        </w:tc>
        <w:tc>
          <w:tcPr>
            <w:tcW w:w="850" w:type="dxa"/>
            <w:tcBorders>
              <w:top w:val="nil"/>
              <w:left w:val="nil"/>
              <w:bottom w:val="nil"/>
              <w:right w:val="nil"/>
            </w:tcBorders>
          </w:tcPr>
          <w:p w14:paraId="207194B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50" w:type="dxa"/>
            <w:tcBorders>
              <w:top w:val="nil"/>
              <w:left w:val="nil"/>
              <w:bottom w:val="nil"/>
              <w:right w:val="nil"/>
            </w:tcBorders>
          </w:tcPr>
          <w:p w14:paraId="4062032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0B2083A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7967813F"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12D6371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F0C21B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4F76DB8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1DCF8BC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3E330A3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471AE80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E43E91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3E514EE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504CB50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29C9C7D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3D03D44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56F36D7A"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394EDF79" w14:textId="77777777" w:rsidTr="00A865A7">
        <w:trPr>
          <w:trHeight w:val="635"/>
        </w:trPr>
        <w:tc>
          <w:tcPr>
            <w:tcW w:w="1503" w:type="dxa"/>
            <w:tcBorders>
              <w:top w:val="nil"/>
              <w:left w:val="nil"/>
              <w:bottom w:val="nil"/>
              <w:right w:val="nil"/>
            </w:tcBorders>
          </w:tcPr>
          <w:p w14:paraId="639AAA7B"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6. Problem recognition</w:t>
            </w:r>
          </w:p>
        </w:tc>
        <w:tc>
          <w:tcPr>
            <w:tcW w:w="711" w:type="dxa"/>
            <w:tcBorders>
              <w:top w:val="nil"/>
              <w:left w:val="nil"/>
              <w:bottom w:val="nil"/>
              <w:right w:val="nil"/>
            </w:tcBorders>
          </w:tcPr>
          <w:p w14:paraId="3F8B0D3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.03</w:t>
            </w:r>
          </w:p>
        </w:tc>
        <w:tc>
          <w:tcPr>
            <w:tcW w:w="501" w:type="dxa"/>
            <w:tcBorders>
              <w:top w:val="nil"/>
              <w:left w:val="nil"/>
              <w:bottom w:val="nil"/>
              <w:right w:val="nil"/>
            </w:tcBorders>
          </w:tcPr>
          <w:p w14:paraId="548703B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711" w:type="dxa"/>
            <w:tcBorders>
              <w:top w:val="nil"/>
              <w:left w:val="nil"/>
              <w:bottom w:val="nil"/>
              <w:right w:val="nil"/>
            </w:tcBorders>
          </w:tcPr>
          <w:p w14:paraId="5AA5A22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565" w:type="dxa"/>
            <w:tcBorders>
              <w:top w:val="nil"/>
              <w:left w:val="nil"/>
              <w:bottom w:val="nil"/>
              <w:right w:val="nil"/>
            </w:tcBorders>
          </w:tcPr>
          <w:p w14:paraId="1F4A678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850" w:type="dxa"/>
            <w:tcBorders>
              <w:top w:val="nil"/>
              <w:left w:val="nil"/>
              <w:bottom w:val="nil"/>
              <w:right w:val="nil"/>
            </w:tcBorders>
          </w:tcPr>
          <w:p w14:paraId="04721962"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.70***</w:t>
            </w:r>
          </w:p>
        </w:tc>
        <w:tc>
          <w:tcPr>
            <w:tcW w:w="850" w:type="dxa"/>
            <w:tcBorders>
              <w:top w:val="nil"/>
              <w:left w:val="nil"/>
              <w:bottom w:val="nil"/>
              <w:right w:val="nil"/>
            </w:tcBorders>
          </w:tcPr>
          <w:p w14:paraId="284483B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677CF4E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3FCBB5A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0503C36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7C6CC93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7470520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14075A3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791CC61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5FE7956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525C5E3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3C97929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1DDE80B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7BFBF31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0BA9D60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0D84C38E"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7E4CF6BC" w14:textId="77777777" w:rsidTr="00A865A7">
        <w:trPr>
          <w:trHeight w:val="635"/>
        </w:trPr>
        <w:tc>
          <w:tcPr>
            <w:tcW w:w="1503" w:type="dxa"/>
            <w:tcBorders>
              <w:top w:val="nil"/>
              <w:left w:val="nil"/>
              <w:bottom w:val="nil"/>
              <w:right w:val="nil"/>
            </w:tcBorders>
          </w:tcPr>
          <w:p w14:paraId="21E00A56"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 xml:space="preserve">7. Self-efficacy </w:t>
            </w:r>
          </w:p>
          <w:p w14:paraId="2AF955DE"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(social)</w:t>
            </w:r>
          </w:p>
        </w:tc>
        <w:tc>
          <w:tcPr>
            <w:tcW w:w="711" w:type="dxa"/>
            <w:tcBorders>
              <w:top w:val="nil"/>
              <w:left w:val="nil"/>
              <w:bottom w:val="nil"/>
              <w:right w:val="nil"/>
            </w:tcBorders>
          </w:tcPr>
          <w:p w14:paraId="3A5FEA3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501" w:type="dxa"/>
            <w:tcBorders>
              <w:top w:val="nil"/>
              <w:left w:val="nil"/>
              <w:bottom w:val="nil"/>
              <w:right w:val="nil"/>
            </w:tcBorders>
          </w:tcPr>
          <w:p w14:paraId="0CA8D4D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-.18</w:t>
            </w:r>
          </w:p>
        </w:tc>
        <w:tc>
          <w:tcPr>
            <w:tcW w:w="711" w:type="dxa"/>
            <w:tcBorders>
              <w:top w:val="nil"/>
              <w:left w:val="nil"/>
              <w:bottom w:val="nil"/>
              <w:right w:val="nil"/>
            </w:tcBorders>
          </w:tcPr>
          <w:p w14:paraId="43F8F61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565" w:type="dxa"/>
            <w:tcBorders>
              <w:top w:val="nil"/>
              <w:left w:val="nil"/>
              <w:bottom w:val="nil"/>
              <w:right w:val="nil"/>
            </w:tcBorders>
          </w:tcPr>
          <w:p w14:paraId="4104E77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850" w:type="dxa"/>
            <w:tcBorders>
              <w:top w:val="nil"/>
              <w:left w:val="nil"/>
              <w:bottom w:val="nil"/>
              <w:right w:val="nil"/>
            </w:tcBorders>
          </w:tcPr>
          <w:p w14:paraId="743041F3"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-.31*</w:t>
            </w:r>
          </w:p>
        </w:tc>
        <w:tc>
          <w:tcPr>
            <w:tcW w:w="850" w:type="dxa"/>
            <w:tcBorders>
              <w:top w:val="nil"/>
              <w:left w:val="nil"/>
              <w:bottom w:val="nil"/>
              <w:right w:val="nil"/>
            </w:tcBorders>
          </w:tcPr>
          <w:p w14:paraId="7A5F0E4B"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-.38**</w:t>
            </w:r>
          </w:p>
        </w:tc>
        <w:tc>
          <w:tcPr>
            <w:tcW w:w="711" w:type="dxa"/>
            <w:tcBorders>
              <w:top w:val="nil"/>
              <w:left w:val="nil"/>
              <w:bottom w:val="nil"/>
              <w:right w:val="nil"/>
            </w:tcBorders>
          </w:tcPr>
          <w:p w14:paraId="2BB45FB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5" w:type="dxa"/>
            <w:tcBorders>
              <w:top w:val="nil"/>
              <w:left w:val="nil"/>
              <w:bottom w:val="nil"/>
              <w:right w:val="nil"/>
            </w:tcBorders>
          </w:tcPr>
          <w:p w14:paraId="41C99F5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6EF1AF1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48D77FF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0E55FD6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13E63E5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02F3649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4E675A9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E0B02E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377A998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755FB80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7423363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05E4926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2CD18E4D"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69EAA413" w14:textId="77777777" w:rsidTr="00A865A7">
        <w:trPr>
          <w:trHeight w:val="635"/>
        </w:trPr>
        <w:tc>
          <w:tcPr>
            <w:tcW w:w="1503" w:type="dxa"/>
            <w:tcBorders>
              <w:top w:val="nil"/>
              <w:left w:val="nil"/>
              <w:bottom w:val="nil"/>
              <w:right w:val="nil"/>
            </w:tcBorders>
          </w:tcPr>
          <w:p w14:paraId="69A29789"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 xml:space="preserve">8. Self-efficacy </w:t>
            </w:r>
          </w:p>
          <w:p w14:paraId="1D9C4BBF"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(emotional)</w:t>
            </w:r>
          </w:p>
        </w:tc>
        <w:tc>
          <w:tcPr>
            <w:tcW w:w="711" w:type="dxa"/>
            <w:tcBorders>
              <w:top w:val="nil"/>
              <w:left w:val="nil"/>
              <w:bottom w:val="nil"/>
              <w:right w:val="nil"/>
            </w:tcBorders>
          </w:tcPr>
          <w:p w14:paraId="1012A43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01" w:type="dxa"/>
            <w:tcBorders>
              <w:top w:val="nil"/>
              <w:left w:val="nil"/>
              <w:bottom w:val="nil"/>
              <w:right w:val="nil"/>
            </w:tcBorders>
          </w:tcPr>
          <w:p w14:paraId="3632DD4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11" w:type="dxa"/>
            <w:tcBorders>
              <w:top w:val="nil"/>
              <w:left w:val="nil"/>
              <w:bottom w:val="nil"/>
              <w:right w:val="nil"/>
            </w:tcBorders>
          </w:tcPr>
          <w:p w14:paraId="585F939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565" w:type="dxa"/>
            <w:tcBorders>
              <w:top w:val="nil"/>
              <w:left w:val="nil"/>
              <w:bottom w:val="nil"/>
              <w:right w:val="nil"/>
            </w:tcBorders>
          </w:tcPr>
          <w:p w14:paraId="65AE7E9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.09</w:t>
            </w:r>
          </w:p>
        </w:tc>
        <w:tc>
          <w:tcPr>
            <w:tcW w:w="850" w:type="dxa"/>
            <w:tcBorders>
              <w:top w:val="nil"/>
              <w:left w:val="nil"/>
              <w:bottom w:val="nil"/>
              <w:right w:val="nil"/>
            </w:tcBorders>
          </w:tcPr>
          <w:p w14:paraId="723B6C86"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-.51***</w:t>
            </w:r>
          </w:p>
        </w:tc>
        <w:tc>
          <w:tcPr>
            <w:tcW w:w="850" w:type="dxa"/>
            <w:tcBorders>
              <w:top w:val="nil"/>
              <w:left w:val="nil"/>
              <w:bottom w:val="nil"/>
              <w:right w:val="nil"/>
            </w:tcBorders>
          </w:tcPr>
          <w:p w14:paraId="6CBF52AE"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-.55***</w:t>
            </w:r>
          </w:p>
        </w:tc>
        <w:tc>
          <w:tcPr>
            <w:tcW w:w="711" w:type="dxa"/>
            <w:tcBorders>
              <w:top w:val="nil"/>
              <w:left w:val="nil"/>
              <w:bottom w:val="nil"/>
              <w:right w:val="nil"/>
            </w:tcBorders>
          </w:tcPr>
          <w:p w14:paraId="02D3BCC0"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.55***</w:t>
            </w:r>
          </w:p>
        </w:tc>
        <w:tc>
          <w:tcPr>
            <w:tcW w:w="705" w:type="dxa"/>
            <w:tcBorders>
              <w:top w:val="nil"/>
              <w:left w:val="nil"/>
              <w:bottom w:val="nil"/>
              <w:right w:val="nil"/>
            </w:tcBorders>
          </w:tcPr>
          <w:p w14:paraId="0FFCB5A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4" w:type="dxa"/>
            <w:tcBorders>
              <w:top w:val="nil"/>
              <w:left w:val="nil"/>
              <w:bottom w:val="nil"/>
              <w:right w:val="nil"/>
            </w:tcBorders>
          </w:tcPr>
          <w:p w14:paraId="6CD12EA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2FF7472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3C71B3D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710DA8B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340EF56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3CE9912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771DD4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1643E14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45259EB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4F4657A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589D699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29E8FACF"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0AE9E0EB" w14:textId="77777777" w:rsidTr="00A865A7">
        <w:trPr>
          <w:trHeight w:val="635"/>
        </w:trPr>
        <w:tc>
          <w:tcPr>
            <w:tcW w:w="1503" w:type="dxa"/>
            <w:tcBorders>
              <w:top w:val="nil"/>
              <w:left w:val="nil"/>
              <w:bottom w:val="nil"/>
              <w:right w:val="nil"/>
            </w:tcBorders>
          </w:tcPr>
          <w:p w14:paraId="69A554AD"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9. Self-efficacy</w:t>
            </w:r>
          </w:p>
          <w:p w14:paraId="06AE60A5"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 xml:space="preserve"> (opportunity)</w:t>
            </w:r>
          </w:p>
        </w:tc>
        <w:tc>
          <w:tcPr>
            <w:tcW w:w="711" w:type="dxa"/>
            <w:tcBorders>
              <w:top w:val="nil"/>
              <w:left w:val="nil"/>
              <w:bottom w:val="nil"/>
              <w:right w:val="nil"/>
            </w:tcBorders>
          </w:tcPr>
          <w:p w14:paraId="6ABE4DB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01" w:type="dxa"/>
            <w:tcBorders>
              <w:top w:val="nil"/>
              <w:left w:val="nil"/>
              <w:bottom w:val="nil"/>
              <w:right w:val="nil"/>
            </w:tcBorders>
          </w:tcPr>
          <w:p w14:paraId="21B8530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711" w:type="dxa"/>
            <w:tcBorders>
              <w:top w:val="nil"/>
              <w:left w:val="nil"/>
              <w:bottom w:val="nil"/>
              <w:right w:val="nil"/>
            </w:tcBorders>
          </w:tcPr>
          <w:p w14:paraId="3755FC7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565" w:type="dxa"/>
            <w:tcBorders>
              <w:top w:val="nil"/>
              <w:left w:val="nil"/>
              <w:bottom w:val="nil"/>
              <w:right w:val="nil"/>
            </w:tcBorders>
          </w:tcPr>
          <w:p w14:paraId="78C2977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850" w:type="dxa"/>
            <w:tcBorders>
              <w:top w:val="nil"/>
              <w:left w:val="nil"/>
              <w:bottom w:val="nil"/>
              <w:right w:val="nil"/>
            </w:tcBorders>
          </w:tcPr>
          <w:p w14:paraId="5C3AED87"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-.34***</w:t>
            </w:r>
          </w:p>
        </w:tc>
        <w:tc>
          <w:tcPr>
            <w:tcW w:w="850" w:type="dxa"/>
            <w:tcBorders>
              <w:top w:val="nil"/>
              <w:left w:val="nil"/>
              <w:bottom w:val="nil"/>
              <w:right w:val="nil"/>
            </w:tcBorders>
          </w:tcPr>
          <w:p w14:paraId="5BB740C3"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-.50***</w:t>
            </w:r>
          </w:p>
        </w:tc>
        <w:tc>
          <w:tcPr>
            <w:tcW w:w="711" w:type="dxa"/>
            <w:tcBorders>
              <w:top w:val="nil"/>
              <w:left w:val="nil"/>
              <w:bottom w:val="nil"/>
              <w:right w:val="nil"/>
            </w:tcBorders>
          </w:tcPr>
          <w:p w14:paraId="203C683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.16</w:t>
            </w:r>
          </w:p>
        </w:tc>
        <w:tc>
          <w:tcPr>
            <w:tcW w:w="1269" w:type="dxa"/>
            <w:gridSpan w:val="2"/>
            <w:tcBorders>
              <w:top w:val="nil"/>
              <w:left w:val="nil"/>
              <w:bottom w:val="nil"/>
              <w:right w:val="nil"/>
            </w:tcBorders>
          </w:tcPr>
          <w:p w14:paraId="4875A9C4" w14:textId="77777777" w:rsidR="00A865A7" w:rsidRPr="00A865A7" w:rsidRDefault="00A865A7" w:rsidP="00A865A7">
            <w:pPr>
              <w:spacing w:line="276" w:lineRule="auto"/>
              <w:rPr>
                <w:rFonts w:ascii="Times New Roman" w:hAnsi="Times New Roman" w:cs="Times New Roman"/>
                <w:b/>
                <w:sz w:val="18"/>
                <w:szCs w:val="18"/>
              </w:rPr>
            </w:pPr>
            <w:r w:rsidRPr="00A865A7">
              <w:rPr>
                <w:rFonts w:ascii="Times New Roman" w:hAnsi="Times New Roman" w:cs="Times New Roman"/>
                <w:b/>
                <w:sz w:val="18"/>
                <w:szCs w:val="18"/>
              </w:rPr>
              <w:t xml:space="preserve">    .41**</w:t>
            </w:r>
          </w:p>
        </w:tc>
        <w:tc>
          <w:tcPr>
            <w:tcW w:w="711" w:type="dxa"/>
            <w:tcBorders>
              <w:top w:val="nil"/>
              <w:left w:val="nil"/>
              <w:bottom w:val="nil"/>
              <w:right w:val="nil"/>
            </w:tcBorders>
          </w:tcPr>
          <w:p w14:paraId="64FEA41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17EAB33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21E943A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0CD54A3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6D8DE79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77F9849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3A6133E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E11200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320670B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3C1F74A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1DCADF6B"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6A622D5E" w14:textId="77777777" w:rsidTr="00A865A7">
        <w:trPr>
          <w:trHeight w:val="635"/>
        </w:trPr>
        <w:tc>
          <w:tcPr>
            <w:tcW w:w="1503" w:type="dxa"/>
            <w:tcBorders>
              <w:top w:val="nil"/>
              <w:left w:val="nil"/>
              <w:bottom w:val="nil"/>
              <w:right w:val="nil"/>
            </w:tcBorders>
          </w:tcPr>
          <w:p w14:paraId="49665111"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10. Presence of meaning</w:t>
            </w:r>
          </w:p>
        </w:tc>
        <w:tc>
          <w:tcPr>
            <w:tcW w:w="711" w:type="dxa"/>
            <w:tcBorders>
              <w:top w:val="nil"/>
              <w:left w:val="nil"/>
              <w:bottom w:val="nil"/>
              <w:right w:val="nil"/>
            </w:tcBorders>
          </w:tcPr>
          <w:p w14:paraId="7540CDC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-.25</w:t>
            </w:r>
          </w:p>
        </w:tc>
        <w:tc>
          <w:tcPr>
            <w:tcW w:w="501" w:type="dxa"/>
            <w:tcBorders>
              <w:top w:val="nil"/>
              <w:left w:val="nil"/>
              <w:bottom w:val="nil"/>
              <w:right w:val="nil"/>
            </w:tcBorders>
          </w:tcPr>
          <w:p w14:paraId="5222DB2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711" w:type="dxa"/>
            <w:tcBorders>
              <w:top w:val="nil"/>
              <w:left w:val="nil"/>
              <w:bottom w:val="nil"/>
              <w:right w:val="nil"/>
            </w:tcBorders>
          </w:tcPr>
          <w:p w14:paraId="1E3F3AAC"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.24</w:t>
            </w:r>
          </w:p>
        </w:tc>
        <w:tc>
          <w:tcPr>
            <w:tcW w:w="565" w:type="dxa"/>
            <w:tcBorders>
              <w:top w:val="nil"/>
              <w:left w:val="nil"/>
              <w:bottom w:val="nil"/>
              <w:right w:val="nil"/>
            </w:tcBorders>
          </w:tcPr>
          <w:p w14:paraId="7ABA8C7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.25</w:t>
            </w:r>
          </w:p>
        </w:tc>
        <w:tc>
          <w:tcPr>
            <w:tcW w:w="850" w:type="dxa"/>
            <w:tcBorders>
              <w:top w:val="nil"/>
              <w:left w:val="nil"/>
              <w:bottom w:val="nil"/>
              <w:right w:val="nil"/>
            </w:tcBorders>
          </w:tcPr>
          <w:p w14:paraId="61AC4D2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850" w:type="dxa"/>
            <w:tcBorders>
              <w:top w:val="nil"/>
              <w:left w:val="nil"/>
              <w:bottom w:val="nil"/>
              <w:right w:val="nil"/>
            </w:tcBorders>
          </w:tcPr>
          <w:p w14:paraId="2A17F45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-.16</w:t>
            </w:r>
          </w:p>
        </w:tc>
        <w:tc>
          <w:tcPr>
            <w:tcW w:w="711" w:type="dxa"/>
            <w:tcBorders>
              <w:top w:val="nil"/>
              <w:left w:val="nil"/>
              <w:bottom w:val="nil"/>
              <w:right w:val="nil"/>
            </w:tcBorders>
          </w:tcPr>
          <w:p w14:paraId="740538B1"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.11</w:t>
            </w:r>
          </w:p>
        </w:tc>
        <w:tc>
          <w:tcPr>
            <w:tcW w:w="705" w:type="dxa"/>
            <w:tcBorders>
              <w:top w:val="nil"/>
              <w:left w:val="nil"/>
              <w:bottom w:val="nil"/>
              <w:right w:val="nil"/>
            </w:tcBorders>
          </w:tcPr>
          <w:p w14:paraId="075CDA0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.24</w:t>
            </w:r>
          </w:p>
        </w:tc>
        <w:tc>
          <w:tcPr>
            <w:tcW w:w="564" w:type="dxa"/>
            <w:tcBorders>
              <w:top w:val="nil"/>
              <w:left w:val="nil"/>
              <w:bottom w:val="nil"/>
              <w:right w:val="nil"/>
            </w:tcBorders>
          </w:tcPr>
          <w:p w14:paraId="1024545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711" w:type="dxa"/>
            <w:tcBorders>
              <w:top w:val="nil"/>
              <w:left w:val="nil"/>
              <w:bottom w:val="nil"/>
              <w:right w:val="nil"/>
            </w:tcBorders>
          </w:tcPr>
          <w:p w14:paraId="5CC58B9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6" w:type="dxa"/>
            <w:tcBorders>
              <w:top w:val="nil"/>
              <w:left w:val="nil"/>
              <w:bottom w:val="nil"/>
              <w:right w:val="nil"/>
            </w:tcBorders>
          </w:tcPr>
          <w:p w14:paraId="2188F9D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1EE5B31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6D13D76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2D3BCC7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A2075E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7A581C58"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21445EB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56F2915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32BE579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4B32793E"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743FA850" w14:textId="77777777" w:rsidTr="00A865A7">
        <w:trPr>
          <w:trHeight w:val="635"/>
        </w:trPr>
        <w:tc>
          <w:tcPr>
            <w:tcW w:w="1503" w:type="dxa"/>
            <w:tcBorders>
              <w:top w:val="nil"/>
              <w:left w:val="nil"/>
              <w:bottom w:val="nil"/>
              <w:right w:val="nil"/>
            </w:tcBorders>
          </w:tcPr>
          <w:p w14:paraId="537353ED"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11. Search for meaning</w:t>
            </w:r>
          </w:p>
        </w:tc>
        <w:tc>
          <w:tcPr>
            <w:tcW w:w="711" w:type="dxa"/>
            <w:tcBorders>
              <w:top w:val="nil"/>
              <w:left w:val="nil"/>
              <w:bottom w:val="nil"/>
              <w:right w:val="nil"/>
            </w:tcBorders>
          </w:tcPr>
          <w:p w14:paraId="0A6790B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-.00</w:t>
            </w:r>
          </w:p>
        </w:tc>
        <w:tc>
          <w:tcPr>
            <w:tcW w:w="501" w:type="dxa"/>
            <w:tcBorders>
              <w:top w:val="nil"/>
              <w:left w:val="nil"/>
              <w:bottom w:val="nil"/>
              <w:right w:val="nil"/>
            </w:tcBorders>
          </w:tcPr>
          <w:p w14:paraId="4227088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711" w:type="dxa"/>
            <w:tcBorders>
              <w:top w:val="nil"/>
              <w:left w:val="nil"/>
              <w:bottom w:val="nil"/>
              <w:right w:val="nil"/>
            </w:tcBorders>
          </w:tcPr>
          <w:p w14:paraId="6E800E2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-.16</w:t>
            </w:r>
          </w:p>
        </w:tc>
        <w:tc>
          <w:tcPr>
            <w:tcW w:w="565" w:type="dxa"/>
            <w:tcBorders>
              <w:top w:val="nil"/>
              <w:left w:val="nil"/>
              <w:bottom w:val="nil"/>
              <w:right w:val="nil"/>
            </w:tcBorders>
          </w:tcPr>
          <w:p w14:paraId="41AB841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-.09</w:t>
            </w:r>
          </w:p>
        </w:tc>
        <w:tc>
          <w:tcPr>
            <w:tcW w:w="850" w:type="dxa"/>
            <w:tcBorders>
              <w:top w:val="nil"/>
              <w:left w:val="nil"/>
              <w:bottom w:val="nil"/>
              <w:right w:val="nil"/>
            </w:tcBorders>
          </w:tcPr>
          <w:p w14:paraId="6BF87BA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.09</w:t>
            </w:r>
          </w:p>
        </w:tc>
        <w:tc>
          <w:tcPr>
            <w:tcW w:w="850" w:type="dxa"/>
            <w:tcBorders>
              <w:top w:val="nil"/>
              <w:left w:val="nil"/>
              <w:bottom w:val="nil"/>
              <w:right w:val="nil"/>
            </w:tcBorders>
          </w:tcPr>
          <w:p w14:paraId="36AC2F6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711" w:type="dxa"/>
            <w:tcBorders>
              <w:top w:val="nil"/>
              <w:left w:val="nil"/>
              <w:bottom w:val="nil"/>
              <w:right w:val="nil"/>
            </w:tcBorders>
          </w:tcPr>
          <w:p w14:paraId="06A245D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705" w:type="dxa"/>
            <w:tcBorders>
              <w:top w:val="nil"/>
              <w:left w:val="nil"/>
              <w:bottom w:val="nil"/>
              <w:right w:val="nil"/>
            </w:tcBorders>
          </w:tcPr>
          <w:p w14:paraId="1A5D823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64" w:type="dxa"/>
            <w:tcBorders>
              <w:top w:val="nil"/>
              <w:left w:val="nil"/>
              <w:bottom w:val="nil"/>
              <w:right w:val="nil"/>
            </w:tcBorders>
          </w:tcPr>
          <w:p w14:paraId="1059A4F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.01</w:t>
            </w:r>
          </w:p>
        </w:tc>
        <w:tc>
          <w:tcPr>
            <w:tcW w:w="711" w:type="dxa"/>
            <w:tcBorders>
              <w:top w:val="nil"/>
              <w:left w:val="nil"/>
              <w:bottom w:val="nil"/>
              <w:right w:val="nil"/>
            </w:tcBorders>
          </w:tcPr>
          <w:p w14:paraId="5A1B676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-.23</w:t>
            </w:r>
          </w:p>
        </w:tc>
        <w:tc>
          <w:tcPr>
            <w:tcW w:w="566" w:type="dxa"/>
            <w:tcBorders>
              <w:top w:val="nil"/>
              <w:left w:val="nil"/>
              <w:bottom w:val="nil"/>
              <w:right w:val="nil"/>
            </w:tcBorders>
          </w:tcPr>
          <w:p w14:paraId="685AF76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4" w:type="dxa"/>
            <w:tcBorders>
              <w:top w:val="nil"/>
              <w:left w:val="nil"/>
              <w:bottom w:val="nil"/>
              <w:right w:val="nil"/>
            </w:tcBorders>
          </w:tcPr>
          <w:p w14:paraId="04D1A5C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79D16CB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7245069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5D19D13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427B7A5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1611ACF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3F24F9D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08906CF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27B20A3E"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639F39E4" w14:textId="77777777" w:rsidTr="00A865A7">
        <w:trPr>
          <w:trHeight w:val="635"/>
        </w:trPr>
        <w:tc>
          <w:tcPr>
            <w:tcW w:w="1503" w:type="dxa"/>
            <w:tcBorders>
              <w:top w:val="nil"/>
              <w:left w:val="nil"/>
              <w:bottom w:val="nil"/>
              <w:right w:val="nil"/>
            </w:tcBorders>
          </w:tcPr>
          <w:p w14:paraId="49290351"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lastRenderedPageBreak/>
              <w:t>12. Brief self-control</w:t>
            </w:r>
          </w:p>
        </w:tc>
        <w:tc>
          <w:tcPr>
            <w:tcW w:w="711" w:type="dxa"/>
            <w:tcBorders>
              <w:top w:val="nil"/>
              <w:left w:val="nil"/>
              <w:bottom w:val="nil"/>
              <w:right w:val="nil"/>
            </w:tcBorders>
          </w:tcPr>
          <w:p w14:paraId="457116D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501" w:type="dxa"/>
            <w:tcBorders>
              <w:top w:val="nil"/>
              <w:left w:val="nil"/>
              <w:bottom w:val="nil"/>
              <w:right w:val="nil"/>
            </w:tcBorders>
          </w:tcPr>
          <w:p w14:paraId="1E8501F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711" w:type="dxa"/>
            <w:tcBorders>
              <w:top w:val="nil"/>
              <w:left w:val="nil"/>
              <w:bottom w:val="nil"/>
              <w:right w:val="nil"/>
            </w:tcBorders>
          </w:tcPr>
          <w:p w14:paraId="6FA9BA8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-.12</w:t>
            </w:r>
          </w:p>
        </w:tc>
        <w:tc>
          <w:tcPr>
            <w:tcW w:w="565" w:type="dxa"/>
            <w:tcBorders>
              <w:top w:val="nil"/>
              <w:left w:val="nil"/>
              <w:bottom w:val="nil"/>
              <w:right w:val="nil"/>
            </w:tcBorders>
          </w:tcPr>
          <w:p w14:paraId="5D6667D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850" w:type="dxa"/>
            <w:tcBorders>
              <w:top w:val="nil"/>
              <w:left w:val="nil"/>
              <w:bottom w:val="nil"/>
              <w:right w:val="nil"/>
            </w:tcBorders>
          </w:tcPr>
          <w:p w14:paraId="3CA9D0E9"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-.32*</w:t>
            </w:r>
          </w:p>
        </w:tc>
        <w:tc>
          <w:tcPr>
            <w:tcW w:w="850" w:type="dxa"/>
            <w:tcBorders>
              <w:top w:val="nil"/>
              <w:left w:val="nil"/>
              <w:bottom w:val="nil"/>
              <w:right w:val="nil"/>
            </w:tcBorders>
          </w:tcPr>
          <w:p w14:paraId="59C04A84"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-.42***</w:t>
            </w:r>
          </w:p>
        </w:tc>
        <w:tc>
          <w:tcPr>
            <w:tcW w:w="711" w:type="dxa"/>
            <w:tcBorders>
              <w:top w:val="nil"/>
              <w:left w:val="nil"/>
              <w:bottom w:val="nil"/>
              <w:right w:val="nil"/>
            </w:tcBorders>
          </w:tcPr>
          <w:p w14:paraId="40F79BEB"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.28*</w:t>
            </w:r>
          </w:p>
        </w:tc>
        <w:tc>
          <w:tcPr>
            <w:tcW w:w="705" w:type="dxa"/>
            <w:tcBorders>
              <w:top w:val="nil"/>
              <w:left w:val="nil"/>
              <w:bottom w:val="nil"/>
              <w:right w:val="nil"/>
            </w:tcBorders>
          </w:tcPr>
          <w:p w14:paraId="76256AC6"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.39**</w:t>
            </w:r>
          </w:p>
        </w:tc>
        <w:tc>
          <w:tcPr>
            <w:tcW w:w="564" w:type="dxa"/>
            <w:tcBorders>
              <w:top w:val="nil"/>
              <w:left w:val="nil"/>
              <w:bottom w:val="nil"/>
              <w:right w:val="nil"/>
            </w:tcBorders>
          </w:tcPr>
          <w:p w14:paraId="147E170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.18</w:t>
            </w:r>
          </w:p>
        </w:tc>
        <w:tc>
          <w:tcPr>
            <w:tcW w:w="711" w:type="dxa"/>
            <w:tcBorders>
              <w:top w:val="nil"/>
              <w:left w:val="nil"/>
              <w:bottom w:val="nil"/>
              <w:right w:val="nil"/>
            </w:tcBorders>
          </w:tcPr>
          <w:p w14:paraId="444747EE"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.44***</w:t>
            </w:r>
          </w:p>
        </w:tc>
        <w:tc>
          <w:tcPr>
            <w:tcW w:w="566" w:type="dxa"/>
            <w:tcBorders>
              <w:top w:val="nil"/>
              <w:left w:val="nil"/>
              <w:bottom w:val="nil"/>
              <w:right w:val="nil"/>
            </w:tcBorders>
          </w:tcPr>
          <w:p w14:paraId="7D9F591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-.01</w:t>
            </w:r>
          </w:p>
        </w:tc>
        <w:tc>
          <w:tcPr>
            <w:tcW w:w="704" w:type="dxa"/>
            <w:tcBorders>
              <w:top w:val="nil"/>
              <w:left w:val="nil"/>
              <w:bottom w:val="nil"/>
              <w:right w:val="nil"/>
            </w:tcBorders>
          </w:tcPr>
          <w:p w14:paraId="652A9DB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36" w:type="dxa"/>
            <w:tcBorders>
              <w:top w:val="nil"/>
              <w:left w:val="nil"/>
              <w:bottom w:val="nil"/>
              <w:right w:val="nil"/>
            </w:tcBorders>
          </w:tcPr>
          <w:p w14:paraId="2EF0D91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73" w:type="dxa"/>
            <w:gridSpan w:val="2"/>
            <w:tcBorders>
              <w:top w:val="nil"/>
              <w:left w:val="nil"/>
              <w:bottom w:val="nil"/>
              <w:right w:val="nil"/>
            </w:tcBorders>
          </w:tcPr>
          <w:p w14:paraId="68C4DA8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300A6C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2B0B783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7210825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7E66318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3187F38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4796148D"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7D520BE9" w14:textId="77777777" w:rsidTr="00A865A7">
        <w:trPr>
          <w:trHeight w:val="635"/>
        </w:trPr>
        <w:tc>
          <w:tcPr>
            <w:tcW w:w="1503" w:type="dxa"/>
            <w:tcBorders>
              <w:top w:val="nil"/>
              <w:left w:val="nil"/>
              <w:bottom w:val="nil"/>
              <w:right w:val="nil"/>
            </w:tcBorders>
          </w:tcPr>
          <w:p w14:paraId="6E7CC368"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 xml:space="preserve">13. Alcohol-free </w:t>
            </w:r>
          </w:p>
          <w:p w14:paraId="436155FB"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reinforcement</w:t>
            </w:r>
          </w:p>
        </w:tc>
        <w:tc>
          <w:tcPr>
            <w:tcW w:w="711" w:type="dxa"/>
            <w:tcBorders>
              <w:top w:val="nil"/>
              <w:left w:val="nil"/>
              <w:bottom w:val="nil"/>
              <w:right w:val="nil"/>
            </w:tcBorders>
          </w:tcPr>
          <w:p w14:paraId="082C58E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501" w:type="dxa"/>
            <w:tcBorders>
              <w:top w:val="nil"/>
              <w:left w:val="nil"/>
              <w:bottom w:val="nil"/>
              <w:right w:val="nil"/>
            </w:tcBorders>
          </w:tcPr>
          <w:p w14:paraId="285C2E4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.19</w:t>
            </w:r>
          </w:p>
        </w:tc>
        <w:tc>
          <w:tcPr>
            <w:tcW w:w="711" w:type="dxa"/>
            <w:tcBorders>
              <w:top w:val="nil"/>
              <w:left w:val="nil"/>
              <w:bottom w:val="nil"/>
              <w:right w:val="nil"/>
            </w:tcBorders>
          </w:tcPr>
          <w:p w14:paraId="73690E4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65" w:type="dxa"/>
            <w:tcBorders>
              <w:top w:val="nil"/>
              <w:left w:val="nil"/>
              <w:bottom w:val="nil"/>
              <w:right w:val="nil"/>
            </w:tcBorders>
          </w:tcPr>
          <w:p w14:paraId="2055662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850" w:type="dxa"/>
            <w:tcBorders>
              <w:top w:val="nil"/>
              <w:left w:val="nil"/>
              <w:bottom w:val="nil"/>
              <w:right w:val="nil"/>
            </w:tcBorders>
          </w:tcPr>
          <w:p w14:paraId="073CAE07"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-.35**</w:t>
            </w:r>
          </w:p>
        </w:tc>
        <w:tc>
          <w:tcPr>
            <w:tcW w:w="850" w:type="dxa"/>
            <w:tcBorders>
              <w:top w:val="nil"/>
              <w:left w:val="nil"/>
              <w:bottom w:val="nil"/>
              <w:right w:val="nil"/>
            </w:tcBorders>
          </w:tcPr>
          <w:p w14:paraId="3DECFD70"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-.49***</w:t>
            </w:r>
          </w:p>
        </w:tc>
        <w:tc>
          <w:tcPr>
            <w:tcW w:w="711" w:type="dxa"/>
            <w:tcBorders>
              <w:top w:val="nil"/>
              <w:left w:val="nil"/>
              <w:bottom w:val="nil"/>
              <w:right w:val="nil"/>
            </w:tcBorders>
          </w:tcPr>
          <w:p w14:paraId="47C382A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705" w:type="dxa"/>
            <w:tcBorders>
              <w:top w:val="nil"/>
              <w:left w:val="nil"/>
              <w:bottom w:val="nil"/>
              <w:right w:val="nil"/>
            </w:tcBorders>
          </w:tcPr>
          <w:p w14:paraId="32795AF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564" w:type="dxa"/>
            <w:tcBorders>
              <w:top w:val="nil"/>
              <w:left w:val="nil"/>
              <w:bottom w:val="nil"/>
              <w:right w:val="nil"/>
            </w:tcBorders>
          </w:tcPr>
          <w:p w14:paraId="74A3F5C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.26</w:t>
            </w:r>
          </w:p>
        </w:tc>
        <w:tc>
          <w:tcPr>
            <w:tcW w:w="711" w:type="dxa"/>
            <w:tcBorders>
              <w:top w:val="nil"/>
              <w:left w:val="nil"/>
              <w:bottom w:val="nil"/>
              <w:right w:val="nil"/>
            </w:tcBorders>
          </w:tcPr>
          <w:p w14:paraId="5118754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566" w:type="dxa"/>
            <w:tcBorders>
              <w:top w:val="nil"/>
              <w:left w:val="nil"/>
              <w:bottom w:val="nil"/>
              <w:right w:val="nil"/>
            </w:tcBorders>
          </w:tcPr>
          <w:p w14:paraId="3259438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704" w:type="dxa"/>
            <w:tcBorders>
              <w:top w:val="nil"/>
              <w:left w:val="nil"/>
              <w:bottom w:val="nil"/>
              <w:right w:val="nil"/>
            </w:tcBorders>
          </w:tcPr>
          <w:p w14:paraId="25802DC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w:t>
            </w:r>
            <w:r w:rsidRPr="00A865A7">
              <w:rPr>
                <w:rFonts w:ascii="Times New Roman" w:hAnsi="Times New Roman" w:cs="Times New Roman"/>
                <w:b/>
                <w:sz w:val="18"/>
                <w:szCs w:val="18"/>
              </w:rPr>
              <w:t>36**</w:t>
            </w:r>
          </w:p>
        </w:tc>
        <w:tc>
          <w:tcPr>
            <w:tcW w:w="836" w:type="dxa"/>
            <w:tcBorders>
              <w:top w:val="nil"/>
              <w:left w:val="nil"/>
              <w:bottom w:val="nil"/>
              <w:right w:val="nil"/>
            </w:tcBorders>
          </w:tcPr>
          <w:p w14:paraId="416899F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35" w:type="dxa"/>
            <w:tcBorders>
              <w:top w:val="nil"/>
              <w:left w:val="nil"/>
              <w:bottom w:val="nil"/>
              <w:right w:val="nil"/>
            </w:tcBorders>
          </w:tcPr>
          <w:p w14:paraId="64E833F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03" w:type="dxa"/>
            <w:gridSpan w:val="2"/>
            <w:tcBorders>
              <w:top w:val="nil"/>
              <w:left w:val="nil"/>
              <w:bottom w:val="nil"/>
              <w:right w:val="nil"/>
            </w:tcBorders>
          </w:tcPr>
          <w:p w14:paraId="3B1E2EEC"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0FFAE35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26EF23CB"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3F3CF14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2000CBB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59932728"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2E0AFDA1" w14:textId="77777777" w:rsidTr="00A865A7">
        <w:trPr>
          <w:trHeight w:val="635"/>
        </w:trPr>
        <w:tc>
          <w:tcPr>
            <w:tcW w:w="1503" w:type="dxa"/>
            <w:tcBorders>
              <w:top w:val="nil"/>
              <w:left w:val="nil"/>
              <w:bottom w:val="nil"/>
              <w:right w:val="nil"/>
            </w:tcBorders>
          </w:tcPr>
          <w:p w14:paraId="4F9FD671" w14:textId="77777777" w:rsidR="00A865A7" w:rsidRPr="00A865A7" w:rsidRDefault="00A865A7" w:rsidP="00A865A7">
            <w:pPr>
              <w:spacing w:line="276" w:lineRule="auto"/>
              <w:rPr>
                <w:rFonts w:ascii="Times New Roman" w:hAnsi="Times New Roman" w:cs="Times New Roman"/>
                <w:bCs/>
                <w:sz w:val="18"/>
                <w:szCs w:val="18"/>
              </w:rPr>
            </w:pPr>
            <w:r w:rsidRPr="00A865A7">
              <w:rPr>
                <w:rFonts w:ascii="Times New Roman" w:hAnsi="Times New Roman" w:cs="Times New Roman"/>
                <w:bCs/>
                <w:sz w:val="18"/>
                <w:szCs w:val="18"/>
              </w:rPr>
              <w:t>14. Alcohol-related</w:t>
            </w:r>
          </w:p>
          <w:p w14:paraId="41F27D00"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 xml:space="preserve">reinforcement </w:t>
            </w:r>
          </w:p>
        </w:tc>
        <w:tc>
          <w:tcPr>
            <w:tcW w:w="711" w:type="dxa"/>
            <w:tcBorders>
              <w:top w:val="nil"/>
              <w:left w:val="nil"/>
              <w:bottom w:val="nil"/>
              <w:right w:val="nil"/>
            </w:tcBorders>
          </w:tcPr>
          <w:p w14:paraId="0EB23B9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501" w:type="dxa"/>
            <w:tcBorders>
              <w:top w:val="nil"/>
              <w:left w:val="nil"/>
              <w:bottom w:val="nil"/>
              <w:right w:val="nil"/>
            </w:tcBorders>
          </w:tcPr>
          <w:p w14:paraId="66A4305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11" w:type="dxa"/>
            <w:tcBorders>
              <w:top w:val="nil"/>
              <w:left w:val="nil"/>
              <w:bottom w:val="nil"/>
              <w:right w:val="nil"/>
            </w:tcBorders>
          </w:tcPr>
          <w:p w14:paraId="43DEA34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565" w:type="dxa"/>
            <w:tcBorders>
              <w:top w:val="nil"/>
              <w:left w:val="nil"/>
              <w:bottom w:val="nil"/>
              <w:right w:val="nil"/>
            </w:tcBorders>
          </w:tcPr>
          <w:p w14:paraId="4F2B1E21"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850" w:type="dxa"/>
            <w:tcBorders>
              <w:top w:val="nil"/>
              <w:left w:val="nil"/>
              <w:bottom w:val="nil"/>
              <w:right w:val="nil"/>
            </w:tcBorders>
          </w:tcPr>
          <w:p w14:paraId="442FC66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850" w:type="dxa"/>
            <w:tcBorders>
              <w:top w:val="nil"/>
              <w:left w:val="nil"/>
              <w:bottom w:val="nil"/>
              <w:right w:val="nil"/>
            </w:tcBorders>
          </w:tcPr>
          <w:p w14:paraId="77DC601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711" w:type="dxa"/>
            <w:tcBorders>
              <w:top w:val="nil"/>
              <w:left w:val="nil"/>
              <w:bottom w:val="nil"/>
              <w:right w:val="nil"/>
            </w:tcBorders>
          </w:tcPr>
          <w:p w14:paraId="5C60704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705" w:type="dxa"/>
            <w:tcBorders>
              <w:top w:val="nil"/>
              <w:left w:val="nil"/>
              <w:bottom w:val="nil"/>
              <w:right w:val="nil"/>
            </w:tcBorders>
          </w:tcPr>
          <w:p w14:paraId="7ABF7C8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-.24</w:t>
            </w:r>
          </w:p>
        </w:tc>
        <w:tc>
          <w:tcPr>
            <w:tcW w:w="564" w:type="dxa"/>
            <w:tcBorders>
              <w:top w:val="nil"/>
              <w:left w:val="nil"/>
              <w:bottom w:val="nil"/>
              <w:right w:val="nil"/>
            </w:tcBorders>
          </w:tcPr>
          <w:p w14:paraId="1F182341"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11" w:type="dxa"/>
            <w:tcBorders>
              <w:top w:val="nil"/>
              <w:left w:val="nil"/>
              <w:bottom w:val="nil"/>
              <w:right w:val="nil"/>
            </w:tcBorders>
          </w:tcPr>
          <w:p w14:paraId="7C0D25B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566" w:type="dxa"/>
            <w:tcBorders>
              <w:top w:val="nil"/>
              <w:left w:val="nil"/>
              <w:bottom w:val="nil"/>
              <w:right w:val="nil"/>
            </w:tcBorders>
          </w:tcPr>
          <w:p w14:paraId="1F6BD02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04" w:type="dxa"/>
            <w:tcBorders>
              <w:top w:val="nil"/>
              <w:left w:val="nil"/>
              <w:bottom w:val="nil"/>
              <w:right w:val="nil"/>
            </w:tcBorders>
          </w:tcPr>
          <w:p w14:paraId="061DC59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836" w:type="dxa"/>
            <w:tcBorders>
              <w:top w:val="nil"/>
              <w:left w:val="nil"/>
              <w:bottom w:val="nil"/>
              <w:right w:val="nil"/>
            </w:tcBorders>
          </w:tcPr>
          <w:p w14:paraId="3F31B54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73" w:type="dxa"/>
            <w:gridSpan w:val="2"/>
            <w:tcBorders>
              <w:top w:val="nil"/>
              <w:left w:val="nil"/>
              <w:bottom w:val="nil"/>
              <w:right w:val="nil"/>
            </w:tcBorders>
          </w:tcPr>
          <w:p w14:paraId="7105327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65" w:type="dxa"/>
            <w:tcBorders>
              <w:top w:val="nil"/>
              <w:left w:val="nil"/>
              <w:bottom w:val="nil"/>
              <w:right w:val="nil"/>
            </w:tcBorders>
          </w:tcPr>
          <w:p w14:paraId="6F6D39B2" w14:textId="77777777" w:rsidR="00A865A7" w:rsidRPr="00A865A7" w:rsidRDefault="00A865A7" w:rsidP="00A865A7">
            <w:pPr>
              <w:spacing w:line="276" w:lineRule="auto"/>
              <w:jc w:val="center"/>
              <w:rPr>
                <w:rFonts w:ascii="Times New Roman" w:hAnsi="Times New Roman" w:cs="Times New Roman"/>
                <w:bCs/>
                <w:sz w:val="18"/>
                <w:szCs w:val="18"/>
              </w:rPr>
            </w:pPr>
          </w:p>
        </w:tc>
        <w:tc>
          <w:tcPr>
            <w:tcW w:w="846" w:type="dxa"/>
            <w:tcBorders>
              <w:top w:val="nil"/>
              <w:left w:val="nil"/>
              <w:bottom w:val="nil"/>
              <w:right w:val="nil"/>
            </w:tcBorders>
          </w:tcPr>
          <w:p w14:paraId="4C4B4C49"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7FBA78A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2FB3098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0281C49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475F4C9D"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05EA2ACD" w14:textId="77777777" w:rsidTr="00A865A7">
        <w:trPr>
          <w:trHeight w:val="635"/>
        </w:trPr>
        <w:tc>
          <w:tcPr>
            <w:tcW w:w="1503" w:type="dxa"/>
            <w:tcBorders>
              <w:top w:val="nil"/>
              <w:left w:val="nil"/>
              <w:bottom w:val="nil"/>
              <w:right w:val="nil"/>
            </w:tcBorders>
          </w:tcPr>
          <w:p w14:paraId="76B0C4C1"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15. Reinforcement ratios</w:t>
            </w:r>
          </w:p>
        </w:tc>
        <w:tc>
          <w:tcPr>
            <w:tcW w:w="711" w:type="dxa"/>
            <w:tcBorders>
              <w:top w:val="nil"/>
              <w:left w:val="nil"/>
              <w:bottom w:val="nil"/>
              <w:right w:val="nil"/>
            </w:tcBorders>
          </w:tcPr>
          <w:p w14:paraId="767913F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501" w:type="dxa"/>
            <w:tcBorders>
              <w:top w:val="nil"/>
              <w:left w:val="nil"/>
              <w:bottom w:val="nil"/>
              <w:right w:val="nil"/>
            </w:tcBorders>
          </w:tcPr>
          <w:p w14:paraId="1DFF4A9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711" w:type="dxa"/>
            <w:tcBorders>
              <w:top w:val="nil"/>
              <w:left w:val="nil"/>
              <w:bottom w:val="nil"/>
              <w:right w:val="nil"/>
            </w:tcBorders>
          </w:tcPr>
          <w:p w14:paraId="65DD395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565" w:type="dxa"/>
            <w:tcBorders>
              <w:top w:val="nil"/>
              <w:left w:val="nil"/>
              <w:bottom w:val="nil"/>
              <w:right w:val="nil"/>
            </w:tcBorders>
          </w:tcPr>
          <w:p w14:paraId="72ED276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-.23</w:t>
            </w:r>
          </w:p>
        </w:tc>
        <w:tc>
          <w:tcPr>
            <w:tcW w:w="850" w:type="dxa"/>
            <w:tcBorders>
              <w:top w:val="nil"/>
              <w:left w:val="nil"/>
              <w:bottom w:val="nil"/>
              <w:right w:val="nil"/>
            </w:tcBorders>
          </w:tcPr>
          <w:p w14:paraId="0F0C823E"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-.34*</w:t>
            </w:r>
          </w:p>
        </w:tc>
        <w:tc>
          <w:tcPr>
            <w:tcW w:w="850" w:type="dxa"/>
            <w:tcBorders>
              <w:top w:val="nil"/>
              <w:left w:val="nil"/>
              <w:bottom w:val="nil"/>
              <w:right w:val="nil"/>
            </w:tcBorders>
          </w:tcPr>
          <w:p w14:paraId="6DED3B7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711" w:type="dxa"/>
            <w:tcBorders>
              <w:top w:val="nil"/>
              <w:left w:val="nil"/>
              <w:bottom w:val="nil"/>
              <w:right w:val="nil"/>
            </w:tcBorders>
          </w:tcPr>
          <w:p w14:paraId="410E63B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.19</w:t>
            </w:r>
          </w:p>
        </w:tc>
        <w:tc>
          <w:tcPr>
            <w:tcW w:w="705" w:type="dxa"/>
            <w:tcBorders>
              <w:top w:val="nil"/>
              <w:left w:val="nil"/>
              <w:bottom w:val="nil"/>
              <w:right w:val="nil"/>
            </w:tcBorders>
          </w:tcPr>
          <w:p w14:paraId="60148BD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564" w:type="dxa"/>
            <w:tcBorders>
              <w:top w:val="nil"/>
              <w:left w:val="nil"/>
              <w:bottom w:val="nil"/>
              <w:right w:val="nil"/>
            </w:tcBorders>
          </w:tcPr>
          <w:p w14:paraId="0F45BCE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711" w:type="dxa"/>
            <w:tcBorders>
              <w:top w:val="nil"/>
              <w:left w:val="nil"/>
              <w:bottom w:val="nil"/>
              <w:right w:val="nil"/>
            </w:tcBorders>
          </w:tcPr>
          <w:p w14:paraId="016DB9A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66" w:type="dxa"/>
            <w:tcBorders>
              <w:top w:val="nil"/>
              <w:left w:val="nil"/>
              <w:bottom w:val="nil"/>
              <w:right w:val="nil"/>
            </w:tcBorders>
          </w:tcPr>
          <w:p w14:paraId="6978D2B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.09</w:t>
            </w:r>
          </w:p>
        </w:tc>
        <w:tc>
          <w:tcPr>
            <w:tcW w:w="704" w:type="dxa"/>
            <w:tcBorders>
              <w:top w:val="nil"/>
              <w:left w:val="nil"/>
              <w:bottom w:val="nil"/>
              <w:right w:val="nil"/>
            </w:tcBorders>
          </w:tcPr>
          <w:p w14:paraId="5B38075A"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.27*</w:t>
            </w:r>
          </w:p>
        </w:tc>
        <w:tc>
          <w:tcPr>
            <w:tcW w:w="836" w:type="dxa"/>
            <w:tcBorders>
              <w:top w:val="nil"/>
              <w:left w:val="nil"/>
              <w:bottom w:val="nil"/>
              <w:right w:val="nil"/>
            </w:tcBorders>
          </w:tcPr>
          <w:p w14:paraId="0F7EE356"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.58***</w:t>
            </w:r>
          </w:p>
        </w:tc>
        <w:tc>
          <w:tcPr>
            <w:tcW w:w="1138" w:type="dxa"/>
            <w:gridSpan w:val="3"/>
            <w:tcBorders>
              <w:top w:val="nil"/>
              <w:left w:val="nil"/>
              <w:bottom w:val="nil"/>
              <w:right w:val="nil"/>
            </w:tcBorders>
          </w:tcPr>
          <w:p w14:paraId="11E41357" w14:textId="77777777" w:rsidR="00A865A7" w:rsidRPr="00A865A7" w:rsidRDefault="00A865A7" w:rsidP="00A865A7">
            <w:pPr>
              <w:spacing w:line="276" w:lineRule="auto"/>
              <w:rPr>
                <w:rFonts w:ascii="Times New Roman" w:hAnsi="Times New Roman" w:cs="Times New Roman"/>
                <w:b/>
                <w:sz w:val="18"/>
                <w:szCs w:val="18"/>
              </w:rPr>
            </w:pPr>
            <w:r w:rsidRPr="00A865A7">
              <w:rPr>
                <w:rFonts w:ascii="Times New Roman" w:hAnsi="Times New Roman" w:cs="Times New Roman"/>
                <w:b/>
                <w:sz w:val="18"/>
                <w:szCs w:val="18"/>
              </w:rPr>
              <w:t>-.61***</w:t>
            </w:r>
          </w:p>
        </w:tc>
        <w:tc>
          <w:tcPr>
            <w:tcW w:w="846" w:type="dxa"/>
            <w:tcBorders>
              <w:top w:val="nil"/>
              <w:left w:val="nil"/>
              <w:bottom w:val="nil"/>
              <w:right w:val="nil"/>
            </w:tcBorders>
          </w:tcPr>
          <w:p w14:paraId="75C6B3D0"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62ED3024"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405CBF6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4127A297"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28956255"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41DDACD4" w14:textId="77777777" w:rsidTr="00A865A7">
        <w:trPr>
          <w:trHeight w:val="635"/>
        </w:trPr>
        <w:tc>
          <w:tcPr>
            <w:tcW w:w="1503" w:type="dxa"/>
            <w:tcBorders>
              <w:top w:val="nil"/>
              <w:left w:val="nil"/>
              <w:bottom w:val="nil"/>
              <w:right w:val="nil"/>
            </w:tcBorders>
          </w:tcPr>
          <w:p w14:paraId="0378BEBD"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16. Intensity</w:t>
            </w:r>
          </w:p>
        </w:tc>
        <w:tc>
          <w:tcPr>
            <w:tcW w:w="711" w:type="dxa"/>
            <w:tcBorders>
              <w:top w:val="nil"/>
              <w:left w:val="nil"/>
              <w:bottom w:val="nil"/>
              <w:right w:val="nil"/>
            </w:tcBorders>
          </w:tcPr>
          <w:p w14:paraId="4A39F7F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01" w:type="dxa"/>
            <w:tcBorders>
              <w:top w:val="nil"/>
              <w:left w:val="nil"/>
              <w:bottom w:val="nil"/>
              <w:right w:val="nil"/>
            </w:tcBorders>
          </w:tcPr>
          <w:p w14:paraId="2CEB2F2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711" w:type="dxa"/>
            <w:tcBorders>
              <w:top w:val="nil"/>
              <w:left w:val="nil"/>
              <w:bottom w:val="nil"/>
              <w:right w:val="nil"/>
            </w:tcBorders>
          </w:tcPr>
          <w:p w14:paraId="557DA6C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565" w:type="dxa"/>
            <w:tcBorders>
              <w:top w:val="nil"/>
              <w:left w:val="nil"/>
              <w:bottom w:val="nil"/>
              <w:right w:val="nil"/>
            </w:tcBorders>
          </w:tcPr>
          <w:p w14:paraId="507389B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850" w:type="dxa"/>
            <w:tcBorders>
              <w:top w:val="nil"/>
              <w:left w:val="nil"/>
              <w:bottom w:val="nil"/>
              <w:right w:val="nil"/>
            </w:tcBorders>
          </w:tcPr>
          <w:p w14:paraId="7B77FE02"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.33*</w:t>
            </w:r>
          </w:p>
        </w:tc>
        <w:tc>
          <w:tcPr>
            <w:tcW w:w="850" w:type="dxa"/>
            <w:tcBorders>
              <w:top w:val="nil"/>
              <w:left w:val="nil"/>
              <w:bottom w:val="nil"/>
              <w:right w:val="nil"/>
            </w:tcBorders>
          </w:tcPr>
          <w:p w14:paraId="4558979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711" w:type="dxa"/>
            <w:tcBorders>
              <w:top w:val="nil"/>
              <w:left w:val="nil"/>
              <w:bottom w:val="nil"/>
              <w:right w:val="nil"/>
            </w:tcBorders>
          </w:tcPr>
          <w:p w14:paraId="72BBBE3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05" w:type="dxa"/>
            <w:tcBorders>
              <w:top w:val="nil"/>
              <w:left w:val="nil"/>
              <w:bottom w:val="nil"/>
              <w:right w:val="nil"/>
            </w:tcBorders>
          </w:tcPr>
          <w:p w14:paraId="277C24D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-.11</w:t>
            </w:r>
          </w:p>
        </w:tc>
        <w:tc>
          <w:tcPr>
            <w:tcW w:w="564" w:type="dxa"/>
            <w:tcBorders>
              <w:top w:val="nil"/>
              <w:left w:val="nil"/>
              <w:bottom w:val="nil"/>
              <w:right w:val="nil"/>
            </w:tcBorders>
          </w:tcPr>
          <w:p w14:paraId="609DE0B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-.09</w:t>
            </w:r>
          </w:p>
        </w:tc>
        <w:tc>
          <w:tcPr>
            <w:tcW w:w="711" w:type="dxa"/>
            <w:tcBorders>
              <w:top w:val="nil"/>
              <w:left w:val="nil"/>
              <w:bottom w:val="nil"/>
              <w:right w:val="nil"/>
            </w:tcBorders>
          </w:tcPr>
          <w:p w14:paraId="23C27E1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.00</w:t>
            </w:r>
          </w:p>
        </w:tc>
        <w:tc>
          <w:tcPr>
            <w:tcW w:w="566" w:type="dxa"/>
            <w:tcBorders>
              <w:top w:val="nil"/>
              <w:left w:val="nil"/>
              <w:bottom w:val="nil"/>
              <w:right w:val="nil"/>
            </w:tcBorders>
          </w:tcPr>
          <w:p w14:paraId="776BCEE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-.12</w:t>
            </w:r>
          </w:p>
        </w:tc>
        <w:tc>
          <w:tcPr>
            <w:tcW w:w="704" w:type="dxa"/>
            <w:tcBorders>
              <w:top w:val="nil"/>
              <w:left w:val="nil"/>
              <w:bottom w:val="nil"/>
              <w:right w:val="nil"/>
            </w:tcBorders>
          </w:tcPr>
          <w:p w14:paraId="7DED8DF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-.22</w:t>
            </w:r>
          </w:p>
        </w:tc>
        <w:tc>
          <w:tcPr>
            <w:tcW w:w="836" w:type="dxa"/>
            <w:tcBorders>
              <w:top w:val="nil"/>
              <w:left w:val="nil"/>
              <w:bottom w:val="nil"/>
              <w:right w:val="nil"/>
            </w:tcBorders>
          </w:tcPr>
          <w:p w14:paraId="1D6C4E5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73" w:type="dxa"/>
            <w:gridSpan w:val="2"/>
            <w:tcBorders>
              <w:top w:val="nil"/>
              <w:left w:val="nil"/>
              <w:bottom w:val="nil"/>
              <w:right w:val="nil"/>
            </w:tcBorders>
          </w:tcPr>
          <w:p w14:paraId="5F055091"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565" w:type="dxa"/>
            <w:tcBorders>
              <w:top w:val="nil"/>
              <w:left w:val="nil"/>
              <w:bottom w:val="nil"/>
              <w:right w:val="nil"/>
            </w:tcBorders>
          </w:tcPr>
          <w:p w14:paraId="69F0AE0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846" w:type="dxa"/>
            <w:tcBorders>
              <w:top w:val="nil"/>
              <w:left w:val="nil"/>
              <w:bottom w:val="nil"/>
              <w:right w:val="nil"/>
            </w:tcBorders>
          </w:tcPr>
          <w:p w14:paraId="51513D3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711" w:type="dxa"/>
            <w:tcBorders>
              <w:top w:val="nil"/>
              <w:left w:val="nil"/>
              <w:bottom w:val="nil"/>
              <w:right w:val="nil"/>
            </w:tcBorders>
          </w:tcPr>
          <w:p w14:paraId="34A5B4A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540F5BEE"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6C469253"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6A686453"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5CF1D415" w14:textId="77777777" w:rsidTr="00A865A7">
        <w:trPr>
          <w:trHeight w:val="635"/>
        </w:trPr>
        <w:tc>
          <w:tcPr>
            <w:tcW w:w="1503" w:type="dxa"/>
            <w:tcBorders>
              <w:top w:val="nil"/>
              <w:left w:val="nil"/>
              <w:bottom w:val="nil"/>
              <w:right w:val="nil"/>
            </w:tcBorders>
          </w:tcPr>
          <w:p w14:paraId="703C1156"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17. Breakpoint</w:t>
            </w:r>
          </w:p>
        </w:tc>
        <w:tc>
          <w:tcPr>
            <w:tcW w:w="711" w:type="dxa"/>
            <w:tcBorders>
              <w:top w:val="nil"/>
              <w:left w:val="nil"/>
              <w:bottom w:val="nil"/>
              <w:right w:val="nil"/>
            </w:tcBorders>
          </w:tcPr>
          <w:p w14:paraId="4B7205A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-.03</w:t>
            </w:r>
          </w:p>
        </w:tc>
        <w:tc>
          <w:tcPr>
            <w:tcW w:w="501" w:type="dxa"/>
            <w:tcBorders>
              <w:top w:val="nil"/>
              <w:left w:val="nil"/>
              <w:bottom w:val="nil"/>
              <w:right w:val="nil"/>
            </w:tcBorders>
          </w:tcPr>
          <w:p w14:paraId="704FC9C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-.02</w:t>
            </w:r>
          </w:p>
        </w:tc>
        <w:tc>
          <w:tcPr>
            <w:tcW w:w="711" w:type="dxa"/>
            <w:tcBorders>
              <w:top w:val="nil"/>
              <w:left w:val="nil"/>
              <w:bottom w:val="nil"/>
              <w:right w:val="nil"/>
            </w:tcBorders>
          </w:tcPr>
          <w:p w14:paraId="3FFCEFF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565" w:type="dxa"/>
            <w:tcBorders>
              <w:top w:val="nil"/>
              <w:left w:val="nil"/>
              <w:bottom w:val="nil"/>
              <w:right w:val="nil"/>
            </w:tcBorders>
          </w:tcPr>
          <w:p w14:paraId="658FEAA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-.24</w:t>
            </w:r>
          </w:p>
        </w:tc>
        <w:tc>
          <w:tcPr>
            <w:tcW w:w="850" w:type="dxa"/>
            <w:tcBorders>
              <w:top w:val="nil"/>
              <w:left w:val="nil"/>
              <w:bottom w:val="nil"/>
              <w:right w:val="nil"/>
            </w:tcBorders>
          </w:tcPr>
          <w:p w14:paraId="5D2A849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.01</w:t>
            </w:r>
          </w:p>
        </w:tc>
        <w:tc>
          <w:tcPr>
            <w:tcW w:w="850" w:type="dxa"/>
            <w:tcBorders>
              <w:top w:val="nil"/>
              <w:left w:val="nil"/>
              <w:bottom w:val="nil"/>
              <w:right w:val="nil"/>
            </w:tcBorders>
          </w:tcPr>
          <w:p w14:paraId="432CEF2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711" w:type="dxa"/>
            <w:tcBorders>
              <w:top w:val="nil"/>
              <w:left w:val="nil"/>
              <w:bottom w:val="nil"/>
              <w:right w:val="nil"/>
            </w:tcBorders>
          </w:tcPr>
          <w:p w14:paraId="2DE0107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705" w:type="dxa"/>
            <w:tcBorders>
              <w:top w:val="nil"/>
              <w:left w:val="nil"/>
              <w:bottom w:val="nil"/>
              <w:right w:val="nil"/>
            </w:tcBorders>
          </w:tcPr>
          <w:p w14:paraId="07E3DEB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64" w:type="dxa"/>
            <w:tcBorders>
              <w:top w:val="nil"/>
              <w:left w:val="nil"/>
              <w:bottom w:val="nil"/>
              <w:right w:val="nil"/>
            </w:tcBorders>
          </w:tcPr>
          <w:p w14:paraId="4BE43BF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-.16</w:t>
            </w:r>
          </w:p>
        </w:tc>
        <w:tc>
          <w:tcPr>
            <w:tcW w:w="711" w:type="dxa"/>
            <w:tcBorders>
              <w:top w:val="nil"/>
              <w:left w:val="nil"/>
              <w:bottom w:val="nil"/>
              <w:right w:val="nil"/>
            </w:tcBorders>
          </w:tcPr>
          <w:p w14:paraId="0DDD6DF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66" w:type="dxa"/>
            <w:tcBorders>
              <w:top w:val="nil"/>
              <w:left w:val="nil"/>
              <w:bottom w:val="nil"/>
              <w:right w:val="nil"/>
            </w:tcBorders>
          </w:tcPr>
          <w:p w14:paraId="02D1550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704" w:type="dxa"/>
            <w:tcBorders>
              <w:top w:val="nil"/>
              <w:left w:val="nil"/>
              <w:bottom w:val="nil"/>
              <w:right w:val="nil"/>
            </w:tcBorders>
          </w:tcPr>
          <w:p w14:paraId="33B7F0B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836" w:type="dxa"/>
            <w:tcBorders>
              <w:top w:val="nil"/>
              <w:left w:val="nil"/>
              <w:bottom w:val="nil"/>
              <w:right w:val="nil"/>
            </w:tcBorders>
          </w:tcPr>
          <w:p w14:paraId="329B84E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573" w:type="dxa"/>
            <w:gridSpan w:val="2"/>
            <w:tcBorders>
              <w:top w:val="nil"/>
              <w:left w:val="nil"/>
              <w:bottom w:val="nil"/>
              <w:right w:val="nil"/>
            </w:tcBorders>
          </w:tcPr>
          <w:p w14:paraId="1345DD7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.23</w:t>
            </w:r>
          </w:p>
        </w:tc>
        <w:tc>
          <w:tcPr>
            <w:tcW w:w="565" w:type="dxa"/>
            <w:tcBorders>
              <w:top w:val="nil"/>
              <w:left w:val="nil"/>
              <w:bottom w:val="nil"/>
              <w:right w:val="nil"/>
            </w:tcBorders>
          </w:tcPr>
          <w:p w14:paraId="7A4E18BC"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846" w:type="dxa"/>
            <w:tcBorders>
              <w:top w:val="nil"/>
              <w:left w:val="nil"/>
              <w:bottom w:val="nil"/>
              <w:right w:val="nil"/>
            </w:tcBorders>
          </w:tcPr>
          <w:p w14:paraId="2117E3D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711" w:type="dxa"/>
            <w:tcBorders>
              <w:top w:val="nil"/>
              <w:left w:val="nil"/>
              <w:bottom w:val="nil"/>
              <w:right w:val="nil"/>
            </w:tcBorders>
          </w:tcPr>
          <w:p w14:paraId="2C8BF57D"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41" w:type="dxa"/>
            <w:tcBorders>
              <w:top w:val="nil"/>
              <w:left w:val="nil"/>
              <w:bottom w:val="nil"/>
              <w:right w:val="nil"/>
            </w:tcBorders>
          </w:tcPr>
          <w:p w14:paraId="10557C1A"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3A86B40F"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5CB66948"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691672FC" w14:textId="77777777" w:rsidTr="00A865A7">
        <w:trPr>
          <w:trHeight w:val="635"/>
        </w:trPr>
        <w:tc>
          <w:tcPr>
            <w:tcW w:w="1503" w:type="dxa"/>
            <w:tcBorders>
              <w:top w:val="nil"/>
              <w:left w:val="nil"/>
              <w:bottom w:val="nil"/>
              <w:right w:val="nil"/>
            </w:tcBorders>
          </w:tcPr>
          <w:p w14:paraId="44621D2B"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 xml:space="preserve">18. </w:t>
            </w:r>
            <w:proofErr w:type="spellStart"/>
            <w:r w:rsidRPr="00A865A7">
              <w:rPr>
                <w:rFonts w:ascii="Times New Roman" w:hAnsi="Times New Roman" w:cs="Times New Roman"/>
                <w:bCs/>
                <w:sz w:val="18"/>
                <w:szCs w:val="18"/>
              </w:rPr>
              <w:t>Omax</w:t>
            </w:r>
            <w:proofErr w:type="spellEnd"/>
          </w:p>
        </w:tc>
        <w:tc>
          <w:tcPr>
            <w:tcW w:w="711" w:type="dxa"/>
            <w:tcBorders>
              <w:top w:val="nil"/>
              <w:left w:val="nil"/>
              <w:bottom w:val="nil"/>
              <w:right w:val="nil"/>
            </w:tcBorders>
          </w:tcPr>
          <w:p w14:paraId="0305D7E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.16</w:t>
            </w:r>
          </w:p>
        </w:tc>
        <w:tc>
          <w:tcPr>
            <w:tcW w:w="501" w:type="dxa"/>
            <w:tcBorders>
              <w:top w:val="nil"/>
              <w:left w:val="nil"/>
              <w:bottom w:val="nil"/>
              <w:right w:val="nil"/>
            </w:tcBorders>
          </w:tcPr>
          <w:p w14:paraId="1238BE9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711" w:type="dxa"/>
            <w:tcBorders>
              <w:top w:val="nil"/>
              <w:left w:val="nil"/>
              <w:bottom w:val="nil"/>
              <w:right w:val="nil"/>
            </w:tcBorders>
          </w:tcPr>
          <w:p w14:paraId="25F4827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565" w:type="dxa"/>
            <w:tcBorders>
              <w:top w:val="nil"/>
              <w:left w:val="nil"/>
              <w:bottom w:val="nil"/>
              <w:right w:val="nil"/>
            </w:tcBorders>
          </w:tcPr>
          <w:p w14:paraId="303F123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850" w:type="dxa"/>
            <w:tcBorders>
              <w:top w:val="nil"/>
              <w:left w:val="nil"/>
              <w:bottom w:val="nil"/>
              <w:right w:val="nil"/>
            </w:tcBorders>
          </w:tcPr>
          <w:p w14:paraId="7EAB684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.11</w:t>
            </w:r>
          </w:p>
        </w:tc>
        <w:tc>
          <w:tcPr>
            <w:tcW w:w="850" w:type="dxa"/>
            <w:tcBorders>
              <w:top w:val="nil"/>
              <w:left w:val="nil"/>
              <w:bottom w:val="nil"/>
              <w:right w:val="nil"/>
            </w:tcBorders>
          </w:tcPr>
          <w:p w14:paraId="10CD5061"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11" w:type="dxa"/>
            <w:tcBorders>
              <w:top w:val="nil"/>
              <w:left w:val="nil"/>
              <w:bottom w:val="nil"/>
              <w:right w:val="nil"/>
            </w:tcBorders>
          </w:tcPr>
          <w:p w14:paraId="2F915D3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705" w:type="dxa"/>
            <w:tcBorders>
              <w:top w:val="nil"/>
              <w:left w:val="nil"/>
              <w:bottom w:val="nil"/>
              <w:right w:val="nil"/>
            </w:tcBorders>
          </w:tcPr>
          <w:p w14:paraId="76B13DB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564" w:type="dxa"/>
            <w:tcBorders>
              <w:top w:val="nil"/>
              <w:left w:val="nil"/>
              <w:bottom w:val="nil"/>
              <w:right w:val="nil"/>
            </w:tcBorders>
          </w:tcPr>
          <w:p w14:paraId="0898E38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711" w:type="dxa"/>
            <w:tcBorders>
              <w:top w:val="nil"/>
              <w:left w:val="nil"/>
              <w:bottom w:val="nil"/>
              <w:right w:val="nil"/>
            </w:tcBorders>
          </w:tcPr>
          <w:p w14:paraId="6C5C9FD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.03</w:t>
            </w:r>
          </w:p>
        </w:tc>
        <w:tc>
          <w:tcPr>
            <w:tcW w:w="566" w:type="dxa"/>
            <w:tcBorders>
              <w:top w:val="nil"/>
              <w:left w:val="nil"/>
              <w:bottom w:val="nil"/>
              <w:right w:val="nil"/>
            </w:tcBorders>
          </w:tcPr>
          <w:p w14:paraId="386D862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704" w:type="dxa"/>
            <w:tcBorders>
              <w:top w:val="nil"/>
              <w:left w:val="nil"/>
              <w:bottom w:val="nil"/>
              <w:right w:val="nil"/>
            </w:tcBorders>
          </w:tcPr>
          <w:p w14:paraId="5CC047B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-.04</w:t>
            </w:r>
          </w:p>
        </w:tc>
        <w:tc>
          <w:tcPr>
            <w:tcW w:w="836" w:type="dxa"/>
            <w:tcBorders>
              <w:top w:val="nil"/>
              <w:left w:val="nil"/>
              <w:bottom w:val="nil"/>
              <w:right w:val="nil"/>
            </w:tcBorders>
          </w:tcPr>
          <w:p w14:paraId="578CA84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573" w:type="dxa"/>
            <w:gridSpan w:val="2"/>
            <w:tcBorders>
              <w:top w:val="nil"/>
              <w:left w:val="nil"/>
              <w:bottom w:val="nil"/>
              <w:right w:val="nil"/>
            </w:tcBorders>
          </w:tcPr>
          <w:p w14:paraId="4A2163D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.21</w:t>
            </w:r>
          </w:p>
        </w:tc>
        <w:tc>
          <w:tcPr>
            <w:tcW w:w="565" w:type="dxa"/>
            <w:tcBorders>
              <w:top w:val="nil"/>
              <w:left w:val="nil"/>
              <w:bottom w:val="nil"/>
              <w:right w:val="nil"/>
            </w:tcBorders>
          </w:tcPr>
          <w:p w14:paraId="7E0129F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846" w:type="dxa"/>
            <w:tcBorders>
              <w:top w:val="nil"/>
              <w:left w:val="nil"/>
              <w:bottom w:val="nil"/>
              <w:right w:val="nil"/>
            </w:tcBorders>
          </w:tcPr>
          <w:p w14:paraId="0DB2EAC8"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.52***</w:t>
            </w:r>
          </w:p>
        </w:tc>
        <w:tc>
          <w:tcPr>
            <w:tcW w:w="711" w:type="dxa"/>
            <w:tcBorders>
              <w:top w:val="nil"/>
              <w:left w:val="nil"/>
              <w:bottom w:val="nil"/>
              <w:right w:val="nil"/>
            </w:tcBorders>
          </w:tcPr>
          <w:p w14:paraId="23E5A13F"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.48***</w:t>
            </w:r>
          </w:p>
        </w:tc>
        <w:tc>
          <w:tcPr>
            <w:tcW w:w="441" w:type="dxa"/>
            <w:tcBorders>
              <w:top w:val="nil"/>
              <w:left w:val="nil"/>
              <w:bottom w:val="nil"/>
              <w:right w:val="nil"/>
            </w:tcBorders>
          </w:tcPr>
          <w:p w14:paraId="3B67B645" w14:textId="77777777" w:rsidR="00A865A7" w:rsidRPr="00A865A7" w:rsidRDefault="00A865A7" w:rsidP="00A865A7">
            <w:pPr>
              <w:spacing w:line="276" w:lineRule="auto"/>
              <w:jc w:val="center"/>
              <w:rPr>
                <w:rFonts w:ascii="Times New Roman" w:hAnsi="Times New Roman" w:cs="Times New Roman"/>
                <w:bCs/>
                <w:sz w:val="18"/>
                <w:szCs w:val="18"/>
              </w:rPr>
            </w:pPr>
          </w:p>
        </w:tc>
        <w:tc>
          <w:tcPr>
            <w:tcW w:w="427" w:type="dxa"/>
            <w:tcBorders>
              <w:top w:val="nil"/>
              <w:left w:val="nil"/>
              <w:bottom w:val="nil"/>
              <w:right w:val="nil"/>
            </w:tcBorders>
          </w:tcPr>
          <w:p w14:paraId="14C83A61"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60744F63"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3FA0D08F" w14:textId="77777777" w:rsidTr="00A865A7">
        <w:trPr>
          <w:trHeight w:val="635"/>
        </w:trPr>
        <w:tc>
          <w:tcPr>
            <w:tcW w:w="1503" w:type="dxa"/>
            <w:tcBorders>
              <w:top w:val="nil"/>
              <w:left w:val="nil"/>
              <w:bottom w:val="nil"/>
              <w:right w:val="nil"/>
            </w:tcBorders>
          </w:tcPr>
          <w:p w14:paraId="1D462E93"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19. Pmax</w:t>
            </w:r>
          </w:p>
        </w:tc>
        <w:tc>
          <w:tcPr>
            <w:tcW w:w="711" w:type="dxa"/>
            <w:tcBorders>
              <w:top w:val="nil"/>
              <w:left w:val="nil"/>
              <w:bottom w:val="nil"/>
              <w:right w:val="nil"/>
            </w:tcBorders>
          </w:tcPr>
          <w:p w14:paraId="28758F0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501" w:type="dxa"/>
            <w:tcBorders>
              <w:top w:val="nil"/>
              <w:left w:val="nil"/>
              <w:bottom w:val="nil"/>
              <w:right w:val="nil"/>
            </w:tcBorders>
          </w:tcPr>
          <w:p w14:paraId="40FBC56C"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711" w:type="dxa"/>
            <w:tcBorders>
              <w:top w:val="nil"/>
              <w:left w:val="nil"/>
              <w:bottom w:val="nil"/>
              <w:right w:val="nil"/>
            </w:tcBorders>
          </w:tcPr>
          <w:p w14:paraId="15D1929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-.11</w:t>
            </w:r>
          </w:p>
        </w:tc>
        <w:tc>
          <w:tcPr>
            <w:tcW w:w="565" w:type="dxa"/>
            <w:tcBorders>
              <w:top w:val="nil"/>
              <w:left w:val="nil"/>
              <w:bottom w:val="nil"/>
              <w:right w:val="nil"/>
            </w:tcBorders>
          </w:tcPr>
          <w:p w14:paraId="23F1298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850" w:type="dxa"/>
            <w:tcBorders>
              <w:top w:val="nil"/>
              <w:left w:val="nil"/>
              <w:bottom w:val="nil"/>
              <w:right w:val="nil"/>
            </w:tcBorders>
          </w:tcPr>
          <w:p w14:paraId="75D22FB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-.05</w:t>
            </w:r>
          </w:p>
        </w:tc>
        <w:tc>
          <w:tcPr>
            <w:tcW w:w="850" w:type="dxa"/>
            <w:tcBorders>
              <w:top w:val="nil"/>
              <w:left w:val="nil"/>
              <w:bottom w:val="nil"/>
              <w:right w:val="nil"/>
            </w:tcBorders>
          </w:tcPr>
          <w:p w14:paraId="1B7DC1B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-.17</w:t>
            </w:r>
          </w:p>
        </w:tc>
        <w:tc>
          <w:tcPr>
            <w:tcW w:w="711" w:type="dxa"/>
            <w:tcBorders>
              <w:top w:val="nil"/>
              <w:left w:val="nil"/>
              <w:bottom w:val="nil"/>
              <w:right w:val="nil"/>
            </w:tcBorders>
          </w:tcPr>
          <w:p w14:paraId="427C9C4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705" w:type="dxa"/>
            <w:tcBorders>
              <w:top w:val="nil"/>
              <w:left w:val="nil"/>
              <w:bottom w:val="nil"/>
              <w:right w:val="nil"/>
            </w:tcBorders>
          </w:tcPr>
          <w:p w14:paraId="418569F3"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564" w:type="dxa"/>
            <w:tcBorders>
              <w:top w:val="nil"/>
              <w:left w:val="nil"/>
              <w:bottom w:val="nil"/>
              <w:right w:val="nil"/>
            </w:tcBorders>
          </w:tcPr>
          <w:p w14:paraId="363E74A8"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711" w:type="dxa"/>
            <w:tcBorders>
              <w:top w:val="nil"/>
              <w:left w:val="nil"/>
              <w:bottom w:val="nil"/>
              <w:right w:val="nil"/>
            </w:tcBorders>
          </w:tcPr>
          <w:p w14:paraId="150E21A8"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.33*</w:t>
            </w:r>
          </w:p>
        </w:tc>
        <w:tc>
          <w:tcPr>
            <w:tcW w:w="566" w:type="dxa"/>
            <w:tcBorders>
              <w:top w:val="nil"/>
              <w:left w:val="nil"/>
              <w:bottom w:val="nil"/>
              <w:right w:val="nil"/>
            </w:tcBorders>
          </w:tcPr>
          <w:p w14:paraId="5A2DEE9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-.06</w:t>
            </w:r>
          </w:p>
        </w:tc>
        <w:tc>
          <w:tcPr>
            <w:tcW w:w="704" w:type="dxa"/>
            <w:tcBorders>
              <w:top w:val="nil"/>
              <w:left w:val="nil"/>
              <w:bottom w:val="nil"/>
              <w:right w:val="nil"/>
            </w:tcBorders>
          </w:tcPr>
          <w:p w14:paraId="2F26F86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.19</w:t>
            </w:r>
          </w:p>
        </w:tc>
        <w:tc>
          <w:tcPr>
            <w:tcW w:w="836" w:type="dxa"/>
            <w:tcBorders>
              <w:top w:val="nil"/>
              <w:left w:val="nil"/>
              <w:bottom w:val="nil"/>
              <w:right w:val="nil"/>
            </w:tcBorders>
          </w:tcPr>
          <w:p w14:paraId="0514C105"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.23</w:t>
            </w:r>
          </w:p>
        </w:tc>
        <w:tc>
          <w:tcPr>
            <w:tcW w:w="573" w:type="dxa"/>
            <w:gridSpan w:val="2"/>
            <w:tcBorders>
              <w:top w:val="nil"/>
              <w:left w:val="nil"/>
              <w:bottom w:val="nil"/>
              <w:right w:val="nil"/>
            </w:tcBorders>
          </w:tcPr>
          <w:p w14:paraId="083D8D6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.27</w:t>
            </w:r>
          </w:p>
        </w:tc>
        <w:tc>
          <w:tcPr>
            <w:tcW w:w="565" w:type="dxa"/>
            <w:tcBorders>
              <w:top w:val="nil"/>
              <w:left w:val="nil"/>
              <w:bottom w:val="nil"/>
              <w:right w:val="nil"/>
            </w:tcBorders>
          </w:tcPr>
          <w:p w14:paraId="3C6543F6"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-.01</w:t>
            </w:r>
          </w:p>
        </w:tc>
        <w:tc>
          <w:tcPr>
            <w:tcW w:w="846" w:type="dxa"/>
            <w:tcBorders>
              <w:top w:val="nil"/>
              <w:left w:val="nil"/>
              <w:bottom w:val="nil"/>
              <w:right w:val="nil"/>
            </w:tcBorders>
          </w:tcPr>
          <w:p w14:paraId="13ED150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711" w:type="dxa"/>
            <w:tcBorders>
              <w:top w:val="nil"/>
              <w:left w:val="nil"/>
              <w:bottom w:val="nil"/>
              <w:right w:val="nil"/>
            </w:tcBorders>
          </w:tcPr>
          <w:p w14:paraId="094C6D29"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.64***</w:t>
            </w:r>
          </w:p>
        </w:tc>
        <w:tc>
          <w:tcPr>
            <w:tcW w:w="441" w:type="dxa"/>
            <w:tcBorders>
              <w:top w:val="nil"/>
              <w:left w:val="nil"/>
              <w:bottom w:val="nil"/>
              <w:right w:val="nil"/>
            </w:tcBorders>
          </w:tcPr>
          <w:p w14:paraId="5404798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.23</w:t>
            </w:r>
          </w:p>
        </w:tc>
        <w:tc>
          <w:tcPr>
            <w:tcW w:w="427" w:type="dxa"/>
            <w:tcBorders>
              <w:top w:val="nil"/>
              <w:left w:val="nil"/>
              <w:bottom w:val="nil"/>
              <w:right w:val="nil"/>
            </w:tcBorders>
          </w:tcPr>
          <w:p w14:paraId="4AB76D16" w14:textId="77777777" w:rsidR="00A865A7" w:rsidRPr="00A865A7" w:rsidRDefault="00A865A7" w:rsidP="00A865A7">
            <w:pPr>
              <w:spacing w:line="276" w:lineRule="auto"/>
              <w:jc w:val="center"/>
              <w:rPr>
                <w:rFonts w:ascii="Times New Roman" w:hAnsi="Times New Roman" w:cs="Times New Roman"/>
                <w:bCs/>
                <w:sz w:val="18"/>
                <w:szCs w:val="18"/>
              </w:rPr>
            </w:pPr>
          </w:p>
        </w:tc>
        <w:tc>
          <w:tcPr>
            <w:tcW w:w="503" w:type="dxa"/>
            <w:tcBorders>
              <w:top w:val="nil"/>
              <w:left w:val="nil"/>
              <w:bottom w:val="nil"/>
              <w:right w:val="nil"/>
            </w:tcBorders>
          </w:tcPr>
          <w:p w14:paraId="79E0C98B" w14:textId="77777777" w:rsidR="00A865A7" w:rsidRPr="00A865A7" w:rsidRDefault="00A865A7" w:rsidP="00A865A7">
            <w:pPr>
              <w:spacing w:line="276" w:lineRule="auto"/>
              <w:jc w:val="center"/>
              <w:rPr>
                <w:rFonts w:ascii="Times New Roman" w:hAnsi="Times New Roman" w:cs="Times New Roman"/>
                <w:bCs/>
                <w:sz w:val="18"/>
                <w:szCs w:val="18"/>
              </w:rPr>
            </w:pPr>
          </w:p>
        </w:tc>
      </w:tr>
      <w:tr w:rsidR="00A865A7" w:rsidRPr="00A865A7" w14:paraId="3621CA28" w14:textId="77777777" w:rsidTr="00A865A7">
        <w:trPr>
          <w:trHeight w:val="491"/>
        </w:trPr>
        <w:tc>
          <w:tcPr>
            <w:tcW w:w="1503" w:type="dxa"/>
            <w:tcBorders>
              <w:top w:val="nil"/>
              <w:left w:val="nil"/>
              <w:bottom w:val="single" w:sz="18" w:space="0" w:color="000000"/>
              <w:right w:val="nil"/>
            </w:tcBorders>
          </w:tcPr>
          <w:p w14:paraId="176DC98E" w14:textId="77777777" w:rsidR="00A865A7" w:rsidRPr="00A865A7" w:rsidRDefault="00A865A7" w:rsidP="00A865A7">
            <w:pPr>
              <w:spacing w:line="276" w:lineRule="auto"/>
              <w:rPr>
                <w:rFonts w:ascii="Times New Roman" w:hAnsi="Times New Roman" w:cs="Times New Roman"/>
                <w:sz w:val="18"/>
                <w:szCs w:val="18"/>
              </w:rPr>
            </w:pPr>
            <w:r w:rsidRPr="00A865A7">
              <w:rPr>
                <w:rFonts w:ascii="Times New Roman" w:hAnsi="Times New Roman" w:cs="Times New Roman"/>
                <w:bCs/>
                <w:sz w:val="18"/>
                <w:szCs w:val="18"/>
              </w:rPr>
              <w:t>20. Elasticity</w:t>
            </w:r>
          </w:p>
        </w:tc>
        <w:tc>
          <w:tcPr>
            <w:tcW w:w="711" w:type="dxa"/>
            <w:tcBorders>
              <w:top w:val="nil"/>
              <w:left w:val="nil"/>
              <w:bottom w:val="single" w:sz="18" w:space="0" w:color="000000"/>
              <w:right w:val="nil"/>
            </w:tcBorders>
          </w:tcPr>
          <w:p w14:paraId="69DA0AA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501" w:type="dxa"/>
            <w:tcBorders>
              <w:top w:val="nil"/>
              <w:left w:val="nil"/>
              <w:bottom w:val="single" w:sz="18" w:space="0" w:color="000000"/>
              <w:right w:val="nil"/>
            </w:tcBorders>
          </w:tcPr>
          <w:p w14:paraId="6CD6853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-.10</w:t>
            </w:r>
          </w:p>
        </w:tc>
        <w:tc>
          <w:tcPr>
            <w:tcW w:w="711" w:type="dxa"/>
            <w:tcBorders>
              <w:top w:val="nil"/>
              <w:left w:val="nil"/>
              <w:bottom w:val="single" w:sz="18" w:space="0" w:color="000000"/>
              <w:right w:val="nil"/>
            </w:tcBorders>
          </w:tcPr>
          <w:p w14:paraId="7CC2BC0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.00</w:t>
            </w:r>
          </w:p>
        </w:tc>
        <w:tc>
          <w:tcPr>
            <w:tcW w:w="565" w:type="dxa"/>
            <w:tcBorders>
              <w:top w:val="nil"/>
              <w:left w:val="nil"/>
              <w:bottom w:val="single" w:sz="18" w:space="0" w:color="000000"/>
              <w:right w:val="nil"/>
            </w:tcBorders>
          </w:tcPr>
          <w:p w14:paraId="55B3E8A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.14</w:t>
            </w:r>
          </w:p>
        </w:tc>
        <w:tc>
          <w:tcPr>
            <w:tcW w:w="850" w:type="dxa"/>
            <w:tcBorders>
              <w:top w:val="nil"/>
              <w:left w:val="nil"/>
              <w:bottom w:val="single" w:sz="18" w:space="0" w:color="000000"/>
              <w:right w:val="nil"/>
            </w:tcBorders>
          </w:tcPr>
          <w:p w14:paraId="71F12A9A"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-.13</w:t>
            </w:r>
          </w:p>
        </w:tc>
        <w:tc>
          <w:tcPr>
            <w:tcW w:w="850" w:type="dxa"/>
            <w:tcBorders>
              <w:top w:val="nil"/>
              <w:left w:val="nil"/>
              <w:bottom w:val="single" w:sz="18" w:space="0" w:color="000000"/>
              <w:right w:val="nil"/>
            </w:tcBorders>
          </w:tcPr>
          <w:p w14:paraId="4BFC5147"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711" w:type="dxa"/>
            <w:tcBorders>
              <w:top w:val="nil"/>
              <w:left w:val="nil"/>
              <w:bottom w:val="single" w:sz="18" w:space="0" w:color="000000"/>
              <w:right w:val="nil"/>
            </w:tcBorders>
          </w:tcPr>
          <w:p w14:paraId="29C6EA09"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.08</w:t>
            </w:r>
          </w:p>
        </w:tc>
        <w:tc>
          <w:tcPr>
            <w:tcW w:w="705" w:type="dxa"/>
            <w:tcBorders>
              <w:top w:val="nil"/>
              <w:left w:val="nil"/>
              <w:bottom w:val="single" w:sz="18" w:space="0" w:color="000000"/>
              <w:right w:val="nil"/>
            </w:tcBorders>
          </w:tcPr>
          <w:p w14:paraId="4F0D1B8F"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.12</w:t>
            </w:r>
          </w:p>
        </w:tc>
        <w:tc>
          <w:tcPr>
            <w:tcW w:w="564" w:type="dxa"/>
            <w:tcBorders>
              <w:top w:val="nil"/>
              <w:left w:val="nil"/>
              <w:bottom w:val="single" w:sz="18" w:space="0" w:color="000000"/>
              <w:right w:val="nil"/>
            </w:tcBorders>
          </w:tcPr>
          <w:p w14:paraId="44E710F2"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711" w:type="dxa"/>
            <w:tcBorders>
              <w:top w:val="nil"/>
              <w:left w:val="nil"/>
              <w:bottom w:val="single" w:sz="18" w:space="0" w:color="000000"/>
              <w:right w:val="nil"/>
            </w:tcBorders>
          </w:tcPr>
          <w:p w14:paraId="6F81DF2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-.12</w:t>
            </w:r>
          </w:p>
        </w:tc>
        <w:tc>
          <w:tcPr>
            <w:tcW w:w="566" w:type="dxa"/>
            <w:tcBorders>
              <w:top w:val="nil"/>
              <w:left w:val="nil"/>
              <w:bottom w:val="single" w:sz="18" w:space="0" w:color="000000"/>
              <w:right w:val="nil"/>
            </w:tcBorders>
          </w:tcPr>
          <w:p w14:paraId="645A5000"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704" w:type="dxa"/>
            <w:tcBorders>
              <w:top w:val="nil"/>
              <w:left w:val="nil"/>
              <w:bottom w:val="single" w:sz="18" w:space="0" w:color="000000"/>
              <w:right w:val="nil"/>
            </w:tcBorders>
          </w:tcPr>
          <w:p w14:paraId="77BC0DCD"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-.01</w:t>
            </w:r>
          </w:p>
        </w:tc>
        <w:tc>
          <w:tcPr>
            <w:tcW w:w="836" w:type="dxa"/>
            <w:tcBorders>
              <w:top w:val="nil"/>
              <w:left w:val="nil"/>
              <w:bottom w:val="single" w:sz="18" w:space="0" w:color="000000"/>
              <w:right w:val="nil"/>
            </w:tcBorders>
          </w:tcPr>
          <w:p w14:paraId="046A70B4"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-.15</w:t>
            </w:r>
          </w:p>
        </w:tc>
        <w:tc>
          <w:tcPr>
            <w:tcW w:w="573" w:type="dxa"/>
            <w:gridSpan w:val="2"/>
            <w:tcBorders>
              <w:top w:val="nil"/>
              <w:left w:val="nil"/>
              <w:bottom w:val="single" w:sz="18" w:space="0" w:color="000000"/>
              <w:right w:val="nil"/>
            </w:tcBorders>
          </w:tcPr>
          <w:p w14:paraId="02726D5B"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-.20</w:t>
            </w:r>
          </w:p>
        </w:tc>
        <w:tc>
          <w:tcPr>
            <w:tcW w:w="565" w:type="dxa"/>
            <w:tcBorders>
              <w:top w:val="nil"/>
              <w:left w:val="nil"/>
              <w:bottom w:val="single" w:sz="18" w:space="0" w:color="000000"/>
              <w:right w:val="nil"/>
            </w:tcBorders>
          </w:tcPr>
          <w:p w14:paraId="7AD9E5DE" w14:textId="77777777" w:rsidR="00A865A7" w:rsidRPr="00A865A7" w:rsidRDefault="00A865A7" w:rsidP="00A865A7">
            <w:pPr>
              <w:spacing w:line="276" w:lineRule="auto"/>
              <w:jc w:val="center"/>
              <w:rPr>
                <w:rFonts w:ascii="Times New Roman" w:hAnsi="Times New Roman" w:cs="Times New Roman"/>
                <w:bCs/>
                <w:sz w:val="18"/>
                <w:szCs w:val="18"/>
              </w:rPr>
            </w:pPr>
            <w:r w:rsidRPr="00A865A7">
              <w:rPr>
                <w:rFonts w:ascii="Times New Roman" w:hAnsi="Times New Roman" w:cs="Times New Roman"/>
                <w:bCs/>
                <w:sz w:val="18"/>
                <w:szCs w:val="18"/>
              </w:rPr>
              <w:t>.07</w:t>
            </w:r>
          </w:p>
        </w:tc>
        <w:tc>
          <w:tcPr>
            <w:tcW w:w="846" w:type="dxa"/>
            <w:tcBorders>
              <w:top w:val="nil"/>
              <w:left w:val="nil"/>
              <w:bottom w:val="single" w:sz="18" w:space="0" w:color="000000"/>
              <w:right w:val="nil"/>
            </w:tcBorders>
          </w:tcPr>
          <w:p w14:paraId="14545D21" w14:textId="77777777" w:rsidR="00A865A7" w:rsidRPr="00A865A7" w:rsidRDefault="00A865A7" w:rsidP="00A865A7">
            <w:pPr>
              <w:spacing w:line="276" w:lineRule="auto"/>
              <w:jc w:val="center"/>
              <w:rPr>
                <w:rFonts w:ascii="Times New Roman" w:hAnsi="Times New Roman" w:cs="Times New Roman"/>
                <w:b/>
                <w:sz w:val="18"/>
                <w:szCs w:val="18"/>
              </w:rPr>
            </w:pPr>
            <w:r w:rsidRPr="00A865A7">
              <w:rPr>
                <w:rFonts w:ascii="Times New Roman" w:hAnsi="Times New Roman" w:cs="Times New Roman"/>
                <w:b/>
                <w:sz w:val="18"/>
                <w:szCs w:val="18"/>
              </w:rPr>
              <w:t>-.48***</w:t>
            </w:r>
          </w:p>
        </w:tc>
        <w:tc>
          <w:tcPr>
            <w:tcW w:w="2082" w:type="dxa"/>
            <w:gridSpan w:val="4"/>
            <w:tcBorders>
              <w:top w:val="nil"/>
              <w:left w:val="nil"/>
              <w:bottom w:val="single" w:sz="18" w:space="0" w:color="000000"/>
              <w:right w:val="nil"/>
            </w:tcBorders>
          </w:tcPr>
          <w:p w14:paraId="03857F8D" w14:textId="77777777" w:rsidR="00A865A7" w:rsidRPr="00A865A7" w:rsidRDefault="00A865A7" w:rsidP="00A865A7">
            <w:pPr>
              <w:spacing w:line="276" w:lineRule="auto"/>
              <w:rPr>
                <w:rFonts w:ascii="Times New Roman" w:hAnsi="Times New Roman" w:cs="Times New Roman"/>
                <w:b/>
                <w:sz w:val="18"/>
                <w:szCs w:val="18"/>
              </w:rPr>
            </w:pPr>
            <w:r w:rsidRPr="00A865A7">
              <w:rPr>
                <w:rFonts w:ascii="Times New Roman" w:hAnsi="Times New Roman" w:cs="Times New Roman"/>
                <w:b/>
                <w:sz w:val="18"/>
                <w:szCs w:val="18"/>
              </w:rPr>
              <w:t>-.59***    -.96***   -.29*</w:t>
            </w:r>
          </w:p>
          <w:p w14:paraId="337AFF6B" w14:textId="77777777" w:rsidR="00A865A7" w:rsidRPr="00A865A7" w:rsidRDefault="00A865A7" w:rsidP="00A865A7">
            <w:pPr>
              <w:spacing w:line="276" w:lineRule="auto"/>
              <w:rPr>
                <w:rFonts w:ascii="Times New Roman" w:hAnsi="Times New Roman" w:cs="Times New Roman"/>
                <w:b/>
                <w:sz w:val="18"/>
                <w:szCs w:val="18"/>
              </w:rPr>
            </w:pPr>
          </w:p>
          <w:p w14:paraId="10A57262" w14:textId="77777777" w:rsidR="00A865A7" w:rsidRPr="00A865A7" w:rsidRDefault="00A865A7" w:rsidP="00A865A7">
            <w:pPr>
              <w:spacing w:line="276" w:lineRule="auto"/>
              <w:jc w:val="center"/>
              <w:rPr>
                <w:rFonts w:ascii="Times New Roman" w:hAnsi="Times New Roman" w:cs="Times New Roman"/>
                <w:b/>
                <w:sz w:val="18"/>
                <w:szCs w:val="18"/>
              </w:rPr>
            </w:pPr>
            <w:bookmarkStart w:id="445" w:name="_Hlk86091945"/>
            <w:bookmarkEnd w:id="445"/>
          </w:p>
        </w:tc>
      </w:tr>
    </w:tbl>
    <w:p w14:paraId="547E813F" w14:textId="5B406A30" w:rsidR="00A865A7" w:rsidRPr="00A865A7" w:rsidRDefault="00A865A7" w:rsidP="00A865A7">
      <w:pPr>
        <w:pStyle w:val="NoSpacing"/>
        <w:rPr>
          <w:rFonts w:ascii="Times New Roman" w:hAnsi="Times New Roman" w:cs="Times New Roman"/>
        </w:rPr>
      </w:pPr>
      <w:r w:rsidRPr="00A865A7">
        <w:rPr>
          <w:rFonts w:ascii="Times New Roman" w:hAnsi="Times New Roman" w:cs="Times New Roman"/>
          <w:i/>
          <w:iCs/>
        </w:rPr>
        <w:t>Note.</w:t>
      </w:r>
      <w:r w:rsidRPr="00A865A7">
        <w:rPr>
          <w:rFonts w:ascii="Times New Roman" w:hAnsi="Times New Roman" w:cs="Times New Roman"/>
        </w:rPr>
        <w:t xml:space="preserve"> ***</w:t>
      </w:r>
      <w:r w:rsidRPr="00A865A7">
        <w:rPr>
          <w:rFonts w:ascii="Times New Roman" w:hAnsi="Times New Roman" w:cs="Times New Roman"/>
          <w:i/>
          <w:iCs/>
        </w:rPr>
        <w:t>p</w:t>
      </w:r>
      <w:r w:rsidRPr="00A865A7">
        <w:rPr>
          <w:rFonts w:ascii="Times New Roman" w:hAnsi="Times New Roman" w:cs="Times New Roman"/>
        </w:rPr>
        <w:t xml:space="preserve"> &lt;.001, **</w:t>
      </w:r>
      <w:r w:rsidRPr="00A865A7">
        <w:rPr>
          <w:rFonts w:ascii="Times New Roman" w:hAnsi="Times New Roman" w:cs="Times New Roman"/>
          <w:i/>
          <w:iCs/>
        </w:rPr>
        <w:t>p</w:t>
      </w:r>
      <w:r w:rsidRPr="00A865A7">
        <w:rPr>
          <w:rFonts w:ascii="Times New Roman" w:hAnsi="Times New Roman" w:cs="Times New Roman"/>
        </w:rPr>
        <w:t xml:space="preserve"> &lt;.01, *</w:t>
      </w:r>
      <w:r w:rsidRPr="00A865A7">
        <w:rPr>
          <w:rFonts w:ascii="Times New Roman" w:hAnsi="Times New Roman" w:cs="Times New Roman"/>
          <w:i/>
          <w:iCs/>
        </w:rPr>
        <w:t>p</w:t>
      </w:r>
      <w:r w:rsidRPr="00A865A7">
        <w:rPr>
          <w:rFonts w:ascii="Times New Roman" w:hAnsi="Times New Roman" w:cs="Times New Roman"/>
        </w:rPr>
        <w:t xml:space="preserve"> &lt;.05. Reinforcement ratio here is calculated to reflect proportionate substance-free reinforcement</w:t>
      </w:r>
      <w:r>
        <w:rPr>
          <w:rFonts w:ascii="Times New Roman" w:hAnsi="Times New Roman" w:cs="Times New Roman"/>
        </w:rPr>
        <w:t>.</w:t>
      </w:r>
    </w:p>
    <w:p w14:paraId="29A52EC5" w14:textId="4100000D" w:rsidR="00BA03C6" w:rsidRDefault="00BA03C6" w:rsidP="00093B56">
      <w:pPr>
        <w:pStyle w:val="NoSpacing"/>
        <w:rPr>
          <w:rFonts w:ascii="Times New Roman" w:hAnsi="Times New Roman" w:cs="Times New Roman"/>
        </w:rPr>
      </w:pPr>
    </w:p>
    <w:p w14:paraId="380ECD50" w14:textId="2AE740B1" w:rsidR="00BA03C6" w:rsidRDefault="00BA03C6" w:rsidP="00093B56">
      <w:pPr>
        <w:pStyle w:val="NoSpacing"/>
        <w:rPr>
          <w:rFonts w:ascii="Times New Roman" w:hAnsi="Times New Roman" w:cs="Times New Roman"/>
        </w:rPr>
      </w:pPr>
    </w:p>
    <w:p w14:paraId="04A99CD9" w14:textId="382DA369" w:rsidR="00BA03C6" w:rsidRDefault="00BA03C6" w:rsidP="00093B56">
      <w:pPr>
        <w:pStyle w:val="NoSpacing"/>
        <w:rPr>
          <w:rFonts w:ascii="Times New Roman" w:hAnsi="Times New Roman" w:cs="Times New Roman"/>
        </w:rPr>
      </w:pPr>
    </w:p>
    <w:p w14:paraId="49E2D586" w14:textId="1E26627A" w:rsidR="00A865A7" w:rsidRDefault="00A865A7" w:rsidP="00093B56">
      <w:pPr>
        <w:pStyle w:val="NoSpacing"/>
        <w:rPr>
          <w:rFonts w:ascii="Times New Roman" w:hAnsi="Times New Roman" w:cs="Times New Roman"/>
        </w:rPr>
      </w:pPr>
    </w:p>
    <w:p w14:paraId="419CB245" w14:textId="77777777" w:rsidR="00A865A7" w:rsidRDefault="00A865A7" w:rsidP="00093B56">
      <w:pPr>
        <w:pStyle w:val="NoSpacing"/>
        <w:rPr>
          <w:rFonts w:ascii="Times New Roman" w:hAnsi="Times New Roman" w:cs="Times New Roman"/>
        </w:rPr>
      </w:pPr>
    </w:p>
    <w:p w14:paraId="74FFA9F3" w14:textId="0F27B376" w:rsidR="00BA03C6" w:rsidRDefault="00BA03C6" w:rsidP="00093B56">
      <w:pPr>
        <w:pStyle w:val="NoSpacing"/>
        <w:rPr>
          <w:rFonts w:ascii="Times New Roman" w:hAnsi="Times New Roman" w:cs="Times New Roman"/>
        </w:rPr>
      </w:pPr>
    </w:p>
    <w:p w14:paraId="011C63CD" w14:textId="392D7036" w:rsidR="00BA03C6" w:rsidRDefault="00BA03C6" w:rsidP="00093B56">
      <w:pPr>
        <w:pStyle w:val="NoSpacing"/>
        <w:rPr>
          <w:rFonts w:ascii="Times New Roman" w:hAnsi="Times New Roman" w:cs="Times New Roman"/>
        </w:rPr>
      </w:pPr>
    </w:p>
    <w:p w14:paraId="51368B54" w14:textId="77777777" w:rsidR="00A865A7" w:rsidRDefault="00A865A7" w:rsidP="00093B56">
      <w:pPr>
        <w:pStyle w:val="NoSpacing"/>
        <w:rPr>
          <w:rFonts w:ascii="Times New Roman" w:hAnsi="Times New Roman" w:cs="Times New Roman"/>
        </w:rPr>
        <w:sectPr w:rsidR="00A865A7" w:rsidSect="00BA03C6">
          <w:pgSz w:w="16840" w:h="11900" w:orient="landscape"/>
          <w:pgMar w:top="1440" w:right="1440" w:bottom="1440" w:left="1440" w:header="708" w:footer="708" w:gutter="0"/>
          <w:cols w:space="708"/>
          <w:docGrid w:linePitch="360"/>
        </w:sectPr>
      </w:pPr>
    </w:p>
    <w:p w14:paraId="77C92376" w14:textId="77777777" w:rsidR="00A865A7" w:rsidRPr="00A865A7" w:rsidRDefault="00A865A7" w:rsidP="00A865A7">
      <w:pPr>
        <w:pStyle w:val="NoSpacing"/>
        <w:rPr>
          <w:rFonts w:ascii="Times New Roman" w:hAnsi="Times New Roman" w:cs="Times New Roman"/>
          <w:b/>
          <w:bCs/>
        </w:rPr>
      </w:pPr>
      <w:r w:rsidRPr="00A865A7">
        <w:rPr>
          <w:rFonts w:ascii="Times New Roman" w:hAnsi="Times New Roman" w:cs="Times New Roman"/>
          <w:b/>
          <w:bCs/>
        </w:rPr>
        <w:lastRenderedPageBreak/>
        <w:t xml:space="preserve">10. </w:t>
      </w:r>
      <w:r w:rsidRPr="00A865A7">
        <w:rPr>
          <w:rFonts w:ascii="Times New Roman" w:hAnsi="Times New Roman" w:cs="Times New Roman"/>
          <w:b/>
          <w:bCs/>
          <w:i/>
          <w:iCs/>
        </w:rPr>
        <w:t>A priori</w:t>
      </w:r>
      <w:r w:rsidRPr="00A865A7">
        <w:rPr>
          <w:rFonts w:ascii="Times New Roman" w:hAnsi="Times New Roman" w:cs="Times New Roman"/>
          <w:b/>
          <w:bCs/>
        </w:rPr>
        <w:t xml:space="preserve"> power analysis output (Figure S6.1)</w:t>
      </w:r>
    </w:p>
    <w:p w14:paraId="1F369F10" w14:textId="0D80E6C8" w:rsidR="00BA03C6" w:rsidRDefault="00BA03C6" w:rsidP="00093B56">
      <w:pPr>
        <w:pStyle w:val="NoSpacing"/>
        <w:rPr>
          <w:rFonts w:ascii="Times New Roman" w:hAnsi="Times New Roman" w:cs="Times New Roman"/>
        </w:rPr>
      </w:pPr>
    </w:p>
    <w:p w14:paraId="25224273" w14:textId="2E5C0DAB" w:rsidR="00BA03C6" w:rsidRDefault="00BA03C6" w:rsidP="00093B56">
      <w:pPr>
        <w:pStyle w:val="NoSpacing"/>
        <w:rPr>
          <w:rFonts w:ascii="Times New Roman" w:hAnsi="Times New Roman" w:cs="Times New Roman"/>
        </w:rPr>
      </w:pPr>
    </w:p>
    <w:p w14:paraId="7299D2F6"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b/>
          <w:bCs/>
          <w:color w:val="000000"/>
          <w:sz w:val="17"/>
          <w:szCs w:val="17"/>
          <w:lang w:eastAsia="zh-CN"/>
        </w:rPr>
        <w:t xml:space="preserve">t tests - </w:t>
      </w:r>
      <w:r w:rsidRPr="00A865A7">
        <w:rPr>
          <w:rFonts w:ascii="Lucida Sans Unicode" w:eastAsia="Times New Roman" w:hAnsi="Lucida Sans Unicode" w:cs="Lucida Sans Unicode"/>
          <w:color w:val="000000"/>
          <w:sz w:val="17"/>
          <w:szCs w:val="17"/>
          <w:lang w:eastAsia="zh-CN"/>
        </w:rPr>
        <w:t>Means: Difference between two independent means (two groups)</w:t>
      </w:r>
    </w:p>
    <w:p w14:paraId="123F2B9E"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b/>
          <w:bCs/>
          <w:color w:val="000000"/>
          <w:sz w:val="17"/>
          <w:szCs w:val="17"/>
          <w:lang w:eastAsia="zh-CN"/>
        </w:rPr>
        <w:t>Analysis:</w:t>
      </w:r>
      <w:r w:rsidRPr="00A865A7">
        <w:rPr>
          <w:rFonts w:ascii="Lucida Sans Unicode" w:eastAsia="Times New Roman" w:hAnsi="Lucida Sans Unicode" w:cs="Lucida Sans Unicode"/>
          <w:b/>
          <w:bCs/>
          <w:color w:val="000000"/>
          <w:sz w:val="17"/>
          <w:szCs w:val="17"/>
          <w:lang w:eastAsia="zh-CN"/>
        </w:rPr>
        <w:tab/>
      </w:r>
      <w:r w:rsidRPr="00A865A7">
        <w:rPr>
          <w:rFonts w:ascii="Lucida Sans Unicode" w:eastAsia="Times New Roman" w:hAnsi="Lucida Sans Unicode" w:cs="Lucida Sans Unicode"/>
          <w:color w:val="000000"/>
          <w:sz w:val="17"/>
          <w:szCs w:val="17"/>
          <w:lang w:eastAsia="zh-CN"/>
        </w:rPr>
        <w:t xml:space="preserve">A priori: Compute required sample size </w:t>
      </w:r>
    </w:p>
    <w:p w14:paraId="1C7916CE"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b/>
          <w:bCs/>
          <w:color w:val="000000"/>
          <w:sz w:val="17"/>
          <w:szCs w:val="17"/>
          <w:lang w:eastAsia="zh-CN"/>
        </w:rPr>
        <w:t>Input:</w:t>
      </w:r>
      <w:r w:rsidRPr="00A865A7">
        <w:rPr>
          <w:rFonts w:ascii="Lucida Sans Unicode" w:eastAsia="Times New Roman" w:hAnsi="Lucida Sans Unicode" w:cs="Lucida Sans Unicode"/>
          <w:color w:val="000000"/>
          <w:sz w:val="17"/>
          <w:szCs w:val="17"/>
          <w:lang w:eastAsia="zh-CN"/>
        </w:rPr>
        <w:tab/>
        <w:t>Tail(s)</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One</w:t>
      </w:r>
    </w:p>
    <w:p w14:paraId="6C6C9E79"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Effect size d</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0.5</w:t>
      </w:r>
    </w:p>
    <w:p w14:paraId="1E08664B"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α err prob</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0.05</w:t>
      </w:r>
    </w:p>
    <w:p w14:paraId="43491919"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Power (1-β err prob)</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0.80</w:t>
      </w:r>
    </w:p>
    <w:p w14:paraId="6654A35B"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Allocation ratio N2/N1</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1</w:t>
      </w:r>
    </w:p>
    <w:p w14:paraId="580BBAA4"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b/>
          <w:bCs/>
          <w:color w:val="000000"/>
          <w:sz w:val="17"/>
          <w:szCs w:val="17"/>
          <w:lang w:eastAsia="zh-CN"/>
        </w:rPr>
        <w:t>Output:</w:t>
      </w:r>
      <w:r w:rsidRPr="00A865A7">
        <w:rPr>
          <w:rFonts w:ascii="Lucida Sans Unicode" w:eastAsia="Times New Roman" w:hAnsi="Lucida Sans Unicode" w:cs="Lucida Sans Unicode"/>
          <w:color w:val="000000"/>
          <w:sz w:val="17"/>
          <w:szCs w:val="17"/>
          <w:lang w:eastAsia="zh-CN"/>
        </w:rPr>
        <w:tab/>
      </w:r>
      <w:proofErr w:type="spellStart"/>
      <w:r w:rsidRPr="00A865A7">
        <w:rPr>
          <w:rFonts w:ascii="Lucida Sans Unicode" w:eastAsia="Times New Roman" w:hAnsi="Lucida Sans Unicode" w:cs="Lucida Sans Unicode"/>
          <w:color w:val="000000"/>
          <w:sz w:val="17"/>
          <w:szCs w:val="17"/>
          <w:lang w:eastAsia="zh-CN"/>
        </w:rPr>
        <w:t>Noncentrality</w:t>
      </w:r>
      <w:proofErr w:type="spellEnd"/>
      <w:r w:rsidRPr="00A865A7">
        <w:rPr>
          <w:rFonts w:ascii="Lucida Sans Unicode" w:eastAsia="Times New Roman" w:hAnsi="Lucida Sans Unicode" w:cs="Lucida Sans Unicode"/>
          <w:color w:val="000000"/>
          <w:sz w:val="17"/>
          <w:szCs w:val="17"/>
          <w:lang w:eastAsia="zh-CN"/>
        </w:rPr>
        <w:t xml:space="preserve"> parameter δ</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2.5248762</w:t>
      </w:r>
    </w:p>
    <w:p w14:paraId="55040496"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Critical t</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1.6602343</w:t>
      </w:r>
    </w:p>
    <w:p w14:paraId="1630D49F"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r>
      <w:proofErr w:type="spellStart"/>
      <w:r w:rsidRPr="00A865A7">
        <w:rPr>
          <w:rFonts w:ascii="Lucida Sans Unicode" w:eastAsia="Times New Roman" w:hAnsi="Lucida Sans Unicode" w:cs="Lucida Sans Unicode"/>
          <w:color w:val="000000"/>
          <w:sz w:val="17"/>
          <w:szCs w:val="17"/>
          <w:lang w:eastAsia="zh-CN"/>
        </w:rPr>
        <w:t>Df</w:t>
      </w:r>
      <w:proofErr w:type="spellEnd"/>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100</w:t>
      </w:r>
    </w:p>
    <w:p w14:paraId="6A59A157"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Sample size group 1</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51</w:t>
      </w:r>
    </w:p>
    <w:p w14:paraId="0B8F6EAF"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Sample size group 2</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51</w:t>
      </w:r>
    </w:p>
    <w:p w14:paraId="1895EE84"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Total sample size</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102</w:t>
      </w:r>
    </w:p>
    <w:p w14:paraId="4AEC079B" w14:textId="77777777" w:rsidR="00A865A7" w:rsidRPr="00A865A7" w:rsidRDefault="00A865A7" w:rsidP="00A865A7">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lang w:eastAsia="zh-CN"/>
        </w:rPr>
      </w:pPr>
      <w:r w:rsidRPr="00A865A7">
        <w:rPr>
          <w:rFonts w:ascii="Lucida Sans Unicode" w:eastAsia="Times New Roman" w:hAnsi="Lucida Sans Unicode" w:cs="Lucida Sans Unicode"/>
          <w:color w:val="000000"/>
          <w:sz w:val="17"/>
          <w:szCs w:val="17"/>
          <w:lang w:eastAsia="zh-CN"/>
        </w:rPr>
        <w:tab/>
        <w:t>Actual power</w:t>
      </w:r>
      <w:r w:rsidRPr="00A865A7">
        <w:rPr>
          <w:rFonts w:ascii="Lucida Sans Unicode" w:eastAsia="Times New Roman" w:hAnsi="Lucida Sans Unicode" w:cs="Lucida Sans Unicode"/>
          <w:color w:val="000000"/>
          <w:sz w:val="17"/>
          <w:szCs w:val="17"/>
          <w:lang w:eastAsia="zh-CN"/>
        </w:rPr>
        <w:tab/>
        <w:t>=</w:t>
      </w:r>
      <w:r w:rsidRPr="00A865A7">
        <w:rPr>
          <w:rFonts w:ascii="Lucida Sans Unicode" w:eastAsia="Times New Roman" w:hAnsi="Lucida Sans Unicode" w:cs="Lucida Sans Unicode"/>
          <w:color w:val="000000"/>
          <w:sz w:val="17"/>
          <w:szCs w:val="17"/>
          <w:lang w:eastAsia="zh-CN"/>
        </w:rPr>
        <w:tab/>
        <w:t>0.8058986</w:t>
      </w:r>
    </w:p>
    <w:p w14:paraId="1C85356F" w14:textId="3D5FB4C6" w:rsidR="00BA03C6" w:rsidRDefault="00BA03C6" w:rsidP="00093B56">
      <w:pPr>
        <w:pStyle w:val="NoSpacing"/>
        <w:rPr>
          <w:rFonts w:ascii="Times New Roman" w:hAnsi="Times New Roman" w:cs="Times New Roman"/>
        </w:rPr>
      </w:pPr>
    </w:p>
    <w:p w14:paraId="1BA6D46B" w14:textId="6A2FC118" w:rsidR="00BA03C6" w:rsidRDefault="00BA03C6" w:rsidP="00093B56">
      <w:pPr>
        <w:pStyle w:val="NoSpacing"/>
        <w:rPr>
          <w:rFonts w:ascii="Times New Roman" w:hAnsi="Times New Roman" w:cs="Times New Roman"/>
        </w:rPr>
      </w:pPr>
    </w:p>
    <w:p w14:paraId="450FA6B6" w14:textId="047B6AAA" w:rsidR="00BA03C6" w:rsidRDefault="00BA03C6" w:rsidP="00093B56">
      <w:pPr>
        <w:pStyle w:val="NoSpacing"/>
        <w:rPr>
          <w:rFonts w:ascii="Times New Roman" w:hAnsi="Times New Roman" w:cs="Times New Roman"/>
        </w:rPr>
      </w:pPr>
    </w:p>
    <w:p w14:paraId="289AD1CF" w14:textId="77777777" w:rsidR="00A865A7" w:rsidRDefault="00A865A7" w:rsidP="00A865A7">
      <w:pPr>
        <w:pStyle w:val="NoSpacing"/>
        <w:spacing w:line="480" w:lineRule="auto"/>
        <w:rPr>
          <w:rFonts w:ascii="Times New Roman" w:hAnsi="Times New Roman" w:cs="Times New Roman"/>
          <w:b/>
          <w:bCs/>
        </w:rPr>
      </w:pPr>
      <w:r w:rsidRPr="00A865A7">
        <w:rPr>
          <w:rFonts w:ascii="Times New Roman" w:hAnsi="Times New Roman" w:cs="Times New Roman"/>
          <w:b/>
          <w:bCs/>
        </w:rPr>
        <w:t>Figure S6.1</w:t>
      </w:r>
    </w:p>
    <w:p w14:paraId="193B7596" w14:textId="58BDE0BA" w:rsidR="00A865A7" w:rsidRPr="00A865A7" w:rsidRDefault="00A865A7" w:rsidP="00A865A7">
      <w:pPr>
        <w:pStyle w:val="NoSpacing"/>
        <w:spacing w:line="480" w:lineRule="auto"/>
        <w:rPr>
          <w:rFonts w:ascii="Times New Roman" w:hAnsi="Times New Roman" w:cs="Times New Roman"/>
          <w:i/>
          <w:iCs/>
        </w:rPr>
      </w:pPr>
      <w:r w:rsidRPr="00A865A7">
        <w:rPr>
          <w:rFonts w:ascii="Times New Roman" w:hAnsi="Times New Roman" w:cs="Times New Roman"/>
          <w:i/>
          <w:iCs/>
        </w:rPr>
        <w:t>A graph to show the relationship between sample size and power level</w:t>
      </w:r>
    </w:p>
    <w:p w14:paraId="0DB7A75F" w14:textId="61006C3F" w:rsidR="00BA03C6" w:rsidRDefault="00A865A7" w:rsidP="00A865A7">
      <w:pPr>
        <w:pStyle w:val="NoSpacing"/>
        <w:jc w:val="center"/>
        <w:rPr>
          <w:rFonts w:ascii="Times New Roman" w:hAnsi="Times New Roman" w:cs="Times New Roman"/>
        </w:rPr>
      </w:pPr>
      <w:r w:rsidRPr="00A865A7">
        <w:rPr>
          <w:rFonts w:ascii="Times New Roman" w:eastAsia="DengXian" w:hAnsi="Times New Roman" w:cs="Times New Roman"/>
          <w:noProof/>
          <w:color w:val="000000"/>
          <w:lang w:eastAsia="zh-CN"/>
        </w:rPr>
        <w:drawing>
          <wp:inline distT="0" distB="0" distL="0" distR="0" wp14:anchorId="6845A525" wp14:editId="52DD6ABC">
            <wp:extent cx="5133340" cy="2816860"/>
            <wp:effectExtent l="0" t="0" r="0" b="2540"/>
            <wp:docPr id="54" name="Picture 5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33340" cy="2816860"/>
                    </a:xfrm>
                    <a:prstGeom prst="rect">
                      <a:avLst/>
                    </a:prstGeom>
                    <a:noFill/>
                  </pic:spPr>
                </pic:pic>
              </a:graphicData>
            </a:graphic>
          </wp:inline>
        </w:drawing>
      </w:r>
    </w:p>
    <w:p w14:paraId="664F0076" w14:textId="7FD1A27A" w:rsidR="00BA03C6" w:rsidRDefault="00BA03C6" w:rsidP="00093B56">
      <w:pPr>
        <w:pStyle w:val="NoSpacing"/>
        <w:rPr>
          <w:rFonts w:ascii="Times New Roman" w:hAnsi="Times New Roman" w:cs="Times New Roman"/>
        </w:rPr>
      </w:pPr>
    </w:p>
    <w:p w14:paraId="28532CF0" w14:textId="19EFCE87" w:rsidR="00BA03C6" w:rsidRDefault="00BA03C6" w:rsidP="00093B56">
      <w:pPr>
        <w:pStyle w:val="NoSpacing"/>
        <w:rPr>
          <w:rFonts w:ascii="Times New Roman" w:hAnsi="Times New Roman" w:cs="Times New Roman"/>
        </w:rPr>
      </w:pPr>
    </w:p>
    <w:p w14:paraId="1FD2D4A1" w14:textId="7633F82E" w:rsidR="00BA03C6" w:rsidRDefault="00BA03C6" w:rsidP="00093B56">
      <w:pPr>
        <w:pStyle w:val="NoSpacing"/>
        <w:rPr>
          <w:rFonts w:ascii="Times New Roman" w:hAnsi="Times New Roman" w:cs="Times New Roman"/>
        </w:rPr>
      </w:pPr>
    </w:p>
    <w:p w14:paraId="42C4F8CB" w14:textId="77777777" w:rsidR="00BA03C6" w:rsidRDefault="00BA03C6" w:rsidP="00093B56">
      <w:pPr>
        <w:pStyle w:val="NoSpacing"/>
        <w:rPr>
          <w:rFonts w:ascii="Times New Roman" w:hAnsi="Times New Roman" w:cs="Times New Roman"/>
        </w:rPr>
      </w:pPr>
    </w:p>
    <w:p w14:paraId="6A35CA2E" w14:textId="2C9A2652" w:rsidR="00BA03C6" w:rsidRDefault="00BA03C6" w:rsidP="00093B56">
      <w:pPr>
        <w:pStyle w:val="NoSpacing"/>
        <w:rPr>
          <w:rFonts w:ascii="Times New Roman" w:hAnsi="Times New Roman" w:cs="Times New Roman"/>
        </w:rPr>
      </w:pPr>
    </w:p>
    <w:p w14:paraId="30BCE8F0" w14:textId="5A410E29" w:rsidR="00BA03C6" w:rsidRDefault="00BA03C6" w:rsidP="00093B56">
      <w:pPr>
        <w:pStyle w:val="NoSpacing"/>
        <w:rPr>
          <w:rFonts w:ascii="Times New Roman" w:hAnsi="Times New Roman" w:cs="Times New Roman"/>
        </w:rPr>
      </w:pPr>
    </w:p>
    <w:p w14:paraId="0CC925F8" w14:textId="1BC2643A" w:rsidR="00BA03C6" w:rsidRDefault="00BA03C6" w:rsidP="00093B56">
      <w:pPr>
        <w:pStyle w:val="NoSpacing"/>
        <w:rPr>
          <w:rFonts w:ascii="Times New Roman" w:hAnsi="Times New Roman" w:cs="Times New Roman"/>
        </w:rPr>
      </w:pPr>
    </w:p>
    <w:p w14:paraId="571BB7DF" w14:textId="0F664E15" w:rsidR="00672927" w:rsidRDefault="00672927" w:rsidP="00093B56">
      <w:pPr>
        <w:pStyle w:val="NoSpacing"/>
        <w:rPr>
          <w:rFonts w:ascii="Times New Roman" w:hAnsi="Times New Roman" w:cs="Times New Roman"/>
        </w:rPr>
      </w:pPr>
    </w:p>
    <w:p w14:paraId="22DA0CF6" w14:textId="77777777" w:rsidR="00A865A7" w:rsidRPr="00BA03C6" w:rsidRDefault="00A865A7" w:rsidP="00093B56">
      <w:pPr>
        <w:pStyle w:val="NoSpacing"/>
        <w:rPr>
          <w:rFonts w:ascii="Times New Roman" w:hAnsi="Times New Roman" w:cs="Times New Roman"/>
        </w:rPr>
      </w:pPr>
    </w:p>
    <w:p w14:paraId="35F45579" w14:textId="05B8CE8A" w:rsidR="00093B56" w:rsidRPr="00A865A7" w:rsidRDefault="00093B56" w:rsidP="00107EBB">
      <w:pPr>
        <w:pStyle w:val="Heading1"/>
      </w:pPr>
      <w:bookmarkStart w:id="446" w:name="_Toc109911343"/>
      <w:bookmarkStart w:id="447" w:name="_Toc110612758"/>
      <w:bookmarkStart w:id="448" w:name="_Toc110629098"/>
      <w:bookmarkStart w:id="449" w:name="_Toc110871006"/>
      <w:r w:rsidRPr="00A865A7">
        <w:lastRenderedPageBreak/>
        <w:t>Appendix F</w:t>
      </w:r>
      <w:bookmarkEnd w:id="446"/>
      <w:bookmarkEnd w:id="447"/>
      <w:bookmarkEnd w:id="448"/>
      <w:bookmarkEnd w:id="449"/>
    </w:p>
    <w:p w14:paraId="434035CC" w14:textId="069B80E8" w:rsidR="00A865A7" w:rsidRPr="00A865A7" w:rsidRDefault="00A865A7" w:rsidP="00A865A7">
      <w:pPr>
        <w:pStyle w:val="NoSpacing"/>
        <w:spacing w:line="480" w:lineRule="auto"/>
        <w:jc w:val="center"/>
        <w:rPr>
          <w:rFonts w:ascii="Times New Roman" w:hAnsi="Times New Roman" w:cs="Times New Roman"/>
          <w:b/>
        </w:rPr>
      </w:pPr>
      <w:r w:rsidRPr="00A865A7">
        <w:rPr>
          <w:rFonts w:ascii="Times New Roman" w:hAnsi="Times New Roman" w:cs="Times New Roman"/>
          <w:b/>
        </w:rPr>
        <w:t>Supplementary materials for Chapter 7 “Value-based decision-making in current smokers and ex-smokers”</w:t>
      </w:r>
    </w:p>
    <w:p w14:paraId="06BC0CCD" w14:textId="77777777" w:rsidR="00A865A7" w:rsidRPr="00A865A7" w:rsidRDefault="00A865A7" w:rsidP="00A865A7">
      <w:pPr>
        <w:pStyle w:val="NoSpacing"/>
        <w:spacing w:line="480" w:lineRule="auto"/>
        <w:rPr>
          <w:rFonts w:ascii="Times New Roman" w:hAnsi="Times New Roman" w:cs="Times New Roman"/>
          <w:b/>
          <w:bCs/>
        </w:rPr>
      </w:pPr>
      <w:r w:rsidRPr="00A865A7">
        <w:rPr>
          <w:rFonts w:ascii="Times New Roman" w:hAnsi="Times New Roman" w:cs="Times New Roman"/>
          <w:b/>
          <w:bCs/>
        </w:rPr>
        <w:t>Contents</w:t>
      </w:r>
      <w:bookmarkStart w:id="450" w:name="_Hlk109241661"/>
    </w:p>
    <w:p w14:paraId="7743CA45" w14:textId="77777777" w:rsidR="00A865A7" w:rsidRPr="00A865A7" w:rsidRDefault="00A865A7" w:rsidP="00A865A7">
      <w:pPr>
        <w:pStyle w:val="NoSpacing"/>
        <w:numPr>
          <w:ilvl w:val="0"/>
          <w:numId w:val="25"/>
        </w:numPr>
        <w:spacing w:line="480" w:lineRule="auto"/>
        <w:rPr>
          <w:rFonts w:ascii="Times New Roman" w:hAnsi="Times New Roman" w:cs="Times New Roman"/>
          <w:bCs/>
        </w:rPr>
      </w:pPr>
      <w:r w:rsidRPr="00A865A7">
        <w:rPr>
          <w:rFonts w:ascii="Times New Roman" w:hAnsi="Times New Roman" w:cs="Times New Roman"/>
          <w:bCs/>
        </w:rPr>
        <w:t xml:space="preserve">Exact wording of breakpoint (tobacco demand) and price point increments </w:t>
      </w:r>
      <w:bookmarkEnd w:id="450"/>
    </w:p>
    <w:p w14:paraId="7EB3A2F0" w14:textId="77777777" w:rsidR="00A865A7" w:rsidRPr="00A865A7" w:rsidRDefault="00A865A7" w:rsidP="00A865A7">
      <w:pPr>
        <w:pStyle w:val="NoSpacing"/>
        <w:numPr>
          <w:ilvl w:val="0"/>
          <w:numId w:val="25"/>
        </w:numPr>
        <w:spacing w:line="480" w:lineRule="auto"/>
        <w:rPr>
          <w:rFonts w:ascii="Times New Roman" w:hAnsi="Times New Roman" w:cs="Times New Roman"/>
          <w:bCs/>
        </w:rPr>
      </w:pPr>
      <w:r w:rsidRPr="00A865A7">
        <w:rPr>
          <w:rFonts w:ascii="Times New Roman" w:hAnsi="Times New Roman" w:cs="Times New Roman"/>
          <w:bCs/>
        </w:rPr>
        <w:t xml:space="preserve">Images used in the VBDM and </w:t>
      </w:r>
      <w:proofErr w:type="spellStart"/>
      <w:r w:rsidRPr="00A865A7">
        <w:rPr>
          <w:rFonts w:ascii="Times New Roman" w:hAnsi="Times New Roman" w:cs="Times New Roman"/>
          <w:bCs/>
        </w:rPr>
        <w:t>MouseTracker</w:t>
      </w:r>
      <w:proofErr w:type="spellEnd"/>
      <w:r w:rsidRPr="00A865A7">
        <w:rPr>
          <w:rFonts w:ascii="Times New Roman" w:hAnsi="Times New Roman" w:cs="Times New Roman"/>
          <w:bCs/>
        </w:rPr>
        <w:t xml:space="preserve"> tasks to depict tobacco and tobacco-unrelated (animal) images</w:t>
      </w:r>
    </w:p>
    <w:p w14:paraId="4C7EC45A" w14:textId="77777777" w:rsidR="00A865A7" w:rsidRPr="00A865A7" w:rsidRDefault="00A865A7" w:rsidP="00A865A7">
      <w:pPr>
        <w:pStyle w:val="NoSpacing"/>
        <w:numPr>
          <w:ilvl w:val="0"/>
          <w:numId w:val="25"/>
        </w:numPr>
        <w:spacing w:line="480" w:lineRule="auto"/>
        <w:rPr>
          <w:rFonts w:ascii="Times New Roman" w:hAnsi="Times New Roman" w:cs="Times New Roman"/>
          <w:bCs/>
        </w:rPr>
      </w:pPr>
      <w:bookmarkStart w:id="451" w:name="_Hlk109242192"/>
      <w:r w:rsidRPr="00A865A7">
        <w:rPr>
          <w:rFonts w:ascii="Times New Roman" w:hAnsi="Times New Roman" w:cs="Times New Roman"/>
          <w:bCs/>
        </w:rPr>
        <w:t>Within-subject differences</w:t>
      </w:r>
    </w:p>
    <w:p w14:paraId="363F9194" w14:textId="77777777" w:rsidR="00A865A7" w:rsidRPr="00A865A7" w:rsidRDefault="00A865A7" w:rsidP="00A865A7">
      <w:pPr>
        <w:pStyle w:val="NoSpacing"/>
        <w:numPr>
          <w:ilvl w:val="0"/>
          <w:numId w:val="25"/>
        </w:numPr>
        <w:spacing w:line="480" w:lineRule="auto"/>
        <w:rPr>
          <w:rFonts w:ascii="Times New Roman" w:hAnsi="Times New Roman" w:cs="Times New Roman"/>
          <w:bCs/>
        </w:rPr>
      </w:pPr>
      <w:bookmarkStart w:id="452" w:name="_Hlk109242480"/>
      <w:bookmarkEnd w:id="451"/>
      <w:r w:rsidRPr="00A865A7">
        <w:rPr>
          <w:rFonts w:ascii="Times New Roman" w:hAnsi="Times New Roman" w:cs="Times New Roman"/>
          <w:bCs/>
        </w:rPr>
        <w:t>DDM analyses conducted on each individual difficulty level in isolation (Table S7.1)</w:t>
      </w:r>
    </w:p>
    <w:bookmarkEnd w:id="452"/>
    <w:p w14:paraId="3FC0AF49" w14:textId="3FB19279" w:rsidR="00A865A7" w:rsidRPr="00A865A7" w:rsidRDefault="00A865A7" w:rsidP="00A865A7">
      <w:pPr>
        <w:pStyle w:val="NoSpacing"/>
        <w:numPr>
          <w:ilvl w:val="0"/>
          <w:numId w:val="25"/>
        </w:numPr>
        <w:spacing w:line="480" w:lineRule="auto"/>
        <w:rPr>
          <w:rFonts w:ascii="Times New Roman" w:hAnsi="Times New Roman" w:cs="Times New Roman"/>
          <w:bCs/>
        </w:rPr>
      </w:pPr>
      <w:r w:rsidRPr="00A865A7">
        <w:rPr>
          <w:rFonts w:ascii="Times New Roman" w:hAnsi="Times New Roman" w:cs="Times New Roman"/>
          <w:bCs/>
        </w:rPr>
        <w:t>Exploratory correlations between self-report variables, DDM parameters, and AUC</w:t>
      </w:r>
      <w:r w:rsidR="005E21EB">
        <w:rPr>
          <w:rFonts w:ascii="Times New Roman" w:hAnsi="Times New Roman" w:cs="Times New Roman"/>
          <w:bCs/>
        </w:rPr>
        <w:t>, split by smoker status</w:t>
      </w:r>
      <w:r w:rsidRPr="00A865A7">
        <w:rPr>
          <w:rFonts w:ascii="Times New Roman" w:hAnsi="Times New Roman" w:cs="Times New Roman"/>
          <w:bCs/>
        </w:rPr>
        <w:t xml:space="preserve"> (Table</w:t>
      </w:r>
      <w:r w:rsidR="00100B39">
        <w:rPr>
          <w:rFonts w:ascii="Times New Roman" w:hAnsi="Times New Roman" w:cs="Times New Roman"/>
          <w:bCs/>
        </w:rPr>
        <w:t>s</w:t>
      </w:r>
      <w:r w:rsidRPr="00A865A7">
        <w:rPr>
          <w:rFonts w:ascii="Times New Roman" w:hAnsi="Times New Roman" w:cs="Times New Roman"/>
          <w:bCs/>
        </w:rPr>
        <w:t xml:space="preserve"> S7.2</w:t>
      </w:r>
      <w:r w:rsidR="00100B39">
        <w:rPr>
          <w:rFonts w:ascii="Times New Roman" w:hAnsi="Times New Roman" w:cs="Times New Roman"/>
          <w:bCs/>
        </w:rPr>
        <w:t>-S7.4</w:t>
      </w:r>
      <w:r w:rsidRPr="00A865A7">
        <w:rPr>
          <w:rFonts w:ascii="Times New Roman" w:hAnsi="Times New Roman" w:cs="Times New Roman"/>
          <w:bCs/>
        </w:rPr>
        <w:t>; Figure S7.1)</w:t>
      </w:r>
    </w:p>
    <w:p w14:paraId="5E115929" w14:textId="77777777" w:rsidR="00A865A7" w:rsidRPr="00A865A7" w:rsidRDefault="00A865A7" w:rsidP="00A865A7">
      <w:pPr>
        <w:pStyle w:val="NoSpacing"/>
        <w:numPr>
          <w:ilvl w:val="0"/>
          <w:numId w:val="25"/>
        </w:numPr>
        <w:spacing w:line="480" w:lineRule="auto"/>
        <w:rPr>
          <w:rFonts w:ascii="Times New Roman" w:hAnsi="Times New Roman" w:cs="Times New Roman"/>
          <w:bCs/>
        </w:rPr>
      </w:pPr>
      <w:r w:rsidRPr="00A865A7">
        <w:rPr>
          <w:rFonts w:ascii="Times New Roman" w:hAnsi="Times New Roman" w:cs="Times New Roman"/>
          <w:bCs/>
          <w:i/>
          <w:iCs/>
        </w:rPr>
        <w:t>A priori</w:t>
      </w:r>
      <w:r w:rsidRPr="00A865A7">
        <w:rPr>
          <w:rFonts w:ascii="Times New Roman" w:hAnsi="Times New Roman" w:cs="Times New Roman"/>
          <w:bCs/>
        </w:rPr>
        <w:t xml:space="preserve"> power analysis output</w:t>
      </w:r>
    </w:p>
    <w:p w14:paraId="16ACF211" w14:textId="77777777" w:rsidR="00A865A7" w:rsidRPr="00A865A7" w:rsidRDefault="00A865A7" w:rsidP="00A865A7">
      <w:pPr>
        <w:pStyle w:val="NoSpacing"/>
        <w:spacing w:line="480" w:lineRule="auto"/>
        <w:rPr>
          <w:rFonts w:ascii="Times New Roman" w:hAnsi="Times New Roman" w:cs="Times New Roman"/>
          <w:bCs/>
        </w:rPr>
      </w:pPr>
    </w:p>
    <w:p w14:paraId="486B7FFC" w14:textId="5F19C4F5" w:rsidR="003A7189" w:rsidRDefault="003A7189" w:rsidP="00A865A7">
      <w:pPr>
        <w:pStyle w:val="NoSpacing"/>
        <w:spacing w:line="480" w:lineRule="auto"/>
      </w:pPr>
    </w:p>
    <w:p w14:paraId="7AA5CE21" w14:textId="45E1D41B" w:rsidR="003A7189" w:rsidRDefault="003A7189" w:rsidP="00A865A7">
      <w:pPr>
        <w:pStyle w:val="NoSpacing"/>
        <w:spacing w:line="480" w:lineRule="auto"/>
      </w:pPr>
    </w:p>
    <w:p w14:paraId="0392DD10" w14:textId="34376CB4" w:rsidR="003A7189" w:rsidRDefault="003A7189" w:rsidP="003A7189">
      <w:pPr>
        <w:pStyle w:val="NoSpacing"/>
      </w:pPr>
    </w:p>
    <w:p w14:paraId="4D521094" w14:textId="6052D9C7" w:rsidR="003A7189" w:rsidRDefault="003A7189" w:rsidP="003A7189">
      <w:pPr>
        <w:pStyle w:val="NoSpacing"/>
      </w:pPr>
    </w:p>
    <w:p w14:paraId="6579833A" w14:textId="01AC4368" w:rsidR="003A7189" w:rsidRDefault="003A7189" w:rsidP="003A7189">
      <w:pPr>
        <w:pStyle w:val="NoSpacing"/>
      </w:pPr>
    </w:p>
    <w:p w14:paraId="48A29F82" w14:textId="21CE16F2" w:rsidR="003A7189" w:rsidRDefault="003A7189" w:rsidP="003A7189">
      <w:pPr>
        <w:pStyle w:val="NoSpacing"/>
      </w:pPr>
    </w:p>
    <w:p w14:paraId="7A530ECA" w14:textId="5F6B4328" w:rsidR="003A7189" w:rsidRDefault="003A7189" w:rsidP="003A7189">
      <w:pPr>
        <w:pStyle w:val="NoSpacing"/>
      </w:pPr>
    </w:p>
    <w:p w14:paraId="30FC4567" w14:textId="58FF3B29" w:rsidR="003A7189" w:rsidRDefault="003A7189" w:rsidP="003A7189">
      <w:pPr>
        <w:pStyle w:val="NoSpacing"/>
      </w:pPr>
    </w:p>
    <w:p w14:paraId="528D7D51" w14:textId="190D7C12" w:rsidR="003A7189" w:rsidRDefault="003A7189" w:rsidP="003A7189">
      <w:pPr>
        <w:pStyle w:val="NoSpacing"/>
      </w:pPr>
    </w:p>
    <w:p w14:paraId="355D8ABE" w14:textId="60A06A72" w:rsidR="003A7189" w:rsidRDefault="003A7189" w:rsidP="003A7189">
      <w:pPr>
        <w:pStyle w:val="NoSpacing"/>
      </w:pPr>
    </w:p>
    <w:p w14:paraId="052085F0" w14:textId="4BBEF897" w:rsidR="003A7189" w:rsidRDefault="003A7189" w:rsidP="003A7189">
      <w:pPr>
        <w:pStyle w:val="NoSpacing"/>
      </w:pPr>
    </w:p>
    <w:p w14:paraId="78539FBB" w14:textId="3B23B1D5" w:rsidR="003A7189" w:rsidRDefault="003A7189" w:rsidP="003A7189">
      <w:pPr>
        <w:pStyle w:val="NoSpacing"/>
      </w:pPr>
    </w:p>
    <w:p w14:paraId="636A1D9B" w14:textId="78FEAC5B" w:rsidR="003A7189" w:rsidRDefault="003A7189" w:rsidP="003A7189">
      <w:pPr>
        <w:pStyle w:val="NoSpacing"/>
      </w:pPr>
    </w:p>
    <w:p w14:paraId="5D271239" w14:textId="3EF2F597" w:rsidR="003A7189" w:rsidRDefault="003A7189" w:rsidP="003A7189">
      <w:pPr>
        <w:pStyle w:val="NoSpacing"/>
      </w:pPr>
    </w:p>
    <w:p w14:paraId="09C47661" w14:textId="50FE1684" w:rsidR="003A7189" w:rsidRDefault="003A7189" w:rsidP="003A7189">
      <w:pPr>
        <w:pStyle w:val="NoSpacing"/>
      </w:pPr>
    </w:p>
    <w:p w14:paraId="3EB2B765" w14:textId="693277AE" w:rsidR="003A7189" w:rsidRDefault="003A7189" w:rsidP="003A7189">
      <w:pPr>
        <w:pStyle w:val="NoSpacing"/>
      </w:pPr>
    </w:p>
    <w:p w14:paraId="50262DD2" w14:textId="63B8A26F" w:rsidR="003A7189" w:rsidRDefault="003A7189" w:rsidP="003A7189">
      <w:pPr>
        <w:pStyle w:val="NoSpacing"/>
      </w:pPr>
    </w:p>
    <w:p w14:paraId="3D3C71AA" w14:textId="52E14B77" w:rsidR="003A7189" w:rsidRDefault="003A7189" w:rsidP="003A7189">
      <w:pPr>
        <w:pStyle w:val="NoSpacing"/>
      </w:pPr>
    </w:p>
    <w:p w14:paraId="281903BA" w14:textId="62B0B4D5" w:rsidR="003A7189" w:rsidRDefault="003A7189" w:rsidP="003A7189">
      <w:pPr>
        <w:pStyle w:val="NoSpacing"/>
      </w:pPr>
    </w:p>
    <w:p w14:paraId="4B27F12F" w14:textId="6BCBF672" w:rsidR="00FA1DCC" w:rsidRPr="00FA1DCC" w:rsidRDefault="00FA1DCC" w:rsidP="00FA1DC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 xml:space="preserve">1. Exact wording of breakpoint (tobacco demand) and price point increments </w:t>
      </w:r>
    </w:p>
    <w:p w14:paraId="565C83BF"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“Think about a scenario that is typical of your usual smoking behaviour, such as smoking on a night out with friends, or smoking at home. The following question asks you how much you would pay for a single cigarette at various prices.  The cigarette would be of the brand that you typically smoke.”</w:t>
      </w:r>
    </w:p>
    <w:p w14:paraId="09BAA9B1" w14:textId="77777777" w:rsid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 xml:space="preserve"> </w:t>
      </w:r>
    </w:p>
    <w:p w14:paraId="79903193" w14:textId="2BB63FCF"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“What is the maximum that you would pay for a single cigarette?” (breakpoint)</w:t>
      </w:r>
    </w:p>
    <w:p w14:paraId="2BCAD56E"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Response options: £0, £1.50, £3, £4.50, £6, £7.50, £9, £10.50, £12, £13.50, £15 or more</w:t>
      </w:r>
    </w:p>
    <w:p w14:paraId="30164D69" w14:textId="62A47C8D" w:rsidR="003A7189" w:rsidRPr="00FA1DCC" w:rsidRDefault="003A7189" w:rsidP="00FA1DCC">
      <w:pPr>
        <w:pStyle w:val="NoSpacing"/>
        <w:spacing w:line="480" w:lineRule="auto"/>
        <w:rPr>
          <w:rFonts w:ascii="Times New Roman" w:hAnsi="Times New Roman" w:cs="Times New Roman"/>
        </w:rPr>
      </w:pPr>
    </w:p>
    <w:p w14:paraId="5B4B0B08" w14:textId="68F31BA1" w:rsidR="003A7189" w:rsidRDefault="003A7189" w:rsidP="003A7189">
      <w:pPr>
        <w:pStyle w:val="NoSpacing"/>
      </w:pPr>
    </w:p>
    <w:p w14:paraId="5177D4A4" w14:textId="7D2579A8" w:rsidR="003A7189" w:rsidRDefault="003A7189" w:rsidP="003A7189">
      <w:pPr>
        <w:pStyle w:val="NoSpacing"/>
      </w:pPr>
    </w:p>
    <w:p w14:paraId="21B91952" w14:textId="58CACAB1" w:rsidR="003A7189" w:rsidRDefault="003A7189" w:rsidP="003A7189">
      <w:pPr>
        <w:pStyle w:val="NoSpacing"/>
      </w:pPr>
    </w:p>
    <w:p w14:paraId="76CEDFF5" w14:textId="7972BD46" w:rsidR="00FA1DCC" w:rsidRDefault="00FA1DCC" w:rsidP="003A7189">
      <w:pPr>
        <w:pStyle w:val="NoSpacing"/>
      </w:pPr>
    </w:p>
    <w:p w14:paraId="41D42FA0" w14:textId="0433D715" w:rsidR="00FA1DCC" w:rsidRDefault="00FA1DCC" w:rsidP="003A7189">
      <w:pPr>
        <w:pStyle w:val="NoSpacing"/>
      </w:pPr>
    </w:p>
    <w:p w14:paraId="53CEFED2" w14:textId="47128EFD" w:rsidR="00FA1DCC" w:rsidRDefault="00FA1DCC" w:rsidP="003A7189">
      <w:pPr>
        <w:pStyle w:val="NoSpacing"/>
      </w:pPr>
    </w:p>
    <w:p w14:paraId="2E044B70" w14:textId="75CEE51F" w:rsidR="00FA1DCC" w:rsidRDefault="00FA1DCC" w:rsidP="003A7189">
      <w:pPr>
        <w:pStyle w:val="NoSpacing"/>
      </w:pPr>
    </w:p>
    <w:p w14:paraId="1D38C382" w14:textId="25B125C6" w:rsidR="00FA1DCC" w:rsidRDefault="00FA1DCC" w:rsidP="003A7189">
      <w:pPr>
        <w:pStyle w:val="NoSpacing"/>
      </w:pPr>
    </w:p>
    <w:p w14:paraId="1802E4B7" w14:textId="420CF468" w:rsidR="00FA1DCC" w:rsidRDefault="00FA1DCC" w:rsidP="003A7189">
      <w:pPr>
        <w:pStyle w:val="NoSpacing"/>
      </w:pPr>
    </w:p>
    <w:p w14:paraId="06090EE7" w14:textId="248D7495" w:rsidR="00FA1DCC" w:rsidRDefault="00FA1DCC" w:rsidP="003A7189">
      <w:pPr>
        <w:pStyle w:val="NoSpacing"/>
      </w:pPr>
    </w:p>
    <w:p w14:paraId="61BE489A" w14:textId="5BF418EE" w:rsidR="00FA1DCC" w:rsidRDefault="00FA1DCC" w:rsidP="003A7189">
      <w:pPr>
        <w:pStyle w:val="NoSpacing"/>
      </w:pPr>
    </w:p>
    <w:p w14:paraId="3E6D4C43" w14:textId="02136C1A" w:rsidR="00FA1DCC" w:rsidRDefault="00FA1DCC" w:rsidP="003A7189">
      <w:pPr>
        <w:pStyle w:val="NoSpacing"/>
      </w:pPr>
    </w:p>
    <w:p w14:paraId="3E26D90B" w14:textId="73614C4B" w:rsidR="00FA1DCC" w:rsidRDefault="00FA1DCC" w:rsidP="003A7189">
      <w:pPr>
        <w:pStyle w:val="NoSpacing"/>
      </w:pPr>
    </w:p>
    <w:p w14:paraId="76B8CD28" w14:textId="2AA377BC" w:rsidR="00FA1DCC" w:rsidRDefault="00FA1DCC" w:rsidP="003A7189">
      <w:pPr>
        <w:pStyle w:val="NoSpacing"/>
      </w:pPr>
    </w:p>
    <w:p w14:paraId="5C35390B" w14:textId="00DA3B5C" w:rsidR="00FA1DCC" w:rsidRDefault="00FA1DCC" w:rsidP="003A7189">
      <w:pPr>
        <w:pStyle w:val="NoSpacing"/>
      </w:pPr>
    </w:p>
    <w:p w14:paraId="4F23DC29" w14:textId="2DC20363" w:rsidR="00FA1DCC" w:rsidRDefault="00FA1DCC" w:rsidP="003A7189">
      <w:pPr>
        <w:pStyle w:val="NoSpacing"/>
      </w:pPr>
    </w:p>
    <w:p w14:paraId="0708C0E3" w14:textId="75DC88B9" w:rsidR="00FA1DCC" w:rsidRDefault="00FA1DCC" w:rsidP="003A7189">
      <w:pPr>
        <w:pStyle w:val="NoSpacing"/>
      </w:pPr>
    </w:p>
    <w:p w14:paraId="28760D41" w14:textId="53E74DC1" w:rsidR="00FA1DCC" w:rsidRDefault="00FA1DCC" w:rsidP="003A7189">
      <w:pPr>
        <w:pStyle w:val="NoSpacing"/>
      </w:pPr>
    </w:p>
    <w:p w14:paraId="6B9EC877" w14:textId="457D77E3" w:rsidR="00FA1DCC" w:rsidRDefault="00FA1DCC" w:rsidP="003A7189">
      <w:pPr>
        <w:pStyle w:val="NoSpacing"/>
      </w:pPr>
    </w:p>
    <w:p w14:paraId="796D26A3" w14:textId="6B703FFC" w:rsidR="00FA1DCC" w:rsidRDefault="00FA1DCC" w:rsidP="003A7189">
      <w:pPr>
        <w:pStyle w:val="NoSpacing"/>
      </w:pPr>
    </w:p>
    <w:p w14:paraId="4C53A1A7" w14:textId="3F6D6E4B" w:rsidR="00FA1DCC" w:rsidRDefault="00FA1DCC" w:rsidP="003A7189">
      <w:pPr>
        <w:pStyle w:val="NoSpacing"/>
      </w:pPr>
    </w:p>
    <w:p w14:paraId="642CF8ED" w14:textId="2C569974" w:rsidR="00FA1DCC" w:rsidRDefault="00FA1DCC" w:rsidP="003A7189">
      <w:pPr>
        <w:pStyle w:val="NoSpacing"/>
      </w:pPr>
    </w:p>
    <w:p w14:paraId="1149CC90" w14:textId="5739667C" w:rsidR="00FA1DCC" w:rsidRDefault="00FA1DCC" w:rsidP="003A7189">
      <w:pPr>
        <w:pStyle w:val="NoSpacing"/>
      </w:pPr>
    </w:p>
    <w:p w14:paraId="501D8966" w14:textId="182CEC8B" w:rsidR="00FA1DCC" w:rsidRDefault="00FA1DCC" w:rsidP="003A7189">
      <w:pPr>
        <w:pStyle w:val="NoSpacing"/>
      </w:pPr>
    </w:p>
    <w:p w14:paraId="0E7B45D9" w14:textId="2A3355E6" w:rsidR="00FA1DCC" w:rsidRDefault="00FA1DCC" w:rsidP="003A7189">
      <w:pPr>
        <w:pStyle w:val="NoSpacing"/>
      </w:pPr>
    </w:p>
    <w:p w14:paraId="0E7317A6" w14:textId="705EEC88" w:rsidR="00FA1DCC" w:rsidRDefault="00FA1DCC" w:rsidP="003A7189">
      <w:pPr>
        <w:pStyle w:val="NoSpacing"/>
      </w:pPr>
    </w:p>
    <w:p w14:paraId="04A50436" w14:textId="499F472F" w:rsidR="00FA1DCC" w:rsidRDefault="00FA1DCC" w:rsidP="003A7189">
      <w:pPr>
        <w:pStyle w:val="NoSpacing"/>
      </w:pPr>
    </w:p>
    <w:p w14:paraId="7E7ABF6B" w14:textId="460E7AE9" w:rsidR="00FA1DCC" w:rsidRDefault="00FA1DCC" w:rsidP="003A7189">
      <w:pPr>
        <w:pStyle w:val="NoSpacing"/>
      </w:pPr>
    </w:p>
    <w:p w14:paraId="348E0D0B" w14:textId="48973503" w:rsidR="00FA1DCC" w:rsidRDefault="00FA1DCC" w:rsidP="003A7189">
      <w:pPr>
        <w:pStyle w:val="NoSpacing"/>
      </w:pPr>
    </w:p>
    <w:p w14:paraId="1DB68D97" w14:textId="6E3205DD" w:rsidR="00FA1DCC" w:rsidRPr="00FA1DCC" w:rsidRDefault="00FA1DCC" w:rsidP="00FA1DC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 xml:space="preserve">2. Images used in the VBDM and </w:t>
      </w:r>
      <w:proofErr w:type="spellStart"/>
      <w:r w:rsidRPr="00FA1DCC">
        <w:rPr>
          <w:rFonts w:ascii="Times New Roman" w:hAnsi="Times New Roman" w:cs="Times New Roman"/>
          <w:b/>
          <w:bCs/>
        </w:rPr>
        <w:t>MouseTracker</w:t>
      </w:r>
      <w:proofErr w:type="spellEnd"/>
      <w:r w:rsidRPr="00FA1DCC">
        <w:rPr>
          <w:rFonts w:ascii="Times New Roman" w:hAnsi="Times New Roman" w:cs="Times New Roman"/>
          <w:b/>
          <w:bCs/>
        </w:rPr>
        <w:t xml:space="preserve"> tasks to depict tobacco and tobacco-unrelated (animal) images</w:t>
      </w:r>
    </w:p>
    <w:p w14:paraId="4EDF6675" w14:textId="0667F39A" w:rsidR="00FA1DCC" w:rsidRPr="00FA1DCC" w:rsidRDefault="00FA1DCC" w:rsidP="006D2653">
      <w:pPr>
        <w:pStyle w:val="NoSpacing"/>
        <w:spacing w:line="480" w:lineRule="auto"/>
        <w:rPr>
          <w:rFonts w:ascii="Times New Roman" w:hAnsi="Times New Roman" w:cs="Times New Roman"/>
        </w:rPr>
      </w:pPr>
      <w:r w:rsidRPr="00FA1DCC">
        <w:rPr>
          <w:rFonts w:ascii="Times New Roman" w:hAnsi="Times New Roman" w:cs="Times New Roman"/>
        </w:rPr>
        <w:t>Geneva Smoking Images (</w:t>
      </w:r>
      <w:proofErr w:type="spellStart"/>
      <w:r w:rsidRPr="00FA1DCC">
        <w:rPr>
          <w:rFonts w:ascii="Times New Roman" w:hAnsi="Times New Roman" w:cs="Times New Roman"/>
        </w:rPr>
        <w:t>Khazaal</w:t>
      </w:r>
      <w:proofErr w:type="spellEnd"/>
      <w:r>
        <w:rPr>
          <w:rFonts w:ascii="Times New Roman" w:hAnsi="Times New Roman" w:cs="Times New Roman"/>
        </w:rPr>
        <w:t xml:space="preserve"> et al., </w:t>
      </w:r>
      <w:r w:rsidRPr="00FA1DCC">
        <w:rPr>
          <w:rFonts w:ascii="Times New Roman" w:hAnsi="Times New Roman" w:cs="Times New Roman"/>
        </w:rPr>
        <w:t xml:space="preserve">2012) </w:t>
      </w:r>
    </w:p>
    <w:tbl>
      <w:tblPr>
        <w:tblW w:w="89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4494"/>
      </w:tblGrid>
      <w:tr w:rsidR="00FA1DCC" w:rsidRPr="00FA1DCC" w14:paraId="4306FC7E" w14:textId="77777777" w:rsidTr="00FA1DCC">
        <w:trPr>
          <w:trHeight w:val="232"/>
        </w:trPr>
        <w:tc>
          <w:tcPr>
            <w:tcW w:w="4495" w:type="dxa"/>
            <w:tcBorders>
              <w:top w:val="single" w:sz="4" w:space="0" w:color="000000"/>
              <w:left w:val="single" w:sz="4" w:space="0" w:color="000000"/>
              <w:bottom w:val="single" w:sz="4" w:space="0" w:color="000000"/>
              <w:right w:val="single" w:sz="4" w:space="0" w:color="000000"/>
            </w:tcBorders>
            <w:hideMark/>
          </w:tcPr>
          <w:p w14:paraId="06BA3AAE" w14:textId="77777777" w:rsidR="00FA1DCC" w:rsidRPr="00FA1DCC" w:rsidRDefault="00FA1DCC" w:rsidP="00FA1DCC">
            <w:pPr>
              <w:pStyle w:val="NoSpacing"/>
              <w:spacing w:line="480" w:lineRule="auto"/>
              <w:jc w:val="center"/>
              <w:rPr>
                <w:rFonts w:ascii="Times New Roman" w:hAnsi="Times New Roman" w:cs="Times New Roman"/>
                <w:b/>
                <w:bCs/>
              </w:rPr>
            </w:pPr>
            <w:r w:rsidRPr="00FA1DCC">
              <w:rPr>
                <w:rFonts w:ascii="Times New Roman" w:hAnsi="Times New Roman" w:cs="Times New Roman"/>
                <w:b/>
                <w:bCs/>
              </w:rPr>
              <w:t>Image (file) name</w:t>
            </w:r>
          </w:p>
        </w:tc>
        <w:tc>
          <w:tcPr>
            <w:tcW w:w="4494" w:type="dxa"/>
            <w:tcBorders>
              <w:top w:val="single" w:sz="4" w:space="0" w:color="000000"/>
              <w:left w:val="single" w:sz="4" w:space="0" w:color="000000"/>
              <w:bottom w:val="single" w:sz="4" w:space="0" w:color="000000"/>
              <w:right w:val="single" w:sz="4" w:space="0" w:color="000000"/>
            </w:tcBorders>
            <w:hideMark/>
          </w:tcPr>
          <w:p w14:paraId="3169CDC0" w14:textId="77777777" w:rsidR="00FA1DCC" w:rsidRPr="00FA1DCC" w:rsidRDefault="00FA1DCC" w:rsidP="00FA1DCC">
            <w:pPr>
              <w:pStyle w:val="NoSpacing"/>
              <w:spacing w:line="480" w:lineRule="auto"/>
              <w:jc w:val="center"/>
              <w:rPr>
                <w:rFonts w:ascii="Times New Roman" w:hAnsi="Times New Roman" w:cs="Times New Roman"/>
                <w:b/>
                <w:bCs/>
              </w:rPr>
            </w:pPr>
            <w:r w:rsidRPr="00FA1DCC">
              <w:rPr>
                <w:rFonts w:ascii="Times New Roman" w:hAnsi="Times New Roman" w:cs="Times New Roman"/>
                <w:b/>
                <w:bCs/>
              </w:rPr>
              <w:t>Valence rating</w:t>
            </w:r>
          </w:p>
        </w:tc>
      </w:tr>
      <w:tr w:rsidR="00FA1DCC" w:rsidRPr="00FA1DCC" w14:paraId="343232AA"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7E113B0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GSP1.jpg</w:t>
            </w:r>
          </w:p>
        </w:tc>
        <w:tc>
          <w:tcPr>
            <w:tcW w:w="4494" w:type="dxa"/>
            <w:tcBorders>
              <w:top w:val="single" w:sz="4" w:space="0" w:color="000000"/>
              <w:left w:val="single" w:sz="4" w:space="0" w:color="000000"/>
              <w:bottom w:val="single" w:sz="4" w:space="0" w:color="000000"/>
              <w:right w:val="single" w:sz="4" w:space="0" w:color="000000"/>
            </w:tcBorders>
            <w:hideMark/>
          </w:tcPr>
          <w:p w14:paraId="7612396E"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3.50</w:t>
            </w:r>
          </w:p>
        </w:tc>
      </w:tr>
      <w:tr w:rsidR="00FA1DCC" w:rsidRPr="00FA1DCC" w14:paraId="3F6BAF5E" w14:textId="77777777" w:rsidTr="00FA1DCC">
        <w:trPr>
          <w:trHeight w:val="232"/>
        </w:trPr>
        <w:tc>
          <w:tcPr>
            <w:tcW w:w="4495" w:type="dxa"/>
            <w:tcBorders>
              <w:top w:val="single" w:sz="4" w:space="0" w:color="000000"/>
              <w:left w:val="single" w:sz="4" w:space="0" w:color="000000"/>
              <w:bottom w:val="single" w:sz="4" w:space="0" w:color="000000"/>
              <w:right w:val="single" w:sz="4" w:space="0" w:color="000000"/>
            </w:tcBorders>
            <w:hideMark/>
          </w:tcPr>
          <w:p w14:paraId="04CE676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GSP29.jpg</w:t>
            </w:r>
          </w:p>
        </w:tc>
        <w:tc>
          <w:tcPr>
            <w:tcW w:w="4494" w:type="dxa"/>
            <w:tcBorders>
              <w:top w:val="single" w:sz="4" w:space="0" w:color="000000"/>
              <w:left w:val="single" w:sz="4" w:space="0" w:color="000000"/>
              <w:bottom w:val="single" w:sz="4" w:space="0" w:color="000000"/>
              <w:right w:val="single" w:sz="4" w:space="0" w:color="000000"/>
            </w:tcBorders>
            <w:hideMark/>
          </w:tcPr>
          <w:p w14:paraId="7D624E88"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3.96</w:t>
            </w:r>
          </w:p>
        </w:tc>
      </w:tr>
      <w:tr w:rsidR="00FA1DCC" w:rsidRPr="00FA1DCC" w14:paraId="63C9A53B"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21337BA6"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GSP25.jpg</w:t>
            </w:r>
          </w:p>
        </w:tc>
        <w:tc>
          <w:tcPr>
            <w:tcW w:w="4494" w:type="dxa"/>
            <w:tcBorders>
              <w:top w:val="single" w:sz="4" w:space="0" w:color="000000"/>
              <w:left w:val="single" w:sz="4" w:space="0" w:color="000000"/>
              <w:bottom w:val="single" w:sz="4" w:space="0" w:color="000000"/>
              <w:right w:val="single" w:sz="4" w:space="0" w:color="000000"/>
            </w:tcBorders>
            <w:hideMark/>
          </w:tcPr>
          <w:p w14:paraId="4F1B4241"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4.22</w:t>
            </w:r>
          </w:p>
        </w:tc>
      </w:tr>
      <w:tr w:rsidR="00FA1DCC" w:rsidRPr="00FA1DCC" w14:paraId="7C0E6865" w14:textId="77777777" w:rsidTr="00FA1DCC">
        <w:trPr>
          <w:trHeight w:val="232"/>
        </w:trPr>
        <w:tc>
          <w:tcPr>
            <w:tcW w:w="4495" w:type="dxa"/>
            <w:tcBorders>
              <w:top w:val="single" w:sz="4" w:space="0" w:color="000000"/>
              <w:left w:val="single" w:sz="4" w:space="0" w:color="000000"/>
              <w:bottom w:val="single" w:sz="4" w:space="0" w:color="000000"/>
              <w:right w:val="single" w:sz="4" w:space="0" w:color="000000"/>
            </w:tcBorders>
            <w:hideMark/>
          </w:tcPr>
          <w:p w14:paraId="49D4BEA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GSP30.jpg</w:t>
            </w:r>
          </w:p>
        </w:tc>
        <w:tc>
          <w:tcPr>
            <w:tcW w:w="4494" w:type="dxa"/>
            <w:tcBorders>
              <w:top w:val="single" w:sz="4" w:space="0" w:color="000000"/>
              <w:left w:val="single" w:sz="4" w:space="0" w:color="000000"/>
              <w:bottom w:val="single" w:sz="4" w:space="0" w:color="000000"/>
              <w:right w:val="single" w:sz="4" w:space="0" w:color="000000"/>
            </w:tcBorders>
            <w:hideMark/>
          </w:tcPr>
          <w:p w14:paraId="01A39817"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4.30</w:t>
            </w:r>
          </w:p>
        </w:tc>
      </w:tr>
      <w:tr w:rsidR="00FA1DCC" w:rsidRPr="00FA1DCC" w14:paraId="2118314F"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4FC7D3D1"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GSP20.jpg</w:t>
            </w:r>
          </w:p>
        </w:tc>
        <w:tc>
          <w:tcPr>
            <w:tcW w:w="4494" w:type="dxa"/>
            <w:tcBorders>
              <w:top w:val="single" w:sz="4" w:space="0" w:color="000000"/>
              <w:left w:val="single" w:sz="4" w:space="0" w:color="000000"/>
              <w:bottom w:val="single" w:sz="4" w:space="0" w:color="000000"/>
              <w:right w:val="single" w:sz="4" w:space="0" w:color="000000"/>
            </w:tcBorders>
            <w:hideMark/>
          </w:tcPr>
          <w:p w14:paraId="4015D84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4.30</w:t>
            </w:r>
          </w:p>
        </w:tc>
      </w:tr>
      <w:tr w:rsidR="00FA1DCC" w:rsidRPr="00FA1DCC" w14:paraId="3EF07E05"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382858A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GSP32.jpg</w:t>
            </w:r>
          </w:p>
        </w:tc>
        <w:tc>
          <w:tcPr>
            <w:tcW w:w="4494" w:type="dxa"/>
            <w:tcBorders>
              <w:top w:val="single" w:sz="4" w:space="0" w:color="000000"/>
              <w:left w:val="single" w:sz="4" w:space="0" w:color="000000"/>
              <w:bottom w:val="single" w:sz="4" w:space="0" w:color="000000"/>
              <w:right w:val="single" w:sz="4" w:space="0" w:color="000000"/>
            </w:tcBorders>
            <w:hideMark/>
          </w:tcPr>
          <w:p w14:paraId="7EDEA86E"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5.13</w:t>
            </w:r>
          </w:p>
        </w:tc>
      </w:tr>
      <w:tr w:rsidR="00FA1DCC" w:rsidRPr="00FA1DCC" w14:paraId="3E9359AF"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2B1F5B9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GSP6.jpg</w:t>
            </w:r>
          </w:p>
        </w:tc>
        <w:tc>
          <w:tcPr>
            <w:tcW w:w="4494" w:type="dxa"/>
            <w:tcBorders>
              <w:top w:val="single" w:sz="4" w:space="0" w:color="000000"/>
              <w:left w:val="single" w:sz="4" w:space="0" w:color="000000"/>
              <w:bottom w:val="single" w:sz="4" w:space="0" w:color="000000"/>
              <w:right w:val="single" w:sz="4" w:space="0" w:color="000000"/>
            </w:tcBorders>
            <w:hideMark/>
          </w:tcPr>
          <w:p w14:paraId="6D0A48A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5.15</w:t>
            </w:r>
          </w:p>
        </w:tc>
      </w:tr>
      <w:tr w:rsidR="00FA1DCC" w:rsidRPr="00FA1DCC" w14:paraId="288B307B"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35E46F02"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GSP50.jpg</w:t>
            </w:r>
          </w:p>
        </w:tc>
        <w:tc>
          <w:tcPr>
            <w:tcW w:w="4494" w:type="dxa"/>
            <w:tcBorders>
              <w:top w:val="single" w:sz="4" w:space="0" w:color="000000"/>
              <w:left w:val="single" w:sz="4" w:space="0" w:color="000000"/>
              <w:bottom w:val="single" w:sz="4" w:space="0" w:color="000000"/>
              <w:right w:val="single" w:sz="4" w:space="0" w:color="000000"/>
            </w:tcBorders>
            <w:hideMark/>
          </w:tcPr>
          <w:p w14:paraId="178370C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5.15</w:t>
            </w:r>
          </w:p>
        </w:tc>
      </w:tr>
      <w:tr w:rsidR="00FA1DCC" w:rsidRPr="00FA1DCC" w14:paraId="43B176FB"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7ECFA78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GSP31.jpg</w:t>
            </w:r>
          </w:p>
        </w:tc>
        <w:tc>
          <w:tcPr>
            <w:tcW w:w="4494" w:type="dxa"/>
            <w:tcBorders>
              <w:top w:val="single" w:sz="4" w:space="0" w:color="000000"/>
              <w:left w:val="single" w:sz="4" w:space="0" w:color="000000"/>
              <w:bottom w:val="single" w:sz="4" w:space="0" w:color="000000"/>
              <w:right w:val="single" w:sz="4" w:space="0" w:color="000000"/>
            </w:tcBorders>
            <w:hideMark/>
          </w:tcPr>
          <w:p w14:paraId="7F5A3BB4"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5.26</w:t>
            </w:r>
          </w:p>
        </w:tc>
      </w:tr>
      <w:tr w:rsidR="00FA1DCC" w:rsidRPr="00FA1DCC" w14:paraId="7F259763"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0A2E482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GSP26.jpg</w:t>
            </w:r>
          </w:p>
        </w:tc>
        <w:tc>
          <w:tcPr>
            <w:tcW w:w="4494" w:type="dxa"/>
            <w:tcBorders>
              <w:top w:val="single" w:sz="4" w:space="0" w:color="000000"/>
              <w:left w:val="single" w:sz="4" w:space="0" w:color="000000"/>
              <w:bottom w:val="single" w:sz="4" w:space="0" w:color="000000"/>
              <w:right w:val="single" w:sz="4" w:space="0" w:color="000000"/>
            </w:tcBorders>
            <w:hideMark/>
          </w:tcPr>
          <w:p w14:paraId="2C922F19"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5.33</w:t>
            </w:r>
          </w:p>
        </w:tc>
      </w:tr>
      <w:tr w:rsidR="00FA1DCC" w:rsidRPr="00FA1DCC" w14:paraId="7C101FA6"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602DB1D7"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GSP8.jpg</w:t>
            </w:r>
          </w:p>
        </w:tc>
        <w:tc>
          <w:tcPr>
            <w:tcW w:w="4494" w:type="dxa"/>
            <w:tcBorders>
              <w:top w:val="single" w:sz="4" w:space="0" w:color="000000"/>
              <w:left w:val="single" w:sz="4" w:space="0" w:color="000000"/>
              <w:bottom w:val="single" w:sz="4" w:space="0" w:color="000000"/>
              <w:right w:val="single" w:sz="4" w:space="0" w:color="000000"/>
            </w:tcBorders>
            <w:hideMark/>
          </w:tcPr>
          <w:p w14:paraId="540C6F21"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6.07</w:t>
            </w:r>
          </w:p>
        </w:tc>
      </w:tr>
      <w:tr w:rsidR="00FA1DCC" w:rsidRPr="00FA1DCC" w14:paraId="5799C7D7"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119B1B4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GSP17.jpg</w:t>
            </w:r>
          </w:p>
        </w:tc>
        <w:tc>
          <w:tcPr>
            <w:tcW w:w="4494" w:type="dxa"/>
            <w:tcBorders>
              <w:top w:val="single" w:sz="4" w:space="0" w:color="000000"/>
              <w:left w:val="single" w:sz="4" w:space="0" w:color="000000"/>
              <w:bottom w:val="single" w:sz="4" w:space="0" w:color="000000"/>
              <w:right w:val="single" w:sz="4" w:space="0" w:color="000000"/>
            </w:tcBorders>
            <w:hideMark/>
          </w:tcPr>
          <w:p w14:paraId="0671D234"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6.09</w:t>
            </w:r>
          </w:p>
        </w:tc>
      </w:tr>
      <w:tr w:rsidR="00FA1DCC" w:rsidRPr="00FA1DCC" w14:paraId="271B6405"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419470BA"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GSP22.jpg</w:t>
            </w:r>
          </w:p>
        </w:tc>
        <w:tc>
          <w:tcPr>
            <w:tcW w:w="4494" w:type="dxa"/>
            <w:tcBorders>
              <w:top w:val="single" w:sz="4" w:space="0" w:color="000000"/>
              <w:left w:val="single" w:sz="4" w:space="0" w:color="000000"/>
              <w:bottom w:val="single" w:sz="4" w:space="0" w:color="000000"/>
              <w:right w:val="single" w:sz="4" w:space="0" w:color="000000"/>
            </w:tcBorders>
            <w:hideMark/>
          </w:tcPr>
          <w:p w14:paraId="76B55F71"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6.13</w:t>
            </w:r>
          </w:p>
        </w:tc>
      </w:tr>
      <w:tr w:rsidR="00FA1DCC" w:rsidRPr="00FA1DCC" w14:paraId="3E2F223C"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60D8D1EE"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GSP15.jpg</w:t>
            </w:r>
          </w:p>
        </w:tc>
        <w:tc>
          <w:tcPr>
            <w:tcW w:w="4494" w:type="dxa"/>
            <w:tcBorders>
              <w:top w:val="single" w:sz="4" w:space="0" w:color="000000"/>
              <w:left w:val="single" w:sz="4" w:space="0" w:color="000000"/>
              <w:bottom w:val="single" w:sz="4" w:space="0" w:color="000000"/>
              <w:right w:val="single" w:sz="4" w:space="0" w:color="000000"/>
            </w:tcBorders>
            <w:hideMark/>
          </w:tcPr>
          <w:p w14:paraId="78FA878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6.24</w:t>
            </w:r>
          </w:p>
        </w:tc>
      </w:tr>
      <w:tr w:rsidR="00FA1DCC" w:rsidRPr="00FA1DCC" w14:paraId="4F61100B"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314134E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GSP10.jpg</w:t>
            </w:r>
          </w:p>
        </w:tc>
        <w:tc>
          <w:tcPr>
            <w:tcW w:w="4494" w:type="dxa"/>
            <w:tcBorders>
              <w:top w:val="single" w:sz="4" w:space="0" w:color="000000"/>
              <w:left w:val="single" w:sz="4" w:space="0" w:color="000000"/>
              <w:bottom w:val="single" w:sz="4" w:space="0" w:color="000000"/>
              <w:right w:val="single" w:sz="4" w:space="0" w:color="000000"/>
            </w:tcBorders>
            <w:hideMark/>
          </w:tcPr>
          <w:p w14:paraId="2D98863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6.62</w:t>
            </w:r>
          </w:p>
        </w:tc>
      </w:tr>
      <w:tr w:rsidR="00FA1DCC" w:rsidRPr="00FA1DCC" w14:paraId="68881CCA"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59B154B4"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GSP24.jpg</w:t>
            </w:r>
          </w:p>
        </w:tc>
        <w:tc>
          <w:tcPr>
            <w:tcW w:w="4494" w:type="dxa"/>
            <w:tcBorders>
              <w:top w:val="single" w:sz="4" w:space="0" w:color="000000"/>
              <w:left w:val="single" w:sz="4" w:space="0" w:color="000000"/>
              <w:bottom w:val="single" w:sz="4" w:space="0" w:color="000000"/>
              <w:right w:val="single" w:sz="4" w:space="0" w:color="000000"/>
            </w:tcBorders>
            <w:hideMark/>
          </w:tcPr>
          <w:p w14:paraId="030B6E0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7.26</w:t>
            </w:r>
          </w:p>
        </w:tc>
      </w:tr>
      <w:tr w:rsidR="00FA1DCC" w:rsidRPr="00FA1DCC" w14:paraId="1C017B57"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48C557F6"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GSP11.jpg</w:t>
            </w:r>
          </w:p>
        </w:tc>
        <w:tc>
          <w:tcPr>
            <w:tcW w:w="4494" w:type="dxa"/>
            <w:tcBorders>
              <w:top w:val="single" w:sz="4" w:space="0" w:color="000000"/>
              <w:left w:val="single" w:sz="4" w:space="0" w:color="000000"/>
              <w:bottom w:val="single" w:sz="4" w:space="0" w:color="000000"/>
              <w:right w:val="single" w:sz="4" w:space="0" w:color="000000"/>
            </w:tcBorders>
            <w:hideMark/>
          </w:tcPr>
          <w:p w14:paraId="55CC5C6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7.59</w:t>
            </w:r>
          </w:p>
        </w:tc>
      </w:tr>
      <w:tr w:rsidR="00FA1DCC" w:rsidRPr="00FA1DCC" w14:paraId="3FC92927"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7FE57A9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GSP56.jpg</w:t>
            </w:r>
          </w:p>
        </w:tc>
        <w:tc>
          <w:tcPr>
            <w:tcW w:w="4494" w:type="dxa"/>
            <w:tcBorders>
              <w:top w:val="single" w:sz="4" w:space="0" w:color="000000"/>
              <w:left w:val="single" w:sz="4" w:space="0" w:color="000000"/>
              <w:bottom w:val="single" w:sz="4" w:space="0" w:color="000000"/>
              <w:right w:val="single" w:sz="4" w:space="0" w:color="000000"/>
            </w:tcBorders>
            <w:hideMark/>
          </w:tcPr>
          <w:p w14:paraId="219DDA37"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7.83</w:t>
            </w:r>
          </w:p>
        </w:tc>
      </w:tr>
      <w:tr w:rsidR="00FA1DCC" w:rsidRPr="00FA1DCC" w14:paraId="68E5244B"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233C8759"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GSP9.jpg</w:t>
            </w:r>
          </w:p>
        </w:tc>
        <w:tc>
          <w:tcPr>
            <w:tcW w:w="4494" w:type="dxa"/>
            <w:tcBorders>
              <w:top w:val="single" w:sz="4" w:space="0" w:color="000000"/>
              <w:left w:val="single" w:sz="4" w:space="0" w:color="000000"/>
              <w:bottom w:val="single" w:sz="4" w:space="0" w:color="000000"/>
              <w:right w:val="single" w:sz="4" w:space="0" w:color="000000"/>
            </w:tcBorders>
            <w:hideMark/>
          </w:tcPr>
          <w:p w14:paraId="6421346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7.83</w:t>
            </w:r>
          </w:p>
        </w:tc>
      </w:tr>
      <w:tr w:rsidR="00FA1DCC" w:rsidRPr="00FA1DCC" w14:paraId="05389A6A" w14:textId="77777777" w:rsidTr="00FA1DCC">
        <w:trPr>
          <w:trHeight w:val="219"/>
        </w:trPr>
        <w:tc>
          <w:tcPr>
            <w:tcW w:w="4495" w:type="dxa"/>
            <w:tcBorders>
              <w:top w:val="single" w:sz="4" w:space="0" w:color="000000"/>
              <w:left w:val="single" w:sz="4" w:space="0" w:color="000000"/>
              <w:bottom w:val="single" w:sz="4" w:space="0" w:color="000000"/>
              <w:right w:val="single" w:sz="4" w:space="0" w:color="000000"/>
            </w:tcBorders>
            <w:hideMark/>
          </w:tcPr>
          <w:p w14:paraId="39AE444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GSP51.jpg</w:t>
            </w:r>
          </w:p>
        </w:tc>
        <w:tc>
          <w:tcPr>
            <w:tcW w:w="4494" w:type="dxa"/>
            <w:tcBorders>
              <w:top w:val="single" w:sz="4" w:space="0" w:color="000000"/>
              <w:left w:val="single" w:sz="4" w:space="0" w:color="000000"/>
              <w:bottom w:val="single" w:sz="4" w:space="0" w:color="000000"/>
              <w:right w:val="single" w:sz="4" w:space="0" w:color="000000"/>
            </w:tcBorders>
            <w:hideMark/>
          </w:tcPr>
          <w:p w14:paraId="6D7D913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7.96</w:t>
            </w:r>
          </w:p>
        </w:tc>
      </w:tr>
    </w:tbl>
    <w:p w14:paraId="49CDA192" w14:textId="1104CCA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i/>
          <w:iCs/>
        </w:rPr>
        <w:lastRenderedPageBreak/>
        <w:t>Note.</w:t>
      </w:r>
      <w:r w:rsidRPr="00FA1DCC">
        <w:rPr>
          <w:rFonts w:ascii="Times New Roman" w:hAnsi="Times New Roman" w:cs="Times New Roman"/>
        </w:rPr>
        <w:t xml:space="preserve"> Lower scores reflect increased valence.</w:t>
      </w:r>
    </w:p>
    <w:p w14:paraId="002BEE46" w14:textId="77777777" w:rsidR="00FA1DCC" w:rsidRPr="00FA1DCC" w:rsidRDefault="00FA1DCC" w:rsidP="00FA1DCC">
      <w:pPr>
        <w:pStyle w:val="NoSpacing"/>
        <w:spacing w:line="480" w:lineRule="auto"/>
        <w:rPr>
          <w:rFonts w:ascii="Times New Roman" w:hAnsi="Times New Roman" w:cs="Times New Roman"/>
        </w:rPr>
      </w:pPr>
    </w:p>
    <w:p w14:paraId="70BC2DAF" w14:textId="72A9BCD1"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IAPS animal (control) images (Lang et al., 2008)</w:t>
      </w:r>
    </w:p>
    <w:tbl>
      <w:tblPr>
        <w:tblW w:w="8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33"/>
        <w:gridCol w:w="4432"/>
      </w:tblGrid>
      <w:tr w:rsidR="00FA1DCC" w:rsidRPr="00FA1DCC" w14:paraId="6F703F3B" w14:textId="77777777" w:rsidTr="002A1E63">
        <w:trPr>
          <w:trHeight w:val="345"/>
        </w:trPr>
        <w:tc>
          <w:tcPr>
            <w:tcW w:w="4433" w:type="dxa"/>
            <w:tcBorders>
              <w:top w:val="single" w:sz="4" w:space="0" w:color="000000"/>
              <w:left w:val="single" w:sz="4" w:space="0" w:color="000000"/>
              <w:bottom w:val="single" w:sz="4" w:space="0" w:color="000000"/>
              <w:right w:val="single" w:sz="4" w:space="0" w:color="000000"/>
            </w:tcBorders>
            <w:hideMark/>
          </w:tcPr>
          <w:p w14:paraId="7E3195FF" w14:textId="77777777" w:rsidR="00FA1DCC" w:rsidRPr="00FA1DCC" w:rsidRDefault="00FA1DCC" w:rsidP="00FA1DCC">
            <w:pPr>
              <w:pStyle w:val="NoSpacing"/>
              <w:spacing w:line="480" w:lineRule="auto"/>
              <w:jc w:val="center"/>
              <w:rPr>
                <w:rFonts w:ascii="Times New Roman" w:hAnsi="Times New Roman" w:cs="Times New Roman"/>
                <w:b/>
                <w:bCs/>
              </w:rPr>
            </w:pPr>
            <w:r w:rsidRPr="00FA1DCC">
              <w:rPr>
                <w:rFonts w:ascii="Times New Roman" w:hAnsi="Times New Roman" w:cs="Times New Roman"/>
                <w:b/>
                <w:bCs/>
              </w:rPr>
              <w:t>Image (file) name</w:t>
            </w:r>
          </w:p>
        </w:tc>
        <w:tc>
          <w:tcPr>
            <w:tcW w:w="4433" w:type="dxa"/>
            <w:tcBorders>
              <w:top w:val="single" w:sz="4" w:space="0" w:color="000000"/>
              <w:left w:val="single" w:sz="4" w:space="0" w:color="000000"/>
              <w:bottom w:val="single" w:sz="4" w:space="0" w:color="000000"/>
              <w:right w:val="single" w:sz="4" w:space="0" w:color="000000"/>
            </w:tcBorders>
            <w:hideMark/>
          </w:tcPr>
          <w:p w14:paraId="4F54488E" w14:textId="77777777" w:rsidR="00FA1DCC" w:rsidRPr="00FA1DCC" w:rsidRDefault="00FA1DCC" w:rsidP="00FA1DCC">
            <w:pPr>
              <w:pStyle w:val="NoSpacing"/>
              <w:spacing w:line="480" w:lineRule="auto"/>
              <w:jc w:val="center"/>
              <w:rPr>
                <w:rFonts w:ascii="Times New Roman" w:hAnsi="Times New Roman" w:cs="Times New Roman"/>
                <w:b/>
                <w:bCs/>
              </w:rPr>
            </w:pPr>
            <w:r w:rsidRPr="00FA1DCC">
              <w:rPr>
                <w:rFonts w:ascii="Times New Roman" w:hAnsi="Times New Roman" w:cs="Times New Roman"/>
                <w:b/>
                <w:bCs/>
              </w:rPr>
              <w:t>Valence rating</w:t>
            </w:r>
          </w:p>
        </w:tc>
      </w:tr>
      <w:tr w:rsidR="00FA1DCC" w:rsidRPr="00FA1DCC" w14:paraId="1D0DF6E6"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036BDD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1710.jpg</w:t>
            </w:r>
          </w:p>
        </w:tc>
        <w:tc>
          <w:tcPr>
            <w:tcW w:w="4433" w:type="dxa"/>
            <w:tcBorders>
              <w:top w:val="single" w:sz="4" w:space="0" w:color="000000"/>
              <w:left w:val="single" w:sz="4" w:space="0" w:color="000000"/>
              <w:bottom w:val="single" w:sz="4" w:space="0" w:color="000000"/>
              <w:right w:val="single" w:sz="4" w:space="0" w:color="000000"/>
            </w:tcBorders>
            <w:hideMark/>
          </w:tcPr>
          <w:p w14:paraId="0F1E6B7B"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8.34</w:t>
            </w:r>
          </w:p>
        </w:tc>
      </w:tr>
      <w:tr w:rsidR="00FA1DCC" w:rsidRPr="00FA1DCC" w14:paraId="754F5D9E" w14:textId="77777777" w:rsidTr="002A1E63">
        <w:trPr>
          <w:trHeight w:val="345"/>
        </w:trPr>
        <w:tc>
          <w:tcPr>
            <w:tcW w:w="4433" w:type="dxa"/>
            <w:tcBorders>
              <w:top w:val="single" w:sz="4" w:space="0" w:color="000000"/>
              <w:left w:val="single" w:sz="4" w:space="0" w:color="000000"/>
              <w:bottom w:val="single" w:sz="4" w:space="0" w:color="000000"/>
              <w:right w:val="single" w:sz="4" w:space="0" w:color="000000"/>
            </w:tcBorders>
            <w:hideMark/>
          </w:tcPr>
          <w:p w14:paraId="3BC58549"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1750.jpg</w:t>
            </w:r>
          </w:p>
        </w:tc>
        <w:tc>
          <w:tcPr>
            <w:tcW w:w="4433" w:type="dxa"/>
            <w:tcBorders>
              <w:top w:val="single" w:sz="4" w:space="0" w:color="000000"/>
              <w:left w:val="single" w:sz="4" w:space="0" w:color="000000"/>
              <w:bottom w:val="single" w:sz="4" w:space="0" w:color="000000"/>
              <w:right w:val="single" w:sz="4" w:space="0" w:color="000000"/>
            </w:tcBorders>
            <w:hideMark/>
          </w:tcPr>
          <w:p w14:paraId="2397100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8.28</w:t>
            </w:r>
          </w:p>
        </w:tc>
      </w:tr>
      <w:tr w:rsidR="00FA1DCC" w:rsidRPr="00FA1DCC" w14:paraId="4B5A5FD5"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00C77E9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1460.jpg</w:t>
            </w:r>
          </w:p>
        </w:tc>
        <w:tc>
          <w:tcPr>
            <w:tcW w:w="4433" w:type="dxa"/>
            <w:tcBorders>
              <w:top w:val="single" w:sz="4" w:space="0" w:color="000000"/>
              <w:left w:val="single" w:sz="4" w:space="0" w:color="000000"/>
              <w:bottom w:val="single" w:sz="4" w:space="0" w:color="000000"/>
              <w:right w:val="single" w:sz="4" w:space="0" w:color="000000"/>
            </w:tcBorders>
            <w:hideMark/>
          </w:tcPr>
          <w:p w14:paraId="005155E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8.21</w:t>
            </w:r>
          </w:p>
        </w:tc>
      </w:tr>
      <w:tr w:rsidR="00FA1DCC" w:rsidRPr="00FA1DCC" w14:paraId="33FE303E" w14:textId="77777777" w:rsidTr="002A1E63">
        <w:trPr>
          <w:trHeight w:val="345"/>
        </w:trPr>
        <w:tc>
          <w:tcPr>
            <w:tcW w:w="4433" w:type="dxa"/>
            <w:tcBorders>
              <w:top w:val="single" w:sz="4" w:space="0" w:color="000000"/>
              <w:left w:val="single" w:sz="4" w:space="0" w:color="000000"/>
              <w:bottom w:val="single" w:sz="4" w:space="0" w:color="000000"/>
              <w:right w:val="single" w:sz="4" w:space="0" w:color="000000"/>
            </w:tcBorders>
            <w:hideMark/>
          </w:tcPr>
          <w:p w14:paraId="651B419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1400.jpg</w:t>
            </w:r>
          </w:p>
        </w:tc>
        <w:tc>
          <w:tcPr>
            <w:tcW w:w="4433" w:type="dxa"/>
            <w:tcBorders>
              <w:top w:val="single" w:sz="4" w:space="0" w:color="000000"/>
              <w:left w:val="single" w:sz="4" w:space="0" w:color="000000"/>
              <w:bottom w:val="single" w:sz="4" w:space="0" w:color="000000"/>
              <w:right w:val="single" w:sz="4" w:space="0" w:color="000000"/>
            </w:tcBorders>
            <w:hideMark/>
          </w:tcPr>
          <w:p w14:paraId="61AFE557"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8.19</w:t>
            </w:r>
          </w:p>
        </w:tc>
      </w:tr>
      <w:tr w:rsidR="00FA1DCC" w:rsidRPr="00FA1DCC" w14:paraId="53AAED0D"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398D9B1B"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1620.jpg</w:t>
            </w:r>
          </w:p>
        </w:tc>
        <w:tc>
          <w:tcPr>
            <w:tcW w:w="4433" w:type="dxa"/>
            <w:tcBorders>
              <w:top w:val="single" w:sz="4" w:space="0" w:color="000000"/>
              <w:left w:val="single" w:sz="4" w:space="0" w:color="000000"/>
              <w:bottom w:val="single" w:sz="4" w:space="0" w:color="000000"/>
              <w:right w:val="single" w:sz="4" w:space="0" w:color="000000"/>
            </w:tcBorders>
            <w:hideMark/>
          </w:tcPr>
          <w:p w14:paraId="088439D2"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7.37</w:t>
            </w:r>
          </w:p>
        </w:tc>
      </w:tr>
      <w:tr w:rsidR="00FA1DCC" w:rsidRPr="00FA1DCC" w14:paraId="068C20B0"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5F54FBAA"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1740.jpg</w:t>
            </w:r>
          </w:p>
        </w:tc>
        <w:tc>
          <w:tcPr>
            <w:tcW w:w="4433" w:type="dxa"/>
            <w:tcBorders>
              <w:top w:val="single" w:sz="4" w:space="0" w:color="000000"/>
              <w:left w:val="single" w:sz="4" w:space="0" w:color="000000"/>
              <w:bottom w:val="single" w:sz="4" w:space="0" w:color="000000"/>
              <w:right w:val="single" w:sz="4" w:space="0" w:color="000000"/>
            </w:tcBorders>
            <w:hideMark/>
          </w:tcPr>
          <w:p w14:paraId="5A4790D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6.91</w:t>
            </w:r>
          </w:p>
        </w:tc>
      </w:tr>
      <w:tr w:rsidR="00FA1DCC" w:rsidRPr="00FA1DCC" w14:paraId="7D4154B7"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8CEA33B"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1603.jpg</w:t>
            </w:r>
          </w:p>
        </w:tc>
        <w:tc>
          <w:tcPr>
            <w:tcW w:w="4433" w:type="dxa"/>
            <w:tcBorders>
              <w:top w:val="single" w:sz="4" w:space="0" w:color="000000"/>
              <w:left w:val="single" w:sz="4" w:space="0" w:color="000000"/>
              <w:bottom w:val="single" w:sz="4" w:space="0" w:color="000000"/>
              <w:right w:val="single" w:sz="4" w:space="0" w:color="000000"/>
            </w:tcBorders>
            <w:hideMark/>
          </w:tcPr>
          <w:p w14:paraId="3A58D71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6.90</w:t>
            </w:r>
          </w:p>
        </w:tc>
      </w:tr>
      <w:tr w:rsidR="00FA1DCC" w:rsidRPr="00FA1DCC" w14:paraId="563D7258"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E5BE0D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1812.jpg</w:t>
            </w:r>
          </w:p>
        </w:tc>
        <w:tc>
          <w:tcPr>
            <w:tcW w:w="4433" w:type="dxa"/>
            <w:tcBorders>
              <w:top w:val="single" w:sz="4" w:space="0" w:color="000000"/>
              <w:left w:val="single" w:sz="4" w:space="0" w:color="000000"/>
              <w:bottom w:val="single" w:sz="4" w:space="0" w:color="000000"/>
              <w:right w:val="single" w:sz="4" w:space="0" w:color="000000"/>
            </w:tcBorders>
            <w:hideMark/>
          </w:tcPr>
          <w:p w14:paraId="35CEB689"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6.83</w:t>
            </w:r>
          </w:p>
        </w:tc>
      </w:tr>
      <w:tr w:rsidR="00FA1DCC" w:rsidRPr="00FA1DCC" w14:paraId="46E325C2"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0E588C3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1650.jpg</w:t>
            </w:r>
          </w:p>
        </w:tc>
        <w:tc>
          <w:tcPr>
            <w:tcW w:w="4433" w:type="dxa"/>
            <w:tcBorders>
              <w:top w:val="single" w:sz="4" w:space="0" w:color="000000"/>
              <w:left w:val="single" w:sz="4" w:space="0" w:color="000000"/>
              <w:bottom w:val="single" w:sz="4" w:space="0" w:color="000000"/>
              <w:right w:val="single" w:sz="4" w:space="0" w:color="000000"/>
            </w:tcBorders>
            <w:hideMark/>
          </w:tcPr>
          <w:p w14:paraId="7608B3B5"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6.65</w:t>
            </w:r>
          </w:p>
        </w:tc>
      </w:tr>
      <w:tr w:rsidR="00FA1DCC" w:rsidRPr="00FA1DCC" w14:paraId="007CCD09"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132C58D3"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1419.jpg</w:t>
            </w:r>
          </w:p>
        </w:tc>
        <w:tc>
          <w:tcPr>
            <w:tcW w:w="4433" w:type="dxa"/>
            <w:tcBorders>
              <w:top w:val="single" w:sz="4" w:space="0" w:color="000000"/>
              <w:left w:val="single" w:sz="4" w:space="0" w:color="000000"/>
              <w:bottom w:val="single" w:sz="4" w:space="0" w:color="000000"/>
              <w:right w:val="single" w:sz="4" w:space="0" w:color="000000"/>
            </w:tcBorders>
            <w:hideMark/>
          </w:tcPr>
          <w:p w14:paraId="275845D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6.54</w:t>
            </w:r>
          </w:p>
        </w:tc>
      </w:tr>
      <w:tr w:rsidR="00FA1DCC" w:rsidRPr="00FA1DCC" w14:paraId="380C3212"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ED28A04"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1670.jpg</w:t>
            </w:r>
          </w:p>
        </w:tc>
        <w:tc>
          <w:tcPr>
            <w:tcW w:w="4433" w:type="dxa"/>
            <w:tcBorders>
              <w:top w:val="single" w:sz="4" w:space="0" w:color="000000"/>
              <w:left w:val="single" w:sz="4" w:space="0" w:color="000000"/>
              <w:bottom w:val="single" w:sz="4" w:space="0" w:color="000000"/>
              <w:right w:val="single" w:sz="4" w:space="0" w:color="000000"/>
            </w:tcBorders>
            <w:hideMark/>
          </w:tcPr>
          <w:p w14:paraId="7E059AA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5.82</w:t>
            </w:r>
          </w:p>
        </w:tc>
      </w:tr>
      <w:tr w:rsidR="00FA1DCC" w:rsidRPr="00FA1DCC" w14:paraId="5CF34969"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6E9B82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1903.jpg</w:t>
            </w:r>
          </w:p>
        </w:tc>
        <w:tc>
          <w:tcPr>
            <w:tcW w:w="4433" w:type="dxa"/>
            <w:tcBorders>
              <w:top w:val="single" w:sz="4" w:space="0" w:color="000000"/>
              <w:left w:val="single" w:sz="4" w:space="0" w:color="000000"/>
              <w:bottom w:val="single" w:sz="4" w:space="0" w:color="000000"/>
              <w:right w:val="single" w:sz="4" w:space="0" w:color="000000"/>
            </w:tcBorders>
            <w:hideMark/>
          </w:tcPr>
          <w:p w14:paraId="0F4B75C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5.50</w:t>
            </w:r>
          </w:p>
        </w:tc>
      </w:tr>
      <w:tr w:rsidR="00FA1DCC" w:rsidRPr="00FA1DCC" w14:paraId="062D4EA4"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7C54185C"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1350.jpg</w:t>
            </w:r>
          </w:p>
        </w:tc>
        <w:tc>
          <w:tcPr>
            <w:tcW w:w="4433" w:type="dxa"/>
            <w:tcBorders>
              <w:top w:val="single" w:sz="4" w:space="0" w:color="000000"/>
              <w:left w:val="single" w:sz="4" w:space="0" w:color="000000"/>
              <w:bottom w:val="single" w:sz="4" w:space="0" w:color="000000"/>
              <w:right w:val="single" w:sz="4" w:space="0" w:color="000000"/>
            </w:tcBorders>
            <w:hideMark/>
          </w:tcPr>
          <w:p w14:paraId="41376BB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5.25</w:t>
            </w:r>
          </w:p>
        </w:tc>
      </w:tr>
      <w:tr w:rsidR="00FA1DCC" w:rsidRPr="00FA1DCC" w14:paraId="2BA32AC8"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132E8B4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1726.jpg</w:t>
            </w:r>
          </w:p>
        </w:tc>
        <w:tc>
          <w:tcPr>
            <w:tcW w:w="4433" w:type="dxa"/>
            <w:tcBorders>
              <w:top w:val="single" w:sz="4" w:space="0" w:color="000000"/>
              <w:left w:val="single" w:sz="4" w:space="0" w:color="000000"/>
              <w:bottom w:val="single" w:sz="4" w:space="0" w:color="000000"/>
              <w:right w:val="single" w:sz="4" w:space="0" w:color="000000"/>
            </w:tcBorders>
            <w:hideMark/>
          </w:tcPr>
          <w:p w14:paraId="7BA2B268"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4.79</w:t>
            </w:r>
          </w:p>
        </w:tc>
      </w:tr>
      <w:tr w:rsidR="00FA1DCC" w:rsidRPr="00FA1DCC" w14:paraId="21B1B224"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2DACFCD2"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1390.jpg</w:t>
            </w:r>
          </w:p>
        </w:tc>
        <w:tc>
          <w:tcPr>
            <w:tcW w:w="4433" w:type="dxa"/>
            <w:tcBorders>
              <w:top w:val="single" w:sz="4" w:space="0" w:color="000000"/>
              <w:left w:val="single" w:sz="4" w:space="0" w:color="000000"/>
              <w:bottom w:val="single" w:sz="4" w:space="0" w:color="000000"/>
              <w:right w:val="single" w:sz="4" w:space="0" w:color="000000"/>
            </w:tcBorders>
            <w:hideMark/>
          </w:tcPr>
          <w:p w14:paraId="606BC6A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4.50</w:t>
            </w:r>
          </w:p>
        </w:tc>
      </w:tr>
      <w:tr w:rsidR="00FA1DCC" w:rsidRPr="00FA1DCC" w14:paraId="10BC9C26"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390BDA02"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1930.jpg</w:t>
            </w:r>
          </w:p>
        </w:tc>
        <w:tc>
          <w:tcPr>
            <w:tcW w:w="4433" w:type="dxa"/>
            <w:tcBorders>
              <w:top w:val="single" w:sz="4" w:space="0" w:color="000000"/>
              <w:left w:val="single" w:sz="4" w:space="0" w:color="000000"/>
              <w:bottom w:val="single" w:sz="4" w:space="0" w:color="000000"/>
              <w:right w:val="single" w:sz="4" w:space="0" w:color="000000"/>
            </w:tcBorders>
            <w:hideMark/>
          </w:tcPr>
          <w:p w14:paraId="16B74AC8"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3.79</w:t>
            </w:r>
          </w:p>
        </w:tc>
      </w:tr>
      <w:tr w:rsidR="00FA1DCC" w:rsidRPr="00FA1DCC" w14:paraId="1FAB282F"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2EBF07D7"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1300.jpg</w:t>
            </w:r>
          </w:p>
        </w:tc>
        <w:tc>
          <w:tcPr>
            <w:tcW w:w="4433" w:type="dxa"/>
            <w:tcBorders>
              <w:top w:val="single" w:sz="4" w:space="0" w:color="000000"/>
              <w:left w:val="single" w:sz="4" w:space="0" w:color="000000"/>
              <w:bottom w:val="single" w:sz="4" w:space="0" w:color="000000"/>
              <w:right w:val="single" w:sz="4" w:space="0" w:color="000000"/>
            </w:tcBorders>
            <w:hideMark/>
          </w:tcPr>
          <w:p w14:paraId="719C991F"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3.55</w:t>
            </w:r>
          </w:p>
        </w:tc>
      </w:tr>
      <w:tr w:rsidR="00FA1DCC" w:rsidRPr="00FA1DCC" w14:paraId="47D15057"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04315889"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1050.jpg</w:t>
            </w:r>
          </w:p>
        </w:tc>
        <w:tc>
          <w:tcPr>
            <w:tcW w:w="4433" w:type="dxa"/>
            <w:tcBorders>
              <w:top w:val="single" w:sz="4" w:space="0" w:color="000000"/>
              <w:left w:val="single" w:sz="4" w:space="0" w:color="000000"/>
              <w:bottom w:val="single" w:sz="4" w:space="0" w:color="000000"/>
              <w:right w:val="single" w:sz="4" w:space="0" w:color="000000"/>
            </w:tcBorders>
            <w:hideMark/>
          </w:tcPr>
          <w:p w14:paraId="741E41DA"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3.46</w:t>
            </w:r>
          </w:p>
        </w:tc>
      </w:tr>
      <w:tr w:rsidR="00FA1DCC" w:rsidRPr="00FA1DCC" w14:paraId="7DC4F4F9"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4403F518"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1202.jpg</w:t>
            </w:r>
          </w:p>
        </w:tc>
        <w:tc>
          <w:tcPr>
            <w:tcW w:w="4433" w:type="dxa"/>
            <w:tcBorders>
              <w:top w:val="single" w:sz="4" w:space="0" w:color="000000"/>
              <w:left w:val="single" w:sz="4" w:space="0" w:color="000000"/>
              <w:bottom w:val="single" w:sz="4" w:space="0" w:color="000000"/>
              <w:right w:val="single" w:sz="4" w:space="0" w:color="000000"/>
            </w:tcBorders>
            <w:hideMark/>
          </w:tcPr>
          <w:p w14:paraId="66DE6B3D"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3.35</w:t>
            </w:r>
          </w:p>
        </w:tc>
      </w:tr>
      <w:tr w:rsidR="00FA1DCC" w:rsidRPr="00FA1DCC" w14:paraId="5E178D3A" w14:textId="77777777" w:rsidTr="002A1E63">
        <w:trPr>
          <w:trHeight w:val="326"/>
        </w:trPr>
        <w:tc>
          <w:tcPr>
            <w:tcW w:w="4433" w:type="dxa"/>
            <w:tcBorders>
              <w:top w:val="single" w:sz="4" w:space="0" w:color="000000"/>
              <w:left w:val="single" w:sz="4" w:space="0" w:color="000000"/>
              <w:bottom w:val="single" w:sz="4" w:space="0" w:color="000000"/>
              <w:right w:val="single" w:sz="4" w:space="0" w:color="000000"/>
            </w:tcBorders>
            <w:hideMark/>
          </w:tcPr>
          <w:p w14:paraId="07F6F14B"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1274.jpg</w:t>
            </w:r>
          </w:p>
        </w:tc>
        <w:tc>
          <w:tcPr>
            <w:tcW w:w="4433" w:type="dxa"/>
            <w:tcBorders>
              <w:top w:val="single" w:sz="4" w:space="0" w:color="000000"/>
              <w:left w:val="single" w:sz="4" w:space="0" w:color="000000"/>
              <w:bottom w:val="single" w:sz="4" w:space="0" w:color="000000"/>
              <w:right w:val="single" w:sz="4" w:space="0" w:color="000000"/>
            </w:tcBorders>
            <w:hideMark/>
          </w:tcPr>
          <w:p w14:paraId="27936F0A" w14:textId="77777777" w:rsidR="00FA1DCC" w:rsidRPr="00FA1DCC" w:rsidRDefault="00FA1DCC" w:rsidP="00FA1DCC">
            <w:pPr>
              <w:pStyle w:val="NoSpacing"/>
              <w:spacing w:line="480" w:lineRule="auto"/>
              <w:jc w:val="center"/>
              <w:rPr>
                <w:rFonts w:ascii="Times New Roman" w:hAnsi="Times New Roman" w:cs="Times New Roman"/>
              </w:rPr>
            </w:pPr>
            <w:r w:rsidRPr="00FA1DCC">
              <w:rPr>
                <w:rFonts w:ascii="Times New Roman" w:hAnsi="Times New Roman" w:cs="Times New Roman"/>
              </w:rPr>
              <w:t>3.17</w:t>
            </w:r>
          </w:p>
        </w:tc>
      </w:tr>
    </w:tbl>
    <w:p w14:paraId="4891C58F"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i/>
          <w:iCs/>
        </w:rPr>
        <w:lastRenderedPageBreak/>
        <w:t>Note.</w:t>
      </w:r>
      <w:r w:rsidRPr="00FA1DCC">
        <w:rPr>
          <w:rFonts w:ascii="Times New Roman" w:hAnsi="Times New Roman" w:cs="Times New Roman"/>
        </w:rPr>
        <w:t xml:space="preserve"> Higher scores reflect increased valence. </w:t>
      </w:r>
    </w:p>
    <w:p w14:paraId="1B54D079" w14:textId="77777777" w:rsidR="00FA1DCC" w:rsidRPr="00FA1DCC" w:rsidRDefault="00FA1DCC" w:rsidP="00FA1DCC">
      <w:pPr>
        <w:pStyle w:val="NoSpacing"/>
        <w:spacing w:line="480" w:lineRule="auto"/>
        <w:rPr>
          <w:rFonts w:ascii="Times New Roman" w:hAnsi="Times New Roman" w:cs="Times New Roman"/>
        </w:rPr>
      </w:pPr>
    </w:p>
    <w:p w14:paraId="1FCE7D6A" w14:textId="6C24F00A"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 xml:space="preserve">In the process of selecting 20 smoking images for our study, </w:t>
      </w:r>
      <w:r>
        <w:rPr>
          <w:rFonts w:ascii="Times New Roman" w:hAnsi="Times New Roman" w:cs="Times New Roman"/>
        </w:rPr>
        <w:t>I</w:t>
      </w:r>
      <w:r w:rsidRPr="00FA1DCC">
        <w:rPr>
          <w:rFonts w:ascii="Times New Roman" w:hAnsi="Times New Roman" w:cs="Times New Roman"/>
        </w:rPr>
        <w:t xml:space="preserve"> ruled out any images that visibly depicted cigarette branding (</w:t>
      </w:r>
      <w:r w:rsidRPr="00FA1DCC">
        <w:rPr>
          <w:rFonts w:ascii="Times New Roman" w:hAnsi="Times New Roman" w:cs="Times New Roman"/>
          <w:i/>
        </w:rPr>
        <w:t>n</w:t>
      </w:r>
      <w:r w:rsidRPr="00FA1DCC">
        <w:rPr>
          <w:rFonts w:ascii="Times New Roman" w:hAnsi="Times New Roman" w:cs="Times New Roman"/>
        </w:rPr>
        <w:t xml:space="preserve"> = 13) to reflect the plain packaging government guidelines that have been implemented in the United Kingdom. Our selection of animal images based on their validated valence ratings is in line with previous research on IAPS images which suggests that scores &gt; 5 represent positive images, whilst scores &lt; 5 represent negative images (</w:t>
      </w:r>
      <w:proofErr w:type="spellStart"/>
      <w:r w:rsidRPr="00FA1DCC">
        <w:rPr>
          <w:rFonts w:ascii="Times New Roman" w:hAnsi="Times New Roman" w:cs="Times New Roman"/>
        </w:rPr>
        <w:t>Mikels</w:t>
      </w:r>
      <w:proofErr w:type="spellEnd"/>
      <w:r w:rsidRPr="00FA1DCC">
        <w:rPr>
          <w:rFonts w:ascii="Times New Roman" w:hAnsi="Times New Roman" w:cs="Times New Roman"/>
        </w:rPr>
        <w:t xml:space="preserve"> et al., 2005). Importantly, the VBDM task allows for subjective valuation of images to differ across participants because the task is personalised for each participant to reflect their own ratings. Therefore, the process of ensuring that there was a wide spread of perceived valence by using the standardised valence ratings data that accompanies both picture sets was merely to ensure that there was a wide spread of perceived valence, rather than as a strict guide as to what images should be placed in each value category. </w:t>
      </w:r>
    </w:p>
    <w:p w14:paraId="4FADFB9C" w14:textId="77777777" w:rsidR="00FA1DCC" w:rsidRPr="00FA1DCC" w:rsidRDefault="00FA1DCC" w:rsidP="00FA1DCC">
      <w:pPr>
        <w:pStyle w:val="NoSpacing"/>
        <w:spacing w:line="480" w:lineRule="auto"/>
        <w:rPr>
          <w:rFonts w:ascii="Times New Roman" w:hAnsi="Times New Roman" w:cs="Times New Roman"/>
          <w:b/>
          <w:bCs/>
        </w:rPr>
      </w:pPr>
    </w:p>
    <w:p w14:paraId="609A8109" w14:textId="77777777" w:rsidR="00FA1DCC" w:rsidRPr="00FA1DCC" w:rsidRDefault="00FA1DCC" w:rsidP="00FA1DCC">
      <w:pPr>
        <w:pStyle w:val="NoSpacing"/>
        <w:rPr>
          <w:b/>
          <w:bCs/>
        </w:rPr>
      </w:pPr>
    </w:p>
    <w:p w14:paraId="22552FA8" w14:textId="77777777" w:rsidR="00FA1DCC" w:rsidRPr="00FA1DCC" w:rsidRDefault="00FA1DCC" w:rsidP="00FA1DCC">
      <w:pPr>
        <w:pStyle w:val="NoSpacing"/>
        <w:rPr>
          <w:b/>
          <w:bCs/>
        </w:rPr>
      </w:pPr>
    </w:p>
    <w:p w14:paraId="3911FD66" w14:textId="5CF91A8F" w:rsidR="00FA1DCC" w:rsidRDefault="00FA1DCC" w:rsidP="00FA1DCC">
      <w:pPr>
        <w:pStyle w:val="NoSpacing"/>
        <w:rPr>
          <w:b/>
          <w:bCs/>
        </w:rPr>
      </w:pPr>
    </w:p>
    <w:p w14:paraId="5B7CC1F4" w14:textId="5C299DF5" w:rsidR="006D2653" w:rsidRDefault="006D2653" w:rsidP="00FA1DCC">
      <w:pPr>
        <w:pStyle w:val="NoSpacing"/>
        <w:rPr>
          <w:b/>
          <w:bCs/>
        </w:rPr>
      </w:pPr>
    </w:p>
    <w:p w14:paraId="439DA48F" w14:textId="11BED2A6" w:rsidR="006D2653" w:rsidRDefault="006D2653" w:rsidP="00FA1DCC">
      <w:pPr>
        <w:pStyle w:val="NoSpacing"/>
        <w:rPr>
          <w:b/>
          <w:bCs/>
        </w:rPr>
      </w:pPr>
    </w:p>
    <w:p w14:paraId="60A3F5D5" w14:textId="0D1AC9D1" w:rsidR="006D2653" w:rsidRDefault="006D2653" w:rsidP="00FA1DCC">
      <w:pPr>
        <w:pStyle w:val="NoSpacing"/>
        <w:rPr>
          <w:b/>
          <w:bCs/>
        </w:rPr>
      </w:pPr>
    </w:p>
    <w:p w14:paraId="57BD1DCF" w14:textId="0D2D6199" w:rsidR="006D2653" w:rsidRDefault="006D2653" w:rsidP="00FA1DCC">
      <w:pPr>
        <w:pStyle w:val="NoSpacing"/>
        <w:rPr>
          <w:b/>
          <w:bCs/>
        </w:rPr>
      </w:pPr>
    </w:p>
    <w:p w14:paraId="2105E46E" w14:textId="7A190C20" w:rsidR="006D2653" w:rsidRDefault="006D2653" w:rsidP="00FA1DCC">
      <w:pPr>
        <w:pStyle w:val="NoSpacing"/>
        <w:rPr>
          <w:b/>
          <w:bCs/>
        </w:rPr>
      </w:pPr>
    </w:p>
    <w:p w14:paraId="2DF3225C" w14:textId="6379EB47" w:rsidR="006D2653" w:rsidRDefault="006D2653" w:rsidP="00FA1DCC">
      <w:pPr>
        <w:pStyle w:val="NoSpacing"/>
        <w:rPr>
          <w:b/>
          <w:bCs/>
        </w:rPr>
      </w:pPr>
    </w:p>
    <w:p w14:paraId="5743E40C" w14:textId="629097B8" w:rsidR="006D2653" w:rsidRDefault="006D2653" w:rsidP="00FA1DCC">
      <w:pPr>
        <w:pStyle w:val="NoSpacing"/>
        <w:rPr>
          <w:b/>
          <w:bCs/>
        </w:rPr>
      </w:pPr>
    </w:p>
    <w:p w14:paraId="6019553E" w14:textId="46E81ED7" w:rsidR="006D2653" w:rsidRDefault="006D2653" w:rsidP="00FA1DCC">
      <w:pPr>
        <w:pStyle w:val="NoSpacing"/>
        <w:rPr>
          <w:b/>
          <w:bCs/>
        </w:rPr>
      </w:pPr>
    </w:p>
    <w:p w14:paraId="51F3E67C" w14:textId="14DE0EB9" w:rsidR="006D2653" w:rsidRDefault="006D2653" w:rsidP="00FA1DCC">
      <w:pPr>
        <w:pStyle w:val="NoSpacing"/>
        <w:rPr>
          <w:b/>
          <w:bCs/>
        </w:rPr>
      </w:pPr>
    </w:p>
    <w:p w14:paraId="25E7835C" w14:textId="3DA72415" w:rsidR="006D2653" w:rsidRDefault="006D2653" w:rsidP="00FA1DCC">
      <w:pPr>
        <w:pStyle w:val="NoSpacing"/>
        <w:rPr>
          <w:b/>
          <w:bCs/>
        </w:rPr>
      </w:pPr>
    </w:p>
    <w:p w14:paraId="5020144B" w14:textId="79B752D7" w:rsidR="006D2653" w:rsidRDefault="006D2653" w:rsidP="00FA1DCC">
      <w:pPr>
        <w:pStyle w:val="NoSpacing"/>
        <w:rPr>
          <w:b/>
          <w:bCs/>
        </w:rPr>
      </w:pPr>
    </w:p>
    <w:p w14:paraId="08F1FAE5" w14:textId="77777777" w:rsidR="006D2653" w:rsidRPr="00FA1DCC" w:rsidRDefault="006D2653" w:rsidP="00FA1DCC">
      <w:pPr>
        <w:pStyle w:val="NoSpacing"/>
        <w:rPr>
          <w:b/>
          <w:bCs/>
        </w:rPr>
      </w:pPr>
    </w:p>
    <w:p w14:paraId="6BD9A202" w14:textId="77777777" w:rsidR="00FA1DCC" w:rsidRDefault="00FA1DCC" w:rsidP="003A7189">
      <w:pPr>
        <w:pStyle w:val="NoSpacing"/>
      </w:pPr>
    </w:p>
    <w:p w14:paraId="727F80FE" w14:textId="20847EA5" w:rsidR="003A7189" w:rsidRDefault="003A7189" w:rsidP="003A7189">
      <w:pPr>
        <w:pStyle w:val="NoSpacing"/>
      </w:pPr>
    </w:p>
    <w:p w14:paraId="15FB48D9" w14:textId="64267C8E" w:rsidR="003A7189" w:rsidRDefault="003A7189" w:rsidP="003A7189">
      <w:pPr>
        <w:pStyle w:val="NoSpacing"/>
      </w:pPr>
    </w:p>
    <w:p w14:paraId="02C0F844" w14:textId="62034012" w:rsidR="00FA1DCC" w:rsidRPr="00FA1DCC" w:rsidRDefault="00FA1DCC" w:rsidP="00FA1DC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3. Within-subject differences</w:t>
      </w:r>
    </w:p>
    <w:p w14:paraId="4000ED45" w14:textId="77777777" w:rsidR="00FA1DCC" w:rsidRPr="00FA1DCC" w:rsidRDefault="00FA1DCC" w:rsidP="00FA1DCC">
      <w:pPr>
        <w:pStyle w:val="NoSpacing"/>
        <w:spacing w:line="480" w:lineRule="auto"/>
        <w:rPr>
          <w:rFonts w:ascii="Times New Roman" w:hAnsi="Times New Roman" w:cs="Times New Roman"/>
          <w:bCs/>
        </w:rPr>
      </w:pPr>
      <w:r w:rsidRPr="00FA1DCC">
        <w:rPr>
          <w:rFonts w:ascii="Times New Roman" w:hAnsi="Times New Roman" w:cs="Times New Roman"/>
          <w:bCs/>
        </w:rPr>
        <w:t xml:space="preserve">VBDM task. In current smokers, EA rates for tobacco-unrelated (animal) decisions (median = 1.81, IQR = .52) were significantly higher than EA rates for tobacco decisions (median = 1.60, IQR = .48), W = 1207, </w:t>
      </w:r>
      <w:r w:rsidRPr="00FA1DCC">
        <w:rPr>
          <w:rFonts w:ascii="Times New Roman" w:hAnsi="Times New Roman" w:cs="Times New Roman"/>
          <w:bCs/>
          <w:i/>
          <w:iCs/>
        </w:rPr>
        <w:t>p</w:t>
      </w:r>
      <w:r w:rsidRPr="00FA1DCC">
        <w:rPr>
          <w:rFonts w:ascii="Times New Roman" w:hAnsi="Times New Roman" w:cs="Times New Roman"/>
          <w:bCs/>
        </w:rPr>
        <w:t xml:space="preserve"> &lt; .001, </w:t>
      </w:r>
      <w:proofErr w:type="spellStart"/>
      <w:r w:rsidRPr="00FA1DCC">
        <w:rPr>
          <w:rFonts w:ascii="Times New Roman" w:hAnsi="Times New Roman" w:cs="Times New Roman"/>
          <w:i/>
          <w:iCs/>
        </w:rPr>
        <w:t>r</w:t>
      </w:r>
      <w:r w:rsidRPr="00FA1DCC">
        <w:rPr>
          <w:rFonts w:ascii="Times New Roman" w:hAnsi="Times New Roman" w:cs="Times New Roman"/>
          <w:vertAlign w:val="subscript"/>
        </w:rPr>
        <w:t>rb</w:t>
      </w:r>
      <w:proofErr w:type="spellEnd"/>
      <w:r w:rsidRPr="00FA1DCC">
        <w:rPr>
          <w:rFonts w:ascii="Times New Roman" w:hAnsi="Times New Roman" w:cs="Times New Roman"/>
          <w:bCs/>
        </w:rPr>
        <w:t xml:space="preserve"> = .82. There were no significant differences in tobacco-unrelated (animal) (M = 1.96, SD = .29) and tobacco response thresholds (M = 1.91, SD = .30), </w:t>
      </w:r>
      <w:proofErr w:type="gramStart"/>
      <w:r w:rsidRPr="00FA1DCC">
        <w:rPr>
          <w:rFonts w:ascii="Times New Roman" w:hAnsi="Times New Roman" w:cs="Times New Roman"/>
          <w:bCs/>
        </w:rPr>
        <w:t>t(</w:t>
      </w:r>
      <w:proofErr w:type="gramEnd"/>
      <w:r w:rsidRPr="00FA1DCC">
        <w:rPr>
          <w:rFonts w:ascii="Times New Roman" w:hAnsi="Times New Roman" w:cs="Times New Roman"/>
          <w:bCs/>
        </w:rPr>
        <w:t xml:space="preserve">50) = 1.36, </w:t>
      </w:r>
      <w:r w:rsidRPr="00FA1DCC">
        <w:rPr>
          <w:rFonts w:ascii="Times New Roman" w:hAnsi="Times New Roman" w:cs="Times New Roman"/>
          <w:bCs/>
          <w:i/>
          <w:iCs/>
        </w:rPr>
        <w:t>p</w:t>
      </w:r>
      <w:r w:rsidRPr="00FA1DCC">
        <w:rPr>
          <w:rFonts w:ascii="Times New Roman" w:hAnsi="Times New Roman" w:cs="Times New Roman"/>
          <w:bCs/>
        </w:rPr>
        <w:t xml:space="preserve"> = .18, </w:t>
      </w:r>
      <w:r w:rsidRPr="00FA1DCC">
        <w:rPr>
          <w:rFonts w:ascii="Times New Roman" w:hAnsi="Times New Roman" w:cs="Times New Roman"/>
          <w:bCs/>
          <w:i/>
          <w:iCs/>
        </w:rPr>
        <w:t>d</w:t>
      </w:r>
      <w:r w:rsidRPr="00FA1DCC">
        <w:rPr>
          <w:rFonts w:ascii="Times New Roman" w:hAnsi="Times New Roman" w:cs="Times New Roman"/>
          <w:bCs/>
        </w:rPr>
        <w:t xml:space="preserve"> = .19. In ex-smokers, EA rates for tobacco-unrelated (animal) decisions (M = 1.88, SD = .38) were significantly higher than for tobacco decisions (M = 1.56, SD = .42), </w:t>
      </w:r>
      <w:proofErr w:type="gramStart"/>
      <w:r w:rsidRPr="00FA1DCC">
        <w:rPr>
          <w:rFonts w:ascii="Times New Roman" w:hAnsi="Times New Roman" w:cs="Times New Roman"/>
          <w:bCs/>
        </w:rPr>
        <w:t>t(</w:t>
      </w:r>
      <w:proofErr w:type="gramEnd"/>
      <w:r w:rsidRPr="00FA1DCC">
        <w:rPr>
          <w:rFonts w:ascii="Times New Roman" w:hAnsi="Times New Roman" w:cs="Times New Roman"/>
          <w:bCs/>
        </w:rPr>
        <w:t xml:space="preserve">50) = 5.78, </w:t>
      </w:r>
      <w:r w:rsidRPr="00FA1DCC">
        <w:rPr>
          <w:rFonts w:ascii="Times New Roman" w:hAnsi="Times New Roman" w:cs="Times New Roman"/>
          <w:bCs/>
          <w:i/>
          <w:iCs/>
        </w:rPr>
        <w:t>p</w:t>
      </w:r>
      <w:r w:rsidRPr="00FA1DCC">
        <w:rPr>
          <w:rFonts w:ascii="Times New Roman" w:hAnsi="Times New Roman" w:cs="Times New Roman"/>
          <w:bCs/>
        </w:rPr>
        <w:t xml:space="preserve"> &lt; .001, </w:t>
      </w:r>
      <w:r w:rsidRPr="00FA1DCC">
        <w:rPr>
          <w:rFonts w:ascii="Times New Roman" w:hAnsi="Times New Roman" w:cs="Times New Roman"/>
          <w:bCs/>
          <w:i/>
          <w:iCs/>
        </w:rPr>
        <w:t>d</w:t>
      </w:r>
      <w:r w:rsidRPr="00FA1DCC">
        <w:rPr>
          <w:rFonts w:ascii="Times New Roman" w:hAnsi="Times New Roman" w:cs="Times New Roman"/>
          <w:bCs/>
        </w:rPr>
        <w:t xml:space="preserve"> = .81. However, there were no significant differences in response thresholds for tobacco (M = 2.06, SD = .34) compared to for tobacco-unrelated (animal) decisions choices (2.00, SD = .31), </w:t>
      </w:r>
      <w:proofErr w:type="gramStart"/>
      <w:r w:rsidRPr="00FA1DCC">
        <w:rPr>
          <w:rFonts w:ascii="Times New Roman" w:hAnsi="Times New Roman" w:cs="Times New Roman"/>
          <w:bCs/>
          <w:i/>
          <w:iCs/>
        </w:rPr>
        <w:t>t</w:t>
      </w:r>
      <w:r w:rsidRPr="00FA1DCC">
        <w:rPr>
          <w:rFonts w:ascii="Times New Roman" w:hAnsi="Times New Roman" w:cs="Times New Roman"/>
          <w:bCs/>
        </w:rPr>
        <w:t>(</w:t>
      </w:r>
      <w:proofErr w:type="gramEnd"/>
      <w:r w:rsidRPr="00FA1DCC">
        <w:rPr>
          <w:rFonts w:ascii="Times New Roman" w:hAnsi="Times New Roman" w:cs="Times New Roman"/>
          <w:bCs/>
        </w:rPr>
        <w:t xml:space="preserve">50) = 1.25, </w:t>
      </w:r>
      <w:r w:rsidRPr="00FA1DCC">
        <w:rPr>
          <w:rFonts w:ascii="Times New Roman" w:hAnsi="Times New Roman" w:cs="Times New Roman"/>
          <w:bCs/>
          <w:i/>
          <w:iCs/>
        </w:rPr>
        <w:t>p</w:t>
      </w:r>
      <w:r w:rsidRPr="00FA1DCC">
        <w:rPr>
          <w:rFonts w:ascii="Times New Roman" w:hAnsi="Times New Roman" w:cs="Times New Roman"/>
          <w:bCs/>
        </w:rPr>
        <w:t xml:space="preserve"> = .22, </w:t>
      </w:r>
      <w:r w:rsidRPr="00FA1DCC">
        <w:rPr>
          <w:rFonts w:ascii="Times New Roman" w:hAnsi="Times New Roman" w:cs="Times New Roman"/>
          <w:bCs/>
          <w:i/>
          <w:iCs/>
        </w:rPr>
        <w:t>d</w:t>
      </w:r>
      <w:r w:rsidRPr="00FA1DCC">
        <w:rPr>
          <w:rFonts w:ascii="Times New Roman" w:hAnsi="Times New Roman" w:cs="Times New Roman"/>
          <w:bCs/>
        </w:rPr>
        <w:t xml:space="preserve"> = .18.</w:t>
      </w:r>
    </w:p>
    <w:p w14:paraId="7E9B3C1E" w14:textId="77777777" w:rsidR="00FA1DCC" w:rsidRPr="00FA1DCC" w:rsidRDefault="00FA1DCC" w:rsidP="00FA1DCC">
      <w:pPr>
        <w:pStyle w:val="NoSpacing"/>
        <w:spacing w:line="480" w:lineRule="auto"/>
        <w:rPr>
          <w:rFonts w:ascii="Times New Roman" w:hAnsi="Times New Roman" w:cs="Times New Roman"/>
          <w:b/>
          <w:u w:val="single"/>
        </w:rPr>
      </w:pPr>
    </w:p>
    <w:p w14:paraId="245E49C1" w14:textId="77777777" w:rsidR="00FA1DCC" w:rsidRPr="00FA1DCC" w:rsidRDefault="00FA1DCC" w:rsidP="00FA1DCC">
      <w:pPr>
        <w:pStyle w:val="NoSpacing"/>
        <w:spacing w:line="480" w:lineRule="auto"/>
        <w:rPr>
          <w:rFonts w:ascii="Times New Roman" w:hAnsi="Times New Roman" w:cs="Times New Roman"/>
          <w:b/>
          <w:u w:val="single"/>
        </w:rPr>
      </w:pPr>
      <w:proofErr w:type="spellStart"/>
      <w:r w:rsidRPr="00FA1DCC">
        <w:rPr>
          <w:rFonts w:ascii="Times New Roman" w:hAnsi="Times New Roman" w:cs="Times New Roman"/>
          <w:iCs/>
        </w:rPr>
        <w:t>MouseTracker</w:t>
      </w:r>
      <w:proofErr w:type="spellEnd"/>
      <w:r w:rsidRPr="00FA1DCC">
        <w:rPr>
          <w:rFonts w:ascii="Times New Roman" w:hAnsi="Times New Roman" w:cs="Times New Roman"/>
          <w:iCs/>
        </w:rPr>
        <w:t xml:space="preserve"> task.</w:t>
      </w:r>
      <w:r w:rsidRPr="00FA1DCC">
        <w:rPr>
          <w:rFonts w:ascii="Times New Roman" w:hAnsi="Times New Roman" w:cs="Times New Roman"/>
        </w:rPr>
        <w:t xml:space="preserve"> Current smokers experienced significantly greater levels of conflict when the tobacco image was the correct answer (median = 1.00, IQR = .74) compared to when the </w:t>
      </w:r>
      <w:r w:rsidRPr="00FA1DCC">
        <w:rPr>
          <w:rFonts w:ascii="Times New Roman" w:hAnsi="Times New Roman" w:cs="Times New Roman"/>
          <w:bCs/>
        </w:rPr>
        <w:t xml:space="preserve">tobacco-unrelated (animal) </w:t>
      </w:r>
      <w:r w:rsidRPr="00FA1DCC">
        <w:rPr>
          <w:rFonts w:ascii="Times New Roman" w:hAnsi="Times New Roman" w:cs="Times New Roman"/>
        </w:rPr>
        <w:t xml:space="preserve">image was the correct answer (median = .87, IQR = .65), W = 988, </w:t>
      </w:r>
      <w:r w:rsidRPr="00FA1DCC">
        <w:rPr>
          <w:rFonts w:ascii="Times New Roman" w:hAnsi="Times New Roman" w:cs="Times New Roman"/>
          <w:i/>
        </w:rPr>
        <w:t>p</w:t>
      </w:r>
      <w:r w:rsidRPr="00FA1DCC">
        <w:rPr>
          <w:rFonts w:ascii="Times New Roman" w:hAnsi="Times New Roman" w:cs="Times New Roman"/>
        </w:rPr>
        <w:t xml:space="preserve"> = .002, </w:t>
      </w:r>
      <w:proofErr w:type="spellStart"/>
      <w:r w:rsidRPr="00FA1DCC">
        <w:rPr>
          <w:rFonts w:ascii="Times New Roman" w:hAnsi="Times New Roman" w:cs="Times New Roman"/>
          <w:i/>
          <w:iCs/>
        </w:rPr>
        <w:t>r</w:t>
      </w:r>
      <w:r w:rsidRPr="00FA1DCC">
        <w:rPr>
          <w:rFonts w:ascii="Times New Roman" w:hAnsi="Times New Roman" w:cs="Times New Roman"/>
          <w:vertAlign w:val="subscript"/>
        </w:rPr>
        <w:t>rb</w:t>
      </w:r>
      <w:proofErr w:type="spellEnd"/>
      <w:r w:rsidRPr="00FA1DCC">
        <w:rPr>
          <w:rFonts w:ascii="Times New Roman" w:hAnsi="Times New Roman" w:cs="Times New Roman"/>
        </w:rPr>
        <w:t xml:space="preserve"> = .49. A similar pattern was found for ex-smokers, in that they experienced significantly greater levels of conflict when the tobacco image was the correct answer (median = .84, IQR = .82) compared to when the </w:t>
      </w:r>
      <w:r w:rsidRPr="00FA1DCC">
        <w:rPr>
          <w:rFonts w:ascii="Times New Roman" w:hAnsi="Times New Roman" w:cs="Times New Roman"/>
          <w:bCs/>
        </w:rPr>
        <w:t xml:space="preserve">tobacco-unrelated (animal) image </w:t>
      </w:r>
      <w:r w:rsidRPr="00FA1DCC">
        <w:rPr>
          <w:rFonts w:ascii="Times New Roman" w:hAnsi="Times New Roman" w:cs="Times New Roman"/>
        </w:rPr>
        <w:t xml:space="preserve">was the correct answer (median = .78, IQR = .58), W = 1187, </w:t>
      </w:r>
      <w:r w:rsidRPr="00FA1DCC">
        <w:rPr>
          <w:rFonts w:ascii="Times New Roman" w:hAnsi="Times New Roman" w:cs="Times New Roman"/>
          <w:i/>
          <w:iCs/>
        </w:rPr>
        <w:t>p</w:t>
      </w:r>
      <w:r w:rsidRPr="00FA1DCC">
        <w:rPr>
          <w:rFonts w:ascii="Times New Roman" w:hAnsi="Times New Roman" w:cs="Times New Roman"/>
        </w:rPr>
        <w:t xml:space="preserve"> &lt; .001, </w:t>
      </w:r>
      <w:proofErr w:type="spellStart"/>
      <w:proofErr w:type="gramStart"/>
      <w:r w:rsidRPr="00FA1DCC">
        <w:rPr>
          <w:rFonts w:ascii="Times New Roman" w:hAnsi="Times New Roman" w:cs="Times New Roman"/>
          <w:i/>
          <w:iCs/>
        </w:rPr>
        <w:t>r</w:t>
      </w:r>
      <w:r w:rsidRPr="00FA1DCC">
        <w:rPr>
          <w:rFonts w:ascii="Times New Roman" w:hAnsi="Times New Roman" w:cs="Times New Roman"/>
          <w:vertAlign w:val="subscript"/>
        </w:rPr>
        <w:t>rb</w:t>
      </w:r>
      <w:proofErr w:type="spellEnd"/>
      <w:r w:rsidRPr="00FA1DCC">
        <w:rPr>
          <w:rFonts w:ascii="Times New Roman" w:hAnsi="Times New Roman" w:cs="Times New Roman"/>
          <w:vertAlign w:val="subscript"/>
        </w:rPr>
        <w:t xml:space="preserve"> </w:t>
      </w:r>
      <w:r w:rsidRPr="00FA1DCC">
        <w:rPr>
          <w:rFonts w:ascii="Times New Roman" w:hAnsi="Times New Roman" w:cs="Times New Roman"/>
        </w:rPr>
        <w:t xml:space="preserve"> =</w:t>
      </w:r>
      <w:proofErr w:type="gramEnd"/>
      <w:r w:rsidRPr="00FA1DCC">
        <w:rPr>
          <w:rFonts w:ascii="Times New Roman" w:hAnsi="Times New Roman" w:cs="Times New Roman"/>
        </w:rPr>
        <w:t xml:space="preserve"> .79. </w:t>
      </w:r>
    </w:p>
    <w:p w14:paraId="50403885" w14:textId="77777777" w:rsidR="00FA1DCC" w:rsidRPr="00FA1DCC" w:rsidRDefault="00FA1DCC" w:rsidP="00FA1DCC">
      <w:pPr>
        <w:pStyle w:val="NoSpacing"/>
        <w:rPr>
          <w:b/>
          <w:bCs/>
        </w:rPr>
      </w:pPr>
    </w:p>
    <w:p w14:paraId="3385379E" w14:textId="18B36EAF" w:rsidR="003A7189" w:rsidRDefault="003A7189" w:rsidP="003A7189">
      <w:pPr>
        <w:pStyle w:val="NoSpacing"/>
      </w:pPr>
    </w:p>
    <w:p w14:paraId="36A9F196" w14:textId="30A5E24E" w:rsidR="003A7189" w:rsidRDefault="003A7189" w:rsidP="003A7189">
      <w:pPr>
        <w:pStyle w:val="NoSpacing"/>
      </w:pPr>
    </w:p>
    <w:p w14:paraId="66E7A9DE" w14:textId="606C9A30" w:rsidR="003A7189" w:rsidRDefault="003A7189" w:rsidP="003A7189">
      <w:pPr>
        <w:pStyle w:val="NoSpacing"/>
      </w:pPr>
    </w:p>
    <w:p w14:paraId="41641CE6" w14:textId="38B567E4" w:rsidR="003A7189" w:rsidRDefault="003A7189" w:rsidP="003A7189">
      <w:pPr>
        <w:pStyle w:val="NoSpacing"/>
      </w:pPr>
    </w:p>
    <w:p w14:paraId="225F627B" w14:textId="4051DB8E" w:rsidR="003A7189" w:rsidRDefault="003A7189" w:rsidP="003A7189">
      <w:pPr>
        <w:pStyle w:val="NoSpacing"/>
      </w:pPr>
    </w:p>
    <w:p w14:paraId="1F60AC62" w14:textId="5AC1DE40" w:rsidR="003A7189" w:rsidRDefault="003A7189" w:rsidP="003A7189">
      <w:pPr>
        <w:pStyle w:val="NoSpacing"/>
      </w:pPr>
    </w:p>
    <w:p w14:paraId="5A78355C" w14:textId="50A3EAC7" w:rsidR="003A7189" w:rsidRDefault="003A7189" w:rsidP="003A7189">
      <w:pPr>
        <w:pStyle w:val="NoSpacing"/>
      </w:pPr>
    </w:p>
    <w:p w14:paraId="3B72C4C3" w14:textId="3CF338F8" w:rsidR="003A7189" w:rsidRDefault="003A7189" w:rsidP="003A7189">
      <w:pPr>
        <w:pStyle w:val="NoSpacing"/>
      </w:pPr>
    </w:p>
    <w:p w14:paraId="59DD4A8C" w14:textId="1981CF81" w:rsidR="003A7189" w:rsidRDefault="003A7189" w:rsidP="003A7189">
      <w:pPr>
        <w:pStyle w:val="NoSpacing"/>
      </w:pPr>
    </w:p>
    <w:p w14:paraId="240237E5" w14:textId="0427103B" w:rsidR="003A7189" w:rsidRDefault="003A7189" w:rsidP="003A7189">
      <w:pPr>
        <w:pStyle w:val="NoSpacing"/>
      </w:pPr>
    </w:p>
    <w:p w14:paraId="69A65836" w14:textId="2D92F2F9" w:rsidR="003A7189" w:rsidRDefault="003A7189" w:rsidP="003A7189">
      <w:pPr>
        <w:pStyle w:val="NoSpacing"/>
      </w:pPr>
    </w:p>
    <w:p w14:paraId="04C4B387" w14:textId="39D3ED32" w:rsidR="00FA1DCC" w:rsidRPr="00FA1DCC" w:rsidRDefault="00FA1DCC" w:rsidP="00FA1DC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4. DDM analyses conducted on each individual difficulty level in isolation (Table S7.1)</w:t>
      </w:r>
    </w:p>
    <w:p w14:paraId="23EA2B35" w14:textId="77777777" w:rsidR="00FA1DCC" w:rsidRDefault="00FA1DCC" w:rsidP="00FA1DCC">
      <w:pPr>
        <w:pStyle w:val="NoSpacing"/>
        <w:spacing w:line="480" w:lineRule="auto"/>
        <w:rPr>
          <w:rFonts w:ascii="Times New Roman" w:hAnsi="Times New Roman" w:cs="Times New Roman"/>
          <w:b/>
        </w:rPr>
      </w:pPr>
      <w:r w:rsidRPr="00FA1DCC">
        <w:rPr>
          <w:rFonts w:ascii="Times New Roman" w:hAnsi="Times New Roman" w:cs="Times New Roman"/>
          <w:b/>
        </w:rPr>
        <w:t>Table S7.1</w:t>
      </w:r>
    </w:p>
    <w:p w14:paraId="77E19E56" w14:textId="1FE5CAB2" w:rsidR="00FA1DCC" w:rsidRPr="00FA1DCC" w:rsidRDefault="00FA1DCC" w:rsidP="00FA1DCC">
      <w:pPr>
        <w:pStyle w:val="NoSpacing"/>
        <w:spacing w:line="480" w:lineRule="auto"/>
        <w:rPr>
          <w:rFonts w:ascii="Times New Roman" w:hAnsi="Times New Roman" w:cs="Times New Roman"/>
          <w:b/>
        </w:rPr>
      </w:pPr>
      <w:r w:rsidRPr="00FA1DCC">
        <w:rPr>
          <w:rFonts w:ascii="Times New Roman" w:hAnsi="Times New Roman" w:cs="Times New Roman"/>
          <w:bCs/>
          <w:i/>
          <w:iCs/>
        </w:rPr>
        <w:t>Statistical analyses on each difficulty level in isolatio</w:t>
      </w:r>
      <w:sdt>
        <w:sdtPr>
          <w:rPr>
            <w:rFonts w:ascii="Times New Roman" w:hAnsi="Times New Roman" w:cs="Times New Roman"/>
            <w:bCs/>
            <w:i/>
            <w:iCs/>
          </w:rPr>
          <w:tag w:val="goog_rdk_26"/>
          <w:id w:val="-1833131053"/>
        </w:sdtPr>
        <w:sdtContent/>
      </w:sdt>
      <w:sdt>
        <w:sdtPr>
          <w:rPr>
            <w:rFonts w:ascii="Times New Roman" w:hAnsi="Times New Roman" w:cs="Times New Roman"/>
            <w:bCs/>
            <w:i/>
            <w:iCs/>
          </w:rPr>
          <w:tag w:val="goog_rdk_27"/>
          <w:id w:val="1004016505"/>
        </w:sdtPr>
        <w:sdtContent/>
      </w:sdt>
      <w:r w:rsidRPr="00FA1DCC">
        <w:rPr>
          <w:rFonts w:ascii="Times New Roman" w:hAnsi="Times New Roman" w:cs="Times New Roman"/>
          <w:bCs/>
          <w:i/>
          <w:iCs/>
        </w:rPr>
        <w:t>n</w:t>
      </w:r>
      <w:r w:rsidRPr="00FA1DCC">
        <w:rPr>
          <w:rFonts w:ascii="Times New Roman" w:hAnsi="Times New Roman" w:cs="Times New Roman"/>
          <w:b/>
        </w:rPr>
        <w:t xml:space="preserve"> </w:t>
      </w:r>
    </w:p>
    <w:tbl>
      <w:tblPr>
        <w:tblW w:w="9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1863"/>
        <w:gridCol w:w="2006"/>
        <w:gridCol w:w="1939"/>
      </w:tblGrid>
      <w:tr w:rsidR="00FA1DCC" w:rsidRPr="00FA1DCC" w14:paraId="023F52EC"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5D281F4E"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Contrast</w:t>
            </w:r>
          </w:p>
        </w:tc>
        <w:tc>
          <w:tcPr>
            <w:tcW w:w="1864" w:type="dxa"/>
            <w:tcBorders>
              <w:top w:val="single" w:sz="4" w:space="0" w:color="000000"/>
              <w:left w:val="single" w:sz="4" w:space="0" w:color="000000"/>
              <w:bottom w:val="single" w:sz="4" w:space="0" w:color="000000"/>
              <w:right w:val="single" w:sz="4" w:space="0" w:color="000000"/>
            </w:tcBorders>
            <w:hideMark/>
          </w:tcPr>
          <w:p w14:paraId="6745E3E0"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Easy trials</w:t>
            </w:r>
          </w:p>
        </w:tc>
        <w:tc>
          <w:tcPr>
            <w:tcW w:w="2007" w:type="dxa"/>
            <w:tcBorders>
              <w:top w:val="single" w:sz="4" w:space="0" w:color="000000"/>
              <w:left w:val="single" w:sz="4" w:space="0" w:color="000000"/>
              <w:bottom w:val="single" w:sz="4" w:space="0" w:color="000000"/>
              <w:right w:val="single" w:sz="4" w:space="0" w:color="000000"/>
            </w:tcBorders>
            <w:hideMark/>
          </w:tcPr>
          <w:p w14:paraId="7F4401D5"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Medium trials</w:t>
            </w:r>
          </w:p>
        </w:tc>
        <w:tc>
          <w:tcPr>
            <w:tcW w:w="1940" w:type="dxa"/>
            <w:tcBorders>
              <w:top w:val="single" w:sz="4" w:space="0" w:color="000000"/>
              <w:left w:val="single" w:sz="4" w:space="0" w:color="000000"/>
              <w:bottom w:val="single" w:sz="4" w:space="0" w:color="000000"/>
              <w:right w:val="single" w:sz="4" w:space="0" w:color="000000"/>
            </w:tcBorders>
            <w:hideMark/>
          </w:tcPr>
          <w:p w14:paraId="6F073313"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Difficult trials</w:t>
            </w:r>
          </w:p>
        </w:tc>
      </w:tr>
      <w:tr w:rsidR="00FA1DCC" w:rsidRPr="00FA1DCC" w14:paraId="28B99646" w14:textId="77777777" w:rsidTr="002A1E63">
        <w:trPr>
          <w:trHeight w:val="426"/>
        </w:trPr>
        <w:tc>
          <w:tcPr>
            <w:tcW w:w="3435" w:type="dxa"/>
            <w:tcBorders>
              <w:top w:val="single" w:sz="4" w:space="0" w:color="000000"/>
              <w:left w:val="single" w:sz="4" w:space="0" w:color="000000"/>
              <w:bottom w:val="single" w:sz="4" w:space="0" w:color="000000"/>
              <w:right w:val="single" w:sz="4" w:space="0" w:color="000000"/>
            </w:tcBorders>
            <w:hideMark/>
          </w:tcPr>
          <w:p w14:paraId="525CD451"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rPr>
              <w:t>Drift / EA rate</w:t>
            </w:r>
          </w:p>
        </w:tc>
        <w:tc>
          <w:tcPr>
            <w:tcW w:w="1864" w:type="dxa"/>
            <w:tcBorders>
              <w:top w:val="single" w:sz="4" w:space="0" w:color="000000"/>
              <w:left w:val="single" w:sz="4" w:space="0" w:color="000000"/>
              <w:bottom w:val="single" w:sz="4" w:space="0" w:color="000000"/>
              <w:right w:val="single" w:sz="4" w:space="0" w:color="000000"/>
            </w:tcBorders>
          </w:tcPr>
          <w:p w14:paraId="4E4A0430" w14:textId="77777777" w:rsidR="00FA1DCC" w:rsidRPr="00FA1DCC" w:rsidRDefault="00FA1DCC" w:rsidP="00FA1DCC">
            <w:pPr>
              <w:pStyle w:val="NoSpacing"/>
              <w:rPr>
                <w:rFonts w:ascii="Times New Roman" w:hAnsi="Times New Roman" w:cs="Times New Roman"/>
                <w:u w:val="single"/>
              </w:rPr>
            </w:pPr>
          </w:p>
        </w:tc>
        <w:tc>
          <w:tcPr>
            <w:tcW w:w="2007" w:type="dxa"/>
            <w:tcBorders>
              <w:top w:val="single" w:sz="4" w:space="0" w:color="000000"/>
              <w:left w:val="single" w:sz="4" w:space="0" w:color="000000"/>
              <w:bottom w:val="single" w:sz="4" w:space="0" w:color="000000"/>
              <w:right w:val="single" w:sz="4" w:space="0" w:color="000000"/>
            </w:tcBorders>
          </w:tcPr>
          <w:p w14:paraId="088F9157" w14:textId="77777777" w:rsidR="00FA1DCC" w:rsidRPr="00FA1DCC" w:rsidRDefault="00FA1DCC" w:rsidP="00FA1DCC">
            <w:pPr>
              <w:pStyle w:val="NoSpacing"/>
              <w:rPr>
                <w:rFonts w:ascii="Times New Roman" w:hAnsi="Times New Roman" w:cs="Times New Roman"/>
                <w:u w:val="single"/>
              </w:rPr>
            </w:pPr>
          </w:p>
        </w:tc>
        <w:tc>
          <w:tcPr>
            <w:tcW w:w="1940" w:type="dxa"/>
            <w:tcBorders>
              <w:top w:val="single" w:sz="4" w:space="0" w:color="000000"/>
              <w:left w:val="single" w:sz="4" w:space="0" w:color="000000"/>
              <w:bottom w:val="single" w:sz="4" w:space="0" w:color="000000"/>
              <w:right w:val="single" w:sz="4" w:space="0" w:color="000000"/>
            </w:tcBorders>
          </w:tcPr>
          <w:p w14:paraId="06C7594D" w14:textId="77777777" w:rsidR="00FA1DCC" w:rsidRPr="00FA1DCC" w:rsidRDefault="00FA1DCC" w:rsidP="00FA1DCC">
            <w:pPr>
              <w:pStyle w:val="NoSpacing"/>
              <w:rPr>
                <w:rFonts w:ascii="Times New Roman" w:hAnsi="Times New Roman" w:cs="Times New Roman"/>
                <w:u w:val="single"/>
              </w:rPr>
            </w:pPr>
          </w:p>
        </w:tc>
      </w:tr>
      <w:tr w:rsidR="00FA1DCC" w:rsidRPr="00FA1DCC" w14:paraId="023E51B4"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72C6B0DA"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Smoking: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4B7B8897"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.615, </w:t>
            </w:r>
            <w:r w:rsidRPr="00FA1DCC">
              <w:rPr>
                <w:rFonts w:ascii="Times New Roman" w:hAnsi="Times New Roman" w:cs="Times New Roman"/>
                <w:i/>
              </w:rPr>
              <w:t>d</w:t>
            </w:r>
            <w:r w:rsidRPr="00FA1DCC">
              <w:rPr>
                <w:rFonts w:ascii="Times New Roman" w:hAnsi="Times New Roman" w:cs="Times New Roman"/>
              </w:rPr>
              <w:t xml:space="preserve"> = .06</w:t>
            </w:r>
          </w:p>
        </w:tc>
        <w:tc>
          <w:tcPr>
            <w:tcW w:w="2007" w:type="dxa"/>
            <w:tcBorders>
              <w:top w:val="single" w:sz="4" w:space="0" w:color="000000"/>
              <w:left w:val="single" w:sz="4" w:space="0" w:color="000000"/>
              <w:bottom w:val="single" w:sz="4" w:space="0" w:color="000000"/>
              <w:right w:val="single" w:sz="4" w:space="0" w:color="000000"/>
            </w:tcBorders>
            <w:hideMark/>
          </w:tcPr>
          <w:p w14:paraId="5D33EA30"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.466, </w:t>
            </w:r>
            <w:r w:rsidRPr="00FA1DCC">
              <w:rPr>
                <w:rFonts w:ascii="Times New Roman" w:hAnsi="Times New Roman" w:cs="Times New Roman"/>
                <w:i/>
              </w:rPr>
              <w:t>d</w:t>
            </w:r>
            <w:r w:rsidRPr="00FA1DCC">
              <w:rPr>
                <w:rFonts w:ascii="Times New Roman" w:hAnsi="Times New Roman" w:cs="Times New Roman"/>
              </w:rPr>
              <w:t xml:space="preserve"> = .02</w:t>
            </w:r>
          </w:p>
        </w:tc>
        <w:tc>
          <w:tcPr>
            <w:tcW w:w="1940" w:type="dxa"/>
            <w:tcBorders>
              <w:top w:val="single" w:sz="4" w:space="0" w:color="000000"/>
              <w:left w:val="single" w:sz="4" w:space="0" w:color="000000"/>
              <w:bottom w:val="single" w:sz="4" w:space="0" w:color="000000"/>
              <w:right w:val="single" w:sz="4" w:space="0" w:color="000000"/>
            </w:tcBorders>
            <w:hideMark/>
          </w:tcPr>
          <w:p w14:paraId="2BAC0B68"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.694, </w:t>
            </w:r>
            <w:r w:rsidRPr="00FA1DCC">
              <w:rPr>
                <w:rFonts w:ascii="Times New Roman" w:hAnsi="Times New Roman" w:cs="Times New Roman"/>
                <w:i/>
              </w:rPr>
              <w:t>d</w:t>
            </w:r>
            <w:r w:rsidRPr="00FA1DCC">
              <w:rPr>
                <w:rFonts w:ascii="Times New Roman" w:hAnsi="Times New Roman" w:cs="Times New Roman"/>
              </w:rPr>
              <w:t xml:space="preserve"> = .10</w:t>
            </w:r>
          </w:p>
        </w:tc>
      </w:tr>
      <w:tr w:rsidR="00FA1DCC" w:rsidRPr="00FA1DCC" w14:paraId="6DB73CC0"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2BD10D5B"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Animal: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0DFA20EC"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.256, </w:t>
            </w:r>
            <w:r w:rsidRPr="00FA1DCC">
              <w:rPr>
                <w:rFonts w:ascii="Times New Roman" w:hAnsi="Times New Roman" w:cs="Times New Roman"/>
                <w:i/>
              </w:rPr>
              <w:t>d</w:t>
            </w:r>
            <w:r w:rsidRPr="00FA1DCC">
              <w:rPr>
                <w:rFonts w:ascii="Times New Roman" w:hAnsi="Times New Roman" w:cs="Times New Roman"/>
              </w:rPr>
              <w:t xml:space="preserve"> = .13</w:t>
            </w:r>
          </w:p>
        </w:tc>
        <w:tc>
          <w:tcPr>
            <w:tcW w:w="2007" w:type="dxa"/>
            <w:tcBorders>
              <w:top w:val="single" w:sz="4" w:space="0" w:color="000000"/>
              <w:left w:val="single" w:sz="4" w:space="0" w:color="000000"/>
              <w:bottom w:val="single" w:sz="4" w:space="0" w:color="000000"/>
              <w:right w:val="single" w:sz="4" w:space="0" w:color="000000"/>
            </w:tcBorders>
            <w:hideMark/>
          </w:tcPr>
          <w:p w14:paraId="4FCDC571"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.623, </w:t>
            </w:r>
            <w:r w:rsidRPr="00FA1DCC">
              <w:rPr>
                <w:rFonts w:ascii="Times New Roman" w:hAnsi="Times New Roman" w:cs="Times New Roman"/>
                <w:i/>
              </w:rPr>
              <w:t xml:space="preserve">d </w:t>
            </w:r>
            <w:r w:rsidRPr="00FA1DCC">
              <w:rPr>
                <w:rFonts w:ascii="Times New Roman" w:hAnsi="Times New Roman" w:cs="Times New Roman"/>
              </w:rPr>
              <w:t>= .06</w:t>
            </w:r>
          </w:p>
        </w:tc>
        <w:tc>
          <w:tcPr>
            <w:tcW w:w="1940" w:type="dxa"/>
            <w:tcBorders>
              <w:top w:val="single" w:sz="4" w:space="0" w:color="000000"/>
              <w:left w:val="single" w:sz="4" w:space="0" w:color="000000"/>
              <w:bottom w:val="single" w:sz="4" w:space="0" w:color="000000"/>
              <w:right w:val="single" w:sz="4" w:space="0" w:color="000000"/>
            </w:tcBorders>
            <w:hideMark/>
          </w:tcPr>
          <w:p w14:paraId="241C5360"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.170, </w:t>
            </w:r>
            <w:r w:rsidRPr="00FA1DCC">
              <w:rPr>
                <w:rFonts w:ascii="Times New Roman" w:hAnsi="Times New Roman" w:cs="Times New Roman"/>
                <w:i/>
              </w:rPr>
              <w:t>d</w:t>
            </w:r>
            <w:r w:rsidRPr="00FA1DCC">
              <w:rPr>
                <w:rFonts w:ascii="Times New Roman" w:hAnsi="Times New Roman" w:cs="Times New Roman"/>
              </w:rPr>
              <w:t xml:space="preserve"> = .19</w:t>
            </w:r>
          </w:p>
        </w:tc>
      </w:tr>
      <w:tr w:rsidR="00FA1DCC" w:rsidRPr="00FA1DCC" w14:paraId="51A0627A" w14:textId="77777777" w:rsidTr="002A1E63">
        <w:trPr>
          <w:trHeight w:val="831"/>
        </w:trPr>
        <w:tc>
          <w:tcPr>
            <w:tcW w:w="3435" w:type="dxa"/>
            <w:tcBorders>
              <w:top w:val="single" w:sz="4" w:space="0" w:color="000000"/>
              <w:left w:val="single" w:sz="4" w:space="0" w:color="000000"/>
              <w:bottom w:val="single" w:sz="4" w:space="0" w:color="000000"/>
              <w:right w:val="single" w:sz="4" w:space="0" w:color="000000"/>
            </w:tcBorders>
            <w:hideMark/>
          </w:tcPr>
          <w:p w14:paraId="29A27867"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58F1DB90"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 .001, </w:t>
            </w:r>
            <w:r w:rsidRPr="00FA1DCC">
              <w:rPr>
                <w:rFonts w:ascii="Times New Roman" w:hAnsi="Times New Roman" w:cs="Times New Roman"/>
                <w:b/>
                <w:i/>
              </w:rPr>
              <w:t xml:space="preserve">d </w:t>
            </w:r>
            <w:r w:rsidRPr="00FA1DCC">
              <w:rPr>
                <w:rFonts w:ascii="Times New Roman" w:hAnsi="Times New Roman" w:cs="Times New Roman"/>
                <w:b/>
              </w:rPr>
              <w:t>= .47</w:t>
            </w:r>
          </w:p>
        </w:tc>
        <w:tc>
          <w:tcPr>
            <w:tcW w:w="2007" w:type="dxa"/>
            <w:tcBorders>
              <w:top w:val="single" w:sz="4" w:space="0" w:color="000000"/>
              <w:left w:val="single" w:sz="4" w:space="0" w:color="000000"/>
              <w:bottom w:val="single" w:sz="4" w:space="0" w:color="000000"/>
              <w:right w:val="single" w:sz="4" w:space="0" w:color="000000"/>
            </w:tcBorders>
            <w:hideMark/>
          </w:tcPr>
          <w:p w14:paraId="5180FC7A"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r</w:t>
            </w:r>
            <w:r w:rsidRPr="00FA1DCC">
              <w:rPr>
                <w:rFonts w:ascii="Times New Roman" w:hAnsi="Times New Roman" w:cs="Times New Roman"/>
                <w:b/>
              </w:rPr>
              <w:t xml:space="preserve"> = .68</w:t>
            </w:r>
          </w:p>
        </w:tc>
        <w:tc>
          <w:tcPr>
            <w:tcW w:w="1940" w:type="dxa"/>
            <w:tcBorders>
              <w:top w:val="single" w:sz="4" w:space="0" w:color="000000"/>
              <w:left w:val="single" w:sz="4" w:space="0" w:color="000000"/>
              <w:bottom w:val="single" w:sz="4" w:space="0" w:color="000000"/>
              <w:right w:val="single" w:sz="4" w:space="0" w:color="000000"/>
            </w:tcBorders>
            <w:hideMark/>
          </w:tcPr>
          <w:p w14:paraId="5C62B401"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 xml:space="preserve">d </w:t>
            </w:r>
            <w:r w:rsidRPr="00FA1DCC">
              <w:rPr>
                <w:rFonts w:ascii="Times New Roman" w:hAnsi="Times New Roman" w:cs="Times New Roman"/>
                <w:b/>
              </w:rPr>
              <w:t>= .80</w:t>
            </w:r>
          </w:p>
        </w:tc>
      </w:tr>
      <w:tr w:rsidR="00FA1DCC" w:rsidRPr="00FA1DCC" w14:paraId="0696E64D"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10EED38A"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Ex-smokers: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35361A38"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 .002, </w:t>
            </w:r>
            <w:r w:rsidRPr="00FA1DCC">
              <w:rPr>
                <w:rFonts w:ascii="Times New Roman" w:hAnsi="Times New Roman" w:cs="Times New Roman"/>
                <w:b/>
                <w:i/>
              </w:rPr>
              <w:t>d</w:t>
            </w:r>
            <w:r w:rsidRPr="00FA1DCC">
              <w:rPr>
                <w:rFonts w:ascii="Times New Roman" w:hAnsi="Times New Roman" w:cs="Times New Roman"/>
                <w:b/>
              </w:rPr>
              <w:t xml:space="preserve"> = .46</w:t>
            </w:r>
          </w:p>
        </w:tc>
        <w:tc>
          <w:tcPr>
            <w:tcW w:w="2007" w:type="dxa"/>
            <w:tcBorders>
              <w:top w:val="single" w:sz="4" w:space="0" w:color="000000"/>
              <w:left w:val="single" w:sz="4" w:space="0" w:color="000000"/>
              <w:bottom w:val="single" w:sz="4" w:space="0" w:color="000000"/>
              <w:right w:val="single" w:sz="4" w:space="0" w:color="000000"/>
            </w:tcBorders>
            <w:hideMark/>
          </w:tcPr>
          <w:p w14:paraId="77989BF3"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 xml:space="preserve">d </w:t>
            </w:r>
            <w:r w:rsidRPr="00FA1DCC">
              <w:rPr>
                <w:rFonts w:ascii="Times New Roman" w:hAnsi="Times New Roman" w:cs="Times New Roman"/>
                <w:b/>
              </w:rPr>
              <w:t>= .68</w:t>
            </w:r>
          </w:p>
        </w:tc>
        <w:tc>
          <w:tcPr>
            <w:tcW w:w="1940" w:type="dxa"/>
            <w:tcBorders>
              <w:top w:val="single" w:sz="4" w:space="0" w:color="000000"/>
              <w:left w:val="single" w:sz="4" w:space="0" w:color="000000"/>
              <w:bottom w:val="single" w:sz="4" w:space="0" w:color="000000"/>
              <w:right w:val="single" w:sz="4" w:space="0" w:color="000000"/>
            </w:tcBorders>
            <w:hideMark/>
          </w:tcPr>
          <w:p w14:paraId="34A3AFAA"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w:t>
            </w:r>
            <w:r w:rsidRPr="00FA1DCC">
              <w:rPr>
                <w:rFonts w:ascii="Times New Roman" w:hAnsi="Times New Roman" w:cs="Times New Roman"/>
                <w:b/>
                <w:i/>
              </w:rPr>
              <w:t xml:space="preserve"> d</w:t>
            </w:r>
            <w:r w:rsidRPr="00FA1DCC">
              <w:rPr>
                <w:rFonts w:ascii="Times New Roman" w:hAnsi="Times New Roman" w:cs="Times New Roman"/>
                <w:b/>
              </w:rPr>
              <w:t xml:space="preserve"> = .86</w:t>
            </w:r>
          </w:p>
        </w:tc>
      </w:tr>
      <w:tr w:rsidR="00FA1DCC" w:rsidRPr="00FA1DCC" w14:paraId="3BCCC106" w14:textId="77777777" w:rsidTr="002A1E63">
        <w:trPr>
          <w:trHeight w:val="421"/>
        </w:trPr>
        <w:tc>
          <w:tcPr>
            <w:tcW w:w="3435" w:type="dxa"/>
            <w:tcBorders>
              <w:top w:val="single" w:sz="4" w:space="0" w:color="000000"/>
              <w:left w:val="single" w:sz="4" w:space="0" w:color="000000"/>
              <w:bottom w:val="single" w:sz="4" w:space="0" w:color="000000"/>
              <w:right w:val="single" w:sz="4" w:space="0" w:color="000000"/>
            </w:tcBorders>
            <w:hideMark/>
          </w:tcPr>
          <w:p w14:paraId="660DCDC5"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rPr>
              <w:t>Response threshold / boundary</w:t>
            </w:r>
          </w:p>
        </w:tc>
        <w:tc>
          <w:tcPr>
            <w:tcW w:w="1864" w:type="dxa"/>
            <w:tcBorders>
              <w:top w:val="single" w:sz="4" w:space="0" w:color="000000"/>
              <w:left w:val="single" w:sz="4" w:space="0" w:color="000000"/>
              <w:bottom w:val="single" w:sz="4" w:space="0" w:color="000000"/>
              <w:right w:val="single" w:sz="4" w:space="0" w:color="000000"/>
            </w:tcBorders>
          </w:tcPr>
          <w:p w14:paraId="3A9BE871" w14:textId="77777777" w:rsidR="00FA1DCC" w:rsidRPr="00FA1DCC" w:rsidRDefault="00FA1DCC" w:rsidP="00FA1DCC">
            <w:pPr>
              <w:pStyle w:val="NoSpacing"/>
              <w:rPr>
                <w:rFonts w:ascii="Times New Roman" w:hAnsi="Times New Roman" w:cs="Times New Roman"/>
                <w:i/>
              </w:rPr>
            </w:pPr>
          </w:p>
        </w:tc>
        <w:tc>
          <w:tcPr>
            <w:tcW w:w="2007" w:type="dxa"/>
            <w:tcBorders>
              <w:top w:val="single" w:sz="4" w:space="0" w:color="000000"/>
              <w:left w:val="single" w:sz="4" w:space="0" w:color="000000"/>
              <w:bottom w:val="single" w:sz="4" w:space="0" w:color="000000"/>
              <w:right w:val="single" w:sz="4" w:space="0" w:color="000000"/>
            </w:tcBorders>
          </w:tcPr>
          <w:p w14:paraId="0A3103C8" w14:textId="77777777" w:rsidR="00FA1DCC" w:rsidRPr="00FA1DCC" w:rsidRDefault="00FA1DCC" w:rsidP="00FA1DCC">
            <w:pPr>
              <w:pStyle w:val="NoSpacing"/>
              <w:rPr>
                <w:rFonts w:ascii="Times New Roman" w:hAnsi="Times New Roman" w:cs="Times New Roman"/>
                <w:i/>
              </w:rPr>
            </w:pPr>
          </w:p>
        </w:tc>
        <w:tc>
          <w:tcPr>
            <w:tcW w:w="1940" w:type="dxa"/>
            <w:tcBorders>
              <w:top w:val="single" w:sz="4" w:space="0" w:color="000000"/>
              <w:left w:val="single" w:sz="4" w:space="0" w:color="000000"/>
              <w:bottom w:val="single" w:sz="4" w:space="0" w:color="000000"/>
              <w:right w:val="single" w:sz="4" w:space="0" w:color="000000"/>
            </w:tcBorders>
          </w:tcPr>
          <w:p w14:paraId="156AC323" w14:textId="77777777" w:rsidR="00FA1DCC" w:rsidRPr="00FA1DCC" w:rsidRDefault="00FA1DCC" w:rsidP="00FA1DCC">
            <w:pPr>
              <w:pStyle w:val="NoSpacing"/>
              <w:rPr>
                <w:rFonts w:ascii="Times New Roman" w:hAnsi="Times New Roman" w:cs="Times New Roman"/>
                <w:i/>
              </w:rPr>
            </w:pPr>
          </w:p>
        </w:tc>
      </w:tr>
      <w:tr w:rsidR="00FA1DCC" w:rsidRPr="00FA1DCC" w14:paraId="7A75B690"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3915DC92"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Smoking: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16BB9B44"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.123, </w:t>
            </w:r>
            <w:r w:rsidRPr="00FA1DCC">
              <w:rPr>
                <w:rFonts w:ascii="Times New Roman" w:hAnsi="Times New Roman" w:cs="Times New Roman"/>
                <w:i/>
              </w:rPr>
              <w:t>d</w:t>
            </w:r>
            <w:r w:rsidRPr="00FA1DCC">
              <w:rPr>
                <w:rFonts w:ascii="Times New Roman" w:hAnsi="Times New Roman" w:cs="Times New Roman"/>
              </w:rPr>
              <w:t xml:space="preserve"> = .23</w:t>
            </w:r>
          </w:p>
        </w:tc>
        <w:tc>
          <w:tcPr>
            <w:tcW w:w="2007" w:type="dxa"/>
            <w:tcBorders>
              <w:top w:val="single" w:sz="4" w:space="0" w:color="000000"/>
              <w:left w:val="single" w:sz="4" w:space="0" w:color="000000"/>
              <w:bottom w:val="single" w:sz="4" w:space="0" w:color="000000"/>
              <w:right w:val="single" w:sz="4" w:space="0" w:color="000000"/>
            </w:tcBorders>
            <w:hideMark/>
          </w:tcPr>
          <w:p w14:paraId="36404B75" w14:textId="77777777" w:rsidR="00FA1DCC" w:rsidRPr="00FA1DCC" w:rsidRDefault="00FA1DCC" w:rsidP="00FA1DCC">
            <w:pPr>
              <w:pStyle w:val="NoSpacing"/>
              <w:rPr>
                <w:rFonts w:ascii="Times New Roman" w:hAnsi="Times New Roman" w:cs="Times New Roman"/>
                <w:b/>
                <w:i/>
              </w:rPr>
            </w:pPr>
            <w:r w:rsidRPr="00FA1DCC">
              <w:rPr>
                <w:rFonts w:ascii="Times New Roman" w:hAnsi="Times New Roman" w:cs="Times New Roman"/>
                <w:b/>
                <w:i/>
              </w:rPr>
              <w:t>p</w:t>
            </w:r>
            <w:r w:rsidRPr="00FA1DCC">
              <w:rPr>
                <w:rFonts w:ascii="Times New Roman" w:hAnsi="Times New Roman" w:cs="Times New Roman"/>
                <w:b/>
              </w:rPr>
              <w:t xml:space="preserve"> = .004, </w:t>
            </w:r>
            <w:r w:rsidRPr="00FA1DCC">
              <w:rPr>
                <w:rFonts w:ascii="Times New Roman" w:hAnsi="Times New Roman" w:cs="Times New Roman"/>
                <w:b/>
                <w:i/>
              </w:rPr>
              <w:t xml:space="preserve">d </w:t>
            </w:r>
            <w:r w:rsidRPr="00FA1DCC">
              <w:rPr>
                <w:rFonts w:ascii="Times New Roman" w:hAnsi="Times New Roman" w:cs="Times New Roman"/>
                <w:b/>
              </w:rPr>
              <w:t>= .53</w:t>
            </w:r>
          </w:p>
        </w:tc>
        <w:tc>
          <w:tcPr>
            <w:tcW w:w="1940" w:type="dxa"/>
            <w:tcBorders>
              <w:top w:val="single" w:sz="4" w:space="0" w:color="000000"/>
              <w:left w:val="single" w:sz="4" w:space="0" w:color="000000"/>
              <w:bottom w:val="single" w:sz="4" w:space="0" w:color="000000"/>
              <w:right w:val="single" w:sz="4" w:space="0" w:color="000000"/>
            </w:tcBorders>
            <w:hideMark/>
          </w:tcPr>
          <w:p w14:paraId="5B9B937B" w14:textId="77777777" w:rsidR="00FA1DCC" w:rsidRPr="00FA1DCC" w:rsidRDefault="00FA1DCC" w:rsidP="00FA1DCC">
            <w:pPr>
              <w:pStyle w:val="NoSpacing"/>
              <w:rPr>
                <w:rFonts w:ascii="Times New Roman" w:hAnsi="Times New Roman" w:cs="Times New Roman"/>
                <w:b/>
                <w:bCs/>
                <w:i/>
              </w:rPr>
            </w:pPr>
            <w:r w:rsidRPr="00FA1DCC">
              <w:rPr>
                <w:rFonts w:ascii="Times New Roman" w:hAnsi="Times New Roman" w:cs="Times New Roman"/>
                <w:b/>
                <w:bCs/>
                <w:i/>
              </w:rPr>
              <w:t>p</w:t>
            </w:r>
            <w:r w:rsidRPr="00FA1DCC">
              <w:rPr>
                <w:rFonts w:ascii="Times New Roman" w:hAnsi="Times New Roman" w:cs="Times New Roman"/>
                <w:b/>
                <w:bCs/>
              </w:rPr>
              <w:t xml:space="preserve"> = .053*, </w:t>
            </w:r>
            <w:r w:rsidRPr="00FA1DCC">
              <w:rPr>
                <w:rFonts w:ascii="Times New Roman" w:hAnsi="Times New Roman" w:cs="Times New Roman"/>
                <w:b/>
                <w:bCs/>
                <w:i/>
              </w:rPr>
              <w:t>r</w:t>
            </w:r>
            <w:r w:rsidRPr="00FA1DCC">
              <w:rPr>
                <w:rFonts w:ascii="Times New Roman" w:hAnsi="Times New Roman" w:cs="Times New Roman"/>
                <w:b/>
                <w:bCs/>
              </w:rPr>
              <w:t xml:space="preserve"> = .19</w:t>
            </w:r>
          </w:p>
        </w:tc>
      </w:tr>
      <w:tr w:rsidR="00FA1DCC" w:rsidRPr="00FA1DCC" w14:paraId="11DC2D02"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10E9AD33"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Animal: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6FA62CCE"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.394, </w:t>
            </w:r>
            <w:r w:rsidRPr="00FA1DCC">
              <w:rPr>
                <w:rFonts w:ascii="Times New Roman" w:hAnsi="Times New Roman" w:cs="Times New Roman"/>
                <w:i/>
              </w:rPr>
              <w:t>d</w:t>
            </w:r>
            <w:r w:rsidRPr="00FA1DCC">
              <w:rPr>
                <w:rFonts w:ascii="Times New Roman" w:hAnsi="Times New Roman" w:cs="Times New Roman"/>
              </w:rPr>
              <w:t xml:space="preserve"> = .05</w:t>
            </w:r>
          </w:p>
        </w:tc>
        <w:tc>
          <w:tcPr>
            <w:tcW w:w="2007" w:type="dxa"/>
            <w:tcBorders>
              <w:top w:val="single" w:sz="4" w:space="0" w:color="000000"/>
              <w:left w:val="single" w:sz="4" w:space="0" w:color="000000"/>
              <w:bottom w:val="single" w:sz="4" w:space="0" w:color="000000"/>
              <w:right w:val="single" w:sz="4" w:space="0" w:color="000000"/>
            </w:tcBorders>
            <w:hideMark/>
          </w:tcPr>
          <w:p w14:paraId="5511CC47"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.533, </w:t>
            </w:r>
            <w:r w:rsidRPr="00FA1DCC">
              <w:rPr>
                <w:rFonts w:ascii="Times New Roman" w:hAnsi="Times New Roman" w:cs="Times New Roman"/>
                <w:i/>
              </w:rPr>
              <w:t xml:space="preserve">d </w:t>
            </w:r>
            <w:r w:rsidRPr="00FA1DCC">
              <w:rPr>
                <w:rFonts w:ascii="Times New Roman" w:hAnsi="Times New Roman" w:cs="Times New Roman"/>
              </w:rPr>
              <w:t>= .02</w:t>
            </w:r>
          </w:p>
        </w:tc>
        <w:tc>
          <w:tcPr>
            <w:tcW w:w="1940" w:type="dxa"/>
            <w:tcBorders>
              <w:top w:val="single" w:sz="4" w:space="0" w:color="000000"/>
              <w:left w:val="single" w:sz="4" w:space="0" w:color="000000"/>
              <w:bottom w:val="single" w:sz="4" w:space="0" w:color="000000"/>
              <w:right w:val="single" w:sz="4" w:space="0" w:color="000000"/>
            </w:tcBorders>
            <w:hideMark/>
          </w:tcPr>
          <w:p w14:paraId="26D699EF"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.984, </w:t>
            </w:r>
            <w:r w:rsidRPr="00FA1DCC">
              <w:rPr>
                <w:rFonts w:ascii="Times New Roman" w:hAnsi="Times New Roman" w:cs="Times New Roman"/>
                <w:i/>
              </w:rPr>
              <w:t>d</w:t>
            </w:r>
            <w:r w:rsidRPr="00FA1DCC">
              <w:rPr>
                <w:rFonts w:ascii="Times New Roman" w:hAnsi="Times New Roman" w:cs="Times New Roman"/>
              </w:rPr>
              <w:t xml:space="preserve"> = .43</w:t>
            </w:r>
          </w:p>
        </w:tc>
      </w:tr>
      <w:tr w:rsidR="00FA1DCC" w:rsidRPr="00FA1DCC" w14:paraId="2918A9D6"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46B76EA2"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061C0C94"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.607, </w:t>
            </w:r>
            <w:r w:rsidRPr="00FA1DCC">
              <w:rPr>
                <w:rFonts w:ascii="Times New Roman" w:hAnsi="Times New Roman" w:cs="Times New Roman"/>
                <w:i/>
              </w:rPr>
              <w:t xml:space="preserve">d </w:t>
            </w:r>
            <w:r w:rsidRPr="00FA1DCC">
              <w:rPr>
                <w:rFonts w:ascii="Times New Roman" w:hAnsi="Times New Roman" w:cs="Times New Roman"/>
              </w:rPr>
              <w:t>= .07</w:t>
            </w:r>
          </w:p>
        </w:tc>
        <w:tc>
          <w:tcPr>
            <w:tcW w:w="2007" w:type="dxa"/>
            <w:tcBorders>
              <w:top w:val="single" w:sz="4" w:space="0" w:color="000000"/>
              <w:left w:val="single" w:sz="4" w:space="0" w:color="000000"/>
              <w:bottom w:val="single" w:sz="4" w:space="0" w:color="000000"/>
              <w:right w:val="single" w:sz="4" w:space="0" w:color="000000"/>
            </w:tcBorders>
            <w:hideMark/>
          </w:tcPr>
          <w:p w14:paraId="7D1B476E"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.167, </w:t>
            </w:r>
            <w:r w:rsidRPr="00FA1DCC">
              <w:rPr>
                <w:rFonts w:ascii="Times New Roman" w:hAnsi="Times New Roman" w:cs="Times New Roman"/>
                <w:i/>
              </w:rPr>
              <w:t>d</w:t>
            </w:r>
            <w:r w:rsidRPr="00FA1DCC">
              <w:rPr>
                <w:rFonts w:ascii="Times New Roman" w:hAnsi="Times New Roman" w:cs="Times New Roman"/>
              </w:rPr>
              <w:t xml:space="preserve"> = .20</w:t>
            </w:r>
          </w:p>
        </w:tc>
        <w:tc>
          <w:tcPr>
            <w:tcW w:w="1940" w:type="dxa"/>
            <w:tcBorders>
              <w:top w:val="single" w:sz="4" w:space="0" w:color="000000"/>
              <w:left w:val="single" w:sz="4" w:space="0" w:color="000000"/>
              <w:bottom w:val="single" w:sz="4" w:space="0" w:color="000000"/>
              <w:right w:val="single" w:sz="4" w:space="0" w:color="000000"/>
            </w:tcBorders>
            <w:hideMark/>
          </w:tcPr>
          <w:p w14:paraId="1A90339C" w14:textId="77777777" w:rsidR="00FA1DCC" w:rsidRPr="00FA1DCC" w:rsidRDefault="00FA1DCC" w:rsidP="00FA1DCC">
            <w:pPr>
              <w:pStyle w:val="NoSpacing"/>
              <w:rPr>
                <w:rFonts w:ascii="Times New Roman" w:hAnsi="Times New Roman" w:cs="Times New Roman"/>
                <w:b/>
                <w:i/>
              </w:rPr>
            </w:pPr>
            <w:r w:rsidRPr="00FA1DCC">
              <w:rPr>
                <w:rFonts w:ascii="Times New Roman" w:hAnsi="Times New Roman" w:cs="Times New Roman"/>
                <w:b/>
                <w:i/>
              </w:rPr>
              <w:t>p</w:t>
            </w:r>
            <w:r w:rsidRPr="00FA1DCC">
              <w:rPr>
                <w:rFonts w:ascii="Times New Roman" w:hAnsi="Times New Roman" w:cs="Times New Roman"/>
                <w:b/>
              </w:rPr>
              <w:t xml:space="preserve"> = .024, </w:t>
            </w:r>
            <w:r w:rsidRPr="00FA1DCC">
              <w:rPr>
                <w:rFonts w:ascii="Times New Roman" w:hAnsi="Times New Roman" w:cs="Times New Roman"/>
                <w:b/>
                <w:i/>
              </w:rPr>
              <w:t xml:space="preserve">d </w:t>
            </w:r>
            <w:r w:rsidRPr="00FA1DCC">
              <w:rPr>
                <w:rFonts w:ascii="Times New Roman" w:hAnsi="Times New Roman" w:cs="Times New Roman"/>
                <w:b/>
              </w:rPr>
              <w:t>= .33</w:t>
            </w:r>
          </w:p>
        </w:tc>
      </w:tr>
      <w:tr w:rsidR="00FA1DCC" w:rsidRPr="00FA1DCC" w14:paraId="0332B8DA"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32383921"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Ex-smokers: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31F47E48" w14:textId="77777777" w:rsidR="00FA1DCC" w:rsidRPr="00FA1DCC" w:rsidRDefault="00FA1DCC" w:rsidP="00FA1DCC">
            <w:pPr>
              <w:pStyle w:val="NoSpacing"/>
              <w:rPr>
                <w:rFonts w:ascii="Times New Roman" w:hAnsi="Times New Roman" w:cs="Times New Roman"/>
                <w:b/>
                <w:i/>
              </w:rPr>
            </w:pPr>
            <w:r w:rsidRPr="00FA1DCC">
              <w:rPr>
                <w:rFonts w:ascii="Times New Roman" w:hAnsi="Times New Roman" w:cs="Times New Roman"/>
                <w:b/>
                <w:i/>
              </w:rPr>
              <w:t>p</w:t>
            </w:r>
            <w:r w:rsidRPr="00FA1DCC">
              <w:rPr>
                <w:rFonts w:ascii="Times New Roman" w:hAnsi="Times New Roman" w:cs="Times New Roman"/>
                <w:b/>
              </w:rPr>
              <w:t xml:space="preserve"> = .042, </w:t>
            </w:r>
            <w:r w:rsidRPr="00FA1DCC">
              <w:rPr>
                <w:rFonts w:ascii="Times New Roman" w:hAnsi="Times New Roman" w:cs="Times New Roman"/>
                <w:b/>
                <w:i/>
              </w:rPr>
              <w:t>d</w:t>
            </w:r>
            <w:r w:rsidRPr="00FA1DCC">
              <w:rPr>
                <w:rFonts w:ascii="Times New Roman" w:hAnsi="Times New Roman" w:cs="Times New Roman"/>
                <w:b/>
              </w:rPr>
              <w:t xml:space="preserve"> = .29</w:t>
            </w:r>
          </w:p>
        </w:tc>
        <w:tc>
          <w:tcPr>
            <w:tcW w:w="2007" w:type="dxa"/>
            <w:tcBorders>
              <w:top w:val="single" w:sz="4" w:space="0" w:color="000000"/>
              <w:left w:val="single" w:sz="4" w:space="0" w:color="000000"/>
              <w:bottom w:val="single" w:sz="4" w:space="0" w:color="000000"/>
              <w:right w:val="single" w:sz="4" w:space="0" w:color="000000"/>
            </w:tcBorders>
            <w:hideMark/>
          </w:tcPr>
          <w:p w14:paraId="0B9D5B17" w14:textId="77777777" w:rsidR="00FA1DCC" w:rsidRPr="00FA1DCC" w:rsidRDefault="00FA1DCC" w:rsidP="00FA1DCC">
            <w:pPr>
              <w:pStyle w:val="NoSpacing"/>
              <w:rPr>
                <w:rFonts w:ascii="Times New Roman" w:hAnsi="Times New Roman" w:cs="Times New Roman"/>
                <w:b/>
                <w:i/>
              </w:rPr>
            </w:pPr>
            <w:r w:rsidRPr="00FA1DCC">
              <w:rPr>
                <w:rFonts w:ascii="Times New Roman" w:hAnsi="Times New Roman" w:cs="Times New Roman"/>
                <w:b/>
                <w:i/>
              </w:rPr>
              <w:t>p</w:t>
            </w:r>
            <w:r w:rsidRPr="00FA1DCC">
              <w:rPr>
                <w:rFonts w:ascii="Times New Roman" w:hAnsi="Times New Roman" w:cs="Times New Roman"/>
                <w:b/>
              </w:rPr>
              <w:t xml:space="preserve"> = .044, </w:t>
            </w:r>
            <w:r w:rsidRPr="00FA1DCC">
              <w:rPr>
                <w:rFonts w:ascii="Times New Roman" w:hAnsi="Times New Roman" w:cs="Times New Roman"/>
                <w:b/>
                <w:i/>
              </w:rPr>
              <w:t xml:space="preserve">d </w:t>
            </w:r>
            <w:r w:rsidRPr="00FA1DCC">
              <w:rPr>
                <w:rFonts w:ascii="Times New Roman" w:hAnsi="Times New Roman" w:cs="Times New Roman"/>
                <w:b/>
              </w:rPr>
              <w:t>= .29</w:t>
            </w:r>
          </w:p>
        </w:tc>
        <w:tc>
          <w:tcPr>
            <w:tcW w:w="1940" w:type="dxa"/>
            <w:tcBorders>
              <w:top w:val="single" w:sz="4" w:space="0" w:color="000000"/>
              <w:left w:val="single" w:sz="4" w:space="0" w:color="000000"/>
              <w:bottom w:val="single" w:sz="4" w:space="0" w:color="000000"/>
              <w:right w:val="single" w:sz="4" w:space="0" w:color="000000"/>
            </w:tcBorders>
            <w:hideMark/>
          </w:tcPr>
          <w:p w14:paraId="2EBC270C" w14:textId="77777777" w:rsidR="00FA1DCC" w:rsidRPr="00FA1DCC" w:rsidRDefault="00FA1DCC" w:rsidP="00FA1DCC">
            <w:pPr>
              <w:pStyle w:val="NoSpacing"/>
              <w:rPr>
                <w:rFonts w:ascii="Times New Roman" w:hAnsi="Times New Roman" w:cs="Times New Roman"/>
                <w:i/>
              </w:rPr>
            </w:pPr>
            <w:r w:rsidRPr="00FA1DCC">
              <w:rPr>
                <w:rFonts w:ascii="Times New Roman" w:hAnsi="Times New Roman" w:cs="Times New Roman"/>
                <w:i/>
              </w:rPr>
              <w:t>p</w:t>
            </w:r>
            <w:r w:rsidRPr="00FA1DCC">
              <w:rPr>
                <w:rFonts w:ascii="Times New Roman" w:hAnsi="Times New Roman" w:cs="Times New Roman"/>
              </w:rPr>
              <w:t xml:space="preserve"> = .086,</w:t>
            </w:r>
            <w:r w:rsidRPr="00FA1DCC">
              <w:rPr>
                <w:rFonts w:ascii="Times New Roman" w:hAnsi="Times New Roman" w:cs="Times New Roman"/>
                <w:i/>
              </w:rPr>
              <w:t xml:space="preserve"> d</w:t>
            </w:r>
            <w:r w:rsidRPr="00FA1DCC">
              <w:rPr>
                <w:rFonts w:ascii="Times New Roman" w:hAnsi="Times New Roman" w:cs="Times New Roman"/>
              </w:rPr>
              <w:t xml:space="preserve"> = .24</w:t>
            </w:r>
          </w:p>
        </w:tc>
      </w:tr>
      <w:tr w:rsidR="00FA1DCC" w:rsidRPr="00FA1DCC" w14:paraId="1D56E0CE" w14:textId="77777777" w:rsidTr="002A1E63">
        <w:trPr>
          <w:trHeight w:val="404"/>
        </w:trPr>
        <w:tc>
          <w:tcPr>
            <w:tcW w:w="3435" w:type="dxa"/>
            <w:tcBorders>
              <w:top w:val="single" w:sz="4" w:space="0" w:color="000000"/>
              <w:left w:val="single" w:sz="4" w:space="0" w:color="000000"/>
              <w:bottom w:val="single" w:sz="4" w:space="0" w:color="000000"/>
              <w:right w:val="single" w:sz="4" w:space="0" w:color="000000"/>
            </w:tcBorders>
            <w:hideMark/>
          </w:tcPr>
          <w:p w14:paraId="4BEA2D3B"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rPr>
              <w:t>AUC scores (conflict)</w:t>
            </w:r>
          </w:p>
        </w:tc>
        <w:tc>
          <w:tcPr>
            <w:tcW w:w="1864" w:type="dxa"/>
            <w:tcBorders>
              <w:top w:val="single" w:sz="4" w:space="0" w:color="000000"/>
              <w:left w:val="single" w:sz="4" w:space="0" w:color="000000"/>
              <w:bottom w:val="single" w:sz="4" w:space="0" w:color="000000"/>
              <w:right w:val="single" w:sz="4" w:space="0" w:color="000000"/>
            </w:tcBorders>
          </w:tcPr>
          <w:p w14:paraId="71D60673" w14:textId="77777777" w:rsidR="00FA1DCC" w:rsidRPr="00FA1DCC" w:rsidRDefault="00FA1DCC" w:rsidP="00FA1DCC">
            <w:pPr>
              <w:pStyle w:val="NoSpacing"/>
              <w:rPr>
                <w:rFonts w:ascii="Times New Roman" w:hAnsi="Times New Roman" w:cs="Times New Roman"/>
                <w:u w:val="single"/>
              </w:rPr>
            </w:pPr>
          </w:p>
        </w:tc>
        <w:tc>
          <w:tcPr>
            <w:tcW w:w="2007" w:type="dxa"/>
            <w:tcBorders>
              <w:top w:val="single" w:sz="4" w:space="0" w:color="000000"/>
              <w:left w:val="single" w:sz="4" w:space="0" w:color="000000"/>
              <w:bottom w:val="single" w:sz="4" w:space="0" w:color="000000"/>
              <w:right w:val="single" w:sz="4" w:space="0" w:color="000000"/>
            </w:tcBorders>
          </w:tcPr>
          <w:p w14:paraId="3AC26EB3" w14:textId="77777777" w:rsidR="00FA1DCC" w:rsidRPr="00FA1DCC" w:rsidRDefault="00FA1DCC" w:rsidP="00FA1DCC">
            <w:pPr>
              <w:pStyle w:val="NoSpacing"/>
              <w:rPr>
                <w:rFonts w:ascii="Times New Roman" w:hAnsi="Times New Roman" w:cs="Times New Roman"/>
                <w:u w:val="single"/>
              </w:rPr>
            </w:pPr>
          </w:p>
        </w:tc>
        <w:tc>
          <w:tcPr>
            <w:tcW w:w="1940" w:type="dxa"/>
            <w:tcBorders>
              <w:top w:val="single" w:sz="4" w:space="0" w:color="000000"/>
              <w:left w:val="single" w:sz="4" w:space="0" w:color="000000"/>
              <w:bottom w:val="single" w:sz="4" w:space="0" w:color="000000"/>
              <w:right w:val="single" w:sz="4" w:space="0" w:color="000000"/>
            </w:tcBorders>
          </w:tcPr>
          <w:p w14:paraId="501DABDB" w14:textId="77777777" w:rsidR="00FA1DCC" w:rsidRPr="00FA1DCC" w:rsidRDefault="00FA1DCC" w:rsidP="00FA1DCC">
            <w:pPr>
              <w:pStyle w:val="NoSpacing"/>
              <w:rPr>
                <w:rFonts w:ascii="Times New Roman" w:hAnsi="Times New Roman" w:cs="Times New Roman"/>
                <w:u w:val="single"/>
              </w:rPr>
            </w:pPr>
          </w:p>
        </w:tc>
      </w:tr>
      <w:tr w:rsidR="00FA1DCC" w:rsidRPr="00FA1DCC" w14:paraId="4A1C6276" w14:textId="77777777" w:rsidTr="002A1E63">
        <w:trPr>
          <w:trHeight w:val="831"/>
        </w:trPr>
        <w:tc>
          <w:tcPr>
            <w:tcW w:w="3435" w:type="dxa"/>
            <w:tcBorders>
              <w:top w:val="single" w:sz="4" w:space="0" w:color="000000"/>
              <w:left w:val="single" w:sz="4" w:space="0" w:color="000000"/>
              <w:bottom w:val="single" w:sz="4" w:space="0" w:color="000000"/>
              <w:right w:val="single" w:sz="4" w:space="0" w:color="000000"/>
            </w:tcBorders>
            <w:hideMark/>
          </w:tcPr>
          <w:p w14:paraId="28FAF60F"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Smoking: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3EBE7245"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 xml:space="preserve">p </w:t>
            </w:r>
            <w:r w:rsidRPr="00FA1DCC">
              <w:rPr>
                <w:rFonts w:ascii="Times New Roman" w:hAnsi="Times New Roman" w:cs="Times New Roman"/>
              </w:rPr>
              <w:t xml:space="preserve">= .924, </w:t>
            </w:r>
            <w:r w:rsidRPr="00FA1DCC">
              <w:rPr>
                <w:rFonts w:ascii="Times New Roman" w:hAnsi="Times New Roman" w:cs="Times New Roman"/>
                <w:i/>
              </w:rPr>
              <w:t>r</w:t>
            </w:r>
            <w:r w:rsidRPr="00FA1DCC">
              <w:rPr>
                <w:rFonts w:ascii="Times New Roman" w:hAnsi="Times New Roman" w:cs="Times New Roman"/>
              </w:rPr>
              <w:t xml:space="preserve"> = .16</w:t>
            </w:r>
          </w:p>
        </w:tc>
        <w:tc>
          <w:tcPr>
            <w:tcW w:w="2007" w:type="dxa"/>
            <w:tcBorders>
              <w:top w:val="single" w:sz="4" w:space="0" w:color="000000"/>
              <w:left w:val="single" w:sz="4" w:space="0" w:color="000000"/>
              <w:bottom w:val="single" w:sz="4" w:space="0" w:color="000000"/>
              <w:right w:val="single" w:sz="4" w:space="0" w:color="000000"/>
            </w:tcBorders>
            <w:hideMark/>
          </w:tcPr>
          <w:p w14:paraId="2B328C39"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.853, </w:t>
            </w:r>
            <w:r w:rsidRPr="00FA1DCC">
              <w:rPr>
                <w:rFonts w:ascii="Times New Roman" w:hAnsi="Times New Roman" w:cs="Times New Roman"/>
                <w:i/>
              </w:rPr>
              <w:t>r</w:t>
            </w:r>
            <w:r w:rsidRPr="00FA1DCC">
              <w:rPr>
                <w:rFonts w:ascii="Times New Roman" w:hAnsi="Times New Roman" w:cs="Times New Roman"/>
              </w:rPr>
              <w:t xml:space="preserve"> = .12</w:t>
            </w:r>
          </w:p>
        </w:tc>
        <w:tc>
          <w:tcPr>
            <w:tcW w:w="1940" w:type="dxa"/>
            <w:tcBorders>
              <w:top w:val="single" w:sz="4" w:space="0" w:color="000000"/>
              <w:left w:val="single" w:sz="4" w:space="0" w:color="000000"/>
              <w:bottom w:val="single" w:sz="4" w:space="0" w:color="000000"/>
              <w:right w:val="single" w:sz="4" w:space="0" w:color="000000"/>
            </w:tcBorders>
            <w:hideMark/>
          </w:tcPr>
          <w:p w14:paraId="4D3A214D"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i/>
              </w:rPr>
              <w:t>p</w:t>
            </w:r>
            <w:r w:rsidRPr="00FA1DCC">
              <w:rPr>
                <w:rFonts w:ascii="Times New Roman" w:hAnsi="Times New Roman" w:cs="Times New Roman"/>
              </w:rPr>
              <w:t xml:space="preserve"> = .723, </w:t>
            </w:r>
            <w:r w:rsidRPr="00FA1DCC">
              <w:rPr>
                <w:rFonts w:ascii="Times New Roman" w:hAnsi="Times New Roman" w:cs="Times New Roman"/>
                <w:i/>
              </w:rPr>
              <w:t>d</w:t>
            </w:r>
            <w:r w:rsidRPr="00FA1DCC">
              <w:rPr>
                <w:rFonts w:ascii="Times New Roman" w:hAnsi="Times New Roman" w:cs="Times New Roman"/>
              </w:rPr>
              <w:t xml:space="preserve"> = .12</w:t>
            </w:r>
          </w:p>
        </w:tc>
      </w:tr>
      <w:tr w:rsidR="00FA1DCC" w:rsidRPr="00FA1DCC" w14:paraId="26E41583"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3DFA1A64"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Animal: smokers vs. ex-smokers</w:t>
            </w:r>
          </w:p>
        </w:tc>
        <w:tc>
          <w:tcPr>
            <w:tcW w:w="1864" w:type="dxa"/>
            <w:tcBorders>
              <w:top w:val="single" w:sz="4" w:space="0" w:color="000000"/>
              <w:left w:val="single" w:sz="4" w:space="0" w:color="000000"/>
              <w:bottom w:val="single" w:sz="4" w:space="0" w:color="000000"/>
              <w:right w:val="single" w:sz="4" w:space="0" w:color="000000"/>
            </w:tcBorders>
            <w:hideMark/>
          </w:tcPr>
          <w:p w14:paraId="3ED339C8"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.082, </w:t>
            </w:r>
            <w:r w:rsidRPr="00FA1DCC">
              <w:rPr>
                <w:rFonts w:ascii="Times New Roman" w:hAnsi="Times New Roman" w:cs="Times New Roman"/>
                <w:i/>
              </w:rPr>
              <w:t>r</w:t>
            </w:r>
            <w:r w:rsidRPr="00FA1DCC">
              <w:rPr>
                <w:rFonts w:ascii="Times New Roman" w:hAnsi="Times New Roman" w:cs="Times New Roman"/>
              </w:rPr>
              <w:t xml:space="preserve"> = .16</w:t>
            </w:r>
          </w:p>
        </w:tc>
        <w:tc>
          <w:tcPr>
            <w:tcW w:w="2007" w:type="dxa"/>
            <w:tcBorders>
              <w:top w:val="single" w:sz="4" w:space="0" w:color="000000"/>
              <w:left w:val="single" w:sz="4" w:space="0" w:color="000000"/>
              <w:bottom w:val="single" w:sz="4" w:space="0" w:color="000000"/>
              <w:right w:val="single" w:sz="4" w:space="0" w:color="000000"/>
            </w:tcBorders>
            <w:hideMark/>
          </w:tcPr>
          <w:p w14:paraId="485C8420"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.106, </w:t>
            </w:r>
            <w:r w:rsidRPr="00FA1DCC">
              <w:rPr>
                <w:rFonts w:ascii="Times New Roman" w:hAnsi="Times New Roman" w:cs="Times New Roman"/>
                <w:i/>
              </w:rPr>
              <w:t>d</w:t>
            </w:r>
            <w:r w:rsidRPr="00FA1DCC">
              <w:rPr>
                <w:rFonts w:ascii="Times New Roman" w:hAnsi="Times New Roman" w:cs="Times New Roman"/>
              </w:rPr>
              <w:t xml:space="preserve"> = .25</w:t>
            </w:r>
          </w:p>
        </w:tc>
        <w:tc>
          <w:tcPr>
            <w:tcW w:w="1940" w:type="dxa"/>
            <w:tcBorders>
              <w:top w:val="single" w:sz="4" w:space="0" w:color="000000"/>
              <w:left w:val="single" w:sz="4" w:space="0" w:color="000000"/>
              <w:bottom w:val="single" w:sz="4" w:space="0" w:color="000000"/>
              <w:right w:val="single" w:sz="4" w:space="0" w:color="000000"/>
            </w:tcBorders>
            <w:hideMark/>
          </w:tcPr>
          <w:p w14:paraId="20458AA1"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.172, </w:t>
            </w:r>
            <w:r w:rsidRPr="00FA1DCC">
              <w:rPr>
                <w:rFonts w:ascii="Times New Roman" w:hAnsi="Times New Roman" w:cs="Times New Roman"/>
                <w:i/>
              </w:rPr>
              <w:t>d</w:t>
            </w:r>
            <w:r w:rsidRPr="00FA1DCC">
              <w:rPr>
                <w:rFonts w:ascii="Times New Roman" w:hAnsi="Times New Roman" w:cs="Times New Roman"/>
              </w:rPr>
              <w:t xml:space="preserve"> = .19</w:t>
            </w:r>
          </w:p>
        </w:tc>
      </w:tr>
      <w:tr w:rsidR="00FA1DCC" w:rsidRPr="00FA1DCC" w14:paraId="3C161649" w14:textId="77777777" w:rsidTr="002A1E63">
        <w:trPr>
          <w:trHeight w:val="831"/>
        </w:trPr>
        <w:tc>
          <w:tcPr>
            <w:tcW w:w="3435" w:type="dxa"/>
            <w:tcBorders>
              <w:top w:val="single" w:sz="4" w:space="0" w:color="000000"/>
              <w:left w:val="single" w:sz="4" w:space="0" w:color="000000"/>
              <w:bottom w:val="single" w:sz="4" w:space="0" w:color="000000"/>
              <w:right w:val="single" w:sz="4" w:space="0" w:color="000000"/>
            </w:tcBorders>
            <w:hideMark/>
          </w:tcPr>
          <w:p w14:paraId="1719FFF5"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t>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5B7D2AC6"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.218, </w:t>
            </w:r>
            <w:r w:rsidRPr="00FA1DCC">
              <w:rPr>
                <w:rFonts w:ascii="Times New Roman" w:hAnsi="Times New Roman" w:cs="Times New Roman"/>
                <w:i/>
              </w:rPr>
              <w:t>r</w:t>
            </w:r>
            <w:r w:rsidRPr="00FA1DCC">
              <w:rPr>
                <w:rFonts w:ascii="Times New Roman" w:hAnsi="Times New Roman" w:cs="Times New Roman"/>
              </w:rPr>
              <w:t xml:space="preserve"> = .20</w:t>
            </w:r>
          </w:p>
        </w:tc>
        <w:tc>
          <w:tcPr>
            <w:tcW w:w="2007" w:type="dxa"/>
            <w:tcBorders>
              <w:top w:val="single" w:sz="4" w:space="0" w:color="000000"/>
              <w:left w:val="single" w:sz="4" w:space="0" w:color="000000"/>
              <w:bottom w:val="single" w:sz="4" w:space="0" w:color="000000"/>
              <w:right w:val="single" w:sz="4" w:space="0" w:color="000000"/>
            </w:tcBorders>
            <w:hideMark/>
          </w:tcPr>
          <w:p w14:paraId="6BDEE6C9"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 .005, </w:t>
            </w:r>
            <w:r w:rsidRPr="00FA1DCC">
              <w:rPr>
                <w:rFonts w:ascii="Times New Roman" w:hAnsi="Times New Roman" w:cs="Times New Roman"/>
                <w:b/>
                <w:i/>
              </w:rPr>
              <w:t xml:space="preserve">r </w:t>
            </w:r>
            <w:r w:rsidRPr="00FA1DCC">
              <w:rPr>
                <w:rFonts w:ascii="Times New Roman" w:hAnsi="Times New Roman" w:cs="Times New Roman"/>
                <w:b/>
              </w:rPr>
              <w:t>= .45</w:t>
            </w:r>
          </w:p>
        </w:tc>
        <w:tc>
          <w:tcPr>
            <w:tcW w:w="1940" w:type="dxa"/>
            <w:tcBorders>
              <w:top w:val="single" w:sz="4" w:space="0" w:color="000000"/>
              <w:left w:val="single" w:sz="4" w:space="0" w:color="000000"/>
              <w:bottom w:val="single" w:sz="4" w:space="0" w:color="000000"/>
              <w:right w:val="single" w:sz="4" w:space="0" w:color="000000"/>
            </w:tcBorders>
            <w:hideMark/>
          </w:tcPr>
          <w:p w14:paraId="6148ACB2"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r</w:t>
            </w:r>
            <w:r w:rsidRPr="00FA1DCC">
              <w:rPr>
                <w:rFonts w:ascii="Times New Roman" w:hAnsi="Times New Roman" w:cs="Times New Roman"/>
                <w:b/>
              </w:rPr>
              <w:t xml:space="preserve"> = .57</w:t>
            </w:r>
          </w:p>
        </w:tc>
      </w:tr>
      <w:tr w:rsidR="00FA1DCC" w:rsidRPr="00FA1DCC" w14:paraId="45B601BB" w14:textId="77777777" w:rsidTr="002A1E63">
        <w:trPr>
          <w:trHeight w:val="809"/>
        </w:trPr>
        <w:tc>
          <w:tcPr>
            <w:tcW w:w="3435" w:type="dxa"/>
            <w:tcBorders>
              <w:top w:val="single" w:sz="4" w:space="0" w:color="000000"/>
              <w:left w:val="single" w:sz="4" w:space="0" w:color="000000"/>
              <w:bottom w:val="single" w:sz="4" w:space="0" w:color="000000"/>
              <w:right w:val="single" w:sz="4" w:space="0" w:color="000000"/>
            </w:tcBorders>
            <w:hideMark/>
          </w:tcPr>
          <w:p w14:paraId="3661BE65" w14:textId="77777777" w:rsidR="00FA1DCC" w:rsidRPr="00FA1DCC" w:rsidRDefault="00FA1DCC" w:rsidP="00FA1DCC">
            <w:pPr>
              <w:pStyle w:val="NoSpacing"/>
              <w:rPr>
                <w:rFonts w:ascii="Times New Roman" w:hAnsi="Times New Roman" w:cs="Times New Roman"/>
                <w:u w:val="single"/>
              </w:rPr>
            </w:pPr>
            <w:r w:rsidRPr="00FA1DCC">
              <w:rPr>
                <w:rFonts w:ascii="Times New Roman" w:hAnsi="Times New Roman" w:cs="Times New Roman"/>
                <w:u w:val="single"/>
              </w:rPr>
              <w:lastRenderedPageBreak/>
              <w:t>Ex-smokers: animal vs. smoking</w:t>
            </w:r>
          </w:p>
        </w:tc>
        <w:tc>
          <w:tcPr>
            <w:tcW w:w="1864" w:type="dxa"/>
            <w:tcBorders>
              <w:top w:val="single" w:sz="4" w:space="0" w:color="000000"/>
              <w:left w:val="single" w:sz="4" w:space="0" w:color="000000"/>
              <w:bottom w:val="single" w:sz="4" w:space="0" w:color="000000"/>
              <w:right w:val="single" w:sz="4" w:space="0" w:color="000000"/>
            </w:tcBorders>
            <w:hideMark/>
          </w:tcPr>
          <w:p w14:paraId="5ED1F44B" w14:textId="77777777" w:rsidR="00FA1DCC" w:rsidRPr="00FA1DCC" w:rsidRDefault="00FA1DCC" w:rsidP="00FA1DCC">
            <w:pPr>
              <w:pStyle w:val="NoSpacing"/>
              <w:rPr>
                <w:rFonts w:ascii="Times New Roman" w:hAnsi="Times New Roman" w:cs="Times New Roman"/>
              </w:rPr>
            </w:pPr>
            <w:r w:rsidRPr="00FA1DCC">
              <w:rPr>
                <w:rFonts w:ascii="Times New Roman" w:hAnsi="Times New Roman" w:cs="Times New Roman"/>
                <w:i/>
              </w:rPr>
              <w:t>p</w:t>
            </w:r>
            <w:r w:rsidRPr="00FA1DCC">
              <w:rPr>
                <w:rFonts w:ascii="Times New Roman" w:hAnsi="Times New Roman" w:cs="Times New Roman"/>
              </w:rPr>
              <w:t xml:space="preserve"> = .386, </w:t>
            </w:r>
            <w:r w:rsidRPr="00FA1DCC">
              <w:rPr>
                <w:rFonts w:ascii="Times New Roman" w:hAnsi="Times New Roman" w:cs="Times New Roman"/>
                <w:i/>
              </w:rPr>
              <w:t>r</w:t>
            </w:r>
            <w:r w:rsidRPr="00FA1DCC">
              <w:rPr>
                <w:rFonts w:ascii="Times New Roman" w:hAnsi="Times New Roman" w:cs="Times New Roman"/>
              </w:rPr>
              <w:t xml:space="preserve"> = .14</w:t>
            </w:r>
          </w:p>
        </w:tc>
        <w:tc>
          <w:tcPr>
            <w:tcW w:w="2007" w:type="dxa"/>
            <w:tcBorders>
              <w:top w:val="single" w:sz="4" w:space="0" w:color="000000"/>
              <w:left w:val="single" w:sz="4" w:space="0" w:color="000000"/>
              <w:bottom w:val="single" w:sz="4" w:space="0" w:color="000000"/>
              <w:right w:val="single" w:sz="4" w:space="0" w:color="000000"/>
            </w:tcBorders>
            <w:hideMark/>
          </w:tcPr>
          <w:p w14:paraId="3795C5A7"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r</w:t>
            </w:r>
            <w:r w:rsidRPr="00FA1DCC">
              <w:rPr>
                <w:rFonts w:ascii="Times New Roman" w:hAnsi="Times New Roman" w:cs="Times New Roman"/>
                <w:b/>
              </w:rPr>
              <w:t xml:space="preserve"> = .66</w:t>
            </w:r>
          </w:p>
        </w:tc>
        <w:tc>
          <w:tcPr>
            <w:tcW w:w="1940" w:type="dxa"/>
            <w:tcBorders>
              <w:top w:val="single" w:sz="4" w:space="0" w:color="000000"/>
              <w:left w:val="single" w:sz="4" w:space="0" w:color="000000"/>
              <w:bottom w:val="single" w:sz="4" w:space="0" w:color="000000"/>
              <w:right w:val="single" w:sz="4" w:space="0" w:color="000000"/>
            </w:tcBorders>
            <w:hideMark/>
          </w:tcPr>
          <w:p w14:paraId="07CC5A6F" w14:textId="77777777" w:rsidR="00FA1DCC" w:rsidRPr="00FA1DCC" w:rsidRDefault="00FA1DCC" w:rsidP="00FA1DCC">
            <w:pPr>
              <w:pStyle w:val="NoSpacing"/>
              <w:rPr>
                <w:rFonts w:ascii="Times New Roman" w:hAnsi="Times New Roman" w:cs="Times New Roman"/>
                <w:b/>
              </w:rPr>
            </w:pPr>
            <w:r w:rsidRPr="00FA1DCC">
              <w:rPr>
                <w:rFonts w:ascii="Times New Roman" w:hAnsi="Times New Roman" w:cs="Times New Roman"/>
                <w:b/>
                <w:i/>
              </w:rPr>
              <w:t>p</w:t>
            </w:r>
            <w:r w:rsidRPr="00FA1DCC">
              <w:rPr>
                <w:rFonts w:ascii="Times New Roman" w:hAnsi="Times New Roman" w:cs="Times New Roman"/>
                <w:b/>
              </w:rPr>
              <w:t xml:space="preserve"> &lt; .001, </w:t>
            </w:r>
            <w:r w:rsidRPr="00FA1DCC">
              <w:rPr>
                <w:rFonts w:ascii="Times New Roman" w:hAnsi="Times New Roman" w:cs="Times New Roman"/>
                <w:b/>
                <w:i/>
              </w:rPr>
              <w:t>d</w:t>
            </w:r>
            <w:r w:rsidRPr="00FA1DCC">
              <w:rPr>
                <w:rFonts w:ascii="Times New Roman" w:hAnsi="Times New Roman" w:cs="Times New Roman"/>
                <w:b/>
              </w:rPr>
              <w:t xml:space="preserve"> = .81</w:t>
            </w:r>
          </w:p>
        </w:tc>
      </w:tr>
    </w:tbl>
    <w:p w14:paraId="726D3F9E"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i/>
          <w:iCs/>
        </w:rPr>
        <w:t xml:space="preserve">d </w:t>
      </w:r>
      <w:r w:rsidRPr="00FA1DCC">
        <w:rPr>
          <w:rFonts w:ascii="Times New Roman" w:hAnsi="Times New Roman" w:cs="Times New Roman"/>
        </w:rPr>
        <w:t xml:space="preserve">= Cohen’s </w:t>
      </w:r>
      <w:r w:rsidRPr="00FA1DCC">
        <w:rPr>
          <w:rFonts w:ascii="Times New Roman" w:hAnsi="Times New Roman" w:cs="Times New Roman"/>
          <w:i/>
          <w:iCs/>
        </w:rPr>
        <w:t>d</w:t>
      </w:r>
      <w:r w:rsidRPr="00FA1DCC">
        <w:rPr>
          <w:rFonts w:ascii="Times New Roman" w:hAnsi="Times New Roman" w:cs="Times New Roman"/>
        </w:rPr>
        <w:t xml:space="preserve"> effect size, </w:t>
      </w:r>
      <w:proofErr w:type="spellStart"/>
      <w:r w:rsidRPr="00FA1DCC">
        <w:rPr>
          <w:rFonts w:ascii="Times New Roman" w:hAnsi="Times New Roman" w:cs="Times New Roman"/>
          <w:i/>
          <w:iCs/>
        </w:rPr>
        <w:t>r</w:t>
      </w:r>
      <w:r w:rsidRPr="00FA1DCC">
        <w:rPr>
          <w:rFonts w:ascii="Times New Roman" w:hAnsi="Times New Roman" w:cs="Times New Roman"/>
          <w:vertAlign w:val="subscript"/>
        </w:rPr>
        <w:t>rb</w:t>
      </w:r>
      <w:proofErr w:type="spellEnd"/>
      <w:r w:rsidRPr="00FA1DCC">
        <w:rPr>
          <w:rFonts w:ascii="Times New Roman" w:hAnsi="Times New Roman" w:cs="Times New Roman"/>
          <w:i/>
          <w:iCs/>
        </w:rPr>
        <w:t xml:space="preserve"> </w:t>
      </w:r>
      <w:r w:rsidRPr="00FA1DCC">
        <w:rPr>
          <w:rFonts w:ascii="Times New Roman" w:hAnsi="Times New Roman" w:cs="Times New Roman"/>
        </w:rPr>
        <w:t>= rank biserial correlation effect size. Significance is represented by bold text, * = marginal significance.</w:t>
      </w:r>
    </w:p>
    <w:p w14:paraId="642E84AF" w14:textId="77777777" w:rsidR="00FA1DCC" w:rsidRPr="00FA1DCC" w:rsidRDefault="00FA1DCC" w:rsidP="00FA1DCC">
      <w:pPr>
        <w:pStyle w:val="NoSpacing"/>
        <w:spacing w:line="480" w:lineRule="auto"/>
        <w:rPr>
          <w:rFonts w:ascii="Times New Roman" w:hAnsi="Times New Roman" w:cs="Times New Roman"/>
        </w:rPr>
      </w:pPr>
    </w:p>
    <w:p w14:paraId="67A52A2E"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 xml:space="preserve">Interestingly, current smokers have significantly lower response thresholds when making tobacco decisions (M = 1.83, SD = .38) compared to tobacco-unrelated (animal) decisions (M = 1.93, SD = .30), but only on trials that are </w:t>
      </w:r>
      <w:r w:rsidRPr="00FA1DCC">
        <w:rPr>
          <w:rFonts w:ascii="Times New Roman" w:hAnsi="Times New Roman" w:cs="Times New Roman"/>
          <w:u w:val="single"/>
        </w:rPr>
        <w:t>difficult</w:t>
      </w:r>
      <w:r w:rsidRPr="00FA1DCC">
        <w:rPr>
          <w:rFonts w:ascii="Times New Roman" w:hAnsi="Times New Roman" w:cs="Times New Roman"/>
        </w:rPr>
        <w:t xml:space="preserve">. Furthermore, ex-smokers have significantly higher response thresholds when making tobacco-decisions (M = 2.25, SD = .40) compared to tobacco-unrelated (animal) decisions (M = 2.14, SD = .38) on </w:t>
      </w:r>
      <w:r w:rsidRPr="00FA1DCC">
        <w:rPr>
          <w:rFonts w:ascii="Times New Roman" w:hAnsi="Times New Roman" w:cs="Times New Roman"/>
          <w:u w:val="single"/>
        </w:rPr>
        <w:t>medium trials.</w:t>
      </w:r>
      <w:r w:rsidRPr="00FA1DCC">
        <w:rPr>
          <w:rFonts w:ascii="Times New Roman" w:hAnsi="Times New Roman" w:cs="Times New Roman"/>
        </w:rPr>
        <w:t xml:space="preserve"> A similar pattern is found on </w:t>
      </w:r>
      <w:r w:rsidRPr="00FA1DCC">
        <w:rPr>
          <w:rFonts w:ascii="Times New Roman" w:hAnsi="Times New Roman" w:cs="Times New Roman"/>
          <w:u w:val="single"/>
        </w:rPr>
        <w:t>easy trials</w:t>
      </w:r>
      <w:r w:rsidRPr="00FA1DCC">
        <w:rPr>
          <w:rFonts w:ascii="Times New Roman" w:hAnsi="Times New Roman" w:cs="Times New Roman"/>
        </w:rPr>
        <w:t>; ex-smokers have significantly higher response thresholds when making tobacco-decisions (M = 1.95, SD = .45) compared to tobacco-unrelated (animal) decisions (M = 1.79, SD = .48).</w:t>
      </w:r>
    </w:p>
    <w:p w14:paraId="4650032C" w14:textId="228D1EBD" w:rsidR="00FA1DCC" w:rsidRDefault="00FA1DCC" w:rsidP="00FA1DCC">
      <w:pPr>
        <w:pStyle w:val="NoSpacing"/>
        <w:spacing w:line="480" w:lineRule="auto"/>
        <w:rPr>
          <w:rFonts w:ascii="Times New Roman" w:hAnsi="Times New Roman" w:cs="Times New Roman"/>
          <w:b/>
          <w:bCs/>
        </w:rPr>
      </w:pPr>
    </w:p>
    <w:p w14:paraId="1AE10B4F" w14:textId="467B9696" w:rsidR="00FA1DCC" w:rsidRDefault="00FA1DCC" w:rsidP="00FA1DCC">
      <w:pPr>
        <w:pStyle w:val="NoSpacing"/>
        <w:spacing w:line="480" w:lineRule="auto"/>
        <w:rPr>
          <w:rFonts w:ascii="Times New Roman" w:hAnsi="Times New Roman" w:cs="Times New Roman"/>
          <w:b/>
          <w:bCs/>
        </w:rPr>
      </w:pPr>
    </w:p>
    <w:p w14:paraId="0E4CDDE0" w14:textId="35E884A3" w:rsidR="00FA1DCC" w:rsidRDefault="00FA1DCC" w:rsidP="00FA1DCC">
      <w:pPr>
        <w:pStyle w:val="NoSpacing"/>
        <w:spacing w:line="480" w:lineRule="auto"/>
        <w:rPr>
          <w:rFonts w:ascii="Times New Roman" w:hAnsi="Times New Roman" w:cs="Times New Roman"/>
          <w:b/>
          <w:bCs/>
        </w:rPr>
      </w:pPr>
    </w:p>
    <w:p w14:paraId="343525C6" w14:textId="75F6FE7C" w:rsidR="00FA1DCC" w:rsidRDefault="00FA1DCC" w:rsidP="00FA1DCC">
      <w:pPr>
        <w:pStyle w:val="NoSpacing"/>
        <w:spacing w:line="480" w:lineRule="auto"/>
        <w:rPr>
          <w:rFonts w:ascii="Times New Roman" w:hAnsi="Times New Roman" w:cs="Times New Roman"/>
          <w:b/>
          <w:bCs/>
        </w:rPr>
      </w:pPr>
    </w:p>
    <w:p w14:paraId="1F8DC7EC" w14:textId="1D3B595E" w:rsidR="00FA1DCC" w:rsidRDefault="00FA1DCC" w:rsidP="00FA1DCC">
      <w:pPr>
        <w:pStyle w:val="NoSpacing"/>
        <w:spacing w:line="480" w:lineRule="auto"/>
        <w:rPr>
          <w:rFonts w:ascii="Times New Roman" w:hAnsi="Times New Roman" w:cs="Times New Roman"/>
          <w:b/>
          <w:bCs/>
        </w:rPr>
      </w:pPr>
    </w:p>
    <w:p w14:paraId="08E01A35" w14:textId="185A196E" w:rsidR="00FA1DCC" w:rsidRDefault="00FA1DCC" w:rsidP="00FA1DCC">
      <w:pPr>
        <w:pStyle w:val="NoSpacing"/>
        <w:spacing w:line="480" w:lineRule="auto"/>
        <w:rPr>
          <w:rFonts w:ascii="Times New Roman" w:hAnsi="Times New Roman" w:cs="Times New Roman"/>
          <w:b/>
          <w:bCs/>
        </w:rPr>
      </w:pPr>
    </w:p>
    <w:p w14:paraId="538E50F3" w14:textId="15C458C4" w:rsidR="00FA1DCC" w:rsidRDefault="00FA1DCC" w:rsidP="00FA1DCC">
      <w:pPr>
        <w:pStyle w:val="NoSpacing"/>
        <w:spacing w:line="480" w:lineRule="auto"/>
        <w:rPr>
          <w:rFonts w:ascii="Times New Roman" w:hAnsi="Times New Roman" w:cs="Times New Roman"/>
          <w:b/>
          <w:bCs/>
        </w:rPr>
      </w:pPr>
    </w:p>
    <w:p w14:paraId="288E0C8E" w14:textId="6C8463A6" w:rsidR="00FA1DCC" w:rsidRDefault="00FA1DCC" w:rsidP="00FA1DCC">
      <w:pPr>
        <w:pStyle w:val="NoSpacing"/>
        <w:spacing w:line="480" w:lineRule="auto"/>
        <w:rPr>
          <w:rFonts w:ascii="Times New Roman" w:hAnsi="Times New Roman" w:cs="Times New Roman"/>
          <w:b/>
          <w:bCs/>
        </w:rPr>
      </w:pPr>
    </w:p>
    <w:p w14:paraId="2DEFBCC2" w14:textId="61293637" w:rsidR="00FA1DCC" w:rsidRDefault="00FA1DCC" w:rsidP="00FA1DCC">
      <w:pPr>
        <w:pStyle w:val="NoSpacing"/>
        <w:spacing w:line="480" w:lineRule="auto"/>
        <w:rPr>
          <w:rFonts w:ascii="Times New Roman" w:hAnsi="Times New Roman" w:cs="Times New Roman"/>
          <w:b/>
          <w:bCs/>
        </w:rPr>
      </w:pPr>
    </w:p>
    <w:p w14:paraId="0511D0B9" w14:textId="1780FC89" w:rsidR="00FA1DCC" w:rsidRDefault="00FA1DCC" w:rsidP="00FA1DCC">
      <w:pPr>
        <w:pStyle w:val="NoSpacing"/>
        <w:spacing w:line="480" w:lineRule="auto"/>
        <w:rPr>
          <w:rFonts w:ascii="Times New Roman" w:hAnsi="Times New Roman" w:cs="Times New Roman"/>
          <w:b/>
          <w:bCs/>
        </w:rPr>
      </w:pPr>
    </w:p>
    <w:p w14:paraId="4A64D781" w14:textId="19AC517F" w:rsidR="00FA1DCC" w:rsidRDefault="00FA1DCC" w:rsidP="00FA1DCC">
      <w:pPr>
        <w:pStyle w:val="NoSpacing"/>
        <w:spacing w:line="480" w:lineRule="auto"/>
        <w:rPr>
          <w:rFonts w:ascii="Times New Roman" w:hAnsi="Times New Roman" w:cs="Times New Roman"/>
          <w:b/>
          <w:bCs/>
        </w:rPr>
      </w:pPr>
    </w:p>
    <w:p w14:paraId="6154E728" w14:textId="1134D116" w:rsidR="00FA1DCC" w:rsidRDefault="00FA1DCC" w:rsidP="00FA1DCC">
      <w:pPr>
        <w:pStyle w:val="NoSpacing"/>
        <w:spacing w:line="480" w:lineRule="auto"/>
        <w:rPr>
          <w:rFonts w:ascii="Times New Roman" w:hAnsi="Times New Roman" w:cs="Times New Roman"/>
          <w:b/>
          <w:bCs/>
        </w:rPr>
      </w:pPr>
    </w:p>
    <w:p w14:paraId="3FB5C775" w14:textId="132D2EED" w:rsidR="00FA1DCC" w:rsidRPr="00FA1DCC" w:rsidRDefault="00FA1DCC" w:rsidP="00FA1DC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5. Exploratory correlations between DDM decision parameters, area under the curve, and self-report questionnaire variables</w:t>
      </w:r>
      <w:sdt>
        <w:sdtPr>
          <w:rPr>
            <w:rFonts w:ascii="Times New Roman" w:hAnsi="Times New Roman" w:cs="Times New Roman"/>
            <w:b/>
            <w:bCs/>
          </w:rPr>
          <w:tag w:val="goog_rdk_28"/>
          <w:id w:val="387767367"/>
        </w:sdtPr>
        <w:sdtContent/>
      </w:sdt>
      <w:r w:rsidR="00252F1E">
        <w:rPr>
          <w:rFonts w:ascii="Times New Roman" w:hAnsi="Times New Roman" w:cs="Times New Roman"/>
          <w:b/>
          <w:bCs/>
        </w:rPr>
        <w:t xml:space="preserve">, </w:t>
      </w:r>
      <w:r w:rsidR="00252F1E" w:rsidRPr="005E21EB">
        <w:rPr>
          <w:rFonts w:ascii="Times New Roman" w:hAnsi="Times New Roman" w:cs="Times New Roman"/>
          <w:b/>
          <w:bCs/>
        </w:rPr>
        <w:t>split by smoker status</w:t>
      </w:r>
    </w:p>
    <w:p w14:paraId="3BB19990" w14:textId="77777777" w:rsidR="00FA1DCC" w:rsidRPr="00FA1DCC" w:rsidRDefault="00FA1DCC" w:rsidP="00FA1DCC">
      <w:pPr>
        <w:pStyle w:val="NoSpacing"/>
        <w:spacing w:line="480" w:lineRule="auto"/>
        <w:rPr>
          <w:rFonts w:ascii="Times New Roman" w:hAnsi="Times New Roman" w:cs="Times New Roman"/>
          <w:b/>
          <w:bCs/>
        </w:rPr>
      </w:pPr>
    </w:p>
    <w:p w14:paraId="275CFCC9"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Below, in Table S7.2, we report correlational analyses between the DDM decision-parameters (EA rates and response thresholds), area-under-the-curve (AUC), and self-report questionnaire variables. In the manuscript we explored whether DDM parameters and response conflict (reflected in AUC scores) are important internal processes of decision-making that might characterise recovery from addiction. However, as this was the first exploration of this in relation to recovery, we were unsure whether either (if any) would be important, and we made no prediction about how DDM parameters might be conceptually related to AUC scores other than acknowledging that they are both internal aspects that precede decisions made. However, a recent preprint (</w:t>
      </w:r>
      <w:proofErr w:type="spellStart"/>
      <w:r w:rsidRPr="00FA1DCC">
        <w:rPr>
          <w:rFonts w:ascii="Times New Roman" w:hAnsi="Times New Roman" w:cs="Times New Roman"/>
        </w:rPr>
        <w:t>Leontyev</w:t>
      </w:r>
      <w:proofErr w:type="spellEnd"/>
      <w:r w:rsidRPr="00FA1DCC">
        <w:rPr>
          <w:rFonts w:ascii="Times New Roman" w:hAnsi="Times New Roman" w:cs="Times New Roman"/>
        </w:rPr>
        <w:t xml:space="preserve"> &amp; Yamauchi, 2020) explored how these two internal processes may be related - finding only a significant negative correlation between AUC scores and a DDM parameter that reflects motor execution (non-decision time). This association is relatively weak (-.39, </w:t>
      </w:r>
      <w:r w:rsidRPr="00FA1DCC">
        <w:rPr>
          <w:rFonts w:ascii="Times New Roman" w:hAnsi="Times New Roman" w:cs="Times New Roman"/>
          <w:i/>
          <w:iCs/>
        </w:rPr>
        <w:t>p</w:t>
      </w:r>
      <w:r w:rsidRPr="00FA1DCC">
        <w:rPr>
          <w:rFonts w:ascii="Times New Roman" w:hAnsi="Times New Roman" w:cs="Times New Roman"/>
        </w:rPr>
        <w:t xml:space="preserve"> &lt; .05); and there were no other associations with the other decision model parameters. Importantly this work is recent and was therefore uploaded after our study planning and pre-registration. For this reason, we report here the exploratory correlations using our data.</w:t>
      </w:r>
    </w:p>
    <w:p w14:paraId="355A6BD5" w14:textId="77777777" w:rsidR="00FA1DCC" w:rsidRPr="00FA1DCC" w:rsidRDefault="00FA1DCC" w:rsidP="00FA1DCC">
      <w:pPr>
        <w:pStyle w:val="NoSpacing"/>
        <w:spacing w:line="480" w:lineRule="auto"/>
        <w:rPr>
          <w:rFonts w:ascii="Times New Roman" w:hAnsi="Times New Roman" w:cs="Times New Roman"/>
        </w:rPr>
      </w:pPr>
    </w:p>
    <w:p w14:paraId="68E7A8C9" w14:textId="77777777" w:rsidR="00FA1DCC" w:rsidRPr="00FA1DCC" w:rsidRDefault="00FA1DCC" w:rsidP="00FA1DCC">
      <w:pPr>
        <w:pStyle w:val="NoSpacing"/>
        <w:spacing w:line="480" w:lineRule="auto"/>
        <w:rPr>
          <w:rFonts w:ascii="Times New Roman" w:hAnsi="Times New Roman" w:cs="Times New Roman"/>
        </w:rPr>
      </w:pPr>
      <w:r w:rsidRPr="00FA1DCC">
        <w:rPr>
          <w:rFonts w:ascii="Times New Roman" w:hAnsi="Times New Roman" w:cs="Times New Roman"/>
        </w:rPr>
        <w:t xml:space="preserve">Furthermore, given that previous research has found that people with higher levels of self-reported self-control experience a lesser magnitude of conflict (represented in AUC scores; Stillman et al., 2017), we were particularly interested in the relationship between self-reported self-control and magnitude of conflict within our sample. </w:t>
      </w:r>
    </w:p>
    <w:p w14:paraId="613200B9" w14:textId="5652AC85" w:rsidR="008B4389" w:rsidRDefault="008B4389" w:rsidP="0055790C">
      <w:pPr>
        <w:pStyle w:val="NoSpacing"/>
        <w:spacing w:line="480" w:lineRule="auto"/>
        <w:rPr>
          <w:rFonts w:ascii="Times New Roman" w:hAnsi="Times New Roman" w:cs="Times New Roman"/>
          <w:b/>
          <w:bCs/>
        </w:rPr>
      </w:pPr>
      <w:bookmarkStart w:id="453" w:name="_Hlk110860085"/>
    </w:p>
    <w:p w14:paraId="3CB15910" w14:textId="77777777" w:rsidR="008B4389" w:rsidRDefault="008B4389" w:rsidP="0055790C">
      <w:pPr>
        <w:pStyle w:val="NoSpacing"/>
        <w:spacing w:line="480" w:lineRule="auto"/>
        <w:rPr>
          <w:rFonts w:ascii="Times New Roman" w:hAnsi="Times New Roman" w:cs="Times New Roman"/>
          <w:b/>
          <w:bCs/>
        </w:rPr>
      </w:pPr>
    </w:p>
    <w:p w14:paraId="0837BD1A" w14:textId="77777777" w:rsidR="0055790C" w:rsidRDefault="0055790C" w:rsidP="0055790C">
      <w:pPr>
        <w:pStyle w:val="NoSpacing"/>
        <w:spacing w:line="480" w:lineRule="auto"/>
        <w:rPr>
          <w:rFonts w:ascii="Times New Roman" w:hAnsi="Times New Roman" w:cs="Times New Roman"/>
          <w:b/>
          <w:bCs/>
        </w:rPr>
      </w:pPr>
      <w:r w:rsidRPr="00FA1DCC">
        <w:rPr>
          <w:rFonts w:ascii="Times New Roman" w:hAnsi="Times New Roman" w:cs="Times New Roman"/>
          <w:b/>
          <w:bCs/>
        </w:rPr>
        <w:lastRenderedPageBreak/>
        <w:t>Table S7.2</w:t>
      </w:r>
    </w:p>
    <w:p w14:paraId="5D5E46B7" w14:textId="77777777" w:rsidR="0055790C" w:rsidRPr="00FA1DCC" w:rsidRDefault="0055790C" w:rsidP="0055790C">
      <w:pPr>
        <w:pStyle w:val="NoSpacing"/>
        <w:spacing w:line="480" w:lineRule="auto"/>
        <w:rPr>
          <w:rFonts w:ascii="Times New Roman" w:hAnsi="Times New Roman" w:cs="Times New Roman"/>
          <w:b/>
          <w:bCs/>
        </w:rPr>
      </w:pPr>
      <w:r w:rsidRPr="00FA1DCC">
        <w:rPr>
          <w:rFonts w:ascii="Times New Roman" w:hAnsi="Times New Roman" w:cs="Times New Roman"/>
          <w:i/>
          <w:iCs/>
        </w:rPr>
        <w:t>Correlations between DDM parameters, area under the curve scores (AUC), and self-report questionnaire variables</w:t>
      </w:r>
      <w:sdt>
        <w:sdtPr>
          <w:rPr>
            <w:rFonts w:ascii="Times New Roman" w:hAnsi="Times New Roman" w:cs="Times New Roman"/>
            <w:i/>
            <w:iCs/>
          </w:rPr>
          <w:tag w:val="goog_rdk_30"/>
          <w:id w:val="-1129005652"/>
        </w:sdtPr>
        <w:sdtContent/>
      </w:sdt>
    </w:p>
    <w:tbl>
      <w:tblPr>
        <w:tblW w:w="90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30"/>
        <w:gridCol w:w="1039"/>
        <w:gridCol w:w="1041"/>
        <w:gridCol w:w="1038"/>
        <w:gridCol w:w="1039"/>
        <w:gridCol w:w="1038"/>
        <w:gridCol w:w="1039"/>
        <w:gridCol w:w="1039"/>
      </w:tblGrid>
      <w:tr w:rsidR="00684DBE" w:rsidRPr="00FA1DCC" w14:paraId="0CDD0F16" w14:textId="4D051D4D" w:rsidTr="00684DBE">
        <w:trPr>
          <w:trHeight w:val="283"/>
        </w:trPr>
        <w:tc>
          <w:tcPr>
            <w:tcW w:w="1730" w:type="dxa"/>
            <w:tcBorders>
              <w:top w:val="single" w:sz="4" w:space="0" w:color="000000"/>
              <w:left w:val="single" w:sz="4" w:space="0" w:color="000000"/>
              <w:bottom w:val="single" w:sz="4" w:space="0" w:color="000000"/>
              <w:right w:val="single" w:sz="4" w:space="0" w:color="000000"/>
            </w:tcBorders>
          </w:tcPr>
          <w:p w14:paraId="02197A3E" w14:textId="77777777" w:rsidR="00684DBE" w:rsidRPr="00FA1DCC" w:rsidRDefault="00684DBE" w:rsidP="002A1E63">
            <w:pPr>
              <w:pStyle w:val="NoSpacing"/>
              <w:rPr>
                <w:rFonts w:ascii="Times New Roman" w:hAnsi="Times New Roman" w:cs="Times New Roman"/>
              </w:rPr>
            </w:pPr>
          </w:p>
        </w:tc>
        <w:tc>
          <w:tcPr>
            <w:tcW w:w="1039" w:type="dxa"/>
            <w:tcBorders>
              <w:top w:val="single" w:sz="4" w:space="0" w:color="000000"/>
              <w:left w:val="single" w:sz="4" w:space="0" w:color="000000"/>
              <w:bottom w:val="single" w:sz="4" w:space="0" w:color="000000"/>
              <w:right w:val="single" w:sz="4" w:space="0" w:color="000000"/>
            </w:tcBorders>
            <w:hideMark/>
          </w:tcPr>
          <w:p w14:paraId="26734882"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1</w:t>
            </w:r>
          </w:p>
        </w:tc>
        <w:tc>
          <w:tcPr>
            <w:tcW w:w="1041" w:type="dxa"/>
            <w:tcBorders>
              <w:top w:val="single" w:sz="4" w:space="0" w:color="000000"/>
              <w:left w:val="single" w:sz="4" w:space="0" w:color="000000"/>
              <w:bottom w:val="single" w:sz="4" w:space="0" w:color="000000"/>
              <w:right w:val="single" w:sz="4" w:space="0" w:color="000000"/>
            </w:tcBorders>
            <w:hideMark/>
          </w:tcPr>
          <w:p w14:paraId="2FB16E9C"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2</w:t>
            </w:r>
          </w:p>
        </w:tc>
        <w:tc>
          <w:tcPr>
            <w:tcW w:w="1038" w:type="dxa"/>
            <w:tcBorders>
              <w:top w:val="single" w:sz="4" w:space="0" w:color="000000"/>
              <w:left w:val="single" w:sz="4" w:space="0" w:color="000000"/>
              <w:bottom w:val="single" w:sz="4" w:space="0" w:color="000000"/>
              <w:right w:val="single" w:sz="4" w:space="0" w:color="000000"/>
            </w:tcBorders>
            <w:hideMark/>
          </w:tcPr>
          <w:p w14:paraId="44ED16CF"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3</w:t>
            </w:r>
          </w:p>
        </w:tc>
        <w:tc>
          <w:tcPr>
            <w:tcW w:w="1039" w:type="dxa"/>
            <w:tcBorders>
              <w:top w:val="single" w:sz="4" w:space="0" w:color="000000"/>
              <w:left w:val="single" w:sz="4" w:space="0" w:color="000000"/>
              <w:bottom w:val="single" w:sz="4" w:space="0" w:color="000000"/>
              <w:right w:val="single" w:sz="4" w:space="0" w:color="000000"/>
            </w:tcBorders>
            <w:hideMark/>
          </w:tcPr>
          <w:p w14:paraId="5690EF9F"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4</w:t>
            </w:r>
          </w:p>
        </w:tc>
        <w:tc>
          <w:tcPr>
            <w:tcW w:w="1038" w:type="dxa"/>
            <w:tcBorders>
              <w:top w:val="single" w:sz="4" w:space="0" w:color="000000"/>
              <w:left w:val="single" w:sz="4" w:space="0" w:color="000000"/>
              <w:bottom w:val="single" w:sz="4" w:space="0" w:color="000000"/>
              <w:right w:val="single" w:sz="4" w:space="0" w:color="000000"/>
            </w:tcBorders>
            <w:hideMark/>
          </w:tcPr>
          <w:p w14:paraId="11457A3C"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5</w:t>
            </w:r>
          </w:p>
        </w:tc>
        <w:tc>
          <w:tcPr>
            <w:tcW w:w="1039" w:type="dxa"/>
            <w:tcBorders>
              <w:top w:val="single" w:sz="4" w:space="0" w:color="000000"/>
              <w:left w:val="single" w:sz="4" w:space="0" w:color="000000"/>
              <w:bottom w:val="single" w:sz="4" w:space="0" w:color="000000"/>
              <w:right w:val="single" w:sz="4" w:space="0" w:color="000000"/>
            </w:tcBorders>
            <w:hideMark/>
          </w:tcPr>
          <w:p w14:paraId="316F109C" w14:textId="77777777" w:rsidR="00684DBE" w:rsidRPr="00FA1DCC" w:rsidRDefault="00684DBE" w:rsidP="002A1E63">
            <w:pPr>
              <w:pStyle w:val="NoSpacing"/>
              <w:jc w:val="center"/>
              <w:rPr>
                <w:rFonts w:ascii="Times New Roman" w:hAnsi="Times New Roman" w:cs="Times New Roman"/>
              </w:rPr>
            </w:pPr>
            <w:r w:rsidRPr="00FA1DCC">
              <w:rPr>
                <w:rFonts w:ascii="Times New Roman" w:hAnsi="Times New Roman" w:cs="Times New Roman"/>
              </w:rPr>
              <w:t>6</w:t>
            </w:r>
          </w:p>
        </w:tc>
        <w:tc>
          <w:tcPr>
            <w:tcW w:w="1039" w:type="dxa"/>
            <w:tcBorders>
              <w:top w:val="single" w:sz="4" w:space="0" w:color="000000"/>
              <w:left w:val="single" w:sz="4" w:space="0" w:color="000000"/>
              <w:bottom w:val="single" w:sz="4" w:space="0" w:color="000000"/>
              <w:right w:val="single" w:sz="4" w:space="0" w:color="000000"/>
            </w:tcBorders>
          </w:tcPr>
          <w:p w14:paraId="5841FD5F" w14:textId="45CD0C72" w:rsidR="00684DBE" w:rsidRPr="00FA1DCC" w:rsidRDefault="00684DBE" w:rsidP="002A1E63">
            <w:pPr>
              <w:pStyle w:val="NoSpacing"/>
              <w:jc w:val="center"/>
              <w:rPr>
                <w:rFonts w:ascii="Times New Roman" w:hAnsi="Times New Roman" w:cs="Times New Roman"/>
              </w:rPr>
            </w:pPr>
            <w:r>
              <w:rPr>
                <w:rFonts w:ascii="Times New Roman" w:hAnsi="Times New Roman" w:cs="Times New Roman"/>
              </w:rPr>
              <w:t>7</w:t>
            </w:r>
          </w:p>
        </w:tc>
      </w:tr>
      <w:tr w:rsidR="00684DBE" w:rsidRPr="00FA1DCC" w14:paraId="46E1145E" w14:textId="76A1FCA6" w:rsidTr="00684DBE">
        <w:trPr>
          <w:trHeight w:val="519"/>
        </w:trPr>
        <w:tc>
          <w:tcPr>
            <w:tcW w:w="1730" w:type="dxa"/>
            <w:tcBorders>
              <w:top w:val="single" w:sz="4" w:space="0" w:color="000000"/>
              <w:left w:val="single" w:sz="4" w:space="0" w:color="000000"/>
              <w:bottom w:val="single" w:sz="4" w:space="0" w:color="000000"/>
              <w:right w:val="single" w:sz="4" w:space="0" w:color="000000"/>
            </w:tcBorders>
            <w:hideMark/>
          </w:tcPr>
          <w:p w14:paraId="17986D60"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1. Animal AUC</w:t>
            </w:r>
          </w:p>
        </w:tc>
        <w:tc>
          <w:tcPr>
            <w:tcW w:w="1039" w:type="dxa"/>
            <w:tcBorders>
              <w:top w:val="single" w:sz="4" w:space="0" w:color="000000"/>
              <w:left w:val="single" w:sz="4" w:space="0" w:color="000000"/>
              <w:bottom w:val="single" w:sz="4" w:space="0" w:color="000000"/>
              <w:right w:val="single" w:sz="4" w:space="0" w:color="000000"/>
            </w:tcBorders>
            <w:hideMark/>
          </w:tcPr>
          <w:p w14:paraId="4DA8C00F"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41" w:type="dxa"/>
            <w:tcBorders>
              <w:top w:val="single" w:sz="4" w:space="0" w:color="000000"/>
              <w:left w:val="single" w:sz="4" w:space="0" w:color="000000"/>
              <w:bottom w:val="single" w:sz="4" w:space="0" w:color="000000"/>
              <w:right w:val="single" w:sz="4" w:space="0" w:color="000000"/>
            </w:tcBorders>
          </w:tcPr>
          <w:p w14:paraId="5DDCE487" w14:textId="77777777" w:rsidR="00684DBE" w:rsidRPr="00FA1DCC" w:rsidRDefault="00684DBE" w:rsidP="00100B39">
            <w:pPr>
              <w:pStyle w:val="NoSpacing"/>
              <w:jc w:val="center"/>
              <w:rPr>
                <w:rFonts w:ascii="Times New Roman" w:hAnsi="Times New Roman"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7E37EA27"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421ED593" w14:textId="77777777" w:rsidR="00684DBE" w:rsidRPr="00FA1DCC" w:rsidRDefault="00684DBE" w:rsidP="00100B39">
            <w:pPr>
              <w:pStyle w:val="NoSpacing"/>
              <w:jc w:val="center"/>
              <w:rPr>
                <w:rFonts w:ascii="Times New Roman" w:hAnsi="Times New Roman"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33F44889"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3D8F8B55"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3F667606"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0A5C84C9" w14:textId="58CA989F" w:rsidTr="00684DBE">
        <w:trPr>
          <w:trHeight w:val="519"/>
        </w:trPr>
        <w:tc>
          <w:tcPr>
            <w:tcW w:w="1730" w:type="dxa"/>
            <w:tcBorders>
              <w:top w:val="single" w:sz="4" w:space="0" w:color="000000"/>
              <w:left w:val="single" w:sz="4" w:space="0" w:color="000000"/>
              <w:bottom w:val="single" w:sz="4" w:space="0" w:color="000000"/>
              <w:right w:val="single" w:sz="4" w:space="0" w:color="000000"/>
            </w:tcBorders>
            <w:hideMark/>
          </w:tcPr>
          <w:p w14:paraId="43D747D8"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2. Smoking AUC</w:t>
            </w:r>
          </w:p>
        </w:tc>
        <w:tc>
          <w:tcPr>
            <w:tcW w:w="1039" w:type="dxa"/>
            <w:tcBorders>
              <w:top w:val="single" w:sz="4" w:space="0" w:color="000000"/>
              <w:left w:val="single" w:sz="4" w:space="0" w:color="000000"/>
              <w:bottom w:val="single" w:sz="4" w:space="0" w:color="000000"/>
              <w:right w:val="single" w:sz="4" w:space="0" w:color="000000"/>
            </w:tcBorders>
            <w:hideMark/>
          </w:tcPr>
          <w:p w14:paraId="34EC0050"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.85***</w:t>
            </w:r>
          </w:p>
        </w:tc>
        <w:tc>
          <w:tcPr>
            <w:tcW w:w="1041" w:type="dxa"/>
            <w:tcBorders>
              <w:top w:val="single" w:sz="4" w:space="0" w:color="000000"/>
              <w:left w:val="single" w:sz="4" w:space="0" w:color="000000"/>
              <w:bottom w:val="single" w:sz="4" w:space="0" w:color="000000"/>
              <w:right w:val="single" w:sz="4" w:space="0" w:color="000000"/>
            </w:tcBorders>
            <w:hideMark/>
          </w:tcPr>
          <w:p w14:paraId="5CD4C48B"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6984ED46"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2B8F7C09" w14:textId="77777777" w:rsidR="00684DBE" w:rsidRPr="00FA1DCC" w:rsidRDefault="00684DBE" w:rsidP="00100B39">
            <w:pPr>
              <w:pStyle w:val="NoSpacing"/>
              <w:jc w:val="center"/>
              <w:rPr>
                <w:rFonts w:ascii="Times New Roman" w:hAnsi="Times New Roman"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3A96246F"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2D0094E3"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F4E00CC"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7B62FB48" w14:textId="1E8187AD" w:rsidTr="00684DBE">
        <w:trPr>
          <w:trHeight w:val="475"/>
        </w:trPr>
        <w:tc>
          <w:tcPr>
            <w:tcW w:w="1730" w:type="dxa"/>
            <w:tcBorders>
              <w:top w:val="single" w:sz="4" w:space="0" w:color="000000"/>
              <w:left w:val="single" w:sz="4" w:space="0" w:color="000000"/>
              <w:bottom w:val="single" w:sz="4" w:space="0" w:color="000000"/>
              <w:right w:val="single" w:sz="4" w:space="0" w:color="000000"/>
            </w:tcBorders>
            <w:hideMark/>
          </w:tcPr>
          <w:p w14:paraId="1A5ECEF7"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3. Animal EA rates</w:t>
            </w:r>
          </w:p>
        </w:tc>
        <w:tc>
          <w:tcPr>
            <w:tcW w:w="1039" w:type="dxa"/>
            <w:tcBorders>
              <w:top w:val="single" w:sz="4" w:space="0" w:color="000000"/>
              <w:left w:val="single" w:sz="4" w:space="0" w:color="000000"/>
              <w:bottom w:val="single" w:sz="4" w:space="0" w:color="000000"/>
              <w:right w:val="single" w:sz="4" w:space="0" w:color="000000"/>
            </w:tcBorders>
            <w:hideMark/>
          </w:tcPr>
          <w:p w14:paraId="42369932"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1041" w:type="dxa"/>
            <w:tcBorders>
              <w:top w:val="single" w:sz="4" w:space="0" w:color="000000"/>
              <w:left w:val="single" w:sz="4" w:space="0" w:color="000000"/>
              <w:bottom w:val="single" w:sz="4" w:space="0" w:color="000000"/>
              <w:right w:val="single" w:sz="4" w:space="0" w:color="000000"/>
            </w:tcBorders>
            <w:hideMark/>
          </w:tcPr>
          <w:p w14:paraId="439FE73C"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1038" w:type="dxa"/>
            <w:tcBorders>
              <w:top w:val="single" w:sz="4" w:space="0" w:color="000000"/>
              <w:left w:val="single" w:sz="4" w:space="0" w:color="000000"/>
              <w:bottom w:val="single" w:sz="4" w:space="0" w:color="000000"/>
              <w:right w:val="single" w:sz="4" w:space="0" w:color="000000"/>
            </w:tcBorders>
            <w:hideMark/>
          </w:tcPr>
          <w:p w14:paraId="6876BAFE"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39" w:type="dxa"/>
            <w:tcBorders>
              <w:top w:val="single" w:sz="4" w:space="0" w:color="000000"/>
              <w:left w:val="single" w:sz="4" w:space="0" w:color="000000"/>
              <w:bottom w:val="single" w:sz="4" w:space="0" w:color="000000"/>
              <w:right w:val="single" w:sz="4" w:space="0" w:color="000000"/>
            </w:tcBorders>
          </w:tcPr>
          <w:p w14:paraId="2DF08614" w14:textId="77777777" w:rsidR="00684DBE" w:rsidRPr="00FA1DCC" w:rsidRDefault="00684DBE" w:rsidP="00100B39">
            <w:pPr>
              <w:pStyle w:val="NoSpacing"/>
              <w:jc w:val="center"/>
              <w:rPr>
                <w:rFonts w:ascii="Times New Roman" w:hAnsi="Times New Roman" w:cs="Times New Roman"/>
                <w:sz w:val="20"/>
                <w:szCs w:val="20"/>
              </w:rPr>
            </w:pPr>
          </w:p>
        </w:tc>
        <w:tc>
          <w:tcPr>
            <w:tcW w:w="1038" w:type="dxa"/>
            <w:tcBorders>
              <w:top w:val="single" w:sz="4" w:space="0" w:color="000000"/>
              <w:left w:val="single" w:sz="4" w:space="0" w:color="000000"/>
              <w:bottom w:val="single" w:sz="4" w:space="0" w:color="000000"/>
              <w:right w:val="single" w:sz="4" w:space="0" w:color="000000"/>
            </w:tcBorders>
          </w:tcPr>
          <w:p w14:paraId="7F548501"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87F6C19"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A3EAB2C"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34DAE5CB" w14:textId="0139A116" w:rsidTr="00684DBE">
        <w:trPr>
          <w:trHeight w:val="543"/>
        </w:trPr>
        <w:tc>
          <w:tcPr>
            <w:tcW w:w="1730" w:type="dxa"/>
            <w:tcBorders>
              <w:top w:val="single" w:sz="4" w:space="0" w:color="000000"/>
              <w:left w:val="single" w:sz="4" w:space="0" w:color="000000"/>
              <w:bottom w:val="single" w:sz="4" w:space="0" w:color="000000"/>
              <w:right w:val="single" w:sz="4" w:space="0" w:color="000000"/>
            </w:tcBorders>
            <w:hideMark/>
          </w:tcPr>
          <w:p w14:paraId="1F4EF132"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 xml:space="preserve">4. Smoking EA rates </w:t>
            </w:r>
          </w:p>
        </w:tc>
        <w:tc>
          <w:tcPr>
            <w:tcW w:w="1039" w:type="dxa"/>
            <w:tcBorders>
              <w:top w:val="single" w:sz="4" w:space="0" w:color="000000"/>
              <w:left w:val="single" w:sz="4" w:space="0" w:color="000000"/>
              <w:bottom w:val="single" w:sz="4" w:space="0" w:color="000000"/>
              <w:right w:val="single" w:sz="4" w:space="0" w:color="000000"/>
            </w:tcBorders>
            <w:hideMark/>
          </w:tcPr>
          <w:p w14:paraId="3287BE57"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-.19</w:t>
            </w:r>
          </w:p>
        </w:tc>
        <w:tc>
          <w:tcPr>
            <w:tcW w:w="1041" w:type="dxa"/>
            <w:tcBorders>
              <w:top w:val="single" w:sz="4" w:space="0" w:color="000000"/>
              <w:left w:val="single" w:sz="4" w:space="0" w:color="000000"/>
              <w:bottom w:val="single" w:sz="4" w:space="0" w:color="000000"/>
              <w:right w:val="single" w:sz="4" w:space="0" w:color="000000"/>
            </w:tcBorders>
            <w:hideMark/>
          </w:tcPr>
          <w:p w14:paraId="1C9DEBC5" w14:textId="77777777" w:rsidR="00684DBE" w:rsidRPr="008B4389" w:rsidRDefault="00684DBE" w:rsidP="00100B39">
            <w:pPr>
              <w:pStyle w:val="NoSpacing"/>
              <w:jc w:val="center"/>
              <w:rPr>
                <w:rFonts w:ascii="Times New Roman" w:hAnsi="Times New Roman" w:cs="Times New Roman"/>
                <w:b/>
                <w:bCs/>
                <w:iCs/>
                <w:sz w:val="20"/>
                <w:szCs w:val="20"/>
              </w:rPr>
            </w:pPr>
            <w:r w:rsidRPr="008B4389">
              <w:rPr>
                <w:rFonts w:ascii="Times New Roman" w:hAnsi="Times New Roman" w:cs="Times New Roman"/>
                <w:b/>
                <w:bCs/>
                <w:iCs/>
                <w:sz w:val="20"/>
                <w:szCs w:val="20"/>
              </w:rPr>
              <w:t>-.37***</w:t>
            </w:r>
          </w:p>
        </w:tc>
        <w:tc>
          <w:tcPr>
            <w:tcW w:w="1038" w:type="dxa"/>
            <w:tcBorders>
              <w:top w:val="single" w:sz="4" w:space="0" w:color="000000"/>
              <w:left w:val="single" w:sz="4" w:space="0" w:color="000000"/>
              <w:bottom w:val="single" w:sz="4" w:space="0" w:color="000000"/>
              <w:right w:val="single" w:sz="4" w:space="0" w:color="000000"/>
            </w:tcBorders>
            <w:hideMark/>
          </w:tcPr>
          <w:p w14:paraId="716AA813"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.56***</w:t>
            </w:r>
          </w:p>
        </w:tc>
        <w:tc>
          <w:tcPr>
            <w:tcW w:w="1039" w:type="dxa"/>
            <w:tcBorders>
              <w:top w:val="single" w:sz="4" w:space="0" w:color="000000"/>
              <w:left w:val="single" w:sz="4" w:space="0" w:color="000000"/>
              <w:bottom w:val="single" w:sz="4" w:space="0" w:color="000000"/>
              <w:right w:val="single" w:sz="4" w:space="0" w:color="000000"/>
            </w:tcBorders>
            <w:hideMark/>
          </w:tcPr>
          <w:p w14:paraId="23BED3FF"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38" w:type="dxa"/>
            <w:tcBorders>
              <w:top w:val="single" w:sz="4" w:space="0" w:color="000000"/>
              <w:left w:val="single" w:sz="4" w:space="0" w:color="000000"/>
              <w:bottom w:val="single" w:sz="4" w:space="0" w:color="000000"/>
              <w:right w:val="single" w:sz="4" w:space="0" w:color="000000"/>
            </w:tcBorders>
          </w:tcPr>
          <w:p w14:paraId="6AD7911C"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AE6D734"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1AE58443"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28217639" w14:textId="720FCBD0" w:rsidTr="00684DBE">
        <w:trPr>
          <w:trHeight w:val="509"/>
        </w:trPr>
        <w:tc>
          <w:tcPr>
            <w:tcW w:w="1730" w:type="dxa"/>
            <w:tcBorders>
              <w:top w:val="single" w:sz="4" w:space="0" w:color="000000"/>
              <w:left w:val="single" w:sz="4" w:space="0" w:color="000000"/>
              <w:bottom w:val="single" w:sz="4" w:space="0" w:color="000000"/>
              <w:right w:val="single" w:sz="4" w:space="0" w:color="000000"/>
            </w:tcBorders>
            <w:hideMark/>
          </w:tcPr>
          <w:p w14:paraId="4CAE78FB"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5. Animal thresholds</w:t>
            </w:r>
          </w:p>
        </w:tc>
        <w:tc>
          <w:tcPr>
            <w:tcW w:w="1039" w:type="dxa"/>
            <w:tcBorders>
              <w:top w:val="single" w:sz="4" w:space="0" w:color="000000"/>
              <w:left w:val="single" w:sz="4" w:space="0" w:color="000000"/>
              <w:bottom w:val="single" w:sz="4" w:space="0" w:color="000000"/>
              <w:right w:val="single" w:sz="4" w:space="0" w:color="000000"/>
            </w:tcBorders>
            <w:hideMark/>
          </w:tcPr>
          <w:p w14:paraId="5C642606"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.04</w:t>
            </w:r>
          </w:p>
          <w:p w14:paraId="0913A327" w14:textId="77777777" w:rsidR="00684DBE" w:rsidRPr="00FA1DCC" w:rsidRDefault="00684DBE" w:rsidP="00100B39">
            <w:pPr>
              <w:pStyle w:val="NoSpacing"/>
              <w:jc w:val="center"/>
              <w:rPr>
                <w:rFonts w:ascii="Times New Roman" w:hAnsi="Times New Roman" w:cs="Times New Roman"/>
                <w:sz w:val="20"/>
                <w:szCs w:val="20"/>
              </w:rPr>
            </w:pPr>
          </w:p>
        </w:tc>
        <w:tc>
          <w:tcPr>
            <w:tcW w:w="1041" w:type="dxa"/>
            <w:tcBorders>
              <w:top w:val="single" w:sz="4" w:space="0" w:color="000000"/>
              <w:left w:val="single" w:sz="4" w:space="0" w:color="000000"/>
              <w:bottom w:val="single" w:sz="4" w:space="0" w:color="000000"/>
              <w:right w:val="single" w:sz="4" w:space="0" w:color="000000"/>
            </w:tcBorders>
            <w:hideMark/>
          </w:tcPr>
          <w:p w14:paraId="5166C305"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1038" w:type="dxa"/>
            <w:tcBorders>
              <w:top w:val="single" w:sz="4" w:space="0" w:color="000000"/>
              <w:left w:val="single" w:sz="4" w:space="0" w:color="000000"/>
              <w:bottom w:val="single" w:sz="4" w:space="0" w:color="000000"/>
              <w:right w:val="single" w:sz="4" w:space="0" w:color="000000"/>
            </w:tcBorders>
            <w:hideMark/>
          </w:tcPr>
          <w:p w14:paraId="6E5464F7"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-.64***</w:t>
            </w:r>
          </w:p>
        </w:tc>
        <w:tc>
          <w:tcPr>
            <w:tcW w:w="1039" w:type="dxa"/>
            <w:tcBorders>
              <w:top w:val="single" w:sz="4" w:space="0" w:color="000000"/>
              <w:left w:val="single" w:sz="4" w:space="0" w:color="000000"/>
              <w:bottom w:val="single" w:sz="4" w:space="0" w:color="000000"/>
              <w:right w:val="single" w:sz="4" w:space="0" w:color="000000"/>
            </w:tcBorders>
            <w:hideMark/>
          </w:tcPr>
          <w:p w14:paraId="36B242E1"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-.22*</w:t>
            </w:r>
          </w:p>
        </w:tc>
        <w:tc>
          <w:tcPr>
            <w:tcW w:w="1038" w:type="dxa"/>
            <w:tcBorders>
              <w:top w:val="single" w:sz="4" w:space="0" w:color="000000"/>
              <w:left w:val="single" w:sz="4" w:space="0" w:color="000000"/>
              <w:bottom w:val="single" w:sz="4" w:space="0" w:color="000000"/>
              <w:right w:val="single" w:sz="4" w:space="0" w:color="000000"/>
            </w:tcBorders>
            <w:hideMark/>
          </w:tcPr>
          <w:p w14:paraId="6FBC81FC"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39" w:type="dxa"/>
            <w:tcBorders>
              <w:top w:val="single" w:sz="4" w:space="0" w:color="000000"/>
              <w:left w:val="single" w:sz="4" w:space="0" w:color="000000"/>
              <w:bottom w:val="single" w:sz="4" w:space="0" w:color="000000"/>
              <w:right w:val="single" w:sz="4" w:space="0" w:color="000000"/>
            </w:tcBorders>
          </w:tcPr>
          <w:p w14:paraId="2DD38EFE" w14:textId="77777777" w:rsidR="00684DBE" w:rsidRPr="00FA1DCC" w:rsidRDefault="00684DBE" w:rsidP="00100B39">
            <w:pPr>
              <w:pStyle w:val="NoSpacing"/>
              <w:jc w:val="center"/>
              <w:rPr>
                <w:rFonts w:ascii="Times New Roman" w:hAnsi="Times New Roman" w:cs="Times New Roman"/>
                <w:sz w:val="20"/>
                <w:szCs w:val="20"/>
              </w:rPr>
            </w:pPr>
          </w:p>
        </w:tc>
        <w:tc>
          <w:tcPr>
            <w:tcW w:w="1039" w:type="dxa"/>
            <w:tcBorders>
              <w:top w:val="single" w:sz="4" w:space="0" w:color="000000"/>
              <w:left w:val="single" w:sz="4" w:space="0" w:color="000000"/>
              <w:bottom w:val="single" w:sz="4" w:space="0" w:color="000000"/>
              <w:right w:val="single" w:sz="4" w:space="0" w:color="000000"/>
            </w:tcBorders>
          </w:tcPr>
          <w:p w14:paraId="630AEF39"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6C635159" w14:textId="35883B4B" w:rsidTr="00684DBE">
        <w:trPr>
          <w:trHeight w:val="515"/>
        </w:trPr>
        <w:tc>
          <w:tcPr>
            <w:tcW w:w="1730" w:type="dxa"/>
            <w:tcBorders>
              <w:top w:val="single" w:sz="4" w:space="0" w:color="000000"/>
              <w:left w:val="single" w:sz="4" w:space="0" w:color="000000"/>
              <w:bottom w:val="single" w:sz="4" w:space="0" w:color="000000"/>
              <w:right w:val="single" w:sz="4" w:space="0" w:color="000000"/>
            </w:tcBorders>
            <w:hideMark/>
          </w:tcPr>
          <w:p w14:paraId="26C13B48" w14:textId="77777777" w:rsidR="00684DBE" w:rsidRPr="00FA1DCC" w:rsidRDefault="00684DBE"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6. Smoking thresholds</w:t>
            </w:r>
          </w:p>
        </w:tc>
        <w:tc>
          <w:tcPr>
            <w:tcW w:w="1039" w:type="dxa"/>
            <w:tcBorders>
              <w:top w:val="single" w:sz="4" w:space="0" w:color="000000"/>
              <w:left w:val="single" w:sz="4" w:space="0" w:color="000000"/>
              <w:bottom w:val="single" w:sz="4" w:space="0" w:color="000000"/>
              <w:right w:val="single" w:sz="4" w:space="0" w:color="000000"/>
            </w:tcBorders>
            <w:hideMark/>
          </w:tcPr>
          <w:p w14:paraId="5E0BF313"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1041" w:type="dxa"/>
            <w:tcBorders>
              <w:top w:val="single" w:sz="4" w:space="0" w:color="000000"/>
              <w:left w:val="single" w:sz="4" w:space="0" w:color="000000"/>
              <w:bottom w:val="single" w:sz="4" w:space="0" w:color="000000"/>
              <w:right w:val="single" w:sz="4" w:space="0" w:color="000000"/>
            </w:tcBorders>
            <w:hideMark/>
          </w:tcPr>
          <w:p w14:paraId="0B790968"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.06</w:t>
            </w:r>
          </w:p>
        </w:tc>
        <w:tc>
          <w:tcPr>
            <w:tcW w:w="1038" w:type="dxa"/>
            <w:tcBorders>
              <w:top w:val="single" w:sz="4" w:space="0" w:color="000000"/>
              <w:left w:val="single" w:sz="4" w:space="0" w:color="000000"/>
              <w:bottom w:val="single" w:sz="4" w:space="0" w:color="000000"/>
              <w:right w:val="single" w:sz="4" w:space="0" w:color="000000"/>
            </w:tcBorders>
            <w:hideMark/>
          </w:tcPr>
          <w:p w14:paraId="3D6A84AB"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-.26**</w:t>
            </w:r>
          </w:p>
        </w:tc>
        <w:tc>
          <w:tcPr>
            <w:tcW w:w="1039" w:type="dxa"/>
            <w:tcBorders>
              <w:top w:val="single" w:sz="4" w:space="0" w:color="000000"/>
              <w:left w:val="single" w:sz="4" w:space="0" w:color="000000"/>
              <w:bottom w:val="single" w:sz="4" w:space="0" w:color="000000"/>
              <w:right w:val="single" w:sz="4" w:space="0" w:color="000000"/>
            </w:tcBorders>
            <w:hideMark/>
          </w:tcPr>
          <w:p w14:paraId="3A705C34" w14:textId="77777777" w:rsidR="00684DBE" w:rsidRPr="00FA1DCC" w:rsidRDefault="00684DBE" w:rsidP="00100B39">
            <w:pPr>
              <w:pStyle w:val="NoSpacing"/>
              <w:jc w:val="center"/>
              <w:rPr>
                <w:rFonts w:ascii="Times New Roman" w:hAnsi="Times New Roman" w:cs="Times New Roman"/>
                <w:sz w:val="20"/>
                <w:szCs w:val="20"/>
              </w:rPr>
            </w:pPr>
            <w:r>
              <w:rPr>
                <w:rFonts w:ascii="Times New Roman" w:hAnsi="Times New Roman" w:cs="Times New Roman"/>
                <w:sz w:val="20"/>
                <w:szCs w:val="20"/>
              </w:rPr>
              <w:t>-.19</w:t>
            </w:r>
          </w:p>
        </w:tc>
        <w:tc>
          <w:tcPr>
            <w:tcW w:w="1038" w:type="dxa"/>
            <w:tcBorders>
              <w:top w:val="single" w:sz="4" w:space="0" w:color="000000"/>
              <w:left w:val="single" w:sz="4" w:space="0" w:color="000000"/>
              <w:bottom w:val="single" w:sz="4" w:space="0" w:color="000000"/>
              <w:right w:val="single" w:sz="4" w:space="0" w:color="000000"/>
            </w:tcBorders>
            <w:hideMark/>
          </w:tcPr>
          <w:p w14:paraId="038E06B1" w14:textId="77777777" w:rsidR="00684DBE" w:rsidRPr="008B4389" w:rsidRDefault="00684DBE" w:rsidP="00100B39">
            <w:pPr>
              <w:pStyle w:val="NoSpacing"/>
              <w:jc w:val="center"/>
              <w:rPr>
                <w:rFonts w:ascii="Times New Roman" w:hAnsi="Times New Roman" w:cs="Times New Roman"/>
                <w:b/>
                <w:bCs/>
                <w:sz w:val="20"/>
                <w:szCs w:val="20"/>
              </w:rPr>
            </w:pPr>
            <w:r w:rsidRPr="008B4389">
              <w:rPr>
                <w:rFonts w:ascii="Times New Roman" w:hAnsi="Times New Roman" w:cs="Times New Roman"/>
                <w:b/>
                <w:bCs/>
                <w:sz w:val="20"/>
                <w:szCs w:val="20"/>
              </w:rPr>
              <w:t>.54***</w:t>
            </w:r>
          </w:p>
        </w:tc>
        <w:tc>
          <w:tcPr>
            <w:tcW w:w="1039" w:type="dxa"/>
            <w:tcBorders>
              <w:top w:val="single" w:sz="4" w:space="0" w:color="000000"/>
              <w:left w:val="single" w:sz="4" w:space="0" w:color="000000"/>
              <w:bottom w:val="single" w:sz="4" w:space="0" w:color="000000"/>
              <w:right w:val="single" w:sz="4" w:space="0" w:color="000000"/>
            </w:tcBorders>
            <w:hideMark/>
          </w:tcPr>
          <w:p w14:paraId="7AA378EF" w14:textId="77777777" w:rsidR="00684DBE" w:rsidRPr="00FA1DCC" w:rsidRDefault="00684DBE" w:rsidP="00100B39">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39" w:type="dxa"/>
            <w:tcBorders>
              <w:top w:val="single" w:sz="4" w:space="0" w:color="000000"/>
              <w:left w:val="single" w:sz="4" w:space="0" w:color="000000"/>
              <w:bottom w:val="single" w:sz="4" w:space="0" w:color="000000"/>
              <w:right w:val="single" w:sz="4" w:space="0" w:color="000000"/>
            </w:tcBorders>
          </w:tcPr>
          <w:p w14:paraId="46578111" w14:textId="77777777" w:rsidR="00684DBE" w:rsidRPr="00FA1DCC" w:rsidRDefault="00684DBE" w:rsidP="00100B39">
            <w:pPr>
              <w:pStyle w:val="NoSpacing"/>
              <w:jc w:val="center"/>
              <w:rPr>
                <w:rFonts w:ascii="Times New Roman" w:hAnsi="Times New Roman" w:cs="Times New Roman"/>
                <w:sz w:val="20"/>
                <w:szCs w:val="20"/>
              </w:rPr>
            </w:pPr>
          </w:p>
        </w:tc>
      </w:tr>
      <w:tr w:rsidR="00684DBE" w:rsidRPr="00FA1DCC" w14:paraId="58CA8C09" w14:textId="25FF3455" w:rsidTr="00684DBE">
        <w:trPr>
          <w:trHeight w:val="515"/>
        </w:trPr>
        <w:tc>
          <w:tcPr>
            <w:tcW w:w="1730" w:type="dxa"/>
            <w:tcBorders>
              <w:top w:val="single" w:sz="4" w:space="0" w:color="000000"/>
              <w:left w:val="single" w:sz="4" w:space="0" w:color="000000"/>
              <w:bottom w:val="single" w:sz="4" w:space="0" w:color="000000"/>
              <w:right w:val="single" w:sz="4" w:space="0" w:color="000000"/>
            </w:tcBorders>
          </w:tcPr>
          <w:p w14:paraId="0B9B1758" w14:textId="382CF30E" w:rsidR="00684DBE" w:rsidRPr="00FA1DCC" w:rsidRDefault="00684DBE" w:rsidP="00684DBE">
            <w:pPr>
              <w:pStyle w:val="NoSpacing"/>
              <w:rPr>
                <w:rFonts w:ascii="Times New Roman" w:hAnsi="Times New Roman" w:cs="Times New Roman"/>
                <w:sz w:val="18"/>
                <w:szCs w:val="18"/>
              </w:rPr>
            </w:pPr>
            <w:r>
              <w:rPr>
                <w:rFonts w:ascii="Times New Roman" w:hAnsi="Times New Roman" w:cs="Times New Roman"/>
                <w:sz w:val="18"/>
                <w:szCs w:val="18"/>
              </w:rPr>
              <w:t>7. BSCS</w:t>
            </w:r>
          </w:p>
        </w:tc>
        <w:tc>
          <w:tcPr>
            <w:tcW w:w="1039" w:type="dxa"/>
            <w:tcBorders>
              <w:top w:val="single" w:sz="4" w:space="0" w:color="000000"/>
              <w:left w:val="single" w:sz="4" w:space="0" w:color="000000"/>
              <w:bottom w:val="single" w:sz="4" w:space="0" w:color="000000"/>
              <w:right w:val="single" w:sz="4" w:space="0" w:color="000000"/>
            </w:tcBorders>
          </w:tcPr>
          <w:p w14:paraId="57DB439D" w14:textId="0950877F" w:rsidR="00684DBE" w:rsidRDefault="005E21EB" w:rsidP="005E21EB">
            <w:pPr>
              <w:pStyle w:val="NoSpacing"/>
              <w:jc w:val="center"/>
              <w:rPr>
                <w:rFonts w:ascii="Times New Roman" w:hAnsi="Times New Roman" w:cs="Times New Roman"/>
                <w:sz w:val="20"/>
                <w:szCs w:val="20"/>
              </w:rPr>
            </w:pPr>
            <w:r>
              <w:rPr>
                <w:rFonts w:ascii="Times New Roman" w:hAnsi="Times New Roman" w:cs="Times New Roman"/>
                <w:sz w:val="20"/>
                <w:szCs w:val="20"/>
              </w:rPr>
              <w:t>-.06</w:t>
            </w:r>
          </w:p>
        </w:tc>
        <w:tc>
          <w:tcPr>
            <w:tcW w:w="1041" w:type="dxa"/>
            <w:tcBorders>
              <w:top w:val="single" w:sz="4" w:space="0" w:color="000000"/>
              <w:left w:val="single" w:sz="4" w:space="0" w:color="000000"/>
              <w:bottom w:val="single" w:sz="4" w:space="0" w:color="000000"/>
              <w:right w:val="single" w:sz="4" w:space="0" w:color="000000"/>
            </w:tcBorders>
          </w:tcPr>
          <w:p w14:paraId="11BDC42A" w14:textId="11C1B270" w:rsidR="00684DBE" w:rsidRDefault="005E21EB" w:rsidP="005E21EB">
            <w:pPr>
              <w:pStyle w:val="NoSpacing"/>
              <w:jc w:val="center"/>
              <w:rPr>
                <w:rFonts w:ascii="Times New Roman" w:hAnsi="Times New Roman" w:cs="Times New Roman"/>
                <w:sz w:val="20"/>
                <w:szCs w:val="20"/>
              </w:rPr>
            </w:pPr>
            <w:r>
              <w:rPr>
                <w:rFonts w:ascii="Times New Roman" w:hAnsi="Times New Roman" w:cs="Times New Roman"/>
                <w:sz w:val="20"/>
                <w:szCs w:val="20"/>
              </w:rPr>
              <w:t>-.04</w:t>
            </w:r>
          </w:p>
        </w:tc>
        <w:tc>
          <w:tcPr>
            <w:tcW w:w="1038" w:type="dxa"/>
            <w:tcBorders>
              <w:top w:val="single" w:sz="4" w:space="0" w:color="000000"/>
              <w:left w:val="single" w:sz="4" w:space="0" w:color="000000"/>
              <w:bottom w:val="single" w:sz="4" w:space="0" w:color="000000"/>
              <w:right w:val="single" w:sz="4" w:space="0" w:color="000000"/>
            </w:tcBorders>
          </w:tcPr>
          <w:p w14:paraId="381B48D7" w14:textId="152DE72C" w:rsidR="00684DBE" w:rsidRPr="005E21EB" w:rsidRDefault="005E21EB" w:rsidP="005E21EB">
            <w:pPr>
              <w:pStyle w:val="NoSpacing"/>
              <w:jc w:val="center"/>
              <w:rPr>
                <w:rFonts w:ascii="Times New Roman" w:hAnsi="Times New Roman" w:cs="Times New Roman"/>
                <w:sz w:val="20"/>
                <w:szCs w:val="20"/>
              </w:rPr>
            </w:pPr>
            <w:r w:rsidRPr="005E21EB">
              <w:rPr>
                <w:rFonts w:ascii="Times New Roman" w:hAnsi="Times New Roman" w:cs="Times New Roman"/>
                <w:sz w:val="20"/>
                <w:szCs w:val="20"/>
              </w:rPr>
              <w:t>.07</w:t>
            </w:r>
          </w:p>
        </w:tc>
        <w:tc>
          <w:tcPr>
            <w:tcW w:w="1039" w:type="dxa"/>
            <w:tcBorders>
              <w:top w:val="single" w:sz="4" w:space="0" w:color="000000"/>
              <w:left w:val="single" w:sz="4" w:space="0" w:color="000000"/>
              <w:bottom w:val="single" w:sz="4" w:space="0" w:color="000000"/>
              <w:right w:val="single" w:sz="4" w:space="0" w:color="000000"/>
            </w:tcBorders>
          </w:tcPr>
          <w:p w14:paraId="09C621D2" w14:textId="69466C96" w:rsidR="00684DBE" w:rsidRDefault="005E21EB" w:rsidP="005E21EB">
            <w:pPr>
              <w:pStyle w:val="NoSpacing"/>
              <w:jc w:val="center"/>
              <w:rPr>
                <w:rFonts w:ascii="Times New Roman" w:hAnsi="Times New Roman" w:cs="Times New Roman"/>
                <w:sz w:val="20"/>
                <w:szCs w:val="20"/>
              </w:rPr>
            </w:pPr>
            <w:r>
              <w:rPr>
                <w:rFonts w:ascii="Times New Roman" w:hAnsi="Times New Roman" w:cs="Times New Roman"/>
                <w:sz w:val="20"/>
                <w:szCs w:val="20"/>
              </w:rPr>
              <w:t>-.01</w:t>
            </w:r>
          </w:p>
        </w:tc>
        <w:tc>
          <w:tcPr>
            <w:tcW w:w="1038" w:type="dxa"/>
            <w:tcBorders>
              <w:top w:val="single" w:sz="4" w:space="0" w:color="000000"/>
              <w:left w:val="single" w:sz="4" w:space="0" w:color="000000"/>
              <w:bottom w:val="single" w:sz="4" w:space="0" w:color="000000"/>
              <w:right w:val="single" w:sz="4" w:space="0" w:color="000000"/>
            </w:tcBorders>
          </w:tcPr>
          <w:p w14:paraId="110C343B" w14:textId="003BAB0C" w:rsidR="00684DBE" w:rsidRPr="005E21EB" w:rsidRDefault="005E21EB" w:rsidP="005E21EB">
            <w:pPr>
              <w:pStyle w:val="NoSpacing"/>
              <w:jc w:val="center"/>
              <w:rPr>
                <w:rFonts w:ascii="Times New Roman" w:hAnsi="Times New Roman" w:cs="Times New Roman"/>
                <w:sz w:val="20"/>
                <w:szCs w:val="20"/>
              </w:rPr>
            </w:pPr>
            <w:r w:rsidRPr="005E21EB">
              <w:rPr>
                <w:rFonts w:ascii="Times New Roman" w:hAnsi="Times New Roman" w:cs="Times New Roman"/>
                <w:sz w:val="20"/>
                <w:szCs w:val="20"/>
              </w:rPr>
              <w:t>.10</w:t>
            </w:r>
          </w:p>
        </w:tc>
        <w:tc>
          <w:tcPr>
            <w:tcW w:w="1039" w:type="dxa"/>
            <w:tcBorders>
              <w:top w:val="single" w:sz="4" w:space="0" w:color="000000"/>
              <w:left w:val="single" w:sz="4" w:space="0" w:color="000000"/>
              <w:bottom w:val="single" w:sz="4" w:space="0" w:color="000000"/>
              <w:right w:val="single" w:sz="4" w:space="0" w:color="000000"/>
            </w:tcBorders>
          </w:tcPr>
          <w:p w14:paraId="1C3C8517" w14:textId="697F7368" w:rsidR="00684DBE" w:rsidRPr="00FA1DCC" w:rsidRDefault="005E21EB" w:rsidP="005E21EB">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1039" w:type="dxa"/>
            <w:tcBorders>
              <w:top w:val="single" w:sz="4" w:space="0" w:color="000000"/>
              <w:left w:val="single" w:sz="4" w:space="0" w:color="000000"/>
              <w:bottom w:val="single" w:sz="4" w:space="0" w:color="000000"/>
              <w:right w:val="single" w:sz="4" w:space="0" w:color="000000"/>
            </w:tcBorders>
          </w:tcPr>
          <w:p w14:paraId="4A875B79" w14:textId="38C59497" w:rsidR="00684DBE" w:rsidRPr="00FA1DCC" w:rsidRDefault="005E21EB" w:rsidP="002A1E63">
            <w:pPr>
              <w:pStyle w:val="NoSpacing"/>
              <w:jc w:val="center"/>
              <w:rPr>
                <w:rFonts w:ascii="Times New Roman" w:hAnsi="Times New Roman" w:cs="Times New Roman"/>
                <w:sz w:val="20"/>
                <w:szCs w:val="20"/>
              </w:rPr>
            </w:pPr>
            <w:r>
              <w:rPr>
                <w:rFonts w:ascii="Times New Roman" w:hAnsi="Times New Roman" w:cs="Times New Roman"/>
                <w:sz w:val="20"/>
                <w:szCs w:val="20"/>
              </w:rPr>
              <w:t>-</w:t>
            </w:r>
          </w:p>
        </w:tc>
      </w:tr>
    </w:tbl>
    <w:p w14:paraId="68E2342E" w14:textId="18E6E3F5" w:rsidR="0055790C" w:rsidRPr="00FA1DCC" w:rsidRDefault="008B4389" w:rsidP="005E21EB">
      <w:pPr>
        <w:pStyle w:val="NoSpacing"/>
        <w:spacing w:line="480" w:lineRule="auto"/>
        <w:rPr>
          <w:rFonts w:ascii="Times New Roman" w:hAnsi="Times New Roman" w:cs="Times New Roman"/>
        </w:rPr>
      </w:pPr>
      <w:r w:rsidRPr="00EF7C91">
        <w:rPr>
          <w:rFonts w:ascii="Times New Roman" w:hAnsi="Times New Roman" w:cs="Times New Roman"/>
          <w:i/>
          <w:iCs/>
        </w:rPr>
        <w:t>Note</w:t>
      </w:r>
      <w:r>
        <w:rPr>
          <w:rFonts w:ascii="Times New Roman" w:hAnsi="Times New Roman" w:cs="Times New Roman"/>
        </w:rPr>
        <w:t>. *</w:t>
      </w:r>
      <w:r w:rsidRPr="0055790C">
        <w:rPr>
          <w:rFonts w:ascii="Times New Roman" w:hAnsi="Times New Roman" w:cs="Times New Roman"/>
          <w:i/>
          <w:iCs/>
        </w:rPr>
        <w:t>p</w:t>
      </w:r>
      <w:r>
        <w:rPr>
          <w:rFonts w:ascii="Times New Roman" w:hAnsi="Times New Roman" w:cs="Times New Roman"/>
        </w:rPr>
        <w:t xml:space="preserve"> &lt; .05*, **</w:t>
      </w:r>
      <w:r w:rsidRPr="0055790C">
        <w:rPr>
          <w:rFonts w:ascii="Times New Roman" w:hAnsi="Times New Roman" w:cs="Times New Roman"/>
          <w:i/>
          <w:iCs/>
        </w:rPr>
        <w:t>p</w:t>
      </w:r>
      <w:r>
        <w:rPr>
          <w:rFonts w:ascii="Times New Roman" w:hAnsi="Times New Roman" w:cs="Times New Roman"/>
        </w:rPr>
        <w:t>&lt;.01, ***</w:t>
      </w:r>
      <w:r w:rsidRPr="0055790C">
        <w:rPr>
          <w:rFonts w:ascii="Times New Roman" w:hAnsi="Times New Roman" w:cs="Times New Roman"/>
          <w:i/>
          <w:iCs/>
        </w:rPr>
        <w:t>p</w:t>
      </w:r>
      <w:r>
        <w:rPr>
          <w:rFonts w:ascii="Times New Roman" w:hAnsi="Times New Roman" w:cs="Times New Roman"/>
        </w:rPr>
        <w:t>&lt;.001</w:t>
      </w:r>
    </w:p>
    <w:p w14:paraId="48F8B01D" w14:textId="5D977947" w:rsidR="0055790C" w:rsidRPr="00FA1DCC" w:rsidRDefault="0055790C" w:rsidP="005E21EB">
      <w:pPr>
        <w:pStyle w:val="NoSpacing"/>
        <w:spacing w:line="480" w:lineRule="auto"/>
        <w:rPr>
          <w:rFonts w:ascii="Times New Roman" w:hAnsi="Times New Roman" w:cs="Times New Roman"/>
        </w:rPr>
      </w:pPr>
      <w:r w:rsidRPr="00FA1DCC">
        <w:rPr>
          <w:rFonts w:ascii="Times New Roman" w:hAnsi="Times New Roman" w:cs="Times New Roman"/>
        </w:rPr>
        <w:t>As reported in table S7.2, the</w:t>
      </w:r>
      <w:r w:rsidR="00684DBE">
        <w:rPr>
          <w:rFonts w:ascii="Times New Roman" w:hAnsi="Times New Roman" w:cs="Times New Roman"/>
        </w:rPr>
        <w:t xml:space="preserve">re is a negative correlation between </w:t>
      </w:r>
      <w:r w:rsidRPr="00FA1DCC">
        <w:rPr>
          <w:rFonts w:ascii="Times New Roman" w:hAnsi="Times New Roman" w:cs="Times New Roman"/>
        </w:rPr>
        <w:t xml:space="preserve">AUC scores and </w:t>
      </w:r>
      <w:r w:rsidR="00684DBE">
        <w:rPr>
          <w:rFonts w:ascii="Times New Roman" w:hAnsi="Times New Roman" w:cs="Times New Roman"/>
        </w:rPr>
        <w:t xml:space="preserve">EA rates for tobacco. </w:t>
      </w:r>
      <w:r w:rsidRPr="00FA1DCC">
        <w:rPr>
          <w:rFonts w:ascii="Times New Roman" w:hAnsi="Times New Roman" w:cs="Times New Roman"/>
        </w:rPr>
        <w:t xml:space="preserve">In other words, </w:t>
      </w:r>
      <w:r w:rsidR="00684DBE">
        <w:rPr>
          <w:rFonts w:ascii="Times New Roman" w:hAnsi="Times New Roman" w:cs="Times New Roman"/>
        </w:rPr>
        <w:t xml:space="preserve">higher levels of conflict correspond to lower levels of evidence accumulation </w:t>
      </w:r>
      <w:r w:rsidRPr="00FA1DCC">
        <w:rPr>
          <w:rFonts w:ascii="Times New Roman" w:hAnsi="Times New Roman" w:cs="Times New Roman"/>
        </w:rPr>
        <w:t xml:space="preserve">(Figure </w:t>
      </w:r>
      <w:r>
        <w:rPr>
          <w:rFonts w:ascii="Times New Roman" w:hAnsi="Times New Roman" w:cs="Times New Roman"/>
        </w:rPr>
        <w:t>S7.1</w:t>
      </w:r>
      <w:r w:rsidRPr="00FA1DCC">
        <w:rPr>
          <w:rFonts w:ascii="Times New Roman" w:hAnsi="Times New Roman" w:cs="Times New Roman"/>
        </w:rPr>
        <w:t xml:space="preserve">). Furthermore, we found no significant correlation between self-reported self-control and AUC scores, or any of the DDM parameters. </w:t>
      </w:r>
    </w:p>
    <w:p w14:paraId="16305D7A" w14:textId="77777777" w:rsidR="00100B39" w:rsidRPr="003A7189" w:rsidRDefault="00100B39" w:rsidP="0055790C">
      <w:pPr>
        <w:pStyle w:val="NoSpacing"/>
      </w:pPr>
    </w:p>
    <w:p w14:paraId="310A24CB" w14:textId="77777777" w:rsidR="0055790C" w:rsidRPr="001741FB" w:rsidRDefault="0055790C" w:rsidP="0055790C">
      <w:pPr>
        <w:pStyle w:val="NoSpacing"/>
        <w:spacing w:line="480" w:lineRule="auto"/>
        <w:rPr>
          <w:rFonts w:ascii="Times New Roman" w:hAnsi="Times New Roman" w:cs="Times New Roman"/>
          <w:b/>
          <w:bCs/>
        </w:rPr>
      </w:pPr>
      <w:r w:rsidRPr="001741FB">
        <w:rPr>
          <w:rFonts w:ascii="Times New Roman" w:hAnsi="Times New Roman" w:cs="Times New Roman"/>
          <w:b/>
          <w:bCs/>
        </w:rPr>
        <w:t>Figure S7.1</w:t>
      </w:r>
    </w:p>
    <w:p w14:paraId="6D32450D" w14:textId="77777777" w:rsidR="0055790C" w:rsidRPr="001741FB" w:rsidRDefault="0055790C" w:rsidP="0055790C">
      <w:pPr>
        <w:pStyle w:val="NoSpacing"/>
        <w:spacing w:line="480" w:lineRule="auto"/>
        <w:rPr>
          <w:rFonts w:ascii="Times New Roman" w:hAnsi="Times New Roman" w:cs="Times New Roman"/>
        </w:rPr>
      </w:pPr>
      <w:r w:rsidRPr="001741FB">
        <w:rPr>
          <w:rFonts w:ascii="Times New Roman" w:hAnsi="Times New Roman" w:cs="Times New Roman"/>
          <w:i/>
          <w:iCs/>
        </w:rPr>
        <w:t>A scatterplot to show the correlation between smoking conflict and smoking evidence accumulation rates</w:t>
      </w:r>
    </w:p>
    <w:p w14:paraId="3C90049A" w14:textId="77777777" w:rsidR="0055790C" w:rsidRPr="003A7189" w:rsidRDefault="0055790C" w:rsidP="0055790C">
      <w:pPr>
        <w:pStyle w:val="NoSpacing"/>
        <w:jc w:val="center"/>
      </w:pPr>
      <w:r>
        <w:rPr>
          <w:noProof/>
        </w:rPr>
        <w:lastRenderedPageBreak/>
        <w:drawing>
          <wp:inline distT="0" distB="0" distL="0" distR="0" wp14:anchorId="5C6C10D1" wp14:editId="38CE0668">
            <wp:extent cx="3560445" cy="2804160"/>
            <wp:effectExtent l="0" t="0" r="1905" b="0"/>
            <wp:docPr id="55" name="Picture 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 scatter char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60445" cy="2804160"/>
                    </a:xfrm>
                    <a:prstGeom prst="rect">
                      <a:avLst/>
                    </a:prstGeom>
                    <a:noFill/>
                  </pic:spPr>
                </pic:pic>
              </a:graphicData>
            </a:graphic>
          </wp:inline>
        </w:drawing>
      </w:r>
    </w:p>
    <w:p w14:paraId="7C0D4B9A" w14:textId="77777777" w:rsidR="0055790C" w:rsidRPr="001741FB" w:rsidRDefault="0055790C" w:rsidP="0055790C">
      <w:pPr>
        <w:pStyle w:val="NoSpacing"/>
        <w:rPr>
          <w:rFonts w:asciiTheme="majorBidi" w:hAnsiTheme="majorBidi" w:cstheme="majorBidi"/>
        </w:rPr>
      </w:pPr>
      <w:r w:rsidRPr="001741FB">
        <w:rPr>
          <w:rFonts w:asciiTheme="majorBidi" w:hAnsiTheme="majorBidi" w:cstheme="majorBidi"/>
          <w:i/>
          <w:iCs/>
        </w:rPr>
        <w:t>Note</w:t>
      </w:r>
      <w:r w:rsidRPr="001741FB">
        <w:rPr>
          <w:rFonts w:asciiTheme="majorBidi" w:hAnsiTheme="majorBidi" w:cstheme="majorBidi"/>
        </w:rPr>
        <w:t>. Shaded area represents the 95% CI.</w:t>
      </w:r>
    </w:p>
    <w:p w14:paraId="251A53F9" w14:textId="77777777" w:rsidR="0055790C" w:rsidRPr="003A7189" w:rsidRDefault="0055790C" w:rsidP="0055790C">
      <w:pPr>
        <w:pStyle w:val="NoSpacing"/>
      </w:pPr>
    </w:p>
    <w:p w14:paraId="71CCD180" w14:textId="77777777" w:rsidR="0055790C" w:rsidRPr="0055790C" w:rsidRDefault="0055790C" w:rsidP="0055790C">
      <w:pPr>
        <w:pStyle w:val="NoSpacing"/>
        <w:spacing w:line="480" w:lineRule="auto"/>
        <w:rPr>
          <w:rFonts w:ascii="Times New Roman" w:hAnsi="Times New Roman" w:cs="Times New Roman"/>
        </w:rPr>
      </w:pPr>
    </w:p>
    <w:p w14:paraId="71936E54" w14:textId="0308999A" w:rsidR="00100B39" w:rsidRPr="0055790C" w:rsidRDefault="0055790C" w:rsidP="00100B39">
      <w:pPr>
        <w:pStyle w:val="NoSpacing"/>
        <w:spacing w:line="480" w:lineRule="auto"/>
        <w:rPr>
          <w:rFonts w:ascii="Times New Roman" w:hAnsi="Times New Roman" w:cs="Times New Roman"/>
        </w:rPr>
      </w:pPr>
      <w:r w:rsidRPr="0055790C">
        <w:rPr>
          <w:rFonts w:ascii="Times New Roman" w:hAnsi="Times New Roman" w:cs="Times New Roman"/>
        </w:rPr>
        <w:t>Next</w:t>
      </w:r>
      <w:r w:rsidR="00100B39">
        <w:rPr>
          <w:rFonts w:ascii="Times New Roman" w:hAnsi="Times New Roman" w:cs="Times New Roman"/>
        </w:rPr>
        <w:t>,</w:t>
      </w:r>
      <w:r w:rsidRPr="0055790C">
        <w:rPr>
          <w:rFonts w:ascii="Times New Roman" w:hAnsi="Times New Roman" w:cs="Times New Roman"/>
        </w:rPr>
        <w:t xml:space="preserve"> correlations split by smoker status</w:t>
      </w:r>
      <w:r w:rsidR="00100B39">
        <w:rPr>
          <w:rFonts w:ascii="Times New Roman" w:hAnsi="Times New Roman" w:cs="Times New Roman"/>
        </w:rPr>
        <w:t>:</w:t>
      </w:r>
    </w:p>
    <w:p w14:paraId="224C69BE" w14:textId="3DA75B09" w:rsidR="00601EB4" w:rsidRDefault="00601EB4" w:rsidP="0055790C">
      <w:pPr>
        <w:pStyle w:val="NoSpacing"/>
        <w:spacing w:line="480" w:lineRule="auto"/>
        <w:rPr>
          <w:rFonts w:ascii="Times New Roman" w:hAnsi="Times New Roman" w:cs="Times New Roman"/>
          <w:b/>
          <w:bCs/>
        </w:rPr>
      </w:pPr>
      <w:r w:rsidRPr="00FA1DCC">
        <w:rPr>
          <w:rFonts w:ascii="Times New Roman" w:hAnsi="Times New Roman" w:cs="Times New Roman"/>
          <w:b/>
          <w:bCs/>
        </w:rPr>
        <w:t>Table S7.</w:t>
      </w:r>
      <w:r w:rsidR="0055790C">
        <w:rPr>
          <w:rFonts w:ascii="Times New Roman" w:hAnsi="Times New Roman" w:cs="Times New Roman"/>
          <w:b/>
          <w:bCs/>
        </w:rPr>
        <w:t>3</w:t>
      </w:r>
    </w:p>
    <w:p w14:paraId="68816EF2" w14:textId="77777777" w:rsidR="00601EB4" w:rsidRPr="00FA1DCC" w:rsidRDefault="00601EB4" w:rsidP="0055790C">
      <w:pPr>
        <w:pStyle w:val="NoSpacing"/>
        <w:spacing w:line="480" w:lineRule="auto"/>
        <w:rPr>
          <w:rFonts w:ascii="Times New Roman" w:hAnsi="Times New Roman" w:cs="Times New Roman"/>
          <w:b/>
          <w:bCs/>
        </w:rPr>
      </w:pPr>
      <w:r w:rsidRPr="00FA1DCC">
        <w:rPr>
          <w:rFonts w:ascii="Times New Roman" w:hAnsi="Times New Roman" w:cs="Times New Roman"/>
          <w:i/>
          <w:iCs/>
        </w:rPr>
        <w:t>Correlations between DDM parameters, area under the curve scores (AUC), and self-report questionnaire variables</w:t>
      </w:r>
      <w:sdt>
        <w:sdtPr>
          <w:rPr>
            <w:rFonts w:ascii="Times New Roman" w:hAnsi="Times New Roman" w:cs="Times New Roman"/>
            <w:i/>
            <w:iCs/>
          </w:rPr>
          <w:tag w:val="goog_rdk_30"/>
          <w:id w:val="-68580620"/>
        </w:sdtPr>
        <w:sdtContent/>
      </w:sdt>
      <w:r>
        <w:rPr>
          <w:rFonts w:ascii="Times New Roman" w:hAnsi="Times New Roman" w:cs="Times New Roman"/>
          <w:i/>
          <w:iCs/>
        </w:rPr>
        <w:t xml:space="preserve"> in current-smokers</w:t>
      </w: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0"/>
        <w:gridCol w:w="788"/>
        <w:gridCol w:w="789"/>
        <w:gridCol w:w="936"/>
        <w:gridCol w:w="639"/>
        <w:gridCol w:w="787"/>
        <w:gridCol w:w="788"/>
        <w:gridCol w:w="787"/>
        <w:gridCol w:w="788"/>
        <w:gridCol w:w="892"/>
        <w:gridCol w:w="721"/>
      </w:tblGrid>
      <w:tr w:rsidR="00601EB4" w:rsidRPr="00FA1DCC" w14:paraId="4066AAD5" w14:textId="77777777" w:rsidTr="002A1E63">
        <w:trPr>
          <w:trHeight w:val="301"/>
        </w:trPr>
        <w:tc>
          <w:tcPr>
            <w:tcW w:w="1310" w:type="dxa"/>
            <w:tcBorders>
              <w:top w:val="single" w:sz="4" w:space="0" w:color="000000"/>
              <w:left w:val="single" w:sz="4" w:space="0" w:color="000000"/>
              <w:bottom w:val="single" w:sz="4" w:space="0" w:color="000000"/>
              <w:right w:val="single" w:sz="4" w:space="0" w:color="000000"/>
            </w:tcBorders>
          </w:tcPr>
          <w:p w14:paraId="488A1A59" w14:textId="77777777" w:rsidR="00601EB4" w:rsidRPr="00FA1DCC" w:rsidRDefault="00601EB4" w:rsidP="002A1E63">
            <w:pPr>
              <w:pStyle w:val="NoSpacing"/>
              <w:rPr>
                <w:rFonts w:ascii="Times New Roman" w:hAnsi="Times New Roman" w:cs="Times New Roman"/>
              </w:rPr>
            </w:pPr>
          </w:p>
        </w:tc>
        <w:tc>
          <w:tcPr>
            <w:tcW w:w="788" w:type="dxa"/>
            <w:tcBorders>
              <w:top w:val="single" w:sz="4" w:space="0" w:color="000000"/>
              <w:left w:val="single" w:sz="4" w:space="0" w:color="000000"/>
              <w:bottom w:val="single" w:sz="4" w:space="0" w:color="000000"/>
              <w:right w:val="single" w:sz="4" w:space="0" w:color="000000"/>
            </w:tcBorders>
            <w:hideMark/>
          </w:tcPr>
          <w:p w14:paraId="75219967"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1</w:t>
            </w:r>
          </w:p>
        </w:tc>
        <w:tc>
          <w:tcPr>
            <w:tcW w:w="789" w:type="dxa"/>
            <w:tcBorders>
              <w:top w:val="single" w:sz="4" w:space="0" w:color="000000"/>
              <w:left w:val="single" w:sz="4" w:space="0" w:color="000000"/>
              <w:bottom w:val="single" w:sz="4" w:space="0" w:color="000000"/>
              <w:right w:val="single" w:sz="4" w:space="0" w:color="000000"/>
            </w:tcBorders>
            <w:hideMark/>
          </w:tcPr>
          <w:p w14:paraId="2506F2CA"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2</w:t>
            </w:r>
          </w:p>
        </w:tc>
        <w:tc>
          <w:tcPr>
            <w:tcW w:w="936" w:type="dxa"/>
            <w:tcBorders>
              <w:top w:val="single" w:sz="4" w:space="0" w:color="000000"/>
              <w:left w:val="single" w:sz="4" w:space="0" w:color="000000"/>
              <w:bottom w:val="single" w:sz="4" w:space="0" w:color="000000"/>
              <w:right w:val="single" w:sz="4" w:space="0" w:color="000000"/>
            </w:tcBorders>
            <w:hideMark/>
          </w:tcPr>
          <w:p w14:paraId="169CF84A"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3</w:t>
            </w:r>
          </w:p>
        </w:tc>
        <w:tc>
          <w:tcPr>
            <w:tcW w:w="639" w:type="dxa"/>
            <w:tcBorders>
              <w:top w:val="single" w:sz="4" w:space="0" w:color="000000"/>
              <w:left w:val="single" w:sz="4" w:space="0" w:color="000000"/>
              <w:bottom w:val="single" w:sz="4" w:space="0" w:color="000000"/>
              <w:right w:val="single" w:sz="4" w:space="0" w:color="000000"/>
            </w:tcBorders>
            <w:hideMark/>
          </w:tcPr>
          <w:p w14:paraId="1EEDFE9C"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4</w:t>
            </w:r>
          </w:p>
        </w:tc>
        <w:tc>
          <w:tcPr>
            <w:tcW w:w="787" w:type="dxa"/>
            <w:tcBorders>
              <w:top w:val="single" w:sz="4" w:space="0" w:color="000000"/>
              <w:left w:val="single" w:sz="4" w:space="0" w:color="000000"/>
              <w:bottom w:val="single" w:sz="4" w:space="0" w:color="000000"/>
              <w:right w:val="single" w:sz="4" w:space="0" w:color="000000"/>
            </w:tcBorders>
            <w:hideMark/>
          </w:tcPr>
          <w:p w14:paraId="2B4D6457"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5</w:t>
            </w:r>
          </w:p>
        </w:tc>
        <w:tc>
          <w:tcPr>
            <w:tcW w:w="788" w:type="dxa"/>
            <w:tcBorders>
              <w:top w:val="single" w:sz="4" w:space="0" w:color="000000"/>
              <w:left w:val="single" w:sz="4" w:space="0" w:color="000000"/>
              <w:bottom w:val="single" w:sz="4" w:space="0" w:color="000000"/>
              <w:right w:val="single" w:sz="4" w:space="0" w:color="000000"/>
            </w:tcBorders>
            <w:hideMark/>
          </w:tcPr>
          <w:p w14:paraId="530F23E3"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6</w:t>
            </w:r>
          </w:p>
        </w:tc>
        <w:tc>
          <w:tcPr>
            <w:tcW w:w="787" w:type="dxa"/>
            <w:tcBorders>
              <w:top w:val="single" w:sz="4" w:space="0" w:color="000000"/>
              <w:left w:val="single" w:sz="4" w:space="0" w:color="000000"/>
              <w:bottom w:val="single" w:sz="4" w:space="0" w:color="000000"/>
              <w:right w:val="single" w:sz="4" w:space="0" w:color="000000"/>
            </w:tcBorders>
            <w:hideMark/>
          </w:tcPr>
          <w:p w14:paraId="06E0A3D8"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7</w:t>
            </w:r>
          </w:p>
        </w:tc>
        <w:tc>
          <w:tcPr>
            <w:tcW w:w="788" w:type="dxa"/>
            <w:tcBorders>
              <w:top w:val="single" w:sz="4" w:space="0" w:color="000000"/>
              <w:left w:val="single" w:sz="4" w:space="0" w:color="000000"/>
              <w:bottom w:val="single" w:sz="4" w:space="0" w:color="000000"/>
              <w:right w:val="single" w:sz="4" w:space="0" w:color="000000"/>
            </w:tcBorders>
            <w:hideMark/>
          </w:tcPr>
          <w:p w14:paraId="72FA49EA"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8</w:t>
            </w:r>
          </w:p>
        </w:tc>
        <w:tc>
          <w:tcPr>
            <w:tcW w:w="892" w:type="dxa"/>
            <w:tcBorders>
              <w:top w:val="single" w:sz="4" w:space="0" w:color="000000"/>
              <w:left w:val="single" w:sz="4" w:space="0" w:color="000000"/>
              <w:bottom w:val="single" w:sz="4" w:space="0" w:color="000000"/>
              <w:right w:val="single" w:sz="4" w:space="0" w:color="000000"/>
            </w:tcBorders>
            <w:hideMark/>
          </w:tcPr>
          <w:p w14:paraId="06F29BE9"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9</w:t>
            </w:r>
          </w:p>
        </w:tc>
        <w:tc>
          <w:tcPr>
            <w:tcW w:w="721" w:type="dxa"/>
            <w:tcBorders>
              <w:top w:val="single" w:sz="4" w:space="0" w:color="000000"/>
              <w:left w:val="single" w:sz="4" w:space="0" w:color="000000"/>
              <w:bottom w:val="single" w:sz="4" w:space="0" w:color="000000"/>
              <w:right w:val="single" w:sz="4" w:space="0" w:color="000000"/>
            </w:tcBorders>
            <w:hideMark/>
          </w:tcPr>
          <w:p w14:paraId="2453DD8A" w14:textId="77777777" w:rsidR="00601EB4" w:rsidRPr="00336477" w:rsidRDefault="00601EB4" w:rsidP="002A1E63">
            <w:pPr>
              <w:pStyle w:val="NoSpacing"/>
              <w:jc w:val="center"/>
              <w:rPr>
                <w:rFonts w:ascii="Times New Roman" w:hAnsi="Times New Roman" w:cs="Times New Roman"/>
                <w:sz w:val="20"/>
                <w:szCs w:val="20"/>
              </w:rPr>
            </w:pPr>
            <w:r w:rsidRPr="00336477">
              <w:rPr>
                <w:rFonts w:ascii="Times New Roman" w:hAnsi="Times New Roman" w:cs="Times New Roman"/>
                <w:sz w:val="20"/>
                <w:szCs w:val="20"/>
              </w:rPr>
              <w:t>10</w:t>
            </w:r>
          </w:p>
        </w:tc>
      </w:tr>
      <w:tr w:rsidR="00601EB4" w:rsidRPr="00FA1DCC" w14:paraId="0ED326CA" w14:textId="77777777" w:rsidTr="002A1E63">
        <w:trPr>
          <w:trHeight w:val="551"/>
        </w:trPr>
        <w:tc>
          <w:tcPr>
            <w:tcW w:w="1310" w:type="dxa"/>
            <w:tcBorders>
              <w:top w:val="single" w:sz="4" w:space="0" w:color="000000"/>
              <w:left w:val="single" w:sz="4" w:space="0" w:color="000000"/>
              <w:bottom w:val="single" w:sz="4" w:space="0" w:color="000000"/>
              <w:right w:val="single" w:sz="4" w:space="0" w:color="000000"/>
            </w:tcBorders>
            <w:hideMark/>
          </w:tcPr>
          <w:p w14:paraId="3DB493F5"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1. Animal AUC</w:t>
            </w:r>
          </w:p>
        </w:tc>
        <w:tc>
          <w:tcPr>
            <w:tcW w:w="788" w:type="dxa"/>
            <w:tcBorders>
              <w:top w:val="single" w:sz="4" w:space="0" w:color="000000"/>
              <w:left w:val="single" w:sz="4" w:space="0" w:color="000000"/>
              <w:bottom w:val="single" w:sz="4" w:space="0" w:color="000000"/>
              <w:right w:val="single" w:sz="4" w:space="0" w:color="000000"/>
            </w:tcBorders>
            <w:hideMark/>
          </w:tcPr>
          <w:p w14:paraId="539CEB08"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89" w:type="dxa"/>
            <w:tcBorders>
              <w:top w:val="single" w:sz="4" w:space="0" w:color="000000"/>
              <w:left w:val="single" w:sz="4" w:space="0" w:color="000000"/>
              <w:bottom w:val="single" w:sz="4" w:space="0" w:color="000000"/>
              <w:right w:val="single" w:sz="4" w:space="0" w:color="000000"/>
            </w:tcBorders>
          </w:tcPr>
          <w:p w14:paraId="45F16141" w14:textId="77777777" w:rsidR="00601EB4" w:rsidRPr="00FA1DCC" w:rsidRDefault="00601EB4" w:rsidP="002A1E63">
            <w:pPr>
              <w:pStyle w:val="NoSpacing"/>
              <w:jc w:val="center"/>
              <w:rPr>
                <w:rFonts w:ascii="Times New Roman" w:hAnsi="Times New Roman" w:cs="Times New Roman"/>
                <w:sz w:val="20"/>
                <w:szCs w:val="20"/>
              </w:rPr>
            </w:pPr>
          </w:p>
        </w:tc>
        <w:tc>
          <w:tcPr>
            <w:tcW w:w="936" w:type="dxa"/>
            <w:tcBorders>
              <w:top w:val="single" w:sz="4" w:space="0" w:color="000000"/>
              <w:left w:val="single" w:sz="4" w:space="0" w:color="000000"/>
              <w:bottom w:val="single" w:sz="4" w:space="0" w:color="000000"/>
              <w:right w:val="single" w:sz="4" w:space="0" w:color="000000"/>
            </w:tcBorders>
          </w:tcPr>
          <w:p w14:paraId="582CE22A" w14:textId="77777777" w:rsidR="00601EB4" w:rsidRPr="00FA1DCC" w:rsidRDefault="00601EB4" w:rsidP="002A1E63">
            <w:pPr>
              <w:pStyle w:val="NoSpacing"/>
              <w:jc w:val="center"/>
              <w:rPr>
                <w:rFonts w:ascii="Times New Roman" w:hAnsi="Times New Roman" w:cs="Times New Roman"/>
                <w:sz w:val="20"/>
                <w:szCs w:val="20"/>
              </w:rPr>
            </w:pPr>
          </w:p>
        </w:tc>
        <w:tc>
          <w:tcPr>
            <w:tcW w:w="639" w:type="dxa"/>
            <w:tcBorders>
              <w:top w:val="single" w:sz="4" w:space="0" w:color="000000"/>
              <w:left w:val="single" w:sz="4" w:space="0" w:color="000000"/>
              <w:bottom w:val="single" w:sz="4" w:space="0" w:color="000000"/>
              <w:right w:val="single" w:sz="4" w:space="0" w:color="000000"/>
            </w:tcBorders>
          </w:tcPr>
          <w:p w14:paraId="4CED4025"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44C2B1F1"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7C3156F8"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0BE261EE"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06D3A86D"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00F12396"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3DEED7A2"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52F42087" w14:textId="77777777" w:rsidTr="002A1E63">
        <w:trPr>
          <w:trHeight w:val="551"/>
        </w:trPr>
        <w:tc>
          <w:tcPr>
            <w:tcW w:w="1310" w:type="dxa"/>
            <w:tcBorders>
              <w:top w:val="single" w:sz="4" w:space="0" w:color="000000"/>
              <w:left w:val="single" w:sz="4" w:space="0" w:color="000000"/>
              <w:bottom w:val="single" w:sz="4" w:space="0" w:color="000000"/>
              <w:right w:val="single" w:sz="4" w:space="0" w:color="000000"/>
            </w:tcBorders>
            <w:hideMark/>
          </w:tcPr>
          <w:p w14:paraId="5583D684"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2. Smoking AUC</w:t>
            </w:r>
          </w:p>
        </w:tc>
        <w:tc>
          <w:tcPr>
            <w:tcW w:w="788" w:type="dxa"/>
            <w:tcBorders>
              <w:top w:val="single" w:sz="4" w:space="0" w:color="000000"/>
              <w:left w:val="single" w:sz="4" w:space="0" w:color="000000"/>
              <w:bottom w:val="single" w:sz="4" w:space="0" w:color="000000"/>
              <w:right w:val="single" w:sz="4" w:space="0" w:color="000000"/>
            </w:tcBorders>
            <w:hideMark/>
          </w:tcPr>
          <w:p w14:paraId="3DC97C91" w14:textId="77777777" w:rsidR="00601EB4" w:rsidRPr="00302879" w:rsidRDefault="00601EB4" w:rsidP="002A1E63">
            <w:pPr>
              <w:pStyle w:val="NoSpacing"/>
              <w:jc w:val="center"/>
              <w:rPr>
                <w:rFonts w:ascii="Times New Roman" w:hAnsi="Times New Roman" w:cs="Times New Roman"/>
                <w:b/>
                <w:bCs/>
                <w:sz w:val="20"/>
                <w:szCs w:val="20"/>
              </w:rPr>
            </w:pPr>
            <w:r w:rsidRPr="00302879">
              <w:rPr>
                <w:rFonts w:ascii="Times New Roman" w:hAnsi="Times New Roman" w:cs="Times New Roman"/>
                <w:b/>
                <w:bCs/>
                <w:sz w:val="20"/>
                <w:szCs w:val="20"/>
              </w:rPr>
              <w:t>.77***</w:t>
            </w:r>
          </w:p>
        </w:tc>
        <w:tc>
          <w:tcPr>
            <w:tcW w:w="789" w:type="dxa"/>
            <w:tcBorders>
              <w:top w:val="single" w:sz="4" w:space="0" w:color="000000"/>
              <w:left w:val="single" w:sz="4" w:space="0" w:color="000000"/>
              <w:bottom w:val="single" w:sz="4" w:space="0" w:color="000000"/>
              <w:right w:val="single" w:sz="4" w:space="0" w:color="000000"/>
            </w:tcBorders>
            <w:hideMark/>
          </w:tcPr>
          <w:p w14:paraId="75BC8EC1"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936" w:type="dxa"/>
            <w:tcBorders>
              <w:top w:val="single" w:sz="4" w:space="0" w:color="000000"/>
              <w:left w:val="single" w:sz="4" w:space="0" w:color="000000"/>
              <w:bottom w:val="single" w:sz="4" w:space="0" w:color="000000"/>
              <w:right w:val="single" w:sz="4" w:space="0" w:color="000000"/>
            </w:tcBorders>
          </w:tcPr>
          <w:p w14:paraId="5DBD7846" w14:textId="77777777" w:rsidR="00601EB4" w:rsidRPr="00FA1DCC" w:rsidRDefault="00601EB4" w:rsidP="002A1E63">
            <w:pPr>
              <w:pStyle w:val="NoSpacing"/>
              <w:jc w:val="center"/>
              <w:rPr>
                <w:rFonts w:ascii="Times New Roman" w:hAnsi="Times New Roman" w:cs="Times New Roman"/>
                <w:sz w:val="20"/>
                <w:szCs w:val="20"/>
              </w:rPr>
            </w:pPr>
          </w:p>
        </w:tc>
        <w:tc>
          <w:tcPr>
            <w:tcW w:w="639" w:type="dxa"/>
            <w:tcBorders>
              <w:top w:val="single" w:sz="4" w:space="0" w:color="000000"/>
              <w:left w:val="single" w:sz="4" w:space="0" w:color="000000"/>
              <w:bottom w:val="single" w:sz="4" w:space="0" w:color="000000"/>
              <w:right w:val="single" w:sz="4" w:space="0" w:color="000000"/>
            </w:tcBorders>
          </w:tcPr>
          <w:p w14:paraId="48BC0081"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6F6C1DFE"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21C77DE8"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7D35DEA8"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16ABC7C6"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571BAA68"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5B652974"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6517B13C" w14:textId="77777777" w:rsidTr="002A1E63">
        <w:trPr>
          <w:trHeight w:val="505"/>
        </w:trPr>
        <w:tc>
          <w:tcPr>
            <w:tcW w:w="1310" w:type="dxa"/>
            <w:tcBorders>
              <w:top w:val="single" w:sz="4" w:space="0" w:color="000000"/>
              <w:left w:val="single" w:sz="4" w:space="0" w:color="000000"/>
              <w:bottom w:val="single" w:sz="4" w:space="0" w:color="000000"/>
              <w:right w:val="single" w:sz="4" w:space="0" w:color="000000"/>
            </w:tcBorders>
            <w:hideMark/>
          </w:tcPr>
          <w:p w14:paraId="7A90CFA1"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3. Animal EA rates</w:t>
            </w:r>
          </w:p>
        </w:tc>
        <w:tc>
          <w:tcPr>
            <w:tcW w:w="788" w:type="dxa"/>
            <w:tcBorders>
              <w:top w:val="single" w:sz="4" w:space="0" w:color="000000"/>
              <w:left w:val="single" w:sz="4" w:space="0" w:color="000000"/>
              <w:bottom w:val="single" w:sz="4" w:space="0" w:color="000000"/>
              <w:right w:val="single" w:sz="4" w:space="0" w:color="000000"/>
            </w:tcBorders>
            <w:hideMark/>
          </w:tcPr>
          <w:p w14:paraId="207A459B"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-.00</w:t>
            </w:r>
          </w:p>
        </w:tc>
        <w:tc>
          <w:tcPr>
            <w:tcW w:w="789" w:type="dxa"/>
            <w:tcBorders>
              <w:top w:val="single" w:sz="4" w:space="0" w:color="000000"/>
              <w:left w:val="single" w:sz="4" w:space="0" w:color="000000"/>
              <w:bottom w:val="single" w:sz="4" w:space="0" w:color="000000"/>
              <w:right w:val="single" w:sz="4" w:space="0" w:color="000000"/>
            </w:tcBorders>
            <w:hideMark/>
          </w:tcPr>
          <w:p w14:paraId="0DCD175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936" w:type="dxa"/>
            <w:tcBorders>
              <w:top w:val="single" w:sz="4" w:space="0" w:color="000000"/>
              <w:left w:val="single" w:sz="4" w:space="0" w:color="000000"/>
              <w:bottom w:val="single" w:sz="4" w:space="0" w:color="000000"/>
              <w:right w:val="single" w:sz="4" w:space="0" w:color="000000"/>
            </w:tcBorders>
            <w:hideMark/>
          </w:tcPr>
          <w:p w14:paraId="10060C47"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639" w:type="dxa"/>
            <w:tcBorders>
              <w:top w:val="single" w:sz="4" w:space="0" w:color="000000"/>
              <w:left w:val="single" w:sz="4" w:space="0" w:color="000000"/>
              <w:bottom w:val="single" w:sz="4" w:space="0" w:color="000000"/>
              <w:right w:val="single" w:sz="4" w:space="0" w:color="000000"/>
            </w:tcBorders>
          </w:tcPr>
          <w:p w14:paraId="5311A9D4"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67AD0008"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72E720D3"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27E32A67"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50DE6CB0"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7FFC6969"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1164DA4F"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30FB27FC" w14:textId="77777777" w:rsidTr="002A1E63">
        <w:trPr>
          <w:trHeight w:val="576"/>
        </w:trPr>
        <w:tc>
          <w:tcPr>
            <w:tcW w:w="1310" w:type="dxa"/>
            <w:tcBorders>
              <w:top w:val="single" w:sz="4" w:space="0" w:color="000000"/>
              <w:left w:val="single" w:sz="4" w:space="0" w:color="000000"/>
              <w:bottom w:val="single" w:sz="4" w:space="0" w:color="000000"/>
              <w:right w:val="single" w:sz="4" w:space="0" w:color="000000"/>
            </w:tcBorders>
            <w:hideMark/>
          </w:tcPr>
          <w:p w14:paraId="58F72EE6"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 xml:space="preserve">4. Smoking EA rates </w:t>
            </w:r>
          </w:p>
        </w:tc>
        <w:tc>
          <w:tcPr>
            <w:tcW w:w="788" w:type="dxa"/>
            <w:tcBorders>
              <w:top w:val="single" w:sz="4" w:space="0" w:color="000000"/>
              <w:left w:val="single" w:sz="4" w:space="0" w:color="000000"/>
              <w:bottom w:val="single" w:sz="4" w:space="0" w:color="000000"/>
              <w:right w:val="single" w:sz="4" w:space="0" w:color="000000"/>
            </w:tcBorders>
            <w:hideMark/>
          </w:tcPr>
          <w:p w14:paraId="1DCF212C"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789" w:type="dxa"/>
            <w:tcBorders>
              <w:top w:val="single" w:sz="4" w:space="0" w:color="000000"/>
              <w:left w:val="single" w:sz="4" w:space="0" w:color="000000"/>
              <w:bottom w:val="single" w:sz="4" w:space="0" w:color="000000"/>
              <w:right w:val="single" w:sz="4" w:space="0" w:color="000000"/>
            </w:tcBorders>
            <w:hideMark/>
          </w:tcPr>
          <w:p w14:paraId="2E3852E0" w14:textId="77777777" w:rsidR="00601EB4" w:rsidRPr="00C735C4" w:rsidRDefault="00601EB4" w:rsidP="002A1E63">
            <w:pPr>
              <w:pStyle w:val="NoSpacing"/>
              <w:jc w:val="center"/>
              <w:rPr>
                <w:rFonts w:ascii="Times New Roman" w:hAnsi="Times New Roman" w:cs="Times New Roman"/>
                <w:iCs/>
                <w:sz w:val="20"/>
                <w:szCs w:val="20"/>
              </w:rPr>
            </w:pPr>
            <w:r>
              <w:rPr>
                <w:rFonts w:ascii="Times New Roman" w:hAnsi="Times New Roman" w:cs="Times New Roman"/>
                <w:iCs/>
                <w:sz w:val="20"/>
                <w:szCs w:val="20"/>
              </w:rPr>
              <w:t>-.25</w:t>
            </w:r>
          </w:p>
        </w:tc>
        <w:tc>
          <w:tcPr>
            <w:tcW w:w="936" w:type="dxa"/>
            <w:tcBorders>
              <w:top w:val="single" w:sz="4" w:space="0" w:color="000000"/>
              <w:left w:val="single" w:sz="4" w:space="0" w:color="000000"/>
              <w:bottom w:val="single" w:sz="4" w:space="0" w:color="000000"/>
              <w:right w:val="single" w:sz="4" w:space="0" w:color="000000"/>
            </w:tcBorders>
            <w:hideMark/>
          </w:tcPr>
          <w:p w14:paraId="41D03690" w14:textId="77777777" w:rsidR="00601EB4" w:rsidRPr="00302879" w:rsidRDefault="00601EB4" w:rsidP="002A1E63">
            <w:pPr>
              <w:pStyle w:val="NoSpacing"/>
              <w:jc w:val="center"/>
              <w:rPr>
                <w:rFonts w:ascii="Times New Roman" w:hAnsi="Times New Roman" w:cs="Times New Roman"/>
                <w:b/>
                <w:bCs/>
                <w:sz w:val="20"/>
                <w:szCs w:val="20"/>
              </w:rPr>
            </w:pPr>
            <w:r w:rsidRPr="00302879">
              <w:rPr>
                <w:rFonts w:ascii="Times New Roman" w:hAnsi="Times New Roman" w:cs="Times New Roman"/>
                <w:b/>
                <w:bCs/>
                <w:sz w:val="20"/>
                <w:szCs w:val="20"/>
              </w:rPr>
              <w:t>.54***</w:t>
            </w:r>
          </w:p>
        </w:tc>
        <w:tc>
          <w:tcPr>
            <w:tcW w:w="639" w:type="dxa"/>
            <w:tcBorders>
              <w:top w:val="single" w:sz="4" w:space="0" w:color="000000"/>
              <w:left w:val="single" w:sz="4" w:space="0" w:color="000000"/>
              <w:bottom w:val="single" w:sz="4" w:space="0" w:color="000000"/>
              <w:right w:val="single" w:sz="4" w:space="0" w:color="000000"/>
            </w:tcBorders>
            <w:hideMark/>
          </w:tcPr>
          <w:p w14:paraId="6BCA0E52"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87" w:type="dxa"/>
            <w:tcBorders>
              <w:top w:val="single" w:sz="4" w:space="0" w:color="000000"/>
              <w:left w:val="single" w:sz="4" w:space="0" w:color="000000"/>
              <w:bottom w:val="single" w:sz="4" w:space="0" w:color="000000"/>
              <w:right w:val="single" w:sz="4" w:space="0" w:color="000000"/>
            </w:tcBorders>
          </w:tcPr>
          <w:p w14:paraId="41946217"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7483E165"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026AE61E"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5A0ABB47"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68BF7D57"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15386EB1"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33E3B10D" w14:textId="77777777" w:rsidTr="002A1E63">
        <w:trPr>
          <w:trHeight w:val="541"/>
        </w:trPr>
        <w:tc>
          <w:tcPr>
            <w:tcW w:w="1310" w:type="dxa"/>
            <w:tcBorders>
              <w:top w:val="single" w:sz="4" w:space="0" w:color="000000"/>
              <w:left w:val="single" w:sz="4" w:space="0" w:color="000000"/>
              <w:bottom w:val="single" w:sz="4" w:space="0" w:color="000000"/>
              <w:right w:val="single" w:sz="4" w:space="0" w:color="000000"/>
            </w:tcBorders>
            <w:hideMark/>
          </w:tcPr>
          <w:p w14:paraId="2E39C46B"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5. Animal thresholds</w:t>
            </w:r>
          </w:p>
        </w:tc>
        <w:tc>
          <w:tcPr>
            <w:tcW w:w="788" w:type="dxa"/>
            <w:tcBorders>
              <w:top w:val="single" w:sz="4" w:space="0" w:color="000000"/>
              <w:left w:val="single" w:sz="4" w:space="0" w:color="000000"/>
              <w:bottom w:val="single" w:sz="4" w:space="0" w:color="000000"/>
              <w:right w:val="single" w:sz="4" w:space="0" w:color="000000"/>
            </w:tcBorders>
            <w:hideMark/>
          </w:tcPr>
          <w:p w14:paraId="7930F67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89" w:type="dxa"/>
            <w:tcBorders>
              <w:top w:val="single" w:sz="4" w:space="0" w:color="000000"/>
              <w:left w:val="single" w:sz="4" w:space="0" w:color="000000"/>
              <w:bottom w:val="single" w:sz="4" w:space="0" w:color="000000"/>
              <w:right w:val="single" w:sz="4" w:space="0" w:color="000000"/>
            </w:tcBorders>
            <w:hideMark/>
          </w:tcPr>
          <w:p w14:paraId="666D0D66"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-.01</w:t>
            </w:r>
          </w:p>
        </w:tc>
        <w:tc>
          <w:tcPr>
            <w:tcW w:w="936" w:type="dxa"/>
            <w:tcBorders>
              <w:top w:val="single" w:sz="4" w:space="0" w:color="000000"/>
              <w:left w:val="single" w:sz="4" w:space="0" w:color="000000"/>
              <w:bottom w:val="single" w:sz="4" w:space="0" w:color="000000"/>
              <w:right w:val="single" w:sz="4" w:space="0" w:color="000000"/>
            </w:tcBorders>
            <w:hideMark/>
          </w:tcPr>
          <w:p w14:paraId="00A7E2CB" w14:textId="77777777" w:rsidR="00601EB4" w:rsidRPr="00302879" w:rsidRDefault="00601EB4" w:rsidP="002A1E63">
            <w:pPr>
              <w:pStyle w:val="NoSpacing"/>
              <w:jc w:val="center"/>
              <w:rPr>
                <w:rFonts w:ascii="Times New Roman" w:hAnsi="Times New Roman" w:cs="Times New Roman"/>
                <w:b/>
                <w:bCs/>
                <w:sz w:val="20"/>
                <w:szCs w:val="20"/>
              </w:rPr>
            </w:pPr>
            <w:r w:rsidRPr="00302879">
              <w:rPr>
                <w:rFonts w:ascii="Times New Roman" w:hAnsi="Times New Roman" w:cs="Times New Roman"/>
                <w:b/>
                <w:bCs/>
                <w:sz w:val="20"/>
                <w:szCs w:val="20"/>
              </w:rPr>
              <w:t>-.67***</w:t>
            </w:r>
          </w:p>
        </w:tc>
        <w:tc>
          <w:tcPr>
            <w:tcW w:w="639" w:type="dxa"/>
            <w:tcBorders>
              <w:top w:val="single" w:sz="4" w:space="0" w:color="000000"/>
              <w:left w:val="single" w:sz="4" w:space="0" w:color="000000"/>
              <w:bottom w:val="single" w:sz="4" w:space="0" w:color="000000"/>
              <w:right w:val="single" w:sz="4" w:space="0" w:color="000000"/>
            </w:tcBorders>
            <w:hideMark/>
          </w:tcPr>
          <w:p w14:paraId="43B425F7"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-.22</w:t>
            </w:r>
          </w:p>
        </w:tc>
        <w:tc>
          <w:tcPr>
            <w:tcW w:w="787" w:type="dxa"/>
            <w:tcBorders>
              <w:top w:val="single" w:sz="4" w:space="0" w:color="000000"/>
              <w:left w:val="single" w:sz="4" w:space="0" w:color="000000"/>
              <w:bottom w:val="single" w:sz="4" w:space="0" w:color="000000"/>
              <w:right w:val="single" w:sz="4" w:space="0" w:color="000000"/>
            </w:tcBorders>
            <w:hideMark/>
          </w:tcPr>
          <w:p w14:paraId="7121529D"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88" w:type="dxa"/>
            <w:tcBorders>
              <w:top w:val="single" w:sz="4" w:space="0" w:color="000000"/>
              <w:left w:val="single" w:sz="4" w:space="0" w:color="000000"/>
              <w:bottom w:val="single" w:sz="4" w:space="0" w:color="000000"/>
              <w:right w:val="single" w:sz="4" w:space="0" w:color="000000"/>
            </w:tcBorders>
          </w:tcPr>
          <w:p w14:paraId="266B4D31" w14:textId="77777777" w:rsidR="00601EB4" w:rsidRPr="00FA1DCC" w:rsidRDefault="00601EB4" w:rsidP="002A1E63">
            <w:pPr>
              <w:pStyle w:val="NoSpacing"/>
              <w:jc w:val="center"/>
              <w:rPr>
                <w:rFonts w:ascii="Times New Roman" w:hAnsi="Times New Roman" w:cs="Times New Roman"/>
                <w:sz w:val="20"/>
                <w:szCs w:val="20"/>
              </w:rPr>
            </w:pPr>
          </w:p>
        </w:tc>
        <w:tc>
          <w:tcPr>
            <w:tcW w:w="787" w:type="dxa"/>
            <w:tcBorders>
              <w:top w:val="single" w:sz="4" w:space="0" w:color="000000"/>
              <w:left w:val="single" w:sz="4" w:space="0" w:color="000000"/>
              <w:bottom w:val="single" w:sz="4" w:space="0" w:color="000000"/>
              <w:right w:val="single" w:sz="4" w:space="0" w:color="000000"/>
            </w:tcBorders>
          </w:tcPr>
          <w:p w14:paraId="7D7D29E3"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45BCE88B"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7B31F8BB"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47200EC7"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09E3AB3F" w14:textId="77777777" w:rsidTr="002A1E63">
        <w:trPr>
          <w:trHeight w:val="547"/>
        </w:trPr>
        <w:tc>
          <w:tcPr>
            <w:tcW w:w="1310" w:type="dxa"/>
            <w:tcBorders>
              <w:top w:val="single" w:sz="4" w:space="0" w:color="000000"/>
              <w:left w:val="single" w:sz="4" w:space="0" w:color="000000"/>
              <w:bottom w:val="single" w:sz="4" w:space="0" w:color="000000"/>
              <w:right w:val="single" w:sz="4" w:space="0" w:color="000000"/>
            </w:tcBorders>
            <w:hideMark/>
          </w:tcPr>
          <w:p w14:paraId="410C0183"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6. Smoking thresholds</w:t>
            </w:r>
          </w:p>
        </w:tc>
        <w:tc>
          <w:tcPr>
            <w:tcW w:w="788" w:type="dxa"/>
            <w:tcBorders>
              <w:top w:val="single" w:sz="4" w:space="0" w:color="000000"/>
              <w:left w:val="single" w:sz="4" w:space="0" w:color="000000"/>
              <w:bottom w:val="single" w:sz="4" w:space="0" w:color="000000"/>
              <w:right w:val="single" w:sz="4" w:space="0" w:color="000000"/>
            </w:tcBorders>
            <w:hideMark/>
          </w:tcPr>
          <w:p w14:paraId="04A2C480"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789" w:type="dxa"/>
            <w:tcBorders>
              <w:top w:val="single" w:sz="4" w:space="0" w:color="000000"/>
              <w:left w:val="single" w:sz="4" w:space="0" w:color="000000"/>
              <w:bottom w:val="single" w:sz="4" w:space="0" w:color="000000"/>
              <w:right w:val="single" w:sz="4" w:space="0" w:color="000000"/>
            </w:tcBorders>
            <w:hideMark/>
          </w:tcPr>
          <w:p w14:paraId="73592808"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.07</w:t>
            </w:r>
          </w:p>
        </w:tc>
        <w:tc>
          <w:tcPr>
            <w:tcW w:w="936" w:type="dxa"/>
            <w:tcBorders>
              <w:top w:val="single" w:sz="4" w:space="0" w:color="000000"/>
              <w:left w:val="single" w:sz="4" w:space="0" w:color="000000"/>
              <w:bottom w:val="single" w:sz="4" w:space="0" w:color="000000"/>
              <w:right w:val="single" w:sz="4" w:space="0" w:color="000000"/>
            </w:tcBorders>
            <w:hideMark/>
          </w:tcPr>
          <w:p w14:paraId="3E61AA53" w14:textId="77777777" w:rsidR="00601EB4" w:rsidRPr="00C735C4" w:rsidRDefault="00601EB4" w:rsidP="002A1E63">
            <w:pPr>
              <w:pStyle w:val="NoSpacing"/>
              <w:jc w:val="center"/>
              <w:rPr>
                <w:rFonts w:ascii="Times New Roman" w:hAnsi="Times New Roman" w:cs="Times New Roman"/>
                <w:b/>
                <w:bCs/>
                <w:sz w:val="20"/>
                <w:szCs w:val="20"/>
              </w:rPr>
            </w:pPr>
            <w:r w:rsidRPr="00C735C4">
              <w:rPr>
                <w:rFonts w:ascii="Times New Roman" w:hAnsi="Times New Roman" w:cs="Times New Roman"/>
                <w:b/>
                <w:bCs/>
                <w:sz w:val="20"/>
                <w:szCs w:val="20"/>
              </w:rPr>
              <w:t>-.31*</w:t>
            </w:r>
          </w:p>
        </w:tc>
        <w:tc>
          <w:tcPr>
            <w:tcW w:w="639" w:type="dxa"/>
            <w:tcBorders>
              <w:top w:val="single" w:sz="4" w:space="0" w:color="000000"/>
              <w:left w:val="single" w:sz="4" w:space="0" w:color="000000"/>
              <w:bottom w:val="single" w:sz="4" w:space="0" w:color="000000"/>
              <w:right w:val="single" w:sz="4" w:space="0" w:color="000000"/>
            </w:tcBorders>
            <w:hideMark/>
          </w:tcPr>
          <w:p w14:paraId="43D00FE3"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.05</w:t>
            </w:r>
          </w:p>
        </w:tc>
        <w:tc>
          <w:tcPr>
            <w:tcW w:w="787" w:type="dxa"/>
            <w:tcBorders>
              <w:top w:val="single" w:sz="4" w:space="0" w:color="000000"/>
              <w:left w:val="single" w:sz="4" w:space="0" w:color="000000"/>
              <w:bottom w:val="single" w:sz="4" w:space="0" w:color="000000"/>
              <w:right w:val="single" w:sz="4" w:space="0" w:color="000000"/>
            </w:tcBorders>
            <w:hideMark/>
          </w:tcPr>
          <w:p w14:paraId="1FFE5A39" w14:textId="77777777" w:rsidR="00601EB4" w:rsidRPr="00302879" w:rsidRDefault="00601EB4" w:rsidP="002A1E63">
            <w:pPr>
              <w:pStyle w:val="NoSpacing"/>
              <w:jc w:val="center"/>
              <w:rPr>
                <w:rFonts w:ascii="Times New Roman" w:hAnsi="Times New Roman" w:cs="Times New Roman"/>
                <w:b/>
                <w:bCs/>
                <w:sz w:val="20"/>
                <w:szCs w:val="20"/>
              </w:rPr>
            </w:pPr>
            <w:r w:rsidRPr="00302879">
              <w:rPr>
                <w:rFonts w:ascii="Times New Roman" w:hAnsi="Times New Roman" w:cs="Times New Roman"/>
                <w:b/>
                <w:bCs/>
                <w:sz w:val="20"/>
                <w:szCs w:val="20"/>
              </w:rPr>
              <w:t>.61***</w:t>
            </w:r>
          </w:p>
        </w:tc>
        <w:tc>
          <w:tcPr>
            <w:tcW w:w="788" w:type="dxa"/>
            <w:tcBorders>
              <w:top w:val="single" w:sz="4" w:space="0" w:color="000000"/>
              <w:left w:val="single" w:sz="4" w:space="0" w:color="000000"/>
              <w:bottom w:val="single" w:sz="4" w:space="0" w:color="000000"/>
              <w:right w:val="single" w:sz="4" w:space="0" w:color="000000"/>
            </w:tcBorders>
            <w:hideMark/>
          </w:tcPr>
          <w:p w14:paraId="7BD7FF9D"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87" w:type="dxa"/>
            <w:tcBorders>
              <w:top w:val="single" w:sz="4" w:space="0" w:color="000000"/>
              <w:left w:val="single" w:sz="4" w:space="0" w:color="000000"/>
              <w:bottom w:val="single" w:sz="4" w:space="0" w:color="000000"/>
              <w:right w:val="single" w:sz="4" w:space="0" w:color="000000"/>
            </w:tcBorders>
          </w:tcPr>
          <w:p w14:paraId="2876321B" w14:textId="77777777" w:rsidR="00601EB4" w:rsidRPr="00FA1DCC" w:rsidRDefault="00601EB4" w:rsidP="002A1E63">
            <w:pPr>
              <w:pStyle w:val="NoSpacing"/>
              <w:jc w:val="center"/>
              <w:rPr>
                <w:rFonts w:ascii="Times New Roman" w:hAnsi="Times New Roman" w:cs="Times New Roman"/>
                <w:sz w:val="20"/>
                <w:szCs w:val="20"/>
              </w:rPr>
            </w:pPr>
          </w:p>
        </w:tc>
        <w:tc>
          <w:tcPr>
            <w:tcW w:w="788" w:type="dxa"/>
            <w:tcBorders>
              <w:top w:val="single" w:sz="4" w:space="0" w:color="000000"/>
              <w:left w:val="single" w:sz="4" w:space="0" w:color="000000"/>
              <w:bottom w:val="single" w:sz="4" w:space="0" w:color="000000"/>
              <w:right w:val="single" w:sz="4" w:space="0" w:color="000000"/>
            </w:tcBorders>
          </w:tcPr>
          <w:p w14:paraId="596D0A40"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472F2E4A"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780F9C14"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6B83A315" w14:textId="77777777" w:rsidTr="002A1E63">
        <w:trPr>
          <w:trHeight w:val="547"/>
        </w:trPr>
        <w:tc>
          <w:tcPr>
            <w:tcW w:w="1310" w:type="dxa"/>
            <w:tcBorders>
              <w:top w:val="single" w:sz="4" w:space="0" w:color="000000"/>
              <w:left w:val="single" w:sz="4" w:space="0" w:color="000000"/>
              <w:bottom w:val="single" w:sz="4" w:space="0" w:color="000000"/>
              <w:right w:val="single" w:sz="4" w:space="0" w:color="000000"/>
            </w:tcBorders>
            <w:hideMark/>
          </w:tcPr>
          <w:p w14:paraId="7E2D4CA6"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7. BSCS</w:t>
            </w:r>
          </w:p>
        </w:tc>
        <w:tc>
          <w:tcPr>
            <w:tcW w:w="788" w:type="dxa"/>
            <w:tcBorders>
              <w:top w:val="single" w:sz="4" w:space="0" w:color="000000"/>
              <w:left w:val="single" w:sz="4" w:space="0" w:color="000000"/>
              <w:bottom w:val="single" w:sz="4" w:space="0" w:color="000000"/>
              <w:right w:val="single" w:sz="4" w:space="0" w:color="000000"/>
            </w:tcBorders>
            <w:hideMark/>
          </w:tcPr>
          <w:p w14:paraId="2AE2886C"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789" w:type="dxa"/>
            <w:tcBorders>
              <w:top w:val="single" w:sz="4" w:space="0" w:color="000000"/>
              <w:left w:val="single" w:sz="4" w:space="0" w:color="000000"/>
              <w:bottom w:val="single" w:sz="4" w:space="0" w:color="000000"/>
              <w:right w:val="single" w:sz="4" w:space="0" w:color="000000"/>
            </w:tcBorders>
            <w:hideMark/>
          </w:tcPr>
          <w:p w14:paraId="4F98647C"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936" w:type="dxa"/>
            <w:tcBorders>
              <w:top w:val="single" w:sz="4" w:space="0" w:color="000000"/>
              <w:left w:val="single" w:sz="4" w:space="0" w:color="000000"/>
              <w:bottom w:val="single" w:sz="4" w:space="0" w:color="000000"/>
              <w:right w:val="single" w:sz="4" w:space="0" w:color="000000"/>
            </w:tcBorders>
            <w:hideMark/>
          </w:tcPr>
          <w:p w14:paraId="2453CD4E"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639" w:type="dxa"/>
            <w:tcBorders>
              <w:top w:val="single" w:sz="4" w:space="0" w:color="000000"/>
              <w:left w:val="single" w:sz="4" w:space="0" w:color="000000"/>
              <w:bottom w:val="single" w:sz="4" w:space="0" w:color="000000"/>
              <w:right w:val="single" w:sz="4" w:space="0" w:color="000000"/>
            </w:tcBorders>
            <w:hideMark/>
          </w:tcPr>
          <w:p w14:paraId="3DF7DE29"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.09</w:t>
            </w:r>
          </w:p>
        </w:tc>
        <w:tc>
          <w:tcPr>
            <w:tcW w:w="787" w:type="dxa"/>
            <w:tcBorders>
              <w:top w:val="single" w:sz="4" w:space="0" w:color="000000"/>
              <w:left w:val="single" w:sz="4" w:space="0" w:color="000000"/>
              <w:bottom w:val="single" w:sz="4" w:space="0" w:color="000000"/>
              <w:right w:val="single" w:sz="4" w:space="0" w:color="000000"/>
            </w:tcBorders>
            <w:hideMark/>
          </w:tcPr>
          <w:p w14:paraId="6912A6E7"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788" w:type="dxa"/>
            <w:tcBorders>
              <w:top w:val="single" w:sz="4" w:space="0" w:color="000000"/>
              <w:left w:val="single" w:sz="4" w:space="0" w:color="000000"/>
              <w:bottom w:val="single" w:sz="4" w:space="0" w:color="000000"/>
              <w:right w:val="single" w:sz="4" w:space="0" w:color="000000"/>
            </w:tcBorders>
            <w:hideMark/>
          </w:tcPr>
          <w:p w14:paraId="0B99EE39"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.04</w:t>
            </w:r>
          </w:p>
        </w:tc>
        <w:tc>
          <w:tcPr>
            <w:tcW w:w="787" w:type="dxa"/>
            <w:tcBorders>
              <w:top w:val="single" w:sz="4" w:space="0" w:color="000000"/>
              <w:left w:val="single" w:sz="4" w:space="0" w:color="000000"/>
              <w:bottom w:val="single" w:sz="4" w:space="0" w:color="000000"/>
              <w:right w:val="single" w:sz="4" w:space="0" w:color="000000"/>
            </w:tcBorders>
            <w:hideMark/>
          </w:tcPr>
          <w:p w14:paraId="2B54AF50"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88" w:type="dxa"/>
            <w:tcBorders>
              <w:top w:val="single" w:sz="4" w:space="0" w:color="000000"/>
              <w:left w:val="single" w:sz="4" w:space="0" w:color="000000"/>
              <w:bottom w:val="single" w:sz="4" w:space="0" w:color="000000"/>
              <w:right w:val="single" w:sz="4" w:space="0" w:color="000000"/>
            </w:tcBorders>
          </w:tcPr>
          <w:p w14:paraId="6AD66926" w14:textId="77777777" w:rsidR="00601EB4" w:rsidRPr="00FA1DCC" w:rsidRDefault="00601EB4" w:rsidP="002A1E63">
            <w:pPr>
              <w:pStyle w:val="NoSpacing"/>
              <w:jc w:val="center"/>
              <w:rPr>
                <w:rFonts w:ascii="Times New Roman" w:hAnsi="Times New Roman" w:cs="Times New Roman"/>
                <w:sz w:val="20"/>
                <w:szCs w:val="20"/>
              </w:rPr>
            </w:pPr>
          </w:p>
        </w:tc>
        <w:tc>
          <w:tcPr>
            <w:tcW w:w="892" w:type="dxa"/>
            <w:tcBorders>
              <w:top w:val="single" w:sz="4" w:space="0" w:color="000000"/>
              <w:left w:val="single" w:sz="4" w:space="0" w:color="000000"/>
              <w:bottom w:val="single" w:sz="4" w:space="0" w:color="000000"/>
              <w:right w:val="single" w:sz="4" w:space="0" w:color="000000"/>
            </w:tcBorders>
          </w:tcPr>
          <w:p w14:paraId="3E8CD5E2"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3BF61B57"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57524143" w14:textId="77777777" w:rsidTr="002A1E63">
        <w:trPr>
          <w:trHeight w:val="547"/>
        </w:trPr>
        <w:tc>
          <w:tcPr>
            <w:tcW w:w="1310" w:type="dxa"/>
            <w:tcBorders>
              <w:top w:val="single" w:sz="4" w:space="0" w:color="000000"/>
              <w:left w:val="single" w:sz="4" w:space="0" w:color="000000"/>
              <w:bottom w:val="single" w:sz="4" w:space="0" w:color="000000"/>
              <w:right w:val="single" w:sz="4" w:space="0" w:color="000000"/>
            </w:tcBorders>
            <w:hideMark/>
          </w:tcPr>
          <w:p w14:paraId="34144B99"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8. Dependence</w:t>
            </w:r>
          </w:p>
        </w:tc>
        <w:tc>
          <w:tcPr>
            <w:tcW w:w="788" w:type="dxa"/>
            <w:tcBorders>
              <w:top w:val="single" w:sz="4" w:space="0" w:color="000000"/>
              <w:left w:val="single" w:sz="4" w:space="0" w:color="000000"/>
              <w:bottom w:val="single" w:sz="4" w:space="0" w:color="000000"/>
              <w:right w:val="single" w:sz="4" w:space="0" w:color="000000"/>
            </w:tcBorders>
            <w:hideMark/>
          </w:tcPr>
          <w:p w14:paraId="09A506E0"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.01</w:t>
            </w:r>
          </w:p>
        </w:tc>
        <w:tc>
          <w:tcPr>
            <w:tcW w:w="789" w:type="dxa"/>
            <w:tcBorders>
              <w:top w:val="single" w:sz="4" w:space="0" w:color="000000"/>
              <w:left w:val="single" w:sz="4" w:space="0" w:color="000000"/>
              <w:bottom w:val="single" w:sz="4" w:space="0" w:color="000000"/>
              <w:right w:val="single" w:sz="4" w:space="0" w:color="000000"/>
            </w:tcBorders>
            <w:hideMark/>
          </w:tcPr>
          <w:p w14:paraId="1B056E22"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936" w:type="dxa"/>
            <w:tcBorders>
              <w:top w:val="single" w:sz="4" w:space="0" w:color="000000"/>
              <w:left w:val="single" w:sz="4" w:space="0" w:color="000000"/>
              <w:bottom w:val="single" w:sz="4" w:space="0" w:color="000000"/>
              <w:right w:val="single" w:sz="4" w:space="0" w:color="000000"/>
            </w:tcBorders>
            <w:hideMark/>
          </w:tcPr>
          <w:p w14:paraId="3A5ECF04"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-.10</w:t>
            </w:r>
          </w:p>
        </w:tc>
        <w:tc>
          <w:tcPr>
            <w:tcW w:w="639" w:type="dxa"/>
            <w:tcBorders>
              <w:top w:val="single" w:sz="4" w:space="0" w:color="000000"/>
              <w:left w:val="single" w:sz="4" w:space="0" w:color="000000"/>
              <w:bottom w:val="single" w:sz="4" w:space="0" w:color="000000"/>
              <w:right w:val="single" w:sz="4" w:space="0" w:color="000000"/>
            </w:tcBorders>
            <w:hideMark/>
          </w:tcPr>
          <w:p w14:paraId="62389CE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-.17</w:t>
            </w:r>
          </w:p>
        </w:tc>
        <w:tc>
          <w:tcPr>
            <w:tcW w:w="787" w:type="dxa"/>
            <w:tcBorders>
              <w:top w:val="single" w:sz="4" w:space="0" w:color="000000"/>
              <w:left w:val="single" w:sz="4" w:space="0" w:color="000000"/>
              <w:bottom w:val="single" w:sz="4" w:space="0" w:color="000000"/>
              <w:right w:val="single" w:sz="4" w:space="0" w:color="000000"/>
            </w:tcBorders>
            <w:hideMark/>
          </w:tcPr>
          <w:p w14:paraId="30E90D16"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.20</w:t>
            </w:r>
          </w:p>
        </w:tc>
        <w:tc>
          <w:tcPr>
            <w:tcW w:w="788" w:type="dxa"/>
            <w:tcBorders>
              <w:top w:val="single" w:sz="4" w:space="0" w:color="000000"/>
              <w:left w:val="single" w:sz="4" w:space="0" w:color="000000"/>
              <w:bottom w:val="single" w:sz="4" w:space="0" w:color="000000"/>
              <w:right w:val="single" w:sz="4" w:space="0" w:color="000000"/>
            </w:tcBorders>
            <w:hideMark/>
          </w:tcPr>
          <w:p w14:paraId="77A7C86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787" w:type="dxa"/>
            <w:tcBorders>
              <w:top w:val="single" w:sz="4" w:space="0" w:color="000000"/>
              <w:left w:val="single" w:sz="4" w:space="0" w:color="000000"/>
              <w:bottom w:val="single" w:sz="4" w:space="0" w:color="000000"/>
              <w:right w:val="single" w:sz="4" w:space="0" w:color="000000"/>
            </w:tcBorders>
            <w:hideMark/>
          </w:tcPr>
          <w:p w14:paraId="7AC0E9B7"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-.27</w:t>
            </w:r>
          </w:p>
        </w:tc>
        <w:tc>
          <w:tcPr>
            <w:tcW w:w="788" w:type="dxa"/>
            <w:tcBorders>
              <w:top w:val="single" w:sz="4" w:space="0" w:color="000000"/>
              <w:left w:val="single" w:sz="4" w:space="0" w:color="000000"/>
              <w:bottom w:val="single" w:sz="4" w:space="0" w:color="000000"/>
              <w:right w:val="single" w:sz="4" w:space="0" w:color="000000"/>
            </w:tcBorders>
            <w:hideMark/>
          </w:tcPr>
          <w:p w14:paraId="55D315E1"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892" w:type="dxa"/>
            <w:tcBorders>
              <w:top w:val="single" w:sz="4" w:space="0" w:color="000000"/>
              <w:left w:val="single" w:sz="4" w:space="0" w:color="000000"/>
              <w:bottom w:val="single" w:sz="4" w:space="0" w:color="000000"/>
              <w:right w:val="single" w:sz="4" w:space="0" w:color="000000"/>
            </w:tcBorders>
          </w:tcPr>
          <w:p w14:paraId="1DFB3115" w14:textId="77777777" w:rsidR="00601EB4" w:rsidRPr="00FA1DCC" w:rsidRDefault="00601EB4" w:rsidP="002A1E63">
            <w:pPr>
              <w:pStyle w:val="NoSpacing"/>
              <w:jc w:val="center"/>
              <w:rPr>
                <w:rFonts w:ascii="Times New Roman" w:hAnsi="Times New Roman" w:cs="Times New Roman"/>
                <w:sz w:val="20"/>
                <w:szCs w:val="20"/>
              </w:rPr>
            </w:pPr>
          </w:p>
        </w:tc>
        <w:tc>
          <w:tcPr>
            <w:tcW w:w="721" w:type="dxa"/>
            <w:tcBorders>
              <w:top w:val="single" w:sz="4" w:space="0" w:color="000000"/>
              <w:left w:val="single" w:sz="4" w:space="0" w:color="000000"/>
              <w:bottom w:val="single" w:sz="4" w:space="0" w:color="000000"/>
              <w:right w:val="single" w:sz="4" w:space="0" w:color="000000"/>
            </w:tcBorders>
          </w:tcPr>
          <w:p w14:paraId="4896AC06"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67B82E71" w14:textId="77777777" w:rsidTr="002A1E63">
        <w:trPr>
          <w:trHeight w:val="547"/>
        </w:trPr>
        <w:tc>
          <w:tcPr>
            <w:tcW w:w="1310" w:type="dxa"/>
            <w:tcBorders>
              <w:top w:val="single" w:sz="4" w:space="0" w:color="000000"/>
              <w:left w:val="single" w:sz="4" w:space="0" w:color="000000"/>
              <w:bottom w:val="single" w:sz="4" w:space="0" w:color="000000"/>
              <w:right w:val="single" w:sz="4" w:space="0" w:color="000000"/>
            </w:tcBorders>
            <w:hideMark/>
          </w:tcPr>
          <w:p w14:paraId="099E9470"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9. Motivation to quit</w:t>
            </w:r>
          </w:p>
        </w:tc>
        <w:tc>
          <w:tcPr>
            <w:tcW w:w="788" w:type="dxa"/>
            <w:tcBorders>
              <w:top w:val="single" w:sz="4" w:space="0" w:color="000000"/>
              <w:left w:val="single" w:sz="4" w:space="0" w:color="000000"/>
              <w:bottom w:val="single" w:sz="4" w:space="0" w:color="000000"/>
              <w:right w:val="single" w:sz="4" w:space="0" w:color="000000"/>
            </w:tcBorders>
            <w:hideMark/>
          </w:tcPr>
          <w:p w14:paraId="23B15226"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.09</w:t>
            </w:r>
          </w:p>
        </w:tc>
        <w:tc>
          <w:tcPr>
            <w:tcW w:w="789" w:type="dxa"/>
            <w:tcBorders>
              <w:top w:val="single" w:sz="4" w:space="0" w:color="000000"/>
              <w:left w:val="single" w:sz="4" w:space="0" w:color="000000"/>
              <w:bottom w:val="single" w:sz="4" w:space="0" w:color="000000"/>
              <w:right w:val="single" w:sz="4" w:space="0" w:color="000000"/>
            </w:tcBorders>
            <w:hideMark/>
          </w:tcPr>
          <w:p w14:paraId="64A93DE4"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.02</w:t>
            </w:r>
          </w:p>
        </w:tc>
        <w:tc>
          <w:tcPr>
            <w:tcW w:w="936" w:type="dxa"/>
            <w:tcBorders>
              <w:top w:val="single" w:sz="4" w:space="0" w:color="000000"/>
              <w:left w:val="single" w:sz="4" w:space="0" w:color="000000"/>
              <w:bottom w:val="single" w:sz="4" w:space="0" w:color="000000"/>
              <w:right w:val="single" w:sz="4" w:space="0" w:color="000000"/>
            </w:tcBorders>
            <w:hideMark/>
          </w:tcPr>
          <w:p w14:paraId="4BB8359C"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c>
          <w:tcPr>
            <w:tcW w:w="639" w:type="dxa"/>
            <w:tcBorders>
              <w:top w:val="single" w:sz="4" w:space="0" w:color="000000"/>
              <w:left w:val="single" w:sz="4" w:space="0" w:color="000000"/>
              <w:bottom w:val="single" w:sz="4" w:space="0" w:color="000000"/>
              <w:right w:val="single" w:sz="4" w:space="0" w:color="000000"/>
            </w:tcBorders>
            <w:hideMark/>
          </w:tcPr>
          <w:p w14:paraId="74ED7D15" w14:textId="77777777" w:rsidR="00601EB4" w:rsidRPr="00C735C4" w:rsidRDefault="00601EB4" w:rsidP="002A1E63">
            <w:pPr>
              <w:pStyle w:val="NoSpacing"/>
              <w:jc w:val="center"/>
              <w:rPr>
                <w:rFonts w:ascii="Times New Roman" w:hAnsi="Times New Roman" w:cs="Times New Roman"/>
                <w:b/>
                <w:bCs/>
                <w:sz w:val="20"/>
                <w:szCs w:val="20"/>
              </w:rPr>
            </w:pPr>
            <w:r w:rsidRPr="00C735C4">
              <w:rPr>
                <w:rFonts w:ascii="Times New Roman" w:hAnsi="Times New Roman" w:cs="Times New Roman"/>
                <w:b/>
                <w:bCs/>
                <w:sz w:val="20"/>
                <w:szCs w:val="20"/>
              </w:rPr>
              <w:t>-.34*</w:t>
            </w:r>
          </w:p>
        </w:tc>
        <w:tc>
          <w:tcPr>
            <w:tcW w:w="787" w:type="dxa"/>
            <w:tcBorders>
              <w:top w:val="single" w:sz="4" w:space="0" w:color="000000"/>
              <w:left w:val="single" w:sz="4" w:space="0" w:color="000000"/>
              <w:bottom w:val="single" w:sz="4" w:space="0" w:color="000000"/>
              <w:right w:val="single" w:sz="4" w:space="0" w:color="000000"/>
            </w:tcBorders>
            <w:hideMark/>
          </w:tcPr>
          <w:p w14:paraId="55E47F8B"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.07</w:t>
            </w:r>
          </w:p>
        </w:tc>
        <w:tc>
          <w:tcPr>
            <w:tcW w:w="788" w:type="dxa"/>
            <w:tcBorders>
              <w:top w:val="single" w:sz="4" w:space="0" w:color="000000"/>
              <w:left w:val="single" w:sz="4" w:space="0" w:color="000000"/>
              <w:bottom w:val="single" w:sz="4" w:space="0" w:color="000000"/>
              <w:right w:val="single" w:sz="4" w:space="0" w:color="000000"/>
            </w:tcBorders>
            <w:hideMark/>
          </w:tcPr>
          <w:p w14:paraId="39FDED82"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.12</w:t>
            </w:r>
          </w:p>
        </w:tc>
        <w:tc>
          <w:tcPr>
            <w:tcW w:w="787" w:type="dxa"/>
            <w:tcBorders>
              <w:top w:val="single" w:sz="4" w:space="0" w:color="000000"/>
              <w:left w:val="single" w:sz="4" w:space="0" w:color="000000"/>
              <w:bottom w:val="single" w:sz="4" w:space="0" w:color="000000"/>
              <w:right w:val="single" w:sz="4" w:space="0" w:color="000000"/>
            </w:tcBorders>
            <w:hideMark/>
          </w:tcPr>
          <w:p w14:paraId="5D8D7149"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.04</w:t>
            </w:r>
          </w:p>
        </w:tc>
        <w:tc>
          <w:tcPr>
            <w:tcW w:w="788" w:type="dxa"/>
            <w:tcBorders>
              <w:top w:val="single" w:sz="4" w:space="0" w:color="000000"/>
              <w:left w:val="single" w:sz="4" w:space="0" w:color="000000"/>
              <w:bottom w:val="single" w:sz="4" w:space="0" w:color="000000"/>
              <w:right w:val="single" w:sz="4" w:space="0" w:color="000000"/>
            </w:tcBorders>
            <w:hideMark/>
          </w:tcPr>
          <w:p w14:paraId="163FEE4A"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-.05</w:t>
            </w:r>
          </w:p>
        </w:tc>
        <w:tc>
          <w:tcPr>
            <w:tcW w:w="892" w:type="dxa"/>
            <w:tcBorders>
              <w:top w:val="single" w:sz="4" w:space="0" w:color="000000"/>
              <w:left w:val="single" w:sz="4" w:space="0" w:color="000000"/>
              <w:bottom w:val="single" w:sz="4" w:space="0" w:color="000000"/>
              <w:right w:val="single" w:sz="4" w:space="0" w:color="000000"/>
            </w:tcBorders>
            <w:hideMark/>
          </w:tcPr>
          <w:p w14:paraId="2DA54E85" w14:textId="77777777" w:rsidR="00601EB4" w:rsidRPr="00FA1DCC" w:rsidRDefault="00601EB4"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721" w:type="dxa"/>
            <w:tcBorders>
              <w:top w:val="single" w:sz="4" w:space="0" w:color="000000"/>
              <w:left w:val="single" w:sz="4" w:space="0" w:color="000000"/>
              <w:bottom w:val="single" w:sz="4" w:space="0" w:color="000000"/>
              <w:right w:val="single" w:sz="4" w:space="0" w:color="000000"/>
            </w:tcBorders>
          </w:tcPr>
          <w:p w14:paraId="39C222A7" w14:textId="77777777" w:rsidR="00601EB4" w:rsidRPr="00FA1DCC" w:rsidRDefault="00601EB4" w:rsidP="002A1E63">
            <w:pPr>
              <w:pStyle w:val="NoSpacing"/>
              <w:rPr>
                <w:rFonts w:ascii="Times New Roman" w:hAnsi="Times New Roman" w:cs="Times New Roman"/>
                <w:sz w:val="20"/>
                <w:szCs w:val="20"/>
              </w:rPr>
            </w:pPr>
          </w:p>
        </w:tc>
      </w:tr>
      <w:tr w:rsidR="00601EB4" w:rsidRPr="00FA1DCC" w14:paraId="14AFA482" w14:textId="77777777" w:rsidTr="002A1E63">
        <w:trPr>
          <w:trHeight w:val="547"/>
        </w:trPr>
        <w:tc>
          <w:tcPr>
            <w:tcW w:w="1310" w:type="dxa"/>
            <w:tcBorders>
              <w:top w:val="single" w:sz="4" w:space="0" w:color="000000"/>
              <w:left w:val="single" w:sz="4" w:space="0" w:color="000000"/>
              <w:bottom w:val="single" w:sz="4" w:space="0" w:color="000000"/>
              <w:right w:val="single" w:sz="4" w:space="0" w:color="000000"/>
            </w:tcBorders>
            <w:hideMark/>
          </w:tcPr>
          <w:p w14:paraId="1FDA93B9" w14:textId="77777777" w:rsidR="00601EB4" w:rsidRPr="00FA1DCC" w:rsidRDefault="00601EB4" w:rsidP="002A1E63">
            <w:pPr>
              <w:pStyle w:val="NoSpacing"/>
              <w:rPr>
                <w:rFonts w:ascii="Times New Roman" w:hAnsi="Times New Roman" w:cs="Times New Roman"/>
                <w:sz w:val="18"/>
                <w:szCs w:val="18"/>
              </w:rPr>
            </w:pPr>
            <w:r w:rsidRPr="00FA1DCC">
              <w:rPr>
                <w:rFonts w:ascii="Times New Roman" w:hAnsi="Times New Roman" w:cs="Times New Roman"/>
                <w:sz w:val="18"/>
                <w:szCs w:val="18"/>
              </w:rPr>
              <w:lastRenderedPageBreak/>
              <w:t>10. Breakpoint</w:t>
            </w:r>
          </w:p>
        </w:tc>
        <w:tc>
          <w:tcPr>
            <w:tcW w:w="788" w:type="dxa"/>
            <w:tcBorders>
              <w:top w:val="single" w:sz="4" w:space="0" w:color="000000"/>
              <w:left w:val="single" w:sz="4" w:space="0" w:color="000000"/>
              <w:bottom w:val="single" w:sz="4" w:space="0" w:color="000000"/>
              <w:right w:val="single" w:sz="4" w:space="0" w:color="000000"/>
            </w:tcBorders>
            <w:hideMark/>
          </w:tcPr>
          <w:p w14:paraId="1F61DE8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.15</w:t>
            </w:r>
          </w:p>
        </w:tc>
        <w:tc>
          <w:tcPr>
            <w:tcW w:w="789" w:type="dxa"/>
            <w:tcBorders>
              <w:top w:val="single" w:sz="4" w:space="0" w:color="000000"/>
              <w:left w:val="single" w:sz="4" w:space="0" w:color="000000"/>
              <w:bottom w:val="single" w:sz="4" w:space="0" w:color="000000"/>
              <w:right w:val="single" w:sz="4" w:space="0" w:color="000000"/>
            </w:tcBorders>
            <w:hideMark/>
          </w:tcPr>
          <w:p w14:paraId="08A37F7F"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-.11</w:t>
            </w:r>
          </w:p>
        </w:tc>
        <w:tc>
          <w:tcPr>
            <w:tcW w:w="936" w:type="dxa"/>
            <w:tcBorders>
              <w:top w:val="single" w:sz="4" w:space="0" w:color="000000"/>
              <w:left w:val="single" w:sz="4" w:space="0" w:color="000000"/>
              <w:bottom w:val="single" w:sz="4" w:space="0" w:color="000000"/>
              <w:right w:val="single" w:sz="4" w:space="0" w:color="000000"/>
            </w:tcBorders>
            <w:hideMark/>
          </w:tcPr>
          <w:p w14:paraId="035EEE6D"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-.04</w:t>
            </w:r>
          </w:p>
        </w:tc>
        <w:tc>
          <w:tcPr>
            <w:tcW w:w="639" w:type="dxa"/>
            <w:tcBorders>
              <w:top w:val="single" w:sz="4" w:space="0" w:color="000000"/>
              <w:left w:val="single" w:sz="4" w:space="0" w:color="000000"/>
              <w:bottom w:val="single" w:sz="4" w:space="0" w:color="000000"/>
              <w:right w:val="single" w:sz="4" w:space="0" w:color="000000"/>
            </w:tcBorders>
            <w:hideMark/>
          </w:tcPr>
          <w:p w14:paraId="6BED836B"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.23</w:t>
            </w:r>
          </w:p>
        </w:tc>
        <w:tc>
          <w:tcPr>
            <w:tcW w:w="787" w:type="dxa"/>
            <w:tcBorders>
              <w:top w:val="single" w:sz="4" w:space="0" w:color="000000"/>
              <w:left w:val="single" w:sz="4" w:space="0" w:color="000000"/>
              <w:bottom w:val="single" w:sz="4" w:space="0" w:color="000000"/>
              <w:right w:val="single" w:sz="4" w:space="0" w:color="000000"/>
            </w:tcBorders>
            <w:hideMark/>
          </w:tcPr>
          <w:p w14:paraId="11D78614"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.23</w:t>
            </w:r>
          </w:p>
        </w:tc>
        <w:tc>
          <w:tcPr>
            <w:tcW w:w="788" w:type="dxa"/>
            <w:tcBorders>
              <w:top w:val="single" w:sz="4" w:space="0" w:color="000000"/>
              <w:left w:val="single" w:sz="4" w:space="0" w:color="000000"/>
              <w:bottom w:val="single" w:sz="4" w:space="0" w:color="000000"/>
              <w:right w:val="single" w:sz="4" w:space="0" w:color="000000"/>
            </w:tcBorders>
            <w:hideMark/>
          </w:tcPr>
          <w:p w14:paraId="143F5774"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.25</w:t>
            </w:r>
          </w:p>
        </w:tc>
        <w:tc>
          <w:tcPr>
            <w:tcW w:w="787" w:type="dxa"/>
            <w:tcBorders>
              <w:top w:val="single" w:sz="4" w:space="0" w:color="000000"/>
              <w:left w:val="single" w:sz="4" w:space="0" w:color="000000"/>
              <w:bottom w:val="single" w:sz="4" w:space="0" w:color="000000"/>
              <w:right w:val="single" w:sz="4" w:space="0" w:color="000000"/>
            </w:tcBorders>
            <w:hideMark/>
          </w:tcPr>
          <w:p w14:paraId="5D0ABABB"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-.07</w:t>
            </w:r>
          </w:p>
        </w:tc>
        <w:tc>
          <w:tcPr>
            <w:tcW w:w="788" w:type="dxa"/>
            <w:tcBorders>
              <w:top w:val="single" w:sz="4" w:space="0" w:color="000000"/>
              <w:left w:val="single" w:sz="4" w:space="0" w:color="000000"/>
              <w:bottom w:val="single" w:sz="4" w:space="0" w:color="000000"/>
              <w:right w:val="single" w:sz="4" w:space="0" w:color="000000"/>
            </w:tcBorders>
            <w:hideMark/>
          </w:tcPr>
          <w:p w14:paraId="7FAA7D9C"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-.14</w:t>
            </w:r>
          </w:p>
        </w:tc>
        <w:tc>
          <w:tcPr>
            <w:tcW w:w="892" w:type="dxa"/>
            <w:tcBorders>
              <w:top w:val="single" w:sz="4" w:space="0" w:color="000000"/>
              <w:left w:val="single" w:sz="4" w:space="0" w:color="000000"/>
              <w:bottom w:val="single" w:sz="4" w:space="0" w:color="000000"/>
              <w:right w:val="single" w:sz="4" w:space="0" w:color="000000"/>
            </w:tcBorders>
            <w:hideMark/>
          </w:tcPr>
          <w:p w14:paraId="4AA1B62B" w14:textId="77777777" w:rsidR="00601EB4" w:rsidRPr="00FA1DCC" w:rsidRDefault="00601EB4" w:rsidP="002A1E63">
            <w:pPr>
              <w:pStyle w:val="NoSpacing"/>
              <w:jc w:val="center"/>
              <w:rPr>
                <w:rFonts w:ascii="Times New Roman" w:hAnsi="Times New Roman" w:cs="Times New Roman"/>
                <w:sz w:val="20"/>
                <w:szCs w:val="20"/>
              </w:rPr>
            </w:pPr>
            <w:r>
              <w:rPr>
                <w:rFonts w:ascii="Times New Roman" w:hAnsi="Times New Roman" w:cs="Times New Roman"/>
                <w:sz w:val="20"/>
                <w:szCs w:val="20"/>
              </w:rPr>
              <w:t>-.05</w:t>
            </w:r>
          </w:p>
        </w:tc>
        <w:tc>
          <w:tcPr>
            <w:tcW w:w="721" w:type="dxa"/>
            <w:tcBorders>
              <w:top w:val="single" w:sz="4" w:space="0" w:color="000000"/>
              <w:left w:val="single" w:sz="4" w:space="0" w:color="000000"/>
              <w:bottom w:val="single" w:sz="4" w:space="0" w:color="000000"/>
              <w:right w:val="single" w:sz="4" w:space="0" w:color="000000"/>
            </w:tcBorders>
            <w:hideMark/>
          </w:tcPr>
          <w:p w14:paraId="38D66A0F" w14:textId="77777777" w:rsidR="00601EB4" w:rsidRPr="00FA1DCC" w:rsidRDefault="00601EB4" w:rsidP="002A1E63">
            <w:pPr>
              <w:pStyle w:val="NoSpacing"/>
              <w:rPr>
                <w:rFonts w:ascii="Times New Roman" w:hAnsi="Times New Roman" w:cs="Times New Roman"/>
                <w:sz w:val="20"/>
                <w:szCs w:val="20"/>
              </w:rPr>
            </w:pPr>
            <w:r w:rsidRPr="00FA1DCC">
              <w:rPr>
                <w:rFonts w:ascii="Times New Roman" w:hAnsi="Times New Roman" w:cs="Times New Roman"/>
                <w:sz w:val="20"/>
                <w:szCs w:val="20"/>
              </w:rPr>
              <w:t>-</w:t>
            </w:r>
          </w:p>
        </w:tc>
      </w:tr>
    </w:tbl>
    <w:p w14:paraId="3146C7A6" w14:textId="509FF140" w:rsidR="00601EB4" w:rsidRPr="00FA1DCC" w:rsidRDefault="00EF7C91" w:rsidP="00601EB4">
      <w:pPr>
        <w:pStyle w:val="NoSpacing"/>
        <w:rPr>
          <w:rFonts w:ascii="Times New Roman" w:hAnsi="Times New Roman" w:cs="Times New Roman"/>
        </w:rPr>
      </w:pPr>
      <w:r w:rsidRPr="00EF7C91">
        <w:rPr>
          <w:rFonts w:ascii="Times New Roman" w:hAnsi="Times New Roman" w:cs="Times New Roman"/>
          <w:i/>
          <w:iCs/>
        </w:rPr>
        <w:t>Note</w:t>
      </w:r>
      <w:r>
        <w:rPr>
          <w:rFonts w:ascii="Times New Roman" w:hAnsi="Times New Roman" w:cs="Times New Roman"/>
        </w:rPr>
        <w:t xml:space="preserve">. </w:t>
      </w:r>
      <w:r w:rsidR="0055790C">
        <w:rPr>
          <w:rFonts w:ascii="Times New Roman" w:hAnsi="Times New Roman" w:cs="Times New Roman"/>
        </w:rPr>
        <w:t>*</w:t>
      </w:r>
      <w:r w:rsidRPr="0055790C">
        <w:rPr>
          <w:rFonts w:ascii="Times New Roman" w:hAnsi="Times New Roman" w:cs="Times New Roman"/>
          <w:i/>
          <w:iCs/>
        </w:rPr>
        <w:t>p</w:t>
      </w:r>
      <w:r>
        <w:rPr>
          <w:rFonts w:ascii="Times New Roman" w:hAnsi="Times New Roman" w:cs="Times New Roman"/>
        </w:rPr>
        <w:t xml:space="preserve"> &lt; .05*, </w:t>
      </w:r>
      <w:r w:rsidR="0055790C">
        <w:rPr>
          <w:rFonts w:ascii="Times New Roman" w:hAnsi="Times New Roman" w:cs="Times New Roman"/>
        </w:rPr>
        <w:t>**</w:t>
      </w:r>
      <w:r w:rsidRPr="0055790C">
        <w:rPr>
          <w:rFonts w:ascii="Times New Roman" w:hAnsi="Times New Roman" w:cs="Times New Roman"/>
          <w:i/>
          <w:iCs/>
        </w:rPr>
        <w:t>p</w:t>
      </w:r>
      <w:r>
        <w:rPr>
          <w:rFonts w:ascii="Times New Roman" w:hAnsi="Times New Roman" w:cs="Times New Roman"/>
        </w:rPr>
        <w:t>&lt;.</w:t>
      </w:r>
      <w:r w:rsidR="0055790C">
        <w:rPr>
          <w:rFonts w:ascii="Times New Roman" w:hAnsi="Times New Roman" w:cs="Times New Roman"/>
        </w:rPr>
        <w:t>01, ***</w:t>
      </w:r>
      <w:r w:rsidR="0055790C" w:rsidRPr="0055790C">
        <w:rPr>
          <w:rFonts w:ascii="Times New Roman" w:hAnsi="Times New Roman" w:cs="Times New Roman"/>
          <w:i/>
          <w:iCs/>
        </w:rPr>
        <w:t>p</w:t>
      </w:r>
      <w:r w:rsidR="0055790C">
        <w:rPr>
          <w:rFonts w:ascii="Times New Roman" w:hAnsi="Times New Roman" w:cs="Times New Roman"/>
        </w:rPr>
        <w:t>&lt;.001</w:t>
      </w:r>
    </w:p>
    <w:p w14:paraId="4976E780" w14:textId="77777777" w:rsidR="00601EB4" w:rsidRDefault="00601EB4" w:rsidP="00601EB4">
      <w:pPr>
        <w:pStyle w:val="NoSpacing"/>
      </w:pPr>
    </w:p>
    <w:p w14:paraId="52811309" w14:textId="63F4E73B" w:rsidR="00601EB4" w:rsidRDefault="00601EB4" w:rsidP="001741FB">
      <w:pPr>
        <w:pStyle w:val="NoSpacing"/>
        <w:spacing w:line="480" w:lineRule="auto"/>
        <w:rPr>
          <w:rFonts w:ascii="Times New Roman" w:hAnsi="Times New Roman" w:cs="Times New Roman"/>
        </w:rPr>
      </w:pPr>
      <w:r w:rsidRPr="00601EB4">
        <w:rPr>
          <w:rFonts w:ascii="Times New Roman" w:hAnsi="Times New Roman" w:cs="Times New Roman"/>
        </w:rPr>
        <w:t>In</w:t>
      </w:r>
      <w:r w:rsidR="00EF7C91">
        <w:rPr>
          <w:rFonts w:ascii="Times New Roman" w:hAnsi="Times New Roman" w:cs="Times New Roman"/>
        </w:rPr>
        <w:t>terestingly, in</w:t>
      </w:r>
      <w:r w:rsidRPr="00601EB4">
        <w:rPr>
          <w:rFonts w:ascii="Times New Roman" w:hAnsi="Times New Roman" w:cs="Times New Roman"/>
        </w:rPr>
        <w:t xml:space="preserve"> current smokers,</w:t>
      </w:r>
      <w:r>
        <w:rPr>
          <w:rFonts w:ascii="Times New Roman" w:hAnsi="Times New Roman" w:cs="Times New Roman"/>
        </w:rPr>
        <w:t xml:space="preserve"> motivation to quit smoking is negatively correlated with smoking EA rates. Put another way, higher motivation to give up smoking </w:t>
      </w:r>
      <w:r w:rsidR="005E21EB">
        <w:rPr>
          <w:rFonts w:ascii="Times New Roman" w:hAnsi="Times New Roman" w:cs="Times New Roman"/>
        </w:rPr>
        <w:t xml:space="preserve">is characterised by </w:t>
      </w:r>
      <w:r>
        <w:rPr>
          <w:rFonts w:ascii="Times New Roman" w:hAnsi="Times New Roman" w:cs="Times New Roman"/>
        </w:rPr>
        <w:t>lower EA rates for tobacco.</w:t>
      </w:r>
    </w:p>
    <w:p w14:paraId="21BDE0F4" w14:textId="77777777" w:rsidR="00EF7C91" w:rsidRPr="00601EB4" w:rsidRDefault="00EF7C91" w:rsidP="001741FB">
      <w:pPr>
        <w:pStyle w:val="NoSpacing"/>
        <w:spacing w:line="480" w:lineRule="auto"/>
        <w:rPr>
          <w:rFonts w:ascii="Times New Roman" w:hAnsi="Times New Roman" w:cs="Times New Roman"/>
        </w:rPr>
      </w:pPr>
    </w:p>
    <w:p w14:paraId="2894302E" w14:textId="25660269" w:rsidR="00EF7C91" w:rsidRDefault="00EF7C91" w:rsidP="00EF7C91">
      <w:pPr>
        <w:pStyle w:val="NoSpacing"/>
        <w:spacing w:line="480" w:lineRule="auto"/>
        <w:rPr>
          <w:rFonts w:ascii="Times New Roman" w:hAnsi="Times New Roman" w:cs="Times New Roman"/>
          <w:b/>
          <w:bCs/>
        </w:rPr>
      </w:pPr>
      <w:r w:rsidRPr="00FA1DCC">
        <w:rPr>
          <w:rFonts w:ascii="Times New Roman" w:hAnsi="Times New Roman" w:cs="Times New Roman"/>
          <w:b/>
          <w:bCs/>
        </w:rPr>
        <w:t>Table S7.</w:t>
      </w:r>
      <w:r w:rsidR="0055790C">
        <w:rPr>
          <w:rFonts w:ascii="Times New Roman" w:hAnsi="Times New Roman" w:cs="Times New Roman"/>
          <w:b/>
          <w:bCs/>
        </w:rPr>
        <w:t>4</w:t>
      </w:r>
    </w:p>
    <w:p w14:paraId="58091992" w14:textId="77777777" w:rsidR="00EF7C91" w:rsidRPr="00FA1DCC" w:rsidRDefault="00EF7C91" w:rsidP="00EF7C91">
      <w:pPr>
        <w:pStyle w:val="NoSpacing"/>
        <w:spacing w:line="480" w:lineRule="auto"/>
        <w:rPr>
          <w:rFonts w:ascii="Times New Roman" w:hAnsi="Times New Roman" w:cs="Times New Roman"/>
          <w:b/>
          <w:bCs/>
        </w:rPr>
      </w:pPr>
      <w:r w:rsidRPr="00FA1DCC">
        <w:rPr>
          <w:rFonts w:ascii="Times New Roman" w:hAnsi="Times New Roman" w:cs="Times New Roman"/>
          <w:i/>
          <w:iCs/>
        </w:rPr>
        <w:t>Correlations between DDM parameters, area under the curve scores (AUC), and self-report questionnaire variables</w:t>
      </w:r>
      <w:sdt>
        <w:sdtPr>
          <w:rPr>
            <w:rFonts w:ascii="Times New Roman" w:hAnsi="Times New Roman" w:cs="Times New Roman"/>
            <w:i/>
            <w:iCs/>
          </w:rPr>
          <w:tag w:val="goog_rdk_30"/>
          <w:id w:val="-143195101"/>
        </w:sdtPr>
        <w:sdtContent/>
      </w:sdt>
      <w:r>
        <w:rPr>
          <w:rFonts w:ascii="Times New Roman" w:hAnsi="Times New Roman" w:cs="Times New Roman"/>
          <w:i/>
          <w:iCs/>
        </w:rPr>
        <w:t xml:space="preserve"> in ex-smokers</w:t>
      </w:r>
    </w:p>
    <w:tbl>
      <w:tblPr>
        <w:tblW w:w="9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6"/>
        <w:gridCol w:w="1050"/>
        <w:gridCol w:w="1051"/>
        <w:gridCol w:w="1049"/>
        <w:gridCol w:w="1050"/>
        <w:gridCol w:w="1049"/>
        <w:gridCol w:w="1050"/>
        <w:gridCol w:w="1049"/>
      </w:tblGrid>
      <w:tr w:rsidR="00EF7C91" w:rsidRPr="00FA1DCC" w14:paraId="2FB9E290" w14:textId="77777777" w:rsidTr="002A1E63">
        <w:trPr>
          <w:trHeight w:val="281"/>
        </w:trPr>
        <w:tc>
          <w:tcPr>
            <w:tcW w:w="1746" w:type="dxa"/>
            <w:tcBorders>
              <w:top w:val="single" w:sz="4" w:space="0" w:color="000000"/>
              <w:left w:val="single" w:sz="4" w:space="0" w:color="000000"/>
              <w:bottom w:val="single" w:sz="4" w:space="0" w:color="000000"/>
              <w:right w:val="single" w:sz="4" w:space="0" w:color="000000"/>
            </w:tcBorders>
          </w:tcPr>
          <w:p w14:paraId="7026CD1A" w14:textId="77777777" w:rsidR="00EF7C91" w:rsidRPr="00FA1DCC" w:rsidRDefault="00EF7C91" w:rsidP="002A1E63">
            <w:pPr>
              <w:pStyle w:val="NoSpacing"/>
              <w:rPr>
                <w:rFonts w:ascii="Times New Roman" w:hAnsi="Times New Roman" w:cs="Times New Roman"/>
              </w:rPr>
            </w:pPr>
          </w:p>
        </w:tc>
        <w:tc>
          <w:tcPr>
            <w:tcW w:w="1050" w:type="dxa"/>
            <w:tcBorders>
              <w:top w:val="single" w:sz="4" w:space="0" w:color="000000"/>
              <w:left w:val="single" w:sz="4" w:space="0" w:color="000000"/>
              <w:bottom w:val="single" w:sz="4" w:space="0" w:color="000000"/>
              <w:right w:val="single" w:sz="4" w:space="0" w:color="000000"/>
            </w:tcBorders>
            <w:hideMark/>
          </w:tcPr>
          <w:p w14:paraId="1B976133"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1</w:t>
            </w:r>
          </w:p>
        </w:tc>
        <w:tc>
          <w:tcPr>
            <w:tcW w:w="1051" w:type="dxa"/>
            <w:tcBorders>
              <w:top w:val="single" w:sz="4" w:space="0" w:color="000000"/>
              <w:left w:val="single" w:sz="4" w:space="0" w:color="000000"/>
              <w:bottom w:val="single" w:sz="4" w:space="0" w:color="000000"/>
              <w:right w:val="single" w:sz="4" w:space="0" w:color="000000"/>
            </w:tcBorders>
            <w:hideMark/>
          </w:tcPr>
          <w:p w14:paraId="197893A8"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2</w:t>
            </w:r>
          </w:p>
        </w:tc>
        <w:tc>
          <w:tcPr>
            <w:tcW w:w="1049" w:type="dxa"/>
            <w:tcBorders>
              <w:top w:val="single" w:sz="4" w:space="0" w:color="000000"/>
              <w:left w:val="single" w:sz="4" w:space="0" w:color="000000"/>
              <w:bottom w:val="single" w:sz="4" w:space="0" w:color="000000"/>
              <w:right w:val="single" w:sz="4" w:space="0" w:color="000000"/>
            </w:tcBorders>
            <w:hideMark/>
          </w:tcPr>
          <w:p w14:paraId="41C55B5D"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3</w:t>
            </w:r>
          </w:p>
        </w:tc>
        <w:tc>
          <w:tcPr>
            <w:tcW w:w="1050" w:type="dxa"/>
            <w:tcBorders>
              <w:top w:val="single" w:sz="4" w:space="0" w:color="000000"/>
              <w:left w:val="single" w:sz="4" w:space="0" w:color="000000"/>
              <w:bottom w:val="single" w:sz="4" w:space="0" w:color="000000"/>
              <w:right w:val="single" w:sz="4" w:space="0" w:color="000000"/>
            </w:tcBorders>
            <w:hideMark/>
          </w:tcPr>
          <w:p w14:paraId="4B4ED5A0"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4</w:t>
            </w:r>
          </w:p>
        </w:tc>
        <w:tc>
          <w:tcPr>
            <w:tcW w:w="1049" w:type="dxa"/>
            <w:tcBorders>
              <w:top w:val="single" w:sz="4" w:space="0" w:color="000000"/>
              <w:left w:val="single" w:sz="4" w:space="0" w:color="000000"/>
              <w:bottom w:val="single" w:sz="4" w:space="0" w:color="000000"/>
              <w:right w:val="single" w:sz="4" w:space="0" w:color="000000"/>
            </w:tcBorders>
            <w:hideMark/>
          </w:tcPr>
          <w:p w14:paraId="2A6648F9"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5</w:t>
            </w:r>
          </w:p>
        </w:tc>
        <w:tc>
          <w:tcPr>
            <w:tcW w:w="1050" w:type="dxa"/>
            <w:tcBorders>
              <w:top w:val="single" w:sz="4" w:space="0" w:color="000000"/>
              <w:left w:val="single" w:sz="4" w:space="0" w:color="000000"/>
              <w:bottom w:val="single" w:sz="4" w:space="0" w:color="000000"/>
              <w:right w:val="single" w:sz="4" w:space="0" w:color="000000"/>
            </w:tcBorders>
            <w:hideMark/>
          </w:tcPr>
          <w:p w14:paraId="310A36E0"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6</w:t>
            </w:r>
          </w:p>
        </w:tc>
        <w:tc>
          <w:tcPr>
            <w:tcW w:w="1049" w:type="dxa"/>
            <w:tcBorders>
              <w:top w:val="single" w:sz="4" w:space="0" w:color="000000"/>
              <w:left w:val="single" w:sz="4" w:space="0" w:color="000000"/>
              <w:bottom w:val="single" w:sz="4" w:space="0" w:color="000000"/>
              <w:right w:val="single" w:sz="4" w:space="0" w:color="000000"/>
            </w:tcBorders>
            <w:hideMark/>
          </w:tcPr>
          <w:p w14:paraId="6FE7EE9D" w14:textId="77777777" w:rsidR="00EF7C91" w:rsidRPr="00FA1DCC" w:rsidRDefault="00EF7C91" w:rsidP="002A1E63">
            <w:pPr>
              <w:pStyle w:val="NoSpacing"/>
              <w:jc w:val="center"/>
              <w:rPr>
                <w:rFonts w:ascii="Times New Roman" w:hAnsi="Times New Roman" w:cs="Times New Roman"/>
              </w:rPr>
            </w:pPr>
            <w:r w:rsidRPr="00FA1DCC">
              <w:rPr>
                <w:rFonts w:ascii="Times New Roman" w:hAnsi="Times New Roman" w:cs="Times New Roman"/>
              </w:rPr>
              <w:t>7</w:t>
            </w:r>
          </w:p>
        </w:tc>
      </w:tr>
      <w:tr w:rsidR="00EF7C91" w:rsidRPr="00FA1DCC" w14:paraId="619FC4EA" w14:textId="77777777" w:rsidTr="002A1E63">
        <w:trPr>
          <w:trHeight w:val="515"/>
        </w:trPr>
        <w:tc>
          <w:tcPr>
            <w:tcW w:w="1746" w:type="dxa"/>
            <w:tcBorders>
              <w:top w:val="single" w:sz="4" w:space="0" w:color="000000"/>
              <w:left w:val="single" w:sz="4" w:space="0" w:color="000000"/>
              <w:bottom w:val="single" w:sz="4" w:space="0" w:color="000000"/>
              <w:right w:val="single" w:sz="4" w:space="0" w:color="000000"/>
            </w:tcBorders>
            <w:hideMark/>
          </w:tcPr>
          <w:p w14:paraId="09358CF3"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1. Animal AUC</w:t>
            </w:r>
          </w:p>
        </w:tc>
        <w:tc>
          <w:tcPr>
            <w:tcW w:w="1050" w:type="dxa"/>
            <w:tcBorders>
              <w:top w:val="single" w:sz="4" w:space="0" w:color="000000"/>
              <w:left w:val="single" w:sz="4" w:space="0" w:color="000000"/>
              <w:bottom w:val="single" w:sz="4" w:space="0" w:color="000000"/>
              <w:right w:val="single" w:sz="4" w:space="0" w:color="000000"/>
            </w:tcBorders>
            <w:hideMark/>
          </w:tcPr>
          <w:p w14:paraId="666D0990"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51" w:type="dxa"/>
            <w:tcBorders>
              <w:top w:val="single" w:sz="4" w:space="0" w:color="000000"/>
              <w:left w:val="single" w:sz="4" w:space="0" w:color="000000"/>
              <w:bottom w:val="single" w:sz="4" w:space="0" w:color="000000"/>
              <w:right w:val="single" w:sz="4" w:space="0" w:color="000000"/>
            </w:tcBorders>
          </w:tcPr>
          <w:p w14:paraId="0014B780"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35D06957" w14:textId="77777777" w:rsidR="00EF7C91" w:rsidRPr="00FA1DCC" w:rsidRDefault="00EF7C91" w:rsidP="002A1E63">
            <w:pPr>
              <w:pStyle w:val="NoSpacing"/>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1765FF28"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3EFA6CC2" w14:textId="77777777" w:rsidR="00EF7C91" w:rsidRPr="00FA1DCC" w:rsidRDefault="00EF7C91" w:rsidP="002A1E63">
            <w:pPr>
              <w:pStyle w:val="NoSpacing"/>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282B3667"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1CD2E4C9"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6105D784" w14:textId="77777777" w:rsidTr="002A1E63">
        <w:trPr>
          <w:trHeight w:val="515"/>
        </w:trPr>
        <w:tc>
          <w:tcPr>
            <w:tcW w:w="1746" w:type="dxa"/>
            <w:tcBorders>
              <w:top w:val="single" w:sz="4" w:space="0" w:color="000000"/>
              <w:left w:val="single" w:sz="4" w:space="0" w:color="000000"/>
              <w:bottom w:val="single" w:sz="4" w:space="0" w:color="000000"/>
              <w:right w:val="single" w:sz="4" w:space="0" w:color="000000"/>
            </w:tcBorders>
            <w:hideMark/>
          </w:tcPr>
          <w:p w14:paraId="4952334D"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2. Smoking AUC</w:t>
            </w:r>
          </w:p>
        </w:tc>
        <w:tc>
          <w:tcPr>
            <w:tcW w:w="1050" w:type="dxa"/>
            <w:tcBorders>
              <w:top w:val="single" w:sz="4" w:space="0" w:color="000000"/>
              <w:left w:val="single" w:sz="4" w:space="0" w:color="000000"/>
              <w:bottom w:val="single" w:sz="4" w:space="0" w:color="000000"/>
              <w:right w:val="single" w:sz="4" w:space="0" w:color="000000"/>
            </w:tcBorders>
            <w:hideMark/>
          </w:tcPr>
          <w:p w14:paraId="7186F932"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.90***</w:t>
            </w:r>
          </w:p>
        </w:tc>
        <w:tc>
          <w:tcPr>
            <w:tcW w:w="1051" w:type="dxa"/>
            <w:tcBorders>
              <w:top w:val="single" w:sz="4" w:space="0" w:color="000000"/>
              <w:left w:val="single" w:sz="4" w:space="0" w:color="000000"/>
              <w:bottom w:val="single" w:sz="4" w:space="0" w:color="000000"/>
              <w:right w:val="single" w:sz="4" w:space="0" w:color="000000"/>
            </w:tcBorders>
            <w:hideMark/>
          </w:tcPr>
          <w:p w14:paraId="6212E667"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49" w:type="dxa"/>
            <w:tcBorders>
              <w:top w:val="single" w:sz="4" w:space="0" w:color="000000"/>
              <w:left w:val="single" w:sz="4" w:space="0" w:color="000000"/>
              <w:bottom w:val="single" w:sz="4" w:space="0" w:color="000000"/>
              <w:right w:val="single" w:sz="4" w:space="0" w:color="000000"/>
            </w:tcBorders>
          </w:tcPr>
          <w:p w14:paraId="0A1DE559" w14:textId="77777777" w:rsidR="00EF7C91" w:rsidRPr="00FA1DCC" w:rsidRDefault="00EF7C91" w:rsidP="002A1E63">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37F43856"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2F220D24" w14:textId="77777777" w:rsidR="00EF7C91" w:rsidRPr="00FA1DCC" w:rsidRDefault="00EF7C91" w:rsidP="002A1E63">
            <w:pPr>
              <w:pStyle w:val="NoSpacing"/>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485EE602"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7BAAC2F3"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13618A16" w14:textId="77777777" w:rsidTr="002A1E63">
        <w:trPr>
          <w:trHeight w:val="472"/>
        </w:trPr>
        <w:tc>
          <w:tcPr>
            <w:tcW w:w="1746" w:type="dxa"/>
            <w:tcBorders>
              <w:top w:val="single" w:sz="4" w:space="0" w:color="000000"/>
              <w:left w:val="single" w:sz="4" w:space="0" w:color="000000"/>
              <w:bottom w:val="single" w:sz="4" w:space="0" w:color="000000"/>
              <w:right w:val="single" w:sz="4" w:space="0" w:color="000000"/>
            </w:tcBorders>
            <w:hideMark/>
          </w:tcPr>
          <w:p w14:paraId="3829CAE1"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3. Animal EA rates</w:t>
            </w:r>
          </w:p>
        </w:tc>
        <w:tc>
          <w:tcPr>
            <w:tcW w:w="1050" w:type="dxa"/>
            <w:tcBorders>
              <w:top w:val="single" w:sz="4" w:space="0" w:color="000000"/>
              <w:left w:val="single" w:sz="4" w:space="0" w:color="000000"/>
              <w:bottom w:val="single" w:sz="4" w:space="0" w:color="000000"/>
              <w:right w:val="single" w:sz="4" w:space="0" w:color="000000"/>
            </w:tcBorders>
            <w:hideMark/>
          </w:tcPr>
          <w:p w14:paraId="3658F11B"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-.18</w:t>
            </w:r>
          </w:p>
        </w:tc>
        <w:tc>
          <w:tcPr>
            <w:tcW w:w="1051" w:type="dxa"/>
            <w:tcBorders>
              <w:top w:val="single" w:sz="4" w:space="0" w:color="000000"/>
              <w:left w:val="single" w:sz="4" w:space="0" w:color="000000"/>
              <w:bottom w:val="single" w:sz="4" w:space="0" w:color="000000"/>
              <w:right w:val="single" w:sz="4" w:space="0" w:color="000000"/>
            </w:tcBorders>
            <w:hideMark/>
          </w:tcPr>
          <w:p w14:paraId="0D266AB5"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-.30*</w:t>
            </w:r>
          </w:p>
        </w:tc>
        <w:tc>
          <w:tcPr>
            <w:tcW w:w="1049" w:type="dxa"/>
            <w:tcBorders>
              <w:top w:val="single" w:sz="4" w:space="0" w:color="000000"/>
              <w:left w:val="single" w:sz="4" w:space="0" w:color="000000"/>
              <w:bottom w:val="single" w:sz="4" w:space="0" w:color="000000"/>
              <w:right w:val="single" w:sz="4" w:space="0" w:color="000000"/>
            </w:tcBorders>
            <w:hideMark/>
          </w:tcPr>
          <w:p w14:paraId="15D869B0"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14:paraId="2A5B46CD" w14:textId="77777777" w:rsidR="00EF7C91" w:rsidRPr="00FA1DCC" w:rsidRDefault="00EF7C91" w:rsidP="002A1E63">
            <w:pPr>
              <w:pStyle w:val="NoSpacing"/>
              <w:jc w:val="center"/>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0AB7F35A" w14:textId="77777777" w:rsidR="00EF7C91" w:rsidRPr="00FA1DCC" w:rsidRDefault="00EF7C91" w:rsidP="002A1E63">
            <w:pPr>
              <w:pStyle w:val="NoSpacing"/>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4DFF851B"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5EA24C9A"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14427782" w14:textId="77777777" w:rsidTr="002A1E63">
        <w:trPr>
          <w:trHeight w:val="539"/>
        </w:trPr>
        <w:tc>
          <w:tcPr>
            <w:tcW w:w="1746" w:type="dxa"/>
            <w:tcBorders>
              <w:top w:val="single" w:sz="4" w:space="0" w:color="000000"/>
              <w:left w:val="single" w:sz="4" w:space="0" w:color="000000"/>
              <w:bottom w:val="single" w:sz="4" w:space="0" w:color="000000"/>
              <w:right w:val="single" w:sz="4" w:space="0" w:color="000000"/>
            </w:tcBorders>
            <w:hideMark/>
          </w:tcPr>
          <w:p w14:paraId="1FFB352D"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 xml:space="preserve">4. Smoking EA rates </w:t>
            </w:r>
          </w:p>
        </w:tc>
        <w:tc>
          <w:tcPr>
            <w:tcW w:w="1050" w:type="dxa"/>
            <w:tcBorders>
              <w:top w:val="single" w:sz="4" w:space="0" w:color="000000"/>
              <w:left w:val="single" w:sz="4" w:space="0" w:color="000000"/>
              <w:bottom w:val="single" w:sz="4" w:space="0" w:color="000000"/>
              <w:right w:val="single" w:sz="4" w:space="0" w:color="000000"/>
            </w:tcBorders>
            <w:hideMark/>
          </w:tcPr>
          <w:p w14:paraId="0333C842"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-.40**</w:t>
            </w:r>
          </w:p>
        </w:tc>
        <w:tc>
          <w:tcPr>
            <w:tcW w:w="1051" w:type="dxa"/>
            <w:tcBorders>
              <w:top w:val="single" w:sz="4" w:space="0" w:color="000000"/>
              <w:left w:val="single" w:sz="4" w:space="0" w:color="000000"/>
              <w:bottom w:val="single" w:sz="4" w:space="0" w:color="000000"/>
              <w:right w:val="single" w:sz="4" w:space="0" w:color="000000"/>
            </w:tcBorders>
            <w:hideMark/>
          </w:tcPr>
          <w:p w14:paraId="74963556" w14:textId="77777777" w:rsidR="00EF7C91" w:rsidRPr="00601EB4" w:rsidRDefault="00EF7C91" w:rsidP="002A1E63">
            <w:pPr>
              <w:pStyle w:val="NoSpacing"/>
              <w:rPr>
                <w:rFonts w:ascii="Times New Roman" w:hAnsi="Times New Roman" w:cs="Times New Roman"/>
                <w:b/>
                <w:bCs/>
                <w:iCs/>
                <w:sz w:val="20"/>
                <w:szCs w:val="20"/>
              </w:rPr>
            </w:pPr>
            <w:r w:rsidRPr="00601EB4">
              <w:rPr>
                <w:rFonts w:ascii="Times New Roman" w:hAnsi="Times New Roman" w:cs="Times New Roman"/>
                <w:b/>
                <w:bCs/>
                <w:iCs/>
                <w:sz w:val="20"/>
                <w:szCs w:val="20"/>
              </w:rPr>
              <w:t>-.48***</w:t>
            </w:r>
          </w:p>
        </w:tc>
        <w:tc>
          <w:tcPr>
            <w:tcW w:w="1049" w:type="dxa"/>
            <w:tcBorders>
              <w:top w:val="single" w:sz="4" w:space="0" w:color="000000"/>
              <w:left w:val="single" w:sz="4" w:space="0" w:color="000000"/>
              <w:bottom w:val="single" w:sz="4" w:space="0" w:color="000000"/>
              <w:right w:val="single" w:sz="4" w:space="0" w:color="000000"/>
            </w:tcBorders>
            <w:hideMark/>
          </w:tcPr>
          <w:p w14:paraId="41890846"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.53***</w:t>
            </w:r>
          </w:p>
        </w:tc>
        <w:tc>
          <w:tcPr>
            <w:tcW w:w="1050" w:type="dxa"/>
            <w:tcBorders>
              <w:top w:val="single" w:sz="4" w:space="0" w:color="000000"/>
              <w:left w:val="single" w:sz="4" w:space="0" w:color="000000"/>
              <w:bottom w:val="single" w:sz="4" w:space="0" w:color="000000"/>
              <w:right w:val="single" w:sz="4" w:space="0" w:color="000000"/>
            </w:tcBorders>
            <w:hideMark/>
          </w:tcPr>
          <w:p w14:paraId="410F42B7"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49" w:type="dxa"/>
            <w:tcBorders>
              <w:top w:val="single" w:sz="4" w:space="0" w:color="000000"/>
              <w:left w:val="single" w:sz="4" w:space="0" w:color="000000"/>
              <w:bottom w:val="single" w:sz="4" w:space="0" w:color="000000"/>
              <w:right w:val="single" w:sz="4" w:space="0" w:color="000000"/>
            </w:tcBorders>
          </w:tcPr>
          <w:p w14:paraId="017F45CB" w14:textId="77777777" w:rsidR="00EF7C91" w:rsidRPr="00FA1DCC" w:rsidRDefault="00EF7C91" w:rsidP="002A1E63">
            <w:pPr>
              <w:pStyle w:val="NoSpacing"/>
              <w:jc w:val="center"/>
              <w:rPr>
                <w:rFonts w:ascii="Times New Roman" w:hAnsi="Times New Roman" w:cs="Times New Roman"/>
                <w:sz w:val="20"/>
                <w:szCs w:val="20"/>
              </w:rPr>
            </w:pPr>
          </w:p>
        </w:tc>
        <w:tc>
          <w:tcPr>
            <w:tcW w:w="1050" w:type="dxa"/>
            <w:tcBorders>
              <w:top w:val="single" w:sz="4" w:space="0" w:color="000000"/>
              <w:left w:val="single" w:sz="4" w:space="0" w:color="000000"/>
              <w:bottom w:val="single" w:sz="4" w:space="0" w:color="000000"/>
              <w:right w:val="single" w:sz="4" w:space="0" w:color="000000"/>
            </w:tcBorders>
          </w:tcPr>
          <w:p w14:paraId="0AA53206" w14:textId="77777777" w:rsidR="00EF7C91" w:rsidRPr="00FA1DCC" w:rsidRDefault="00EF7C91" w:rsidP="002A1E63">
            <w:pPr>
              <w:pStyle w:val="NoSpacing"/>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7E7CC946"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2977EC7C" w14:textId="77777777" w:rsidTr="002A1E63">
        <w:trPr>
          <w:trHeight w:val="506"/>
        </w:trPr>
        <w:tc>
          <w:tcPr>
            <w:tcW w:w="1746" w:type="dxa"/>
            <w:tcBorders>
              <w:top w:val="single" w:sz="4" w:space="0" w:color="000000"/>
              <w:left w:val="single" w:sz="4" w:space="0" w:color="000000"/>
              <w:bottom w:val="single" w:sz="4" w:space="0" w:color="000000"/>
              <w:right w:val="single" w:sz="4" w:space="0" w:color="000000"/>
            </w:tcBorders>
            <w:hideMark/>
          </w:tcPr>
          <w:p w14:paraId="54EF75D7"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5. Animal thresholds</w:t>
            </w:r>
          </w:p>
        </w:tc>
        <w:tc>
          <w:tcPr>
            <w:tcW w:w="1050" w:type="dxa"/>
            <w:tcBorders>
              <w:top w:val="single" w:sz="4" w:space="0" w:color="000000"/>
              <w:left w:val="single" w:sz="4" w:space="0" w:color="000000"/>
              <w:bottom w:val="single" w:sz="4" w:space="0" w:color="000000"/>
              <w:right w:val="single" w:sz="4" w:space="0" w:color="000000"/>
            </w:tcBorders>
            <w:hideMark/>
          </w:tcPr>
          <w:p w14:paraId="01889B1E"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-.04</w:t>
            </w:r>
          </w:p>
        </w:tc>
        <w:tc>
          <w:tcPr>
            <w:tcW w:w="1051" w:type="dxa"/>
            <w:tcBorders>
              <w:top w:val="single" w:sz="4" w:space="0" w:color="000000"/>
              <w:left w:val="single" w:sz="4" w:space="0" w:color="000000"/>
              <w:bottom w:val="single" w:sz="4" w:space="0" w:color="000000"/>
              <w:right w:val="single" w:sz="4" w:space="0" w:color="000000"/>
            </w:tcBorders>
            <w:hideMark/>
          </w:tcPr>
          <w:p w14:paraId="70B3717D"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.05</w:t>
            </w:r>
          </w:p>
        </w:tc>
        <w:tc>
          <w:tcPr>
            <w:tcW w:w="1049" w:type="dxa"/>
            <w:tcBorders>
              <w:top w:val="single" w:sz="4" w:space="0" w:color="000000"/>
              <w:left w:val="single" w:sz="4" w:space="0" w:color="000000"/>
              <w:bottom w:val="single" w:sz="4" w:space="0" w:color="000000"/>
              <w:right w:val="single" w:sz="4" w:space="0" w:color="000000"/>
            </w:tcBorders>
            <w:hideMark/>
          </w:tcPr>
          <w:p w14:paraId="2F15ACF7"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-.61***</w:t>
            </w:r>
          </w:p>
        </w:tc>
        <w:tc>
          <w:tcPr>
            <w:tcW w:w="1050" w:type="dxa"/>
            <w:tcBorders>
              <w:top w:val="single" w:sz="4" w:space="0" w:color="000000"/>
              <w:left w:val="single" w:sz="4" w:space="0" w:color="000000"/>
              <w:bottom w:val="single" w:sz="4" w:space="0" w:color="000000"/>
              <w:right w:val="single" w:sz="4" w:space="0" w:color="000000"/>
            </w:tcBorders>
            <w:hideMark/>
          </w:tcPr>
          <w:p w14:paraId="6D995BF7"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-.24</w:t>
            </w:r>
          </w:p>
        </w:tc>
        <w:tc>
          <w:tcPr>
            <w:tcW w:w="1049" w:type="dxa"/>
            <w:tcBorders>
              <w:top w:val="single" w:sz="4" w:space="0" w:color="000000"/>
              <w:left w:val="single" w:sz="4" w:space="0" w:color="000000"/>
              <w:bottom w:val="single" w:sz="4" w:space="0" w:color="000000"/>
              <w:right w:val="single" w:sz="4" w:space="0" w:color="000000"/>
            </w:tcBorders>
            <w:hideMark/>
          </w:tcPr>
          <w:p w14:paraId="2F6A0393"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50" w:type="dxa"/>
            <w:tcBorders>
              <w:top w:val="single" w:sz="4" w:space="0" w:color="000000"/>
              <w:left w:val="single" w:sz="4" w:space="0" w:color="000000"/>
              <w:bottom w:val="single" w:sz="4" w:space="0" w:color="000000"/>
              <w:right w:val="single" w:sz="4" w:space="0" w:color="000000"/>
            </w:tcBorders>
          </w:tcPr>
          <w:p w14:paraId="1117E729" w14:textId="77777777" w:rsidR="00EF7C91" w:rsidRPr="00FA1DCC" w:rsidRDefault="00EF7C91" w:rsidP="002A1E63">
            <w:pPr>
              <w:pStyle w:val="NoSpacing"/>
              <w:jc w:val="center"/>
              <w:rPr>
                <w:rFonts w:ascii="Times New Roman" w:hAnsi="Times New Roman" w:cs="Times New Roman"/>
                <w:sz w:val="20"/>
                <w:szCs w:val="20"/>
              </w:rPr>
            </w:pPr>
          </w:p>
        </w:tc>
        <w:tc>
          <w:tcPr>
            <w:tcW w:w="1049" w:type="dxa"/>
            <w:tcBorders>
              <w:top w:val="single" w:sz="4" w:space="0" w:color="000000"/>
              <w:left w:val="single" w:sz="4" w:space="0" w:color="000000"/>
              <w:bottom w:val="single" w:sz="4" w:space="0" w:color="000000"/>
              <w:right w:val="single" w:sz="4" w:space="0" w:color="000000"/>
            </w:tcBorders>
          </w:tcPr>
          <w:p w14:paraId="5D0BD1AE"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54B5C221" w14:textId="77777777" w:rsidTr="002A1E63">
        <w:trPr>
          <w:trHeight w:val="511"/>
        </w:trPr>
        <w:tc>
          <w:tcPr>
            <w:tcW w:w="1746" w:type="dxa"/>
            <w:tcBorders>
              <w:top w:val="single" w:sz="4" w:space="0" w:color="000000"/>
              <w:left w:val="single" w:sz="4" w:space="0" w:color="000000"/>
              <w:bottom w:val="single" w:sz="4" w:space="0" w:color="000000"/>
              <w:right w:val="single" w:sz="4" w:space="0" w:color="000000"/>
            </w:tcBorders>
            <w:hideMark/>
          </w:tcPr>
          <w:p w14:paraId="78B81694"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6. Smoking thresholds</w:t>
            </w:r>
          </w:p>
        </w:tc>
        <w:tc>
          <w:tcPr>
            <w:tcW w:w="1050" w:type="dxa"/>
            <w:tcBorders>
              <w:top w:val="single" w:sz="4" w:space="0" w:color="000000"/>
              <w:left w:val="single" w:sz="4" w:space="0" w:color="000000"/>
              <w:bottom w:val="single" w:sz="4" w:space="0" w:color="000000"/>
              <w:right w:val="single" w:sz="4" w:space="0" w:color="000000"/>
            </w:tcBorders>
            <w:hideMark/>
          </w:tcPr>
          <w:p w14:paraId="49471B2F"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.00</w:t>
            </w:r>
          </w:p>
        </w:tc>
        <w:tc>
          <w:tcPr>
            <w:tcW w:w="1051" w:type="dxa"/>
            <w:tcBorders>
              <w:top w:val="single" w:sz="4" w:space="0" w:color="000000"/>
              <w:left w:val="single" w:sz="4" w:space="0" w:color="000000"/>
              <w:bottom w:val="single" w:sz="4" w:space="0" w:color="000000"/>
              <w:right w:val="single" w:sz="4" w:space="0" w:color="000000"/>
            </w:tcBorders>
            <w:hideMark/>
          </w:tcPr>
          <w:p w14:paraId="47EAB7CF"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.02</w:t>
            </w:r>
          </w:p>
        </w:tc>
        <w:tc>
          <w:tcPr>
            <w:tcW w:w="1049" w:type="dxa"/>
            <w:tcBorders>
              <w:top w:val="single" w:sz="4" w:space="0" w:color="000000"/>
              <w:left w:val="single" w:sz="4" w:space="0" w:color="000000"/>
              <w:bottom w:val="single" w:sz="4" w:space="0" w:color="000000"/>
              <w:right w:val="single" w:sz="4" w:space="0" w:color="000000"/>
            </w:tcBorders>
            <w:hideMark/>
          </w:tcPr>
          <w:p w14:paraId="129A62F5"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-.26</w:t>
            </w:r>
          </w:p>
        </w:tc>
        <w:tc>
          <w:tcPr>
            <w:tcW w:w="1050" w:type="dxa"/>
            <w:tcBorders>
              <w:top w:val="single" w:sz="4" w:space="0" w:color="000000"/>
              <w:left w:val="single" w:sz="4" w:space="0" w:color="000000"/>
              <w:bottom w:val="single" w:sz="4" w:space="0" w:color="000000"/>
              <w:right w:val="single" w:sz="4" w:space="0" w:color="000000"/>
            </w:tcBorders>
            <w:hideMark/>
          </w:tcPr>
          <w:p w14:paraId="47D313EA"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-.41**</w:t>
            </w:r>
          </w:p>
        </w:tc>
        <w:tc>
          <w:tcPr>
            <w:tcW w:w="1049" w:type="dxa"/>
            <w:tcBorders>
              <w:top w:val="single" w:sz="4" w:space="0" w:color="000000"/>
              <w:left w:val="single" w:sz="4" w:space="0" w:color="000000"/>
              <w:bottom w:val="single" w:sz="4" w:space="0" w:color="000000"/>
              <w:right w:val="single" w:sz="4" w:space="0" w:color="000000"/>
            </w:tcBorders>
            <w:hideMark/>
          </w:tcPr>
          <w:p w14:paraId="07AFD9B8" w14:textId="77777777" w:rsidR="00EF7C91" w:rsidRPr="00601EB4" w:rsidRDefault="00EF7C91" w:rsidP="002A1E63">
            <w:pPr>
              <w:pStyle w:val="NoSpacing"/>
              <w:rPr>
                <w:rFonts w:ascii="Times New Roman" w:hAnsi="Times New Roman" w:cs="Times New Roman"/>
                <w:b/>
                <w:bCs/>
                <w:sz w:val="20"/>
                <w:szCs w:val="20"/>
              </w:rPr>
            </w:pPr>
            <w:r w:rsidRPr="00601EB4">
              <w:rPr>
                <w:rFonts w:ascii="Times New Roman" w:hAnsi="Times New Roman" w:cs="Times New Roman"/>
                <w:b/>
                <w:bCs/>
                <w:sz w:val="20"/>
                <w:szCs w:val="20"/>
              </w:rPr>
              <w:t>.49***</w:t>
            </w:r>
          </w:p>
        </w:tc>
        <w:tc>
          <w:tcPr>
            <w:tcW w:w="1050" w:type="dxa"/>
            <w:tcBorders>
              <w:top w:val="single" w:sz="4" w:space="0" w:color="000000"/>
              <w:left w:val="single" w:sz="4" w:space="0" w:color="000000"/>
              <w:bottom w:val="single" w:sz="4" w:space="0" w:color="000000"/>
              <w:right w:val="single" w:sz="4" w:space="0" w:color="000000"/>
            </w:tcBorders>
            <w:hideMark/>
          </w:tcPr>
          <w:p w14:paraId="004015EE"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c>
          <w:tcPr>
            <w:tcW w:w="1049" w:type="dxa"/>
            <w:tcBorders>
              <w:top w:val="single" w:sz="4" w:space="0" w:color="000000"/>
              <w:left w:val="single" w:sz="4" w:space="0" w:color="000000"/>
              <w:bottom w:val="single" w:sz="4" w:space="0" w:color="000000"/>
              <w:right w:val="single" w:sz="4" w:space="0" w:color="000000"/>
            </w:tcBorders>
          </w:tcPr>
          <w:p w14:paraId="3595F3C6" w14:textId="77777777" w:rsidR="00EF7C91" w:rsidRPr="00FA1DCC" w:rsidRDefault="00EF7C91" w:rsidP="002A1E63">
            <w:pPr>
              <w:pStyle w:val="NoSpacing"/>
              <w:rPr>
                <w:rFonts w:ascii="Times New Roman" w:hAnsi="Times New Roman" w:cs="Times New Roman"/>
                <w:sz w:val="20"/>
                <w:szCs w:val="20"/>
              </w:rPr>
            </w:pPr>
          </w:p>
        </w:tc>
      </w:tr>
      <w:tr w:rsidR="00EF7C91" w:rsidRPr="00FA1DCC" w14:paraId="1B70368B" w14:textId="77777777" w:rsidTr="002A1E63">
        <w:trPr>
          <w:trHeight w:val="511"/>
        </w:trPr>
        <w:tc>
          <w:tcPr>
            <w:tcW w:w="1746" w:type="dxa"/>
            <w:tcBorders>
              <w:top w:val="single" w:sz="4" w:space="0" w:color="000000"/>
              <w:left w:val="single" w:sz="4" w:space="0" w:color="000000"/>
              <w:bottom w:val="single" w:sz="4" w:space="0" w:color="000000"/>
              <w:right w:val="single" w:sz="4" w:space="0" w:color="000000"/>
            </w:tcBorders>
            <w:hideMark/>
          </w:tcPr>
          <w:p w14:paraId="5BE553FD" w14:textId="77777777" w:rsidR="00EF7C91" w:rsidRPr="00FA1DCC" w:rsidRDefault="00EF7C91" w:rsidP="002A1E63">
            <w:pPr>
              <w:pStyle w:val="NoSpacing"/>
              <w:rPr>
                <w:rFonts w:ascii="Times New Roman" w:hAnsi="Times New Roman" w:cs="Times New Roman"/>
                <w:sz w:val="18"/>
                <w:szCs w:val="18"/>
              </w:rPr>
            </w:pPr>
            <w:r w:rsidRPr="00FA1DCC">
              <w:rPr>
                <w:rFonts w:ascii="Times New Roman" w:hAnsi="Times New Roman" w:cs="Times New Roman"/>
                <w:sz w:val="18"/>
                <w:szCs w:val="18"/>
              </w:rPr>
              <w:t>7. BSCS</w:t>
            </w:r>
          </w:p>
        </w:tc>
        <w:tc>
          <w:tcPr>
            <w:tcW w:w="1050" w:type="dxa"/>
            <w:tcBorders>
              <w:top w:val="single" w:sz="4" w:space="0" w:color="000000"/>
              <w:left w:val="single" w:sz="4" w:space="0" w:color="000000"/>
              <w:bottom w:val="single" w:sz="4" w:space="0" w:color="000000"/>
              <w:right w:val="single" w:sz="4" w:space="0" w:color="000000"/>
            </w:tcBorders>
            <w:hideMark/>
          </w:tcPr>
          <w:p w14:paraId="07D3EF40"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.02</w:t>
            </w:r>
          </w:p>
        </w:tc>
        <w:tc>
          <w:tcPr>
            <w:tcW w:w="1051" w:type="dxa"/>
            <w:tcBorders>
              <w:top w:val="single" w:sz="4" w:space="0" w:color="000000"/>
              <w:left w:val="single" w:sz="4" w:space="0" w:color="000000"/>
              <w:bottom w:val="single" w:sz="4" w:space="0" w:color="000000"/>
              <w:right w:val="single" w:sz="4" w:space="0" w:color="000000"/>
            </w:tcBorders>
            <w:hideMark/>
          </w:tcPr>
          <w:p w14:paraId="688E11A9"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.12</w:t>
            </w:r>
          </w:p>
        </w:tc>
        <w:tc>
          <w:tcPr>
            <w:tcW w:w="1049" w:type="dxa"/>
            <w:tcBorders>
              <w:top w:val="single" w:sz="4" w:space="0" w:color="000000"/>
              <w:left w:val="single" w:sz="4" w:space="0" w:color="000000"/>
              <w:bottom w:val="single" w:sz="4" w:space="0" w:color="000000"/>
              <w:right w:val="single" w:sz="4" w:space="0" w:color="000000"/>
            </w:tcBorders>
            <w:hideMark/>
          </w:tcPr>
          <w:p w14:paraId="2D486F11"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.03</w:t>
            </w:r>
          </w:p>
        </w:tc>
        <w:tc>
          <w:tcPr>
            <w:tcW w:w="1050" w:type="dxa"/>
            <w:tcBorders>
              <w:top w:val="single" w:sz="4" w:space="0" w:color="000000"/>
              <w:left w:val="single" w:sz="4" w:space="0" w:color="000000"/>
              <w:bottom w:val="single" w:sz="4" w:space="0" w:color="000000"/>
              <w:right w:val="single" w:sz="4" w:space="0" w:color="000000"/>
            </w:tcBorders>
            <w:hideMark/>
          </w:tcPr>
          <w:p w14:paraId="4ED99D84"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.05</w:t>
            </w:r>
          </w:p>
        </w:tc>
        <w:tc>
          <w:tcPr>
            <w:tcW w:w="1049" w:type="dxa"/>
            <w:tcBorders>
              <w:top w:val="single" w:sz="4" w:space="0" w:color="000000"/>
              <w:left w:val="single" w:sz="4" w:space="0" w:color="000000"/>
              <w:bottom w:val="single" w:sz="4" w:space="0" w:color="000000"/>
              <w:right w:val="single" w:sz="4" w:space="0" w:color="000000"/>
            </w:tcBorders>
            <w:hideMark/>
          </w:tcPr>
          <w:p w14:paraId="0D7CAF97"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.05</w:t>
            </w:r>
          </w:p>
        </w:tc>
        <w:tc>
          <w:tcPr>
            <w:tcW w:w="1050" w:type="dxa"/>
            <w:tcBorders>
              <w:top w:val="single" w:sz="4" w:space="0" w:color="000000"/>
              <w:left w:val="single" w:sz="4" w:space="0" w:color="000000"/>
              <w:bottom w:val="single" w:sz="4" w:space="0" w:color="000000"/>
              <w:right w:val="single" w:sz="4" w:space="0" w:color="000000"/>
            </w:tcBorders>
            <w:hideMark/>
          </w:tcPr>
          <w:p w14:paraId="0368F725" w14:textId="77777777" w:rsidR="00EF7C91" w:rsidRPr="00FA1DCC" w:rsidRDefault="00EF7C91" w:rsidP="002A1E63">
            <w:pPr>
              <w:pStyle w:val="NoSpacing"/>
              <w:rPr>
                <w:rFonts w:ascii="Times New Roman" w:hAnsi="Times New Roman" w:cs="Times New Roman"/>
                <w:sz w:val="20"/>
                <w:szCs w:val="20"/>
              </w:rPr>
            </w:pPr>
            <w:r>
              <w:rPr>
                <w:rFonts w:ascii="Times New Roman" w:hAnsi="Times New Roman" w:cs="Times New Roman"/>
                <w:sz w:val="20"/>
                <w:szCs w:val="20"/>
              </w:rPr>
              <w:t>.12</w:t>
            </w:r>
          </w:p>
        </w:tc>
        <w:tc>
          <w:tcPr>
            <w:tcW w:w="1049" w:type="dxa"/>
            <w:tcBorders>
              <w:top w:val="single" w:sz="4" w:space="0" w:color="000000"/>
              <w:left w:val="single" w:sz="4" w:space="0" w:color="000000"/>
              <w:bottom w:val="single" w:sz="4" w:space="0" w:color="000000"/>
              <w:right w:val="single" w:sz="4" w:space="0" w:color="000000"/>
            </w:tcBorders>
            <w:hideMark/>
          </w:tcPr>
          <w:p w14:paraId="6CDDFE43" w14:textId="77777777" w:rsidR="00EF7C91" w:rsidRPr="00FA1DCC" w:rsidRDefault="00EF7C91" w:rsidP="002A1E63">
            <w:pPr>
              <w:pStyle w:val="NoSpacing"/>
              <w:jc w:val="center"/>
              <w:rPr>
                <w:rFonts w:ascii="Times New Roman" w:hAnsi="Times New Roman" w:cs="Times New Roman"/>
                <w:sz w:val="20"/>
                <w:szCs w:val="20"/>
              </w:rPr>
            </w:pPr>
            <w:r w:rsidRPr="00FA1DCC">
              <w:rPr>
                <w:rFonts w:ascii="Times New Roman" w:hAnsi="Times New Roman" w:cs="Times New Roman"/>
                <w:sz w:val="20"/>
                <w:szCs w:val="20"/>
              </w:rPr>
              <w:t>-</w:t>
            </w:r>
          </w:p>
        </w:tc>
      </w:tr>
    </w:tbl>
    <w:p w14:paraId="7733F8E6" w14:textId="77777777" w:rsidR="0055790C" w:rsidRPr="0055790C" w:rsidRDefault="0055790C" w:rsidP="0055790C">
      <w:pPr>
        <w:pStyle w:val="NoSpacing"/>
        <w:spacing w:line="480" w:lineRule="auto"/>
        <w:rPr>
          <w:rFonts w:ascii="Times New Roman" w:hAnsi="Times New Roman" w:cs="Times New Roman"/>
        </w:rPr>
      </w:pPr>
      <w:r w:rsidRPr="0055790C">
        <w:rPr>
          <w:rFonts w:ascii="Times New Roman" w:hAnsi="Times New Roman" w:cs="Times New Roman"/>
          <w:i/>
          <w:iCs/>
        </w:rPr>
        <w:t>Note</w:t>
      </w:r>
      <w:r w:rsidRPr="0055790C">
        <w:rPr>
          <w:rFonts w:ascii="Times New Roman" w:hAnsi="Times New Roman" w:cs="Times New Roman"/>
        </w:rPr>
        <w:t>. *</w:t>
      </w:r>
      <w:r w:rsidRPr="0055790C">
        <w:rPr>
          <w:rFonts w:ascii="Times New Roman" w:hAnsi="Times New Roman" w:cs="Times New Roman"/>
          <w:i/>
          <w:iCs/>
        </w:rPr>
        <w:t>p</w:t>
      </w:r>
      <w:r w:rsidRPr="0055790C">
        <w:rPr>
          <w:rFonts w:ascii="Times New Roman" w:hAnsi="Times New Roman" w:cs="Times New Roman"/>
        </w:rPr>
        <w:t xml:space="preserve"> &lt; .05*, **</w:t>
      </w:r>
      <w:r w:rsidRPr="0055790C">
        <w:rPr>
          <w:rFonts w:ascii="Times New Roman" w:hAnsi="Times New Roman" w:cs="Times New Roman"/>
          <w:i/>
          <w:iCs/>
        </w:rPr>
        <w:t>p</w:t>
      </w:r>
      <w:r w:rsidRPr="0055790C">
        <w:rPr>
          <w:rFonts w:ascii="Times New Roman" w:hAnsi="Times New Roman" w:cs="Times New Roman"/>
        </w:rPr>
        <w:t>&lt;.01, ***</w:t>
      </w:r>
      <w:r w:rsidRPr="0055790C">
        <w:rPr>
          <w:rFonts w:ascii="Times New Roman" w:hAnsi="Times New Roman" w:cs="Times New Roman"/>
          <w:i/>
          <w:iCs/>
        </w:rPr>
        <w:t>p</w:t>
      </w:r>
      <w:r w:rsidRPr="0055790C">
        <w:rPr>
          <w:rFonts w:ascii="Times New Roman" w:hAnsi="Times New Roman" w:cs="Times New Roman"/>
        </w:rPr>
        <w:t>&lt;.001</w:t>
      </w:r>
    </w:p>
    <w:p w14:paraId="4C7A9B34" w14:textId="77777777" w:rsidR="00601EB4" w:rsidRDefault="00601EB4" w:rsidP="001741FB">
      <w:pPr>
        <w:pStyle w:val="NoSpacing"/>
        <w:spacing w:line="480" w:lineRule="auto"/>
        <w:rPr>
          <w:rFonts w:ascii="Times New Roman" w:hAnsi="Times New Roman" w:cs="Times New Roman"/>
          <w:b/>
          <w:bCs/>
        </w:rPr>
      </w:pPr>
    </w:p>
    <w:p w14:paraId="36E427EB" w14:textId="77777777" w:rsidR="00601EB4" w:rsidRDefault="00601EB4" w:rsidP="001741FB">
      <w:pPr>
        <w:pStyle w:val="NoSpacing"/>
        <w:spacing w:line="480" w:lineRule="auto"/>
        <w:rPr>
          <w:rFonts w:ascii="Times New Roman" w:hAnsi="Times New Roman" w:cs="Times New Roman"/>
          <w:b/>
          <w:bCs/>
        </w:rPr>
      </w:pPr>
    </w:p>
    <w:p w14:paraId="3F6687A7" w14:textId="2CE7A876" w:rsidR="00601EB4" w:rsidRDefault="00601EB4" w:rsidP="001741FB">
      <w:pPr>
        <w:pStyle w:val="NoSpacing"/>
        <w:spacing w:line="480" w:lineRule="auto"/>
        <w:rPr>
          <w:rFonts w:ascii="Times New Roman" w:hAnsi="Times New Roman" w:cs="Times New Roman"/>
          <w:b/>
          <w:bCs/>
        </w:rPr>
      </w:pPr>
    </w:p>
    <w:p w14:paraId="4E369461" w14:textId="6115D112" w:rsidR="002D4ACD" w:rsidRDefault="002D4ACD" w:rsidP="001741FB">
      <w:pPr>
        <w:pStyle w:val="NoSpacing"/>
        <w:spacing w:line="480" w:lineRule="auto"/>
        <w:rPr>
          <w:rFonts w:ascii="Times New Roman" w:hAnsi="Times New Roman" w:cs="Times New Roman"/>
          <w:b/>
          <w:bCs/>
        </w:rPr>
      </w:pPr>
    </w:p>
    <w:p w14:paraId="1D027E8D" w14:textId="03BDA6FE" w:rsidR="002D4ACD" w:rsidRDefault="002D4ACD" w:rsidP="001741FB">
      <w:pPr>
        <w:pStyle w:val="NoSpacing"/>
        <w:spacing w:line="480" w:lineRule="auto"/>
        <w:rPr>
          <w:rFonts w:ascii="Times New Roman" w:hAnsi="Times New Roman" w:cs="Times New Roman"/>
          <w:b/>
          <w:bCs/>
        </w:rPr>
      </w:pPr>
    </w:p>
    <w:p w14:paraId="1DBC017E" w14:textId="5092007C" w:rsidR="002D4ACD" w:rsidRDefault="002D4ACD" w:rsidP="001741FB">
      <w:pPr>
        <w:pStyle w:val="NoSpacing"/>
        <w:spacing w:line="480" w:lineRule="auto"/>
        <w:rPr>
          <w:rFonts w:ascii="Times New Roman" w:hAnsi="Times New Roman" w:cs="Times New Roman"/>
          <w:b/>
          <w:bCs/>
        </w:rPr>
      </w:pPr>
    </w:p>
    <w:bookmarkEnd w:id="453"/>
    <w:p w14:paraId="1C7E61BF" w14:textId="7A0CF82E" w:rsidR="0055790C" w:rsidRDefault="0055790C" w:rsidP="003A7189">
      <w:pPr>
        <w:pStyle w:val="NoSpacing"/>
        <w:rPr>
          <w:rFonts w:ascii="Times New Roman" w:hAnsi="Times New Roman" w:cs="Times New Roman"/>
          <w:b/>
          <w:bCs/>
        </w:rPr>
      </w:pPr>
    </w:p>
    <w:p w14:paraId="5E99EBAE" w14:textId="77777777" w:rsidR="00100B39" w:rsidRDefault="00100B39" w:rsidP="003A7189">
      <w:pPr>
        <w:pStyle w:val="NoSpacing"/>
      </w:pPr>
    </w:p>
    <w:p w14:paraId="2D05CAAE" w14:textId="382A996F" w:rsidR="001741FB" w:rsidRPr="001741FB" w:rsidRDefault="001741FB" w:rsidP="001741FB">
      <w:pPr>
        <w:pStyle w:val="NoSpacing"/>
        <w:rPr>
          <w:rFonts w:ascii="Times New Roman" w:hAnsi="Times New Roman" w:cs="Times New Roman"/>
        </w:rPr>
      </w:pPr>
      <w:r w:rsidRPr="001741FB">
        <w:rPr>
          <w:rFonts w:ascii="Times New Roman" w:hAnsi="Times New Roman" w:cs="Times New Roman"/>
          <w:b/>
          <w:bCs/>
        </w:rPr>
        <w:lastRenderedPageBreak/>
        <w:t>6.</w:t>
      </w:r>
      <w:r w:rsidRPr="001741FB">
        <w:rPr>
          <w:rFonts w:ascii="Times New Roman" w:hAnsi="Times New Roman" w:cs="Times New Roman"/>
          <w:b/>
          <w:bCs/>
          <w:i/>
          <w:iCs/>
        </w:rPr>
        <w:t xml:space="preserve"> A priori</w:t>
      </w:r>
      <w:r w:rsidRPr="001741FB">
        <w:rPr>
          <w:rFonts w:ascii="Times New Roman" w:hAnsi="Times New Roman" w:cs="Times New Roman"/>
          <w:b/>
          <w:bCs/>
        </w:rPr>
        <w:t xml:space="preserve"> power analysis output</w:t>
      </w:r>
    </w:p>
    <w:p w14:paraId="14FD382C" w14:textId="5160BBBC" w:rsidR="001741FB" w:rsidRDefault="001741FB" w:rsidP="003A7189">
      <w:pPr>
        <w:pStyle w:val="NoSpacing"/>
      </w:pPr>
    </w:p>
    <w:p w14:paraId="070F0DA4" w14:textId="678B0718" w:rsidR="001741FB" w:rsidRDefault="001741FB" w:rsidP="003A7189">
      <w:pPr>
        <w:pStyle w:val="NoSpacing"/>
      </w:pPr>
    </w:p>
    <w:p w14:paraId="400F22FD"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b/>
          <w:bCs/>
          <w:color w:val="000000"/>
          <w:sz w:val="17"/>
          <w:szCs w:val="17"/>
        </w:rPr>
        <w:t xml:space="preserve">t tests - </w:t>
      </w:r>
      <w:r w:rsidRPr="00AE35DA">
        <w:rPr>
          <w:rFonts w:ascii="Lucida Sans Unicode" w:eastAsia="Times New Roman" w:hAnsi="Lucida Sans Unicode" w:cs="Lucida Sans Unicode"/>
          <w:color w:val="000000"/>
          <w:sz w:val="17"/>
          <w:szCs w:val="17"/>
        </w:rPr>
        <w:t>Means: Difference between two independent means (two groups)</w:t>
      </w:r>
    </w:p>
    <w:p w14:paraId="1FBE0DB8"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b/>
          <w:bCs/>
          <w:color w:val="000000"/>
          <w:sz w:val="17"/>
          <w:szCs w:val="17"/>
        </w:rPr>
        <w:t>Analysis:</w:t>
      </w:r>
      <w:r w:rsidRPr="00AE35DA">
        <w:rPr>
          <w:rFonts w:ascii="Lucida Sans Unicode" w:eastAsia="Times New Roman" w:hAnsi="Lucida Sans Unicode" w:cs="Lucida Sans Unicode"/>
          <w:b/>
          <w:bCs/>
          <w:color w:val="000000"/>
          <w:sz w:val="17"/>
          <w:szCs w:val="17"/>
        </w:rPr>
        <w:tab/>
      </w:r>
      <w:r w:rsidRPr="00AE35DA">
        <w:rPr>
          <w:rFonts w:ascii="Lucida Sans Unicode" w:eastAsia="Times New Roman" w:hAnsi="Lucida Sans Unicode" w:cs="Lucida Sans Unicode"/>
          <w:color w:val="000000"/>
          <w:sz w:val="17"/>
          <w:szCs w:val="17"/>
        </w:rPr>
        <w:t xml:space="preserve">A priori: Compute required sample size </w:t>
      </w:r>
    </w:p>
    <w:p w14:paraId="5920FC19"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b/>
          <w:bCs/>
          <w:color w:val="000000"/>
          <w:sz w:val="17"/>
          <w:szCs w:val="17"/>
        </w:rPr>
        <w:t>Input:</w:t>
      </w:r>
      <w:r w:rsidRPr="00AE35DA">
        <w:rPr>
          <w:rFonts w:ascii="Lucida Sans Unicode" w:eastAsia="Times New Roman" w:hAnsi="Lucida Sans Unicode" w:cs="Lucida Sans Unicode"/>
          <w:color w:val="000000"/>
          <w:sz w:val="17"/>
          <w:szCs w:val="17"/>
        </w:rPr>
        <w:tab/>
        <w:t>Tail(s)</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One</w:t>
      </w:r>
    </w:p>
    <w:p w14:paraId="61742405"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Effect size d</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0.5</w:t>
      </w:r>
    </w:p>
    <w:p w14:paraId="3F96C4F5"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α err prob</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0.05</w:t>
      </w:r>
    </w:p>
    <w:p w14:paraId="160ECF7C"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Power (1-β err prob)</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0.80</w:t>
      </w:r>
    </w:p>
    <w:p w14:paraId="513A91C7"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Allocation ratio N2/N1</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1</w:t>
      </w:r>
    </w:p>
    <w:p w14:paraId="4EF74EF1"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b/>
          <w:bCs/>
          <w:color w:val="000000"/>
          <w:sz w:val="17"/>
          <w:szCs w:val="17"/>
        </w:rPr>
        <w:t>Output:</w:t>
      </w:r>
      <w:r w:rsidRPr="00AE35DA">
        <w:rPr>
          <w:rFonts w:ascii="Lucida Sans Unicode" w:eastAsia="Times New Roman" w:hAnsi="Lucida Sans Unicode" w:cs="Lucida Sans Unicode"/>
          <w:color w:val="000000"/>
          <w:sz w:val="17"/>
          <w:szCs w:val="17"/>
        </w:rPr>
        <w:tab/>
      </w:r>
      <w:proofErr w:type="spellStart"/>
      <w:r w:rsidRPr="00AE35DA">
        <w:rPr>
          <w:rFonts w:ascii="Lucida Sans Unicode" w:eastAsia="Times New Roman" w:hAnsi="Lucida Sans Unicode" w:cs="Lucida Sans Unicode"/>
          <w:color w:val="000000"/>
          <w:sz w:val="17"/>
          <w:szCs w:val="17"/>
        </w:rPr>
        <w:t>Noncentrality</w:t>
      </w:r>
      <w:proofErr w:type="spellEnd"/>
      <w:r w:rsidRPr="00AE35DA">
        <w:rPr>
          <w:rFonts w:ascii="Lucida Sans Unicode" w:eastAsia="Times New Roman" w:hAnsi="Lucida Sans Unicode" w:cs="Lucida Sans Unicode"/>
          <w:color w:val="000000"/>
          <w:sz w:val="17"/>
          <w:szCs w:val="17"/>
        </w:rPr>
        <w:t xml:space="preserve"> parameter δ</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2.5248762</w:t>
      </w:r>
    </w:p>
    <w:p w14:paraId="009C509E"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Critical t</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1.6602343</w:t>
      </w:r>
    </w:p>
    <w:p w14:paraId="07CD6171"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r>
      <w:proofErr w:type="spellStart"/>
      <w:r w:rsidRPr="00AE35DA">
        <w:rPr>
          <w:rFonts w:ascii="Lucida Sans Unicode" w:eastAsia="Times New Roman" w:hAnsi="Lucida Sans Unicode" w:cs="Lucida Sans Unicode"/>
          <w:color w:val="000000"/>
          <w:sz w:val="17"/>
          <w:szCs w:val="17"/>
        </w:rPr>
        <w:t>Df</w:t>
      </w:r>
      <w:proofErr w:type="spellEnd"/>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100</w:t>
      </w:r>
    </w:p>
    <w:p w14:paraId="6D1FEDB0"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Sample size group 1</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51</w:t>
      </w:r>
    </w:p>
    <w:p w14:paraId="7CEE62C5"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Sample size group 2</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51</w:t>
      </w:r>
    </w:p>
    <w:p w14:paraId="60502277"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Total sample size</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102</w:t>
      </w:r>
    </w:p>
    <w:p w14:paraId="7D4715A7" w14:textId="77777777" w:rsidR="001741FB" w:rsidRPr="00AE35DA" w:rsidRDefault="001741FB" w:rsidP="001741FB">
      <w:pPr>
        <w:tabs>
          <w:tab w:val="left" w:pos="1134"/>
          <w:tab w:val="left" w:pos="3969"/>
          <w:tab w:val="left" w:pos="4252"/>
          <w:tab w:val="left" w:pos="6804"/>
        </w:tabs>
        <w:autoSpaceDE w:val="0"/>
        <w:autoSpaceDN w:val="0"/>
        <w:adjustRightInd w:val="0"/>
        <w:rPr>
          <w:rFonts w:ascii="Lucida Sans Unicode" w:eastAsia="Times New Roman" w:hAnsi="Lucida Sans Unicode" w:cs="Lucida Sans Unicode"/>
          <w:color w:val="000000"/>
          <w:sz w:val="17"/>
          <w:szCs w:val="17"/>
        </w:rPr>
      </w:pPr>
      <w:r w:rsidRPr="00AE35DA">
        <w:rPr>
          <w:rFonts w:ascii="Lucida Sans Unicode" w:eastAsia="Times New Roman" w:hAnsi="Lucida Sans Unicode" w:cs="Lucida Sans Unicode"/>
          <w:color w:val="000000"/>
          <w:sz w:val="17"/>
          <w:szCs w:val="17"/>
        </w:rPr>
        <w:tab/>
        <w:t>Actual power</w:t>
      </w:r>
      <w:r w:rsidRPr="00AE35DA">
        <w:rPr>
          <w:rFonts w:ascii="Lucida Sans Unicode" w:eastAsia="Times New Roman" w:hAnsi="Lucida Sans Unicode" w:cs="Lucida Sans Unicode"/>
          <w:color w:val="000000"/>
          <w:sz w:val="17"/>
          <w:szCs w:val="17"/>
        </w:rPr>
        <w:tab/>
        <w:t>=</w:t>
      </w:r>
      <w:r w:rsidRPr="00AE35DA">
        <w:rPr>
          <w:rFonts w:ascii="Lucida Sans Unicode" w:eastAsia="Times New Roman" w:hAnsi="Lucida Sans Unicode" w:cs="Lucida Sans Unicode"/>
          <w:color w:val="000000"/>
          <w:sz w:val="17"/>
          <w:szCs w:val="17"/>
        </w:rPr>
        <w:tab/>
        <w:t>0.8058986</w:t>
      </w:r>
    </w:p>
    <w:p w14:paraId="7BBF2021" w14:textId="5F4C0F29" w:rsidR="001741FB" w:rsidRDefault="001741FB" w:rsidP="003A7189">
      <w:pPr>
        <w:pStyle w:val="NoSpacing"/>
      </w:pPr>
    </w:p>
    <w:p w14:paraId="03EE705A" w14:textId="77777777" w:rsidR="001741FB" w:rsidRDefault="001741FB" w:rsidP="003A7189">
      <w:pPr>
        <w:pStyle w:val="NoSpacing"/>
      </w:pPr>
    </w:p>
    <w:p w14:paraId="2C47E80D" w14:textId="77777777" w:rsidR="001741FB" w:rsidRPr="001741FB" w:rsidRDefault="001741FB" w:rsidP="001741FB">
      <w:pPr>
        <w:pStyle w:val="NoSpacing"/>
        <w:spacing w:line="480" w:lineRule="auto"/>
        <w:rPr>
          <w:rFonts w:ascii="Times New Roman" w:hAnsi="Times New Roman" w:cs="Times New Roman"/>
          <w:b/>
          <w:bCs/>
        </w:rPr>
      </w:pPr>
      <w:r w:rsidRPr="001741FB">
        <w:rPr>
          <w:rFonts w:ascii="Times New Roman" w:hAnsi="Times New Roman" w:cs="Times New Roman"/>
          <w:b/>
          <w:bCs/>
        </w:rPr>
        <w:t>Figure S7.1</w:t>
      </w:r>
    </w:p>
    <w:p w14:paraId="2C6A6918" w14:textId="2D4586AB" w:rsidR="001741FB" w:rsidRPr="001741FB" w:rsidRDefault="001741FB" w:rsidP="001741FB">
      <w:pPr>
        <w:pStyle w:val="NoSpacing"/>
        <w:spacing w:line="480" w:lineRule="auto"/>
        <w:rPr>
          <w:i/>
          <w:iCs/>
        </w:rPr>
      </w:pPr>
      <w:r w:rsidRPr="001741FB">
        <w:rPr>
          <w:rFonts w:ascii="Times New Roman" w:hAnsi="Times New Roman" w:cs="Times New Roman"/>
          <w:i/>
          <w:iCs/>
        </w:rPr>
        <w:t>A graph to show the relationship between sample size and power level</w:t>
      </w:r>
    </w:p>
    <w:p w14:paraId="5D7E9EEF" w14:textId="094E8AF9" w:rsidR="001741FB" w:rsidRDefault="001741FB" w:rsidP="001741FB">
      <w:pPr>
        <w:pStyle w:val="NoSpacing"/>
        <w:jc w:val="center"/>
      </w:pPr>
      <w:r w:rsidRPr="001741FB">
        <w:rPr>
          <w:rFonts w:ascii="Times New Roman" w:eastAsia="DengXian" w:hAnsi="Times New Roman" w:cs="Times New Roman"/>
          <w:noProof/>
          <w:lang w:eastAsia="zh-CN"/>
        </w:rPr>
        <w:drawing>
          <wp:inline distT="0" distB="0" distL="0" distR="0" wp14:anchorId="2536305A" wp14:editId="2AE9A185">
            <wp:extent cx="5133340" cy="28168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33340" cy="2816860"/>
                    </a:xfrm>
                    <a:prstGeom prst="rect">
                      <a:avLst/>
                    </a:prstGeom>
                    <a:noFill/>
                  </pic:spPr>
                </pic:pic>
              </a:graphicData>
            </a:graphic>
          </wp:inline>
        </w:drawing>
      </w:r>
    </w:p>
    <w:p w14:paraId="7A25DB2B" w14:textId="1955F822" w:rsidR="001741FB" w:rsidRDefault="001741FB" w:rsidP="003A7189">
      <w:pPr>
        <w:pStyle w:val="NoSpacing"/>
      </w:pPr>
    </w:p>
    <w:p w14:paraId="121CFF67" w14:textId="7D7EDE18" w:rsidR="001741FB" w:rsidRDefault="001741FB" w:rsidP="003A7189">
      <w:pPr>
        <w:pStyle w:val="NoSpacing"/>
      </w:pPr>
    </w:p>
    <w:p w14:paraId="071B2A18" w14:textId="5321BE32" w:rsidR="001741FB" w:rsidRDefault="001741FB" w:rsidP="003A7189">
      <w:pPr>
        <w:pStyle w:val="NoSpacing"/>
      </w:pPr>
    </w:p>
    <w:p w14:paraId="508A69D7" w14:textId="690B4999" w:rsidR="009B73AF" w:rsidRDefault="009B73AF" w:rsidP="003A7189">
      <w:pPr>
        <w:pStyle w:val="NoSpacing"/>
      </w:pPr>
    </w:p>
    <w:p w14:paraId="71137362" w14:textId="123E59A9" w:rsidR="009B73AF" w:rsidRDefault="009B73AF" w:rsidP="003A7189">
      <w:pPr>
        <w:pStyle w:val="NoSpacing"/>
      </w:pPr>
    </w:p>
    <w:p w14:paraId="094EBB48" w14:textId="2C735D7F" w:rsidR="00865C9C" w:rsidRDefault="00865C9C" w:rsidP="003A7189">
      <w:pPr>
        <w:pStyle w:val="NoSpacing"/>
      </w:pPr>
    </w:p>
    <w:p w14:paraId="60D6AEA5" w14:textId="26F6E428" w:rsidR="00865C9C" w:rsidRDefault="00865C9C" w:rsidP="003A7189">
      <w:pPr>
        <w:pStyle w:val="NoSpacing"/>
      </w:pPr>
    </w:p>
    <w:p w14:paraId="6A0D6A05" w14:textId="1FA94146" w:rsidR="00865C9C" w:rsidRDefault="00865C9C" w:rsidP="003A7189">
      <w:pPr>
        <w:pStyle w:val="NoSpacing"/>
      </w:pPr>
    </w:p>
    <w:p w14:paraId="056C2BFA" w14:textId="77777777" w:rsidR="009B73AF" w:rsidRPr="003A7189" w:rsidRDefault="009B73AF" w:rsidP="003A7189">
      <w:pPr>
        <w:pStyle w:val="NoSpacing"/>
      </w:pPr>
    </w:p>
    <w:sectPr w:rsidR="009B73AF" w:rsidRPr="003A7189" w:rsidSect="00A865A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0278D" w14:textId="77777777" w:rsidR="00411751" w:rsidRDefault="00411751" w:rsidP="003A7189">
      <w:r>
        <w:separator/>
      </w:r>
    </w:p>
  </w:endnote>
  <w:endnote w:type="continuationSeparator" w:id="0">
    <w:p w14:paraId="16F72ABC" w14:textId="77777777" w:rsidR="00411751" w:rsidRDefault="00411751" w:rsidP="003A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Headings CS)">
    <w:altName w:val="Times New Roman"/>
    <w:charset w:val="00"/>
    <w:family w:val="roman"/>
    <w:pitch w:val="default"/>
  </w:font>
  <w:font w:name="Calibri (Body)">
    <w:altName w:val="Calibri"/>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7644481"/>
      <w:docPartObj>
        <w:docPartGallery w:val="Page Numbers (Bottom of Page)"/>
        <w:docPartUnique/>
      </w:docPartObj>
    </w:sdtPr>
    <w:sdtContent>
      <w:p w14:paraId="53DE2D9A" w14:textId="504A0688" w:rsidR="003A7189" w:rsidRDefault="003A7189" w:rsidP="005719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3110A">
          <w:rPr>
            <w:rStyle w:val="PageNumber"/>
            <w:noProof/>
          </w:rPr>
          <w:t>42</w:t>
        </w:r>
        <w:r>
          <w:rPr>
            <w:rStyle w:val="PageNumber"/>
          </w:rPr>
          <w:fldChar w:fldCharType="end"/>
        </w:r>
      </w:p>
    </w:sdtContent>
  </w:sdt>
  <w:p w14:paraId="4DBFD86A" w14:textId="77777777" w:rsidR="003A7189" w:rsidRDefault="003A7189" w:rsidP="003A71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881057379"/>
      <w:docPartObj>
        <w:docPartGallery w:val="Page Numbers (Bottom of Page)"/>
        <w:docPartUnique/>
      </w:docPartObj>
    </w:sdtPr>
    <w:sdtContent>
      <w:p w14:paraId="574F24A0" w14:textId="7C9D983C" w:rsidR="003A7189" w:rsidRPr="006D2653" w:rsidRDefault="003A7189" w:rsidP="0057190E">
        <w:pPr>
          <w:pStyle w:val="Footer"/>
          <w:framePr w:wrap="none" w:vAnchor="text" w:hAnchor="margin" w:xAlign="right" w:y="1"/>
          <w:rPr>
            <w:rStyle w:val="PageNumber"/>
            <w:rFonts w:ascii="Times New Roman" w:hAnsi="Times New Roman" w:cs="Times New Roman"/>
          </w:rPr>
        </w:pPr>
        <w:r w:rsidRPr="006D2653">
          <w:rPr>
            <w:rStyle w:val="PageNumber"/>
            <w:rFonts w:ascii="Times New Roman" w:hAnsi="Times New Roman" w:cs="Times New Roman"/>
          </w:rPr>
          <w:fldChar w:fldCharType="begin"/>
        </w:r>
        <w:r w:rsidRPr="006D2653">
          <w:rPr>
            <w:rStyle w:val="PageNumber"/>
            <w:rFonts w:ascii="Times New Roman" w:hAnsi="Times New Roman" w:cs="Times New Roman"/>
          </w:rPr>
          <w:instrText xml:space="preserve"> PAGE </w:instrText>
        </w:r>
        <w:r w:rsidRPr="006D2653">
          <w:rPr>
            <w:rStyle w:val="PageNumber"/>
            <w:rFonts w:ascii="Times New Roman" w:hAnsi="Times New Roman" w:cs="Times New Roman"/>
          </w:rPr>
          <w:fldChar w:fldCharType="separate"/>
        </w:r>
        <w:r w:rsidRPr="006D2653">
          <w:rPr>
            <w:rStyle w:val="PageNumber"/>
            <w:rFonts w:ascii="Times New Roman" w:hAnsi="Times New Roman" w:cs="Times New Roman"/>
            <w:noProof/>
          </w:rPr>
          <w:t>2</w:t>
        </w:r>
        <w:r w:rsidRPr="006D2653">
          <w:rPr>
            <w:rStyle w:val="PageNumber"/>
            <w:rFonts w:ascii="Times New Roman" w:hAnsi="Times New Roman" w:cs="Times New Roman"/>
          </w:rPr>
          <w:fldChar w:fldCharType="end"/>
        </w:r>
      </w:p>
    </w:sdtContent>
  </w:sdt>
  <w:p w14:paraId="3FFFE709" w14:textId="77777777" w:rsidR="003A7189" w:rsidRDefault="003A7189" w:rsidP="003A71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91133431"/>
      <w:docPartObj>
        <w:docPartGallery w:val="Page Numbers (Bottom of Page)"/>
        <w:docPartUnique/>
      </w:docPartObj>
    </w:sdtPr>
    <w:sdtEndPr>
      <w:rPr>
        <w:noProof/>
      </w:rPr>
    </w:sdtEndPr>
    <w:sdtContent>
      <w:p w14:paraId="42F0DB16" w14:textId="628CC623" w:rsidR="00282D7E" w:rsidRPr="006D2653" w:rsidRDefault="00282D7E">
        <w:pPr>
          <w:pStyle w:val="Footer"/>
          <w:jc w:val="right"/>
          <w:rPr>
            <w:rFonts w:ascii="Times New Roman" w:hAnsi="Times New Roman" w:cs="Times New Roman"/>
          </w:rPr>
        </w:pPr>
        <w:r w:rsidRPr="006D2653">
          <w:rPr>
            <w:rFonts w:ascii="Times New Roman" w:hAnsi="Times New Roman" w:cs="Times New Roman"/>
          </w:rPr>
          <w:fldChar w:fldCharType="begin"/>
        </w:r>
        <w:r w:rsidRPr="006D2653">
          <w:rPr>
            <w:rFonts w:ascii="Times New Roman" w:hAnsi="Times New Roman" w:cs="Times New Roman"/>
          </w:rPr>
          <w:instrText xml:space="preserve"> PAGE   \* MERGEFORMAT </w:instrText>
        </w:r>
        <w:r w:rsidRPr="006D2653">
          <w:rPr>
            <w:rFonts w:ascii="Times New Roman" w:hAnsi="Times New Roman" w:cs="Times New Roman"/>
          </w:rPr>
          <w:fldChar w:fldCharType="separate"/>
        </w:r>
        <w:r w:rsidRPr="006D2653">
          <w:rPr>
            <w:rFonts w:ascii="Times New Roman" w:hAnsi="Times New Roman" w:cs="Times New Roman"/>
            <w:noProof/>
          </w:rPr>
          <w:t>2</w:t>
        </w:r>
        <w:r w:rsidRPr="006D2653">
          <w:rPr>
            <w:rFonts w:ascii="Times New Roman" w:hAnsi="Times New Roman" w:cs="Times New Roman"/>
            <w:noProof/>
          </w:rPr>
          <w:fldChar w:fldCharType="end"/>
        </w:r>
      </w:p>
    </w:sdtContent>
  </w:sdt>
  <w:p w14:paraId="0E1BD540" w14:textId="77777777" w:rsidR="00D53261" w:rsidRDefault="00D532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B50E5" w14:textId="77777777" w:rsidR="00411751" w:rsidRDefault="00411751" w:rsidP="003A7189">
      <w:r>
        <w:separator/>
      </w:r>
    </w:p>
  </w:footnote>
  <w:footnote w:type="continuationSeparator" w:id="0">
    <w:p w14:paraId="26AD1958" w14:textId="77777777" w:rsidR="00411751" w:rsidRDefault="00411751" w:rsidP="003A7189">
      <w:r>
        <w:continuationSeparator/>
      </w:r>
    </w:p>
  </w:footnote>
  <w:footnote w:id="1">
    <w:p w14:paraId="68E921F2" w14:textId="5B2A8402" w:rsidR="00F92626" w:rsidRPr="00F92626" w:rsidRDefault="00F92626">
      <w:pPr>
        <w:pStyle w:val="FootnoteText"/>
        <w:rPr>
          <w:rFonts w:ascii="Times New Roman" w:hAnsi="Times New Roman" w:cs="Times New Roman"/>
        </w:rPr>
      </w:pPr>
      <w:r w:rsidRPr="004B73B2">
        <w:rPr>
          <w:rStyle w:val="FootnoteReference"/>
        </w:rPr>
        <w:footnoteRef/>
      </w:r>
      <w:r w:rsidRPr="00F92626">
        <w:rPr>
          <w:rFonts w:ascii="Times New Roman" w:hAnsi="Times New Roman" w:cs="Times New Roman"/>
        </w:rPr>
        <w:t xml:space="preserve"> This hypothesis reflects the pre-registered focus on whether alcohol-free reinforcement can account for additional variance beyond meaning in life variables. We made a minor deviation from our pre-registration by entering average alcohol-free reinforcement instead of the frequency and enjoyment subscales (this does not change the interpretation of results; see supplementary materials for justification).</w:t>
      </w:r>
    </w:p>
  </w:footnote>
  <w:footnote w:id="2">
    <w:p w14:paraId="23E0843B" w14:textId="39B3C93B" w:rsidR="00496486" w:rsidRPr="00496486" w:rsidRDefault="00496486">
      <w:pPr>
        <w:pStyle w:val="FootnoteText"/>
        <w:rPr>
          <w:rFonts w:ascii="Times New Roman" w:hAnsi="Times New Roman" w:cs="Times New Roman"/>
        </w:rPr>
      </w:pPr>
      <w:r w:rsidRPr="004B73B2">
        <w:rPr>
          <w:rStyle w:val="FootnoteReference"/>
        </w:rPr>
        <w:footnoteRef/>
      </w:r>
      <w:r w:rsidRPr="00496486">
        <w:rPr>
          <w:rFonts w:ascii="Times New Roman" w:hAnsi="Times New Roman" w:cs="Times New Roman"/>
        </w:rPr>
        <w:t xml:space="preserve"> We made a minor deviation from our pre-registration by entering average alcohol-free reinforcement instead of frequency and enjoyment subscales which does not change the interpretation of results (see Appendix A for justification).</w:t>
      </w:r>
    </w:p>
  </w:footnote>
  <w:footnote w:id="3">
    <w:p w14:paraId="4BA6750E" w14:textId="77777777" w:rsidR="00657366" w:rsidRPr="0021780D" w:rsidRDefault="00657366" w:rsidP="00657366">
      <w:pPr>
        <w:pStyle w:val="FootnoteText"/>
        <w:rPr>
          <w:rFonts w:ascii="Times New Roman" w:hAnsi="Times New Roman" w:cs="Times New Roman"/>
        </w:rPr>
      </w:pPr>
      <w:r w:rsidRPr="004B73B2">
        <w:rPr>
          <w:rStyle w:val="FootnoteReference"/>
        </w:rPr>
        <w:footnoteRef/>
      </w:r>
      <w:r w:rsidRPr="0021780D">
        <w:rPr>
          <w:rFonts w:ascii="Times New Roman" w:hAnsi="Times New Roman" w:cs="Times New Roman"/>
        </w:rPr>
        <w:t xml:space="preserve"> Prior to the implementation of modifications, not all model fit indices of the hypothesized structural model were a good fit of the data (SRMR = .06; CFI = .95, TLI = .73, RMSEA = .15 (90% CI = .11 to .18); X</w:t>
      </w:r>
      <w:r w:rsidRPr="0021780D">
        <w:rPr>
          <w:rFonts w:ascii="Times New Roman" w:hAnsi="Times New Roman" w:cs="Times New Roman"/>
          <w:vertAlign w:val="superscript"/>
        </w:rPr>
        <w:t>2</w:t>
      </w:r>
      <w:r w:rsidRPr="0021780D">
        <w:rPr>
          <w:rFonts w:ascii="Times New Roman" w:hAnsi="Times New Roman" w:cs="Times New Roman"/>
        </w:rPr>
        <w:t>/</w:t>
      </w:r>
      <w:r w:rsidRPr="0021780D">
        <w:rPr>
          <w:rFonts w:ascii="Times New Roman" w:hAnsi="Times New Roman" w:cs="Times New Roman"/>
          <w:i/>
          <w:iCs/>
        </w:rPr>
        <w:t>df</w:t>
      </w:r>
      <w:r w:rsidRPr="0021780D">
        <w:rPr>
          <w:rFonts w:ascii="Times New Roman" w:hAnsi="Times New Roman" w:cs="Times New Roman"/>
        </w:rPr>
        <w:t xml:space="preserve"> = 12.71).</w:t>
      </w:r>
    </w:p>
  </w:footnote>
  <w:footnote w:id="4">
    <w:p w14:paraId="760F00EB" w14:textId="78739671" w:rsidR="009B5699" w:rsidRPr="009B5699" w:rsidRDefault="009B5699">
      <w:pPr>
        <w:pStyle w:val="FootnoteText"/>
        <w:rPr>
          <w:rFonts w:ascii="Times New Roman" w:hAnsi="Times New Roman" w:cs="Times New Roman"/>
        </w:rPr>
      </w:pPr>
      <w:r w:rsidRPr="004B73B2">
        <w:rPr>
          <w:rStyle w:val="FootnoteReference"/>
        </w:rPr>
        <w:footnoteRef/>
      </w:r>
      <w:r w:rsidRPr="009B5699">
        <w:rPr>
          <w:rFonts w:ascii="Times New Roman" w:hAnsi="Times New Roman" w:cs="Times New Roman"/>
        </w:rPr>
        <w:t xml:space="preserve"> </w:t>
      </w:r>
      <w:r w:rsidR="003A7B95">
        <w:rPr>
          <w:rFonts w:ascii="Times New Roman" w:hAnsi="Times New Roman" w:cs="Times New Roman"/>
        </w:rPr>
        <w:t xml:space="preserve">Serial </w:t>
      </w:r>
      <w:r w:rsidRPr="009B5699">
        <w:rPr>
          <w:rFonts w:ascii="Times New Roman" w:hAnsi="Times New Roman" w:cs="Times New Roman"/>
        </w:rPr>
        <w:t>mediation effect refers to the indirect effect of two variables in succession (Hoon Ko et al., 2018).</w:t>
      </w:r>
    </w:p>
  </w:footnote>
  <w:footnote w:id="5">
    <w:p w14:paraId="0988B43D" w14:textId="33C11F4D" w:rsidR="00000B41" w:rsidRPr="00EE2446" w:rsidRDefault="00000B41" w:rsidP="00000B41">
      <w:pPr>
        <w:pStyle w:val="FootnoteText"/>
        <w:rPr>
          <w:rFonts w:asciiTheme="majorBidi" w:hAnsiTheme="majorBidi" w:cstheme="majorBidi"/>
        </w:rPr>
      </w:pPr>
      <w:r w:rsidRPr="004B73B2">
        <w:rPr>
          <w:rStyle w:val="FootnoteReference"/>
        </w:rPr>
        <w:footnoteRef/>
      </w:r>
      <w:r w:rsidRPr="00EE2446">
        <w:rPr>
          <w:rFonts w:asciiTheme="majorBidi" w:hAnsiTheme="majorBidi" w:cstheme="majorBidi"/>
        </w:rPr>
        <w:t xml:space="preserve"> See </w:t>
      </w:r>
      <w:r>
        <w:rPr>
          <w:rFonts w:asciiTheme="majorBidi" w:hAnsiTheme="majorBidi" w:cstheme="majorBidi"/>
        </w:rPr>
        <w:t>T</w:t>
      </w:r>
      <w:r w:rsidRPr="00EE2446">
        <w:rPr>
          <w:rFonts w:asciiTheme="majorBidi" w:hAnsiTheme="majorBidi" w:cstheme="majorBidi"/>
        </w:rPr>
        <w:t>able S</w:t>
      </w:r>
      <w:r>
        <w:rPr>
          <w:rFonts w:asciiTheme="majorBidi" w:hAnsiTheme="majorBidi" w:cstheme="majorBidi"/>
        </w:rPr>
        <w:t>3.</w:t>
      </w:r>
      <w:r w:rsidRPr="00EE2446">
        <w:rPr>
          <w:rFonts w:asciiTheme="majorBidi" w:hAnsiTheme="majorBidi" w:cstheme="majorBidi"/>
        </w:rPr>
        <w:t>1 in Appendix B for a comparison of methods across different studies (including whether precise trial wording is included within the manuscript).</w:t>
      </w:r>
    </w:p>
  </w:footnote>
  <w:footnote w:id="6">
    <w:p w14:paraId="5C773EC8" w14:textId="77777777" w:rsidR="00000B41" w:rsidRPr="00EE2446" w:rsidRDefault="00000B41" w:rsidP="00000B41">
      <w:pPr>
        <w:pStyle w:val="FootnoteText"/>
        <w:rPr>
          <w:rFonts w:asciiTheme="majorBidi" w:hAnsiTheme="majorBidi" w:cstheme="majorBidi"/>
        </w:rPr>
      </w:pPr>
      <w:r w:rsidRPr="004B73B2">
        <w:rPr>
          <w:rStyle w:val="FootnoteReference"/>
        </w:rPr>
        <w:footnoteRef/>
      </w:r>
      <w:r w:rsidRPr="00EE2446">
        <w:rPr>
          <w:rFonts w:asciiTheme="majorBidi" w:hAnsiTheme="majorBidi" w:cstheme="majorBidi"/>
        </w:rPr>
        <w:t xml:space="preserve"> Difficulty is operationalised as the difference in value rating between the two images presented on each trial of the VBDM task. Trials are categorised into the following difficulty levels: hard (difference of 1), medium (difference of 2), or easy (difference of 3).</w:t>
      </w:r>
    </w:p>
  </w:footnote>
  <w:footnote w:id="7">
    <w:p w14:paraId="5C2B136F" w14:textId="3F3BEBC9" w:rsidR="00493C57" w:rsidRPr="00493C57" w:rsidRDefault="00493C57">
      <w:pPr>
        <w:pStyle w:val="FootnoteText"/>
        <w:rPr>
          <w:rFonts w:asciiTheme="majorBidi" w:hAnsiTheme="majorBidi" w:cstheme="majorBidi"/>
        </w:rPr>
      </w:pPr>
      <w:r w:rsidRPr="004B73B2">
        <w:rPr>
          <w:rStyle w:val="FootnoteReference"/>
        </w:rPr>
        <w:footnoteRef/>
      </w:r>
      <w:r w:rsidRPr="00493C57">
        <w:rPr>
          <w:rFonts w:asciiTheme="majorBidi" w:hAnsiTheme="majorBidi" w:cstheme="majorBidi"/>
        </w:rPr>
        <w:t xml:space="preserve"> </w:t>
      </w:r>
      <w:r w:rsidRPr="00493C57">
        <w:rPr>
          <w:rFonts w:asciiTheme="majorBidi" w:hAnsiTheme="majorBidi" w:cstheme="majorBidi"/>
          <w:i/>
          <w:iCs/>
        </w:rPr>
        <w:t>r</w:t>
      </w:r>
      <w:r w:rsidRPr="00493C57">
        <w:rPr>
          <w:rFonts w:asciiTheme="majorBidi" w:hAnsiTheme="majorBidi" w:cstheme="majorBidi"/>
        </w:rPr>
        <w:t xml:space="preserve"> scale fixed effects = 0.5; </w:t>
      </w:r>
      <w:r w:rsidRPr="00493C57">
        <w:rPr>
          <w:rFonts w:asciiTheme="majorBidi" w:hAnsiTheme="majorBidi" w:cstheme="majorBidi"/>
          <w:i/>
          <w:iCs/>
        </w:rPr>
        <w:t>r</w:t>
      </w:r>
      <w:r w:rsidRPr="00493C57">
        <w:rPr>
          <w:rFonts w:asciiTheme="majorBidi" w:hAnsiTheme="majorBidi" w:cstheme="majorBidi"/>
        </w:rPr>
        <w:t xml:space="preserve"> scale random effects = 1.</w:t>
      </w:r>
    </w:p>
  </w:footnote>
  <w:footnote w:id="8">
    <w:p w14:paraId="12DD42FB" w14:textId="1F54B1AE" w:rsidR="006923E1" w:rsidRPr="006923E1" w:rsidRDefault="006923E1">
      <w:pPr>
        <w:pStyle w:val="FootnoteText"/>
        <w:rPr>
          <w:rFonts w:ascii="Times New Roman" w:hAnsi="Times New Roman" w:cs="Times New Roman"/>
        </w:rPr>
      </w:pPr>
      <w:r w:rsidRPr="004B73B2">
        <w:rPr>
          <w:rStyle w:val="FootnoteReference"/>
        </w:rPr>
        <w:footnoteRef/>
      </w:r>
      <w:r w:rsidRPr="006923E1">
        <w:rPr>
          <w:rFonts w:ascii="Times New Roman" w:hAnsi="Times New Roman" w:cs="Times New Roman"/>
        </w:rPr>
        <w:t xml:space="preserve"> As requested by an anonymous reviewer, we repeated these analyses using alternative software–the </w:t>
      </w:r>
      <w:r w:rsidRPr="006923E1">
        <w:rPr>
          <w:rFonts w:ascii="Times New Roman" w:hAnsi="Times New Roman" w:cs="Times New Roman"/>
          <w:i/>
          <w:iCs/>
        </w:rPr>
        <w:t>fast</w:t>
      </w:r>
      <w:r w:rsidRPr="006923E1">
        <w:rPr>
          <w:rFonts w:ascii="Times New Roman" w:hAnsi="Times New Roman" w:cs="Times New Roman"/>
        </w:rPr>
        <w:t>-dm-30 (Voss et al., 2015)–which enabled us to explore if trial wording would affect EA rates after fixing response thresholds across difficulty conditions and non-decision times across all conditions (i.e., per participant). These analyses are reported in Appendix B, but in brief we found that the main effect of trial wording became statistically significant when analysed with the</w:t>
      </w:r>
      <w:r w:rsidRPr="006923E1">
        <w:rPr>
          <w:rFonts w:ascii="Times New Roman" w:hAnsi="Times New Roman" w:cs="Times New Roman"/>
          <w:i/>
          <w:iCs/>
        </w:rPr>
        <w:t xml:space="preserve"> fast</w:t>
      </w:r>
      <w:r w:rsidRPr="006923E1">
        <w:rPr>
          <w:rFonts w:ascii="Times New Roman" w:hAnsi="Times New Roman" w:cs="Times New Roman"/>
        </w:rPr>
        <w:t>-dm-30, with a Bayes factor indicative of moderate evidence in favour of the experimental hypothesis (BF</w:t>
      </w:r>
      <w:r w:rsidRPr="006923E1">
        <w:rPr>
          <w:rFonts w:ascii="Times New Roman" w:hAnsi="Times New Roman" w:cs="Times New Roman"/>
          <w:vertAlign w:val="subscript"/>
        </w:rPr>
        <w:t>10</w:t>
      </w:r>
      <w:r w:rsidRPr="006923E1">
        <w:rPr>
          <w:rFonts w:ascii="Times New Roman" w:hAnsi="Times New Roman" w:cs="Times New Roman"/>
        </w:rPr>
        <w:t xml:space="preserve"> = 4.18); contrasting with moderate evidence in favour of the null (BF</w:t>
      </w:r>
      <w:r w:rsidRPr="006923E1">
        <w:rPr>
          <w:rFonts w:ascii="Times New Roman" w:hAnsi="Times New Roman" w:cs="Times New Roman"/>
          <w:vertAlign w:val="subscript"/>
        </w:rPr>
        <w:t>10</w:t>
      </w:r>
      <w:r w:rsidRPr="006923E1">
        <w:rPr>
          <w:rFonts w:ascii="Times New Roman" w:hAnsi="Times New Roman" w:cs="Times New Roman"/>
        </w:rPr>
        <w:t xml:space="preserve"> = .19) when the EZ-DDM was used.</w:t>
      </w:r>
    </w:p>
  </w:footnote>
  <w:footnote w:id="9">
    <w:p w14:paraId="61423DF0" w14:textId="65A80561" w:rsidR="006923E1" w:rsidRPr="006923E1" w:rsidRDefault="006923E1">
      <w:pPr>
        <w:pStyle w:val="FootnoteText"/>
        <w:rPr>
          <w:rFonts w:asciiTheme="majorBidi" w:hAnsiTheme="majorBidi" w:cstheme="majorBidi"/>
        </w:rPr>
      </w:pPr>
      <w:r w:rsidRPr="004B73B2">
        <w:rPr>
          <w:rStyle w:val="FootnoteReference"/>
        </w:rPr>
        <w:footnoteRef/>
      </w:r>
      <w:r w:rsidRPr="006923E1">
        <w:rPr>
          <w:rFonts w:asciiTheme="majorBidi" w:hAnsiTheme="majorBidi" w:cstheme="majorBidi"/>
        </w:rPr>
        <w:t xml:space="preserve"> See Appendix B for post-hoc tests on the main effect of trial wording and interaction between trial wording and trial difficulty.</w:t>
      </w:r>
    </w:p>
  </w:footnote>
  <w:footnote w:id="10">
    <w:p w14:paraId="7B0A9FB2" w14:textId="27C8FE1F" w:rsidR="000523CB" w:rsidRDefault="000523CB">
      <w:pPr>
        <w:pStyle w:val="FootnoteText"/>
      </w:pPr>
      <w:r w:rsidRPr="004B73B2">
        <w:rPr>
          <w:rStyle w:val="FootnoteReference"/>
        </w:rPr>
        <w:footnoteRef/>
      </w:r>
      <w:r>
        <w:t xml:space="preserve"> </w:t>
      </w:r>
      <w:r w:rsidRPr="00CB60AC">
        <w:rPr>
          <w:rFonts w:asciiTheme="majorBidi" w:hAnsiTheme="majorBidi" w:cstheme="majorBidi"/>
        </w:rPr>
        <w:t xml:space="preserve">From this point onwards, tobacco smokers </w:t>
      </w:r>
      <w:r>
        <w:rPr>
          <w:rFonts w:asciiTheme="majorBidi" w:hAnsiTheme="majorBidi" w:cstheme="majorBidi"/>
        </w:rPr>
        <w:t>will be referred to as</w:t>
      </w:r>
      <w:r w:rsidRPr="00CB60AC">
        <w:rPr>
          <w:rFonts w:asciiTheme="majorBidi" w:hAnsiTheme="majorBidi" w:cstheme="majorBidi"/>
        </w:rPr>
        <w:t xml:space="preserve"> smokers.</w:t>
      </w:r>
    </w:p>
  </w:footnote>
  <w:footnote w:id="11">
    <w:p w14:paraId="7CC92825" w14:textId="5D7CD5F1" w:rsidR="000523CB" w:rsidRDefault="000523CB">
      <w:pPr>
        <w:pStyle w:val="FootnoteText"/>
      </w:pPr>
      <w:r w:rsidRPr="004B73B2">
        <w:rPr>
          <w:rStyle w:val="FootnoteReference"/>
        </w:rPr>
        <w:footnoteRef/>
      </w:r>
      <w:r>
        <w:t xml:space="preserve"> </w:t>
      </w:r>
      <w:r>
        <w:rPr>
          <w:rFonts w:asciiTheme="majorBidi" w:hAnsiTheme="majorBidi" w:cstheme="majorBidi"/>
        </w:rPr>
        <w:t>For ethical reasons, i</w:t>
      </w:r>
      <w:r w:rsidRPr="007577CF">
        <w:rPr>
          <w:rFonts w:asciiTheme="majorBidi" w:hAnsiTheme="majorBidi" w:cstheme="majorBidi"/>
        </w:rPr>
        <w:t>mage enlargement is one type of reward</w:t>
      </w:r>
      <w:r>
        <w:rPr>
          <w:rFonts w:asciiTheme="majorBidi" w:hAnsiTheme="majorBidi" w:cstheme="majorBidi"/>
        </w:rPr>
        <w:t xml:space="preserve"> used </w:t>
      </w:r>
      <w:r>
        <w:rPr>
          <w:rFonts w:asciiTheme="majorBidi" w:hAnsiTheme="majorBidi" w:cstheme="majorBidi"/>
        </w:rPr>
        <w:fldChar w:fldCharType="begin"/>
      </w:r>
      <w:r w:rsidR="003C1591">
        <w:rPr>
          <w:rFonts w:asciiTheme="majorBidi" w:hAnsiTheme="majorBidi" w:cstheme="majorBidi"/>
        </w:rPr>
        <w:instrText xml:space="preserve"> ADDIN ZOTERO_ITEM CSL_CITATION {"citationID":"MLZeucoo","properties":{"formattedCitation":"(Moeller &amp; Stoops, 2015)","plainCitation":"(Moeller &amp; Stoops, 2015)","noteIndex":11},"citationItems":[{"id":956,"uris":["http://zotero.org/users/7873587/items/L7ME386B"],"itemData":{"id":956,"type":"article-journal","abstract":"Individuals with cocaine use disorder chronically self-administer cocaine to the detriment of other rewarding activities, a phenomenon best modeled in laboratory drug-choice procedures. These procedures can evaluate the reinforcing effects of drugs versus comparably valuable alternatives under multiple behavioral arrangements and schedules of reinforcement. However, assessing drug-choice in treatment-seeking or abstaining humans poses unique challenges: for ethical reasons, these populations typically cannot receive active drugs during research studies. Researchers have thus needed to rely on alternative approaches that approximate drug-choice behavior or assess more general forms of decision-making, but whether these alternatives have relevance to real-world drug-taking that can inform clinical trials is not well-understood. In this mini-review, we (A) summarize several important modulatory variables that influence cocaine choice in nonhuman animals and non-treatment seeking humans; (B) discuss some of the ethical considerations that could arise if treatment-seekers are enrolled in drug-choice studies; (C) consider the efficacy of alternative procedures, including non-drug-related decision-making and ‘simulated’ drug-choice (a choice is made, but no drug is administered) to approximate drug choice; and (D) suggest opportunities for new translational work to bridge the current divide between preclinical and clinical research.","container-title":"Pharmacology, biochemistry, and behavior","DOI":"10.1016/j.pbb.2015.09.020","ISSN":"0091-3057","journalAbbreviation":"Pharmacol Biochem Behav","note":"PMID: 26432174\nPMCID: PMC4641437","page":"133-141","source":"PubMed Central","title":"Cocaine choice procedures in animals, humans, and treatment-seekers: Can we bridge the divide?","title-short":"Cocaine choice procedures in animals, humans, and treatment-seekers","volume":"138","author":[{"family":"Moeller","given":"Scott J."},{"family":"Stoops","given":"William W."}],"issued":{"date-parts":[["2015",11]]}}}],"schema":"https://github.com/citation-style-language/schema/raw/master/csl-citation.json"} </w:instrText>
      </w:r>
      <w:r>
        <w:rPr>
          <w:rFonts w:asciiTheme="majorBidi" w:hAnsiTheme="majorBidi" w:cstheme="majorBidi"/>
        </w:rPr>
        <w:fldChar w:fldCharType="separate"/>
      </w:r>
      <w:r w:rsidRPr="007E2DA6">
        <w:rPr>
          <w:rFonts w:ascii="Times New Roman" w:hAnsi="Times New Roman" w:cs="Times New Roman"/>
        </w:rPr>
        <w:t>(Moeller &amp; Stoops, 2015)</w:t>
      </w:r>
      <w:r>
        <w:rPr>
          <w:rFonts w:asciiTheme="majorBidi" w:hAnsiTheme="majorBidi" w:cstheme="majorBidi"/>
        </w:rPr>
        <w:fldChar w:fldCharType="end"/>
      </w:r>
      <w:r>
        <w:rPr>
          <w:rFonts w:asciiTheme="majorBidi" w:hAnsiTheme="majorBidi" w:cstheme="majorBidi"/>
        </w:rPr>
        <w:t xml:space="preserve"> and </w:t>
      </w:r>
      <w:r w:rsidRPr="007577CF">
        <w:rPr>
          <w:rFonts w:asciiTheme="majorBidi" w:hAnsiTheme="majorBidi" w:cstheme="majorBidi"/>
        </w:rPr>
        <w:t xml:space="preserve">is a reliable way to capture reinforcing value as demonstrated by studies showing a robust increase </w:t>
      </w:r>
      <w:r>
        <w:rPr>
          <w:rFonts w:asciiTheme="majorBidi" w:hAnsiTheme="majorBidi" w:cstheme="majorBidi"/>
        </w:rPr>
        <w:t xml:space="preserve">in substance choice </w:t>
      </w:r>
      <w:r w:rsidRPr="007577CF">
        <w:rPr>
          <w:rFonts w:asciiTheme="majorBidi" w:hAnsiTheme="majorBidi" w:cstheme="majorBidi"/>
        </w:rPr>
        <w:t xml:space="preserve">alongside dependence severity </w:t>
      </w:r>
      <w:r>
        <w:rPr>
          <w:rFonts w:asciiTheme="majorBidi" w:hAnsiTheme="majorBidi" w:cstheme="majorBidi"/>
        </w:rPr>
        <w:fldChar w:fldCharType="begin"/>
      </w:r>
      <w:r w:rsidR="003C1591">
        <w:rPr>
          <w:rFonts w:asciiTheme="majorBidi" w:hAnsiTheme="majorBidi" w:cstheme="majorBidi"/>
        </w:rPr>
        <w:instrText xml:space="preserve"> ADDIN ZOTERO_ITEM CSL_CITATION {"citationID":"5eqIqUa7","properties":{"formattedCitation":"(Hardy et al., 2018; Moeller et al., 2009, 2013)","plainCitation":"(Hardy et al., 2018; Moeller et al., 2009, 2013)","noteIndex":11},"citationItems":[{"id":830,"uris":["http://zotero.org/users/7873587/items/NPLX5NWL"],"itemData":{"id":830,"type":"article-journal","abstract":"Concurrent choice tasks, where participants choose between a drug versus natural reward, predict dependence vulnerability in animals and humans. However, the sensitivity of concurrent choice tasks to multiple risk factors in treatment-engaged drug users has not been comprehensively tested. In experiment 1, 33 recently hospitalized smokers who were engaged with the smoking cessation service made forced choices between enlarging pictures of people smoking versus not smoking. In experiment 2, 48 drinkers who were engaged in an outpatient alcohol treatment service made forced choices between enlarging pictures of alcohol versus food. In these experiments, percent drug picture choice was significantly associated with dependence severity, craving, self-reported reasons for drug use (negative coping and cued craving), depression, anxiety, withdrawal intolerance, drug use frequency prior to treatment, and current abstinence status (coefficients ranged from r=0.39 to 0.66). The concurrent pictorial drug choice task is sensitive to multiple risk factors in clinical, treatment-engaged drug users, and may be used to identify individuals requiring more support, to test experimental treatment manipulations, and to translate to animal concurrent self-administration procedures.","container-title":"Behavioural Pharmacology","DOI":"10.1097/FBP.0000000000000421","ISSN":"1473-5849","issue":"8","journalAbbreviation":"Behav Pharmacol","language":"eng","note":"PMID: 30169375","page":"716-725","source":"PubMed","title":"A concurrent pictorial drug choice task marks multiple risk factors in treatment-engaged smokers and drinkers","volume":"29","author":[{"family":"Hardy","given":"Lorna"},{"family":"Parker","given":"Steph"},{"family":"Hartley","given":"Lucie"},{"family":"Hogarth","given":"Lee"}],"issued":{"date-parts":[["2018",12]]}}},{"id":958,"uris":["http://zotero.org/users/7873587/items/YR7WLYET"],"itemData":{"id":958,"type":"article-journal","abstract":"Individuals with cocaine use disorder (CUD) chose cocaine over non-drug rewards. In two newly designed laboratory tasks with pictures, we document this modified choice outside of a cocaine administration paradigm.Choice for viewing cocaine, pleasant, ...","container-title":"Biological psychiatry","DOI":"10.1016/j.biopsych.2009.02.015","issue":"2","language":"en","note":"publisher: NIH Public Access\nPMID: 19358975","page":"169","source":"www.ncbi.nlm.nih.gov","title":"Enhanced choice for viewing cocaine pictures in cocaine addiction","volume":"66","author":[{"family":"Moeller","given":"Scott J."},{"family":"Maloney","given":"Thomas"},{"family":"Parvaz","given":"Muhammad A."},{"family":"Dunning","given":"Jonathan P."},{"family":"Alia-Klein","given":"Nelly"},{"family":"Woicik","given":"Patricia A."},{"family":"Hajcak","given":"Greg"},{"family":"Telang","given":"Frank"},{"family":"Wang","given":"Gene-Jack"},{"family":"Volkow","given":"Nora D."},{"family":"Goldstein","given":"Rita Z."}],"issued":{"date-parts":[["2009",7,7]]}}},{"id":961,"uris":["http://zotero.org/users/7873587/items/8GKGICR8"],"itemData":{"id":961,"type":"article-journal","abstract":"Background\nIdentifying variables that predict drug use in treatment-seeking drug addicted individuals is a crucial research and therapeutic goal. This study tested the hypothesis that choice to view cocaine images is associated with concurrent and prospective drug use in cocaine addiction. \n\nMethods\nTo establish choice-concurrent drug use associations, 71 cocaine addicted subjects (43 current users and 28 treatment seekers) provided data on (A) choice to view cocaine images and affectively pleasant, unpleasant, and neutral images [collected under explicit contingencies (when choice was made between two fully visible side-by-side images) and under more probabilistic contingencies (when choice was made between pictures hidden under flipped-over cards)]; and (B) past-month cocaine and other drug use. To establish choice-prospective drug use associations, 20 of these treatment-seeking subjects were followed over the next six months.\n\nResults\nBaseline cocaine-related picture choice as measured by both tasks positively correlated with subjects’ concurrent cocaine and other drug use as driven by the actively-using subjects. In a subsequent multiple regression analysis, choice to view cocaine images as compared with affectively pleasant images (under probabilistic contingencies) was the only predictor that continued to be significantly associated with drug use. Importantly, this same baseline cocaine&gt;pleasant probabilistic choice also predicted the number of days drugs were used (cocaine, alcohol, and marijuana) over the next six months.\n\nConclusions\nSimulated cocaine choice – especially when probabilistic and when compared with other positive reinforcers – may provide a valid laboratory marker of current and future drug use in cocaine addiction.","container-title":"Drug and alcohol dependence","DOI":"10.1016/j.drugalcdep.2012.11.001","ISSN":"0376-8716","issue":"0","journalAbbreviation":"Drug Alcohol Depend","note":"PMID: 23218913\nPMCID: PMC3609942","page":"178-185","source":"PubMed Central","title":"Choice to view cocaine images predicts concurrent and prospective drug use in cocaine addiction","volume":"130","author":[{"family":"Moeller","given":"Scott J."},{"family":"Beebe-Wang","given":"Nicasia"},{"family":"Woicik","given":"Patricia A."},{"family":"Konova","given":"Anna B."},{"family":"Maloney","given":"Thomas"},{"family":"Goldstein","given":"Rita Z."}],"issued":{"date-parts":[["2013",6,1]]}}}],"schema":"https://github.com/citation-style-language/schema/raw/master/csl-citation.json"} </w:instrText>
      </w:r>
      <w:r>
        <w:rPr>
          <w:rFonts w:asciiTheme="majorBidi" w:hAnsiTheme="majorBidi" w:cstheme="majorBidi"/>
        </w:rPr>
        <w:fldChar w:fldCharType="separate"/>
      </w:r>
      <w:r w:rsidRPr="007E2DA6">
        <w:rPr>
          <w:rFonts w:ascii="Times New Roman" w:hAnsi="Times New Roman" w:cs="Times New Roman"/>
        </w:rPr>
        <w:t>(Hardy et al., 2018; Moeller et al., 2009, 2013)</w:t>
      </w:r>
      <w:r>
        <w:rPr>
          <w:rFonts w:asciiTheme="majorBidi" w:hAnsiTheme="majorBidi" w:cstheme="majorBidi"/>
        </w:rPr>
        <w:fldChar w:fldCharType="end"/>
      </w:r>
      <w:r w:rsidRPr="007E2DA6">
        <w:rPr>
          <w:rFonts w:asciiTheme="majorBidi" w:hAnsiTheme="majorBidi" w:cstheme="majorBidi"/>
        </w:rPr>
        <w:t>.</w:t>
      </w:r>
    </w:p>
  </w:footnote>
  <w:footnote w:id="12">
    <w:p w14:paraId="4F534270" w14:textId="5365A4DE" w:rsidR="0054600F" w:rsidRPr="0054600F" w:rsidRDefault="0054600F">
      <w:pPr>
        <w:pStyle w:val="FootnoteText"/>
        <w:rPr>
          <w:rFonts w:ascii="Times New Roman" w:hAnsi="Times New Roman" w:cs="Times New Roman"/>
        </w:rPr>
      </w:pPr>
      <w:r w:rsidRPr="004B73B2">
        <w:rPr>
          <w:rStyle w:val="FootnoteReference"/>
        </w:rPr>
        <w:footnoteRef/>
      </w:r>
      <w:r w:rsidRPr="0054600F">
        <w:rPr>
          <w:rFonts w:ascii="Times New Roman" w:hAnsi="Times New Roman" w:cs="Times New Roman"/>
        </w:rPr>
        <w:t xml:space="preserve"> This was due to an accuracy score of 0 for this participant in the VBDM task. Further detail is provided under ‘Data preparation and analysis.’</w:t>
      </w:r>
    </w:p>
  </w:footnote>
  <w:footnote w:id="13">
    <w:p w14:paraId="449DA389" w14:textId="610CEE4C" w:rsidR="0054600F" w:rsidRPr="0054600F" w:rsidRDefault="0054600F">
      <w:pPr>
        <w:pStyle w:val="FootnoteText"/>
        <w:rPr>
          <w:rFonts w:ascii="Times New Roman" w:hAnsi="Times New Roman" w:cs="Times New Roman"/>
        </w:rPr>
      </w:pPr>
      <w:r w:rsidRPr="004B73B2">
        <w:rPr>
          <w:rStyle w:val="FootnoteReference"/>
        </w:rPr>
        <w:footnoteRef/>
      </w:r>
      <w:r w:rsidRPr="0054600F">
        <w:rPr>
          <w:rFonts w:ascii="Times New Roman" w:hAnsi="Times New Roman" w:cs="Times New Roman"/>
        </w:rPr>
        <w:t xml:space="preserve"> The videos are maintained in a library that is owned by Marcusson-Clavertz et al. (2019). Please contact the author(s) for permission to access or use these materials.</w:t>
      </w:r>
    </w:p>
  </w:footnote>
  <w:footnote w:id="14">
    <w:p w14:paraId="2D0B56DC" w14:textId="66F553B9" w:rsidR="0054600F" w:rsidRPr="0054600F" w:rsidRDefault="0054600F">
      <w:pPr>
        <w:pStyle w:val="FootnoteText"/>
        <w:rPr>
          <w:rFonts w:ascii="Times New Roman" w:hAnsi="Times New Roman" w:cs="Times New Roman"/>
        </w:rPr>
      </w:pPr>
      <w:r w:rsidRPr="004B73B2">
        <w:rPr>
          <w:rStyle w:val="FootnoteReference"/>
        </w:rPr>
        <w:footnoteRef/>
      </w:r>
      <w:r w:rsidRPr="0054600F">
        <w:rPr>
          <w:rFonts w:ascii="Times New Roman" w:hAnsi="Times New Roman" w:cs="Times New Roman"/>
        </w:rPr>
        <w:t xml:space="preserve"> The videos are maintained in a library that is owned by Samson et al. (2016). Please contact these author(s) for permission if you wish to access or use these materials.</w:t>
      </w:r>
    </w:p>
  </w:footnote>
  <w:footnote w:id="15">
    <w:p w14:paraId="1678D607" w14:textId="69E1390E" w:rsidR="00530156" w:rsidRPr="00530156" w:rsidRDefault="00530156">
      <w:pPr>
        <w:pStyle w:val="FootnoteText"/>
        <w:rPr>
          <w:rFonts w:ascii="Times New Roman" w:hAnsi="Times New Roman" w:cs="Times New Roman"/>
        </w:rPr>
      </w:pPr>
      <w:r w:rsidRPr="004B73B2">
        <w:rPr>
          <w:rStyle w:val="FootnoteReference"/>
        </w:rPr>
        <w:footnoteRef/>
      </w:r>
      <w:r w:rsidRPr="00530156">
        <w:rPr>
          <w:rFonts w:ascii="Times New Roman" w:hAnsi="Times New Roman" w:cs="Times New Roman"/>
        </w:rPr>
        <w:t xml:space="preserve"> We did include an open textbox for participants to share their experience of taking part in the online research study (e.g., if they experienced any technical problems or disruption), however this participant did not leave a response and so it is impossible to establish the exact cause of this responding pattern. Ideally this study would have been conducted in a university laboratory which would have enabled us to monitor participation, however the ongoing global COVID-19 pandemic precluded in-person testing.</w:t>
      </w:r>
    </w:p>
  </w:footnote>
  <w:footnote w:id="16">
    <w:p w14:paraId="0176A0E6" w14:textId="1C8D86AD" w:rsidR="002147A7" w:rsidRPr="002147A7" w:rsidRDefault="002147A7">
      <w:pPr>
        <w:pStyle w:val="FootnoteText"/>
        <w:rPr>
          <w:rFonts w:ascii="Times New Roman" w:hAnsi="Times New Roman" w:cs="Times New Roman"/>
        </w:rPr>
      </w:pPr>
      <w:r w:rsidRPr="004B73B2">
        <w:rPr>
          <w:rStyle w:val="FootnoteReference"/>
        </w:rPr>
        <w:footnoteRef/>
      </w:r>
      <w:r w:rsidRPr="002147A7">
        <w:rPr>
          <w:rFonts w:ascii="Times New Roman" w:hAnsi="Times New Roman" w:cs="Times New Roman"/>
        </w:rPr>
        <w:t xml:space="preserve"> This is because we were mimicking the procedure of </w:t>
      </w:r>
      <w:proofErr w:type="spellStart"/>
      <w:r w:rsidRPr="002147A7">
        <w:rPr>
          <w:rFonts w:ascii="Times New Roman" w:hAnsi="Times New Roman" w:cs="Times New Roman"/>
        </w:rPr>
        <w:t>Marcusson-Clavertz</w:t>
      </w:r>
      <w:proofErr w:type="spellEnd"/>
      <w:r w:rsidRPr="002147A7">
        <w:rPr>
          <w:rFonts w:ascii="Times New Roman" w:hAnsi="Times New Roman" w:cs="Times New Roman"/>
        </w:rPr>
        <w:t xml:space="preserve"> et al. (2019) who successfully manipulated mood in an online Prolific sample.</w:t>
      </w:r>
    </w:p>
  </w:footnote>
  <w:footnote w:id="17">
    <w:p w14:paraId="58D0C624" w14:textId="7C7856CB" w:rsidR="009E6B70" w:rsidRPr="00A06C43" w:rsidRDefault="009E6B70">
      <w:pPr>
        <w:pStyle w:val="FootnoteText"/>
        <w:rPr>
          <w:rFonts w:ascii="Times New Roman" w:hAnsi="Times New Roman" w:cs="Times New Roman"/>
        </w:rPr>
      </w:pPr>
      <w:r w:rsidRPr="004B73B2">
        <w:rPr>
          <w:rStyle w:val="FootnoteReference"/>
        </w:rPr>
        <w:footnoteRef/>
      </w:r>
      <w:r w:rsidRPr="00A06C43">
        <w:rPr>
          <w:rFonts w:ascii="Times New Roman" w:hAnsi="Times New Roman" w:cs="Times New Roman"/>
        </w:rPr>
        <w:t xml:space="preserve"> In line with conceptual and empirical advances, the definition of recovery is not limited to abstinence and incorporates moderated drinking (Witkiewitz et al., 2020, 2021).</w:t>
      </w:r>
    </w:p>
  </w:footnote>
  <w:footnote w:id="18">
    <w:p w14:paraId="1161D617" w14:textId="6AFBBB4A" w:rsidR="009E6B70" w:rsidRDefault="009E6B70">
      <w:pPr>
        <w:pStyle w:val="FootnoteText"/>
      </w:pPr>
      <w:r w:rsidRPr="004B73B2">
        <w:rPr>
          <w:rStyle w:val="FootnoteReference"/>
        </w:rPr>
        <w:footnoteRef/>
      </w:r>
      <w:r w:rsidRPr="00A06C43">
        <w:rPr>
          <w:rFonts w:ascii="Times New Roman" w:hAnsi="Times New Roman" w:cs="Times New Roman"/>
        </w:rPr>
        <w:t xml:space="preserve"> We use the term ‘heavy drinkers’ in this study to reflect the inclusion criterion which relates to participants volume of alcohol consumption (i.e., &gt;28 weekly UK units; 1 UK unit = 8g of alcohol).</w:t>
      </w:r>
    </w:p>
  </w:footnote>
  <w:footnote w:id="19">
    <w:p w14:paraId="42B8EA9F" w14:textId="2E4BA7A1" w:rsidR="00A06C43" w:rsidRPr="00A06C43" w:rsidRDefault="00A06C43">
      <w:pPr>
        <w:pStyle w:val="FootnoteText"/>
        <w:rPr>
          <w:rFonts w:asciiTheme="majorBidi" w:hAnsiTheme="majorBidi" w:cstheme="majorBidi"/>
        </w:rPr>
      </w:pPr>
      <w:r w:rsidRPr="004B73B2">
        <w:rPr>
          <w:rStyle w:val="FootnoteReference"/>
        </w:rPr>
        <w:footnoteRef/>
      </w:r>
      <w:r w:rsidRPr="00A06C43">
        <w:rPr>
          <w:rFonts w:asciiTheme="majorBidi" w:hAnsiTheme="majorBidi" w:cstheme="majorBidi"/>
        </w:rPr>
        <w:t xml:space="preserve"> From this point onwards, ‘moderated (former heavy) drinkers’ will be referred to as moderated drinkers.</w:t>
      </w:r>
    </w:p>
  </w:footnote>
  <w:footnote w:id="20">
    <w:p w14:paraId="533BA412" w14:textId="0F60542C" w:rsidR="00996995" w:rsidRPr="00996995" w:rsidRDefault="00996995" w:rsidP="008A10EC">
      <w:pPr>
        <w:pStyle w:val="FootnoteText"/>
        <w:rPr>
          <w:rFonts w:ascii="Times New Roman" w:hAnsi="Times New Roman" w:cs="Times New Roman"/>
        </w:rPr>
      </w:pPr>
      <w:r w:rsidRPr="004B73B2">
        <w:rPr>
          <w:rStyle w:val="FootnoteReference"/>
        </w:rPr>
        <w:footnoteRef/>
      </w:r>
      <w:r w:rsidRPr="00996995">
        <w:rPr>
          <w:rFonts w:ascii="Times New Roman" w:hAnsi="Times New Roman" w:cs="Times New Roman"/>
        </w:rPr>
        <w:t xml:space="preserve"> All APT indices apart from elasticity demonstrated skewness or kurtosis values within limits (-2 and 2) that have been deemed acceptable and used in previous research using these variables (e.g., </w:t>
      </w:r>
      <w:r w:rsidR="008A10EC">
        <w:rPr>
          <w:rFonts w:ascii="Times New Roman" w:hAnsi="Times New Roman" w:cs="Times New Roman"/>
        </w:rPr>
        <w:fldChar w:fldCharType="begin"/>
      </w:r>
      <w:r w:rsidR="00440359">
        <w:rPr>
          <w:rFonts w:ascii="Times New Roman" w:hAnsi="Times New Roman" w:cs="Times New Roman"/>
        </w:rPr>
        <w:instrText xml:space="preserve"> ADDIN ZOTERO_ITEM CSL_CITATION {"citationID":"3uwrr464","properties":{"formattedCitation":"(Acuff, Soltis, et al., 2020; Luciano et al., 2019)","plainCitation":"(Acuff, Soltis, et al., 2020; Luciano et al., 2019)","dontUpdate":true,"noteIndex":21},"citationItems":[{"id":944,"uris":["http://zotero.org/users/7873587/items/4HPAYMV2"],"itemData":{"id":944,"type":"article-journal","abstract":"Background Young adults typically drink in social settings and report high levels of episodic heavy drinking despite a range of adverse consequences. Behavioral economics posits that this may reflect a reinforcer pathology in which alcohol is overvalued relative to other reinforcers. Theoretically, the value of alcohol is related to both the direct pharmacological effects of alcohol (euphoria, sedation) and the associated social reinforcement, but to date no studies have differentiated the value of social vs. solitary drinking. The current study examines two modified hypothetical alcohol purchase tasks (APTs), one explicitly social and one explicitly solitary, in order to quantify the reward value of social vs. solitary drinking and to determine whether there are unique clinical correlates of solitary alcohol demand. Methods Participants were young adults (N = 274, Mage = 25.15, SD = 4.10) recruited from Mturk and from a university subject pool. Participants completed a solitary and social APT, in addition to measures of alcohol consumption and problems. Results Participants reported significantly greater demand in the social APT compared to the solitary APT across all demand indices. Elevated solitary and social demand were associated with elevated levels of alcohol use and problems. Using a residualized change approach, solitary demand amplitude (maximum consumption and expenditure) and persistence (price sensitivity) contributed additional variance above and beyond their social APT composite counterparts in predicting typical drinks per week and the self-care, academic/occupational, and physical dependence subscales of the YAACQ. Conclusions The presence of peers increases alcohol demand compared to a solitary scenario, and greater relative solitary drinking demand may be a risk factor for greater alcohol consumption and problems.","container-title":"Alcoholism: Clinical and Experimental Research","DOI":"10.1111/acer.14382","ISSN":"1530-0277","issue":"7","language":"en","note":"_eprint: https://onlinelibrary.wiley.com/doi/pdf/10.1111/acer.14382","page":"1497-1507","source":"Wiley Online Library","title":"Using demand curves to quantify the reinforcing value of social and solitary drinking","volume":"44","author":[{"family":"Acuff","given":"Samuel F."},{"family":"Soltis","given":"Kathryn E."},{"family":"Murphy","given":"James G."}],"issued":{"date-parts":[["2020"]]}},"label":"act"},{"id":757,"uris":["http://zotero.org/users/7873587/items/HKHVQTHC"],"itemData":{"id":757,"type":"article-journal","abstract":"Behavioral economic theory can help researchers understand complex behavior by considering the availability and economic value associated with an individual's choices. This study explored how behavioral economic constructs relate to alcohol consumption and alcohol problems in a sample of trauma-exposed young adults. We further explored whether these behavioral economic constructs explained unique variance in alcohol outcomes beyond coping-related drinking motives. Participants were 91 trauma-exposed young adults who reported recent alcohol consumption (Mage = 26.53, female = 36.26%, non-White = 41.75%). Participants were recruited through Amazon Mechanical Turk. Questionnaires measured alcohol consumption, problems, and motives for use, as well as alcohol demand, delay discounting, future orientation, and access to environmental reward. Future orientation (ΔR2 = .05, p = .03) and delay discounting (ΔR2 = .04, p = .05) explained unique variance in alcohol problems after controlling for coping-related drinking motives. Further, alcohol demand indices (ΔR2s = .04-.10, ps = .00-.05) explained unique variance in alcohol consumption after controlling for coping-related drinking. Both coping motives and behavioral economic variables contribute to alcohol consumption and alcohol-related consequences among trauma-exposed young adults. Findings suggest that, beyond coping motives, behavioral economics may play a meaningful role in understanding alcohol misuse. (PsycINFO Database Record (c) 2019 APA, all rights reserved).","container-title":"Experimental and Clinical Psychopharmacology","DOI":"10.1037/pha0000318","ISSN":"1936-2293","journalAbbreviation":"Exp Clin Psychopharmacol","language":"eng","note":"PMID: 31380693\nPMCID: PMC7000292","source":"PubMed","title":"Behavioral economics and coping-related drinking motives in trauma exposed drinkers: Implications for the self-medication hypothesis","title-short":"Behavioral economics and coping-related drinking motives in trauma exposed drinkers","author":[{"family":"Luciano","given":"Matthew T."},{"family":"Acuff","given":"Samuel F."},{"family":"McDevitt-Murphy","given":"Meghan E."},{"family":"Murphy","given":"James G."}],"issued":{"date-parts":[["2019",8,5]]}},"label":"act"}],"schema":"https://github.com/citation-style-language/schema/raw/master/csl-citation.json"} </w:instrText>
      </w:r>
      <w:r w:rsidR="008A10EC">
        <w:rPr>
          <w:rFonts w:ascii="Times New Roman" w:hAnsi="Times New Roman" w:cs="Times New Roman"/>
        </w:rPr>
        <w:fldChar w:fldCharType="separate"/>
      </w:r>
      <w:r w:rsidR="008A10EC" w:rsidRPr="008A10EC">
        <w:rPr>
          <w:rFonts w:ascii="Times New Roman" w:hAnsi="Times New Roman" w:cs="Times New Roman"/>
        </w:rPr>
        <w:t>Acuff, Soltis, et al., 2020; Luciano et al., 2019)</w:t>
      </w:r>
      <w:r w:rsidR="008A10EC">
        <w:rPr>
          <w:rFonts w:ascii="Times New Roman" w:hAnsi="Times New Roman" w:cs="Times New Roman"/>
        </w:rPr>
        <w:fldChar w:fldCharType="end"/>
      </w:r>
      <w:r w:rsidRPr="00996995">
        <w:rPr>
          <w:rFonts w:ascii="Times New Roman" w:hAnsi="Times New Roman" w:cs="Times New Roman"/>
        </w:rPr>
        <w:t>. Attempts to improve the distribution of elasticity via transformation (e.g., square- root and log-transformation) did not produce skewness and kurtosis values within the acceptable limits, and therefore we used a non-parametric test for this index of demand.</w:t>
      </w:r>
    </w:p>
  </w:footnote>
  <w:footnote w:id="21">
    <w:p w14:paraId="46F86934" w14:textId="77777777" w:rsidR="0067750A" w:rsidRDefault="0067750A" w:rsidP="0067750A">
      <w:pPr>
        <w:pStyle w:val="FootnoteText"/>
        <w:rPr>
          <w:rFonts w:ascii="Times New Roman" w:hAnsi="Times New Roman" w:cs="Times New Roman"/>
        </w:rPr>
      </w:pPr>
      <w:r w:rsidRPr="004B73B2">
        <w:rPr>
          <w:rStyle w:val="FootnoteReference"/>
        </w:rPr>
        <w:footnoteRef/>
      </w:r>
      <w:r>
        <w:rPr>
          <w:rFonts w:ascii="Times New Roman" w:hAnsi="Times New Roman" w:cs="Times New Roman"/>
        </w:rPr>
        <w:t xml:space="preserve"> From this point onwards “tobacco smokers” will be referred to as “smokers”.</w:t>
      </w:r>
    </w:p>
  </w:footnote>
  <w:footnote w:id="22">
    <w:p w14:paraId="5E3AFA85" w14:textId="654A812D" w:rsidR="001A5D31" w:rsidRPr="001A5D31" w:rsidRDefault="001A5D31" w:rsidP="00F62D8A">
      <w:pPr>
        <w:pStyle w:val="FootnoteText"/>
        <w:rPr>
          <w:rFonts w:ascii="Times New Roman" w:hAnsi="Times New Roman" w:cs="Times New Roman"/>
        </w:rPr>
      </w:pPr>
      <w:r w:rsidRPr="004B73B2">
        <w:rPr>
          <w:rStyle w:val="FootnoteReference"/>
        </w:rPr>
        <w:footnoteRef/>
      </w:r>
      <w:r w:rsidRPr="001A5D31">
        <w:rPr>
          <w:rFonts w:ascii="Times New Roman" w:hAnsi="Times New Roman" w:cs="Times New Roman"/>
        </w:rPr>
        <w:t xml:space="preserve"> The International Affective Picture System (IAPS; </w:t>
      </w:r>
      <w:r w:rsidR="00F62D8A">
        <w:rPr>
          <w:rFonts w:ascii="Times New Roman" w:hAnsi="Times New Roman" w:cs="Times New Roman"/>
        </w:rPr>
        <w:fldChar w:fldCharType="begin"/>
      </w:r>
      <w:r w:rsidR="003C1591">
        <w:rPr>
          <w:rFonts w:ascii="Times New Roman" w:hAnsi="Times New Roman" w:cs="Times New Roman"/>
        </w:rPr>
        <w:instrText xml:space="preserve"> ADDIN ZOTERO_ITEM CSL_CITATION {"citationID":"oXvbgfW6","properties":{"formattedCitation":"(Lang et al., 2008)","plainCitation":"(Lang et al., 2008)","dontUpdate":true,"noteIndex":23},"citationItems":[{"id":887,"uris":["http://zotero.org/users/7873587/items/JE4HN9LE"],"itemData":{"id":887,"type":"report","publisher":"University of Florida","source":"CiNii","title":"International affective picture system (IAPS): affective ratings of pictures and instruction manual","title-short":"International affective picture system (IAPS)","URL":"https://ci.nii.ac.jp/naid/20001061266/","author":[{"family":"Lang","given":"Peter J."},{"family":"Bradley","given":"M"},{"family":"Cuthbert","given":"B"}],"accessed":{"date-parts":[["2022",3,17]]},"issued":{"date-parts":[["2008"]]}}}],"schema":"https://github.com/citation-style-language/schema/raw/master/csl-citation.json"} </w:instrText>
      </w:r>
      <w:r w:rsidR="00F62D8A">
        <w:rPr>
          <w:rFonts w:ascii="Times New Roman" w:hAnsi="Times New Roman" w:cs="Times New Roman"/>
        </w:rPr>
        <w:fldChar w:fldCharType="separate"/>
      </w:r>
      <w:r w:rsidR="00F62D8A" w:rsidRPr="00F62D8A">
        <w:rPr>
          <w:rFonts w:ascii="Times New Roman" w:hAnsi="Times New Roman" w:cs="Times New Roman"/>
        </w:rPr>
        <w:t>Lang et al., 2008)</w:t>
      </w:r>
      <w:r w:rsidR="00F62D8A">
        <w:rPr>
          <w:rFonts w:ascii="Times New Roman" w:hAnsi="Times New Roman" w:cs="Times New Roman"/>
        </w:rPr>
        <w:fldChar w:fldCharType="end"/>
      </w:r>
      <w:r w:rsidRPr="001A5D31">
        <w:rPr>
          <w:rFonts w:ascii="Times New Roman" w:hAnsi="Times New Roman" w:cs="Times New Roman"/>
        </w:rPr>
        <w:t xml:space="preserve"> did exist, however the food depicted within the images appeared dated and the category of images were not as large or comprised a range of differential valence ratings relative to the images that depicted animals.</w:t>
      </w:r>
    </w:p>
  </w:footnote>
  <w:footnote w:id="23">
    <w:p w14:paraId="477DDB30" w14:textId="77777777" w:rsidR="000E4244" w:rsidRPr="00BC6564" w:rsidRDefault="000E4244" w:rsidP="000E4244">
      <w:pPr>
        <w:pStyle w:val="FootnoteText"/>
        <w:rPr>
          <w:rFonts w:ascii="Times New Roman" w:hAnsi="Times New Roman" w:cs="Times New Roman"/>
        </w:rPr>
      </w:pPr>
      <w:r w:rsidRPr="00694A10">
        <w:rPr>
          <w:rStyle w:val="FootnoteReference"/>
        </w:rPr>
        <w:footnoteRef/>
      </w:r>
      <w:r w:rsidRPr="00BC6564">
        <w:rPr>
          <w:rFonts w:ascii="Times New Roman" w:hAnsi="Times New Roman" w:cs="Times New Roman"/>
        </w:rPr>
        <w:t xml:space="preserve"> Prior to the implementation of modifications, not all model fit indices of the hypothesized structural model were a good fit of the data (SRMR = .05; CFI = .96, TLI = .68, RMSEA = .15 (90% CI = .11 to .18); X</w:t>
      </w:r>
      <w:r w:rsidRPr="00BC6564">
        <w:rPr>
          <w:rFonts w:ascii="Times New Roman" w:hAnsi="Times New Roman" w:cs="Times New Roman"/>
          <w:vertAlign w:val="superscript"/>
        </w:rPr>
        <w:t>2</w:t>
      </w:r>
      <w:r w:rsidRPr="00BC6564">
        <w:rPr>
          <w:rFonts w:ascii="Times New Roman" w:hAnsi="Times New Roman" w:cs="Times New Roman"/>
        </w:rPr>
        <w:t>/</w:t>
      </w:r>
      <w:proofErr w:type="spellStart"/>
      <w:r w:rsidRPr="00BC6564">
        <w:rPr>
          <w:rFonts w:ascii="Times New Roman" w:hAnsi="Times New Roman" w:cs="Times New Roman"/>
          <w:i/>
          <w:iCs/>
        </w:rPr>
        <w:t>df</w:t>
      </w:r>
      <w:proofErr w:type="spellEnd"/>
      <w:r w:rsidRPr="00BC6564">
        <w:rPr>
          <w:rFonts w:ascii="Times New Roman" w:hAnsi="Times New Roman" w:cs="Times New Roman"/>
        </w:rPr>
        <w:t xml:space="preserve"> = 12.94).</w:t>
      </w:r>
    </w:p>
  </w:footnote>
  <w:footnote w:id="24">
    <w:p w14:paraId="581D93B8" w14:textId="77777777" w:rsidR="00123394" w:rsidRPr="00BC6564" w:rsidRDefault="00123394" w:rsidP="00123394">
      <w:pPr>
        <w:pStyle w:val="FootnoteText"/>
        <w:rPr>
          <w:rFonts w:ascii="Times New Roman" w:hAnsi="Times New Roman" w:cs="Times New Roman"/>
        </w:rPr>
      </w:pPr>
      <w:r w:rsidRPr="00694A10">
        <w:rPr>
          <w:rStyle w:val="FootnoteReference"/>
        </w:rPr>
        <w:footnoteRef/>
      </w:r>
      <w:r w:rsidRPr="00BC6564">
        <w:rPr>
          <w:rFonts w:ascii="Times New Roman" w:hAnsi="Times New Roman" w:cs="Times New Roman"/>
        </w:rPr>
        <w:t xml:space="preserve"> </w:t>
      </w:r>
      <w:bookmarkStart w:id="377" w:name="_Hlk102568894"/>
      <w:r w:rsidRPr="00BC6564">
        <w:rPr>
          <w:rFonts w:ascii="Times New Roman" w:hAnsi="Times New Roman" w:cs="Times New Roman"/>
        </w:rPr>
        <w:t>Prior to the implementation of modifications, not all model fit indices of the hypothesized structural model were a good fit of the data (SRMR = .04; CFI = .97, TLI = .84, RMSEA = .10 (90% CI = .07 to .14); X</w:t>
      </w:r>
      <w:r w:rsidRPr="00BC6564">
        <w:rPr>
          <w:rFonts w:ascii="Times New Roman" w:hAnsi="Times New Roman" w:cs="Times New Roman"/>
          <w:vertAlign w:val="superscript"/>
        </w:rPr>
        <w:t>2</w:t>
      </w:r>
      <w:r w:rsidRPr="00BC6564">
        <w:rPr>
          <w:rFonts w:ascii="Times New Roman" w:hAnsi="Times New Roman" w:cs="Times New Roman"/>
        </w:rPr>
        <w:t>/</w:t>
      </w:r>
      <w:proofErr w:type="spellStart"/>
      <w:r w:rsidRPr="00BC6564">
        <w:rPr>
          <w:rFonts w:ascii="Times New Roman" w:hAnsi="Times New Roman" w:cs="Times New Roman"/>
          <w:i/>
          <w:iCs/>
        </w:rPr>
        <w:t>df</w:t>
      </w:r>
      <w:proofErr w:type="spellEnd"/>
      <w:r w:rsidRPr="00BC6564">
        <w:rPr>
          <w:rFonts w:ascii="Times New Roman" w:hAnsi="Times New Roman" w:cs="Times New Roman"/>
        </w:rPr>
        <w:t xml:space="preserve"> = 6.71).</w:t>
      </w:r>
      <w:bookmarkEnd w:id="377"/>
    </w:p>
  </w:footnote>
  <w:footnote w:id="25">
    <w:p w14:paraId="02E85353" w14:textId="77777777" w:rsidR="002A3B81" w:rsidRPr="00707F37" w:rsidRDefault="002A3B81" w:rsidP="002A3B81">
      <w:pPr>
        <w:pStyle w:val="FootnoteText"/>
        <w:jc w:val="both"/>
        <w:rPr>
          <w:rFonts w:ascii="Times New Roman" w:hAnsi="Times New Roman" w:cs="Times New Roman"/>
        </w:rPr>
      </w:pPr>
      <w:r w:rsidRPr="00694A10">
        <w:rPr>
          <w:rStyle w:val="FootnoteReference"/>
        </w:rPr>
        <w:footnoteRef/>
      </w:r>
      <w:r w:rsidRPr="00D61774">
        <w:rPr>
          <w:rFonts w:ascii="Times New Roman" w:hAnsi="Times New Roman" w:cs="Times New Roman"/>
          <w:color w:val="000000" w:themeColor="text1"/>
        </w:rPr>
        <w:t xml:space="preserve"> We fixed response thresholds across difficulty level only because these are hypothesised to differ among different types of commodities (see Field et al., 2020) whereas there are no specific hypotheses </w:t>
      </w:r>
      <w:r>
        <w:rPr>
          <w:rFonts w:ascii="Times New Roman" w:hAnsi="Times New Roman" w:cs="Times New Roman"/>
          <w:color w:val="000000" w:themeColor="text1"/>
        </w:rPr>
        <w:t>or theoretical basis to expect non-decision times to differ (</w:t>
      </w:r>
      <w:r w:rsidRPr="00D61774">
        <w:rPr>
          <w:rFonts w:ascii="Times New Roman" w:hAnsi="Times New Roman" w:cs="Times New Roman"/>
          <w:color w:val="000000" w:themeColor="text1"/>
        </w:rPr>
        <w:t>non-decision time</w:t>
      </w:r>
      <w:r>
        <w:rPr>
          <w:rFonts w:ascii="Times New Roman" w:hAnsi="Times New Roman" w:cs="Times New Roman"/>
          <w:color w:val="000000" w:themeColor="text1"/>
        </w:rPr>
        <w:t xml:space="preserve"> </w:t>
      </w:r>
      <w:r w:rsidRPr="008D3D40">
        <w:rPr>
          <w:rFonts w:ascii="Times New Roman" w:hAnsi="Times New Roman" w:cs="Times New Roman"/>
          <w:color w:val="000000" w:themeColor="text1"/>
        </w:rPr>
        <w:t>represents</w:t>
      </w:r>
      <w:r>
        <w:rPr>
          <w:rFonts w:ascii="Times New Roman" w:hAnsi="Times New Roman" w:cs="Times New Roman"/>
          <w:color w:val="000000" w:themeColor="text1"/>
        </w:rPr>
        <w:t xml:space="preserve"> participants’</w:t>
      </w:r>
      <w:r w:rsidRPr="008D3D40">
        <w:rPr>
          <w:rFonts w:ascii="Times New Roman" w:hAnsi="Times New Roman" w:cs="Times New Roman"/>
          <w:color w:val="000000" w:themeColor="text1"/>
        </w:rPr>
        <w:t xml:space="preserve"> encoding and motor </w:t>
      </w:r>
      <w:r>
        <w:rPr>
          <w:rFonts w:ascii="Times New Roman" w:hAnsi="Times New Roman" w:cs="Times New Roman"/>
          <w:color w:val="000000" w:themeColor="text1"/>
        </w:rPr>
        <w:t xml:space="preserve">execution </w:t>
      </w:r>
      <w:r w:rsidRPr="008D3D40">
        <w:rPr>
          <w:rFonts w:ascii="Times New Roman" w:hAnsi="Times New Roman" w:cs="Times New Roman"/>
          <w:color w:val="000000" w:themeColor="text1"/>
        </w:rPr>
        <w:t>processes</w:t>
      </w:r>
      <w:r>
        <w:rPr>
          <w:rFonts w:ascii="Times New Roman" w:hAnsi="Times New Roman" w:cs="Times New Roman"/>
          <w:color w:val="000000" w:themeColor="text1"/>
        </w:rPr>
        <w:t>).</w:t>
      </w:r>
    </w:p>
  </w:footnote>
  <w:footnote w:id="26">
    <w:p w14:paraId="1DBDE6B8" w14:textId="77777777" w:rsidR="00172845" w:rsidRDefault="00172845" w:rsidP="00172845">
      <w:pPr>
        <w:pStyle w:val="FootnoteText"/>
      </w:pPr>
      <w:r w:rsidRPr="00694A10">
        <w:rPr>
          <w:rStyle w:val="FootnoteReference"/>
        </w:rPr>
        <w:footnoteRef/>
      </w:r>
      <w:r>
        <w:t xml:space="preserve"> This corroborates the findings reported in Chapter 4; however, it is not a one-sided </w:t>
      </w:r>
      <w:r w:rsidRPr="00585CE2">
        <w:rPr>
          <w:i/>
          <w:iCs/>
        </w:rPr>
        <w:t>t</w:t>
      </w:r>
      <w:r>
        <w:t>-test which is reported in the manuscript hence the difference in significance reported here.</w:t>
      </w:r>
    </w:p>
  </w:footnote>
  <w:footnote w:id="27">
    <w:p w14:paraId="1D713E81" w14:textId="77777777" w:rsidR="0010042E" w:rsidRDefault="0010042E" w:rsidP="0010042E">
      <w:pPr>
        <w:pStyle w:val="FootnoteText"/>
        <w:spacing w:line="360" w:lineRule="auto"/>
      </w:pPr>
      <w:r w:rsidRPr="00694A10">
        <w:rPr>
          <w:rStyle w:val="FootnoteReference"/>
        </w:rPr>
        <w:footnoteRef/>
      </w:r>
      <w:r>
        <w:t xml:space="preserve"> </w:t>
      </w:r>
      <w:r w:rsidRPr="002F57EC">
        <w:rPr>
          <w:rFonts w:ascii="Times New Roman" w:hAnsi="Times New Roman" w:cs="Times New Roman"/>
        </w:rPr>
        <w:t xml:space="preserve">The within-subject </w:t>
      </w:r>
      <w:r w:rsidRPr="002F57EC">
        <w:rPr>
          <w:rFonts w:ascii="Times New Roman" w:hAnsi="Times New Roman" w:cs="Times New Roman"/>
          <w:i/>
          <w:iCs/>
        </w:rPr>
        <w:t>t</w:t>
      </w:r>
      <w:r w:rsidRPr="002F57EC">
        <w:rPr>
          <w:rFonts w:ascii="Times New Roman" w:hAnsi="Times New Roman" w:cs="Times New Roman"/>
        </w:rPr>
        <w:t>-tests are two-tailed because unlike the core hypotheses of the study, we did not hypothesize directional effects for these exploratory analyses.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07E2" w14:textId="77777777" w:rsidR="00D53261" w:rsidRDefault="00D53261">
    <w:pPr>
      <w:pStyle w:val="Header"/>
      <w:rPr>
        <w:rFonts w:asciiTheme="majorBidi" w:hAnsiTheme="majorBidi" w:cstheme="majorBidi"/>
      </w:rPr>
    </w:pPr>
  </w:p>
  <w:p w14:paraId="6A5B5140" w14:textId="77777777" w:rsidR="00D53261" w:rsidRDefault="00D53261">
    <w:pPr>
      <w:pStyle w:val="Header"/>
      <w:tabs>
        <w:tab w:val="left" w:pos="3600"/>
      </w:tabs>
      <w:rPr>
        <w:rFonts w:asciiTheme="majorBidi" w:hAnsiTheme="majorBidi" w:cstheme="majorBidi"/>
      </w:rPr>
    </w:pPr>
    <w:r>
      <w:rPr>
        <w:rFonts w:asciiTheme="majorBidi" w:hAnsiTheme="majorBidi" w:cstheme="majorBidi"/>
      </w:rPr>
      <w:tab/>
    </w:r>
  </w:p>
  <w:p w14:paraId="4C48F085" w14:textId="77777777" w:rsidR="00D53261" w:rsidRDefault="00D53261">
    <w:pPr>
      <w:pStyle w:val="Header"/>
      <w:rPr>
        <w:rFonts w:asciiTheme="majorBidi" w:hAnsiTheme="majorBidi" w:cstheme="majorBidi"/>
      </w:rPr>
    </w:pPr>
  </w:p>
  <w:p w14:paraId="25400A37" w14:textId="77777777" w:rsidR="00D53261" w:rsidRDefault="00D53261">
    <w:pPr>
      <w:pStyle w:val="Heade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A6BFB"/>
    <w:multiLevelType w:val="hybridMultilevel"/>
    <w:tmpl w:val="8B40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321D2"/>
    <w:multiLevelType w:val="hybridMultilevel"/>
    <w:tmpl w:val="54DC0D2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3D0D08"/>
    <w:multiLevelType w:val="hybridMultilevel"/>
    <w:tmpl w:val="43347E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1979E3"/>
    <w:multiLevelType w:val="hybridMultilevel"/>
    <w:tmpl w:val="BE88D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4D45EA"/>
    <w:multiLevelType w:val="hybridMultilevel"/>
    <w:tmpl w:val="B4D265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FB46DF"/>
    <w:multiLevelType w:val="hybridMultilevel"/>
    <w:tmpl w:val="1D28D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0F2B48"/>
    <w:multiLevelType w:val="hybridMultilevel"/>
    <w:tmpl w:val="A0CE76EA"/>
    <w:lvl w:ilvl="0" w:tplc="86168860">
      <w:start w:val="7"/>
      <w:numFmt w:val="decimal"/>
      <w:lvlText w:val="%1."/>
      <w:lvlJc w:val="left"/>
      <w:pPr>
        <w:ind w:left="720" w:hanging="360"/>
      </w:pPr>
      <w:rPr>
        <w:rFonts w:asciiTheme="majorBidi" w:hAnsiTheme="majorBidi" w:cstheme="maj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E7580C"/>
    <w:multiLevelType w:val="hybridMultilevel"/>
    <w:tmpl w:val="02BE7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A31747"/>
    <w:multiLevelType w:val="multilevel"/>
    <w:tmpl w:val="67E08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629465C"/>
    <w:multiLevelType w:val="hybridMultilevel"/>
    <w:tmpl w:val="BF98A318"/>
    <w:lvl w:ilvl="0" w:tplc="69EE3F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6E63B79"/>
    <w:multiLevelType w:val="hybridMultilevel"/>
    <w:tmpl w:val="CBC03EE4"/>
    <w:lvl w:ilvl="0" w:tplc="5F48E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75964F9"/>
    <w:multiLevelType w:val="hybridMultilevel"/>
    <w:tmpl w:val="0602F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8C6D95"/>
    <w:multiLevelType w:val="hybridMultilevel"/>
    <w:tmpl w:val="7BE46D2E"/>
    <w:lvl w:ilvl="0" w:tplc="C8F642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F90241"/>
    <w:multiLevelType w:val="hybridMultilevel"/>
    <w:tmpl w:val="D7428C34"/>
    <w:lvl w:ilvl="0" w:tplc="7E26DFC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2D91E21"/>
    <w:multiLevelType w:val="multilevel"/>
    <w:tmpl w:val="15025CF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556E286B"/>
    <w:multiLevelType w:val="hybridMultilevel"/>
    <w:tmpl w:val="A664E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9423D8"/>
    <w:multiLevelType w:val="multilevel"/>
    <w:tmpl w:val="A9665E3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67922A4A"/>
    <w:multiLevelType w:val="hybridMultilevel"/>
    <w:tmpl w:val="349C9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B06E76"/>
    <w:multiLevelType w:val="hybridMultilevel"/>
    <w:tmpl w:val="E5A8E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357119"/>
    <w:multiLevelType w:val="multilevel"/>
    <w:tmpl w:val="38B83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3E08A9"/>
    <w:multiLevelType w:val="hybridMultilevel"/>
    <w:tmpl w:val="97CAC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747617"/>
    <w:multiLevelType w:val="hybridMultilevel"/>
    <w:tmpl w:val="2264D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6325A8"/>
    <w:multiLevelType w:val="hybridMultilevel"/>
    <w:tmpl w:val="CFC42FAA"/>
    <w:lvl w:ilvl="0" w:tplc="CBC4C3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A317EFA"/>
    <w:multiLevelType w:val="hybridMultilevel"/>
    <w:tmpl w:val="090A1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BDC00ED"/>
    <w:multiLevelType w:val="hybridMultilevel"/>
    <w:tmpl w:val="5F7ED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0201749">
    <w:abstractNumId w:val="1"/>
  </w:num>
  <w:num w:numId="2" w16cid:durableId="933443094">
    <w:abstractNumId w:val="9"/>
  </w:num>
  <w:num w:numId="3" w16cid:durableId="1602253623">
    <w:abstractNumId w:val="22"/>
  </w:num>
  <w:num w:numId="4" w16cid:durableId="1532919622">
    <w:abstractNumId w:val="20"/>
  </w:num>
  <w:num w:numId="5" w16cid:durableId="165021603">
    <w:abstractNumId w:val="10"/>
  </w:num>
  <w:num w:numId="6" w16cid:durableId="151333121">
    <w:abstractNumId w:val="13"/>
  </w:num>
  <w:num w:numId="7" w16cid:durableId="1820268316">
    <w:abstractNumId w:val="7"/>
  </w:num>
  <w:num w:numId="8" w16cid:durableId="1345862024">
    <w:abstractNumId w:val="12"/>
  </w:num>
  <w:num w:numId="9" w16cid:durableId="1685395194">
    <w:abstractNumId w:val="23"/>
  </w:num>
  <w:num w:numId="10" w16cid:durableId="453600845">
    <w:abstractNumId w:val="19"/>
  </w:num>
  <w:num w:numId="11" w16cid:durableId="571742660">
    <w:abstractNumId w:val="5"/>
  </w:num>
  <w:num w:numId="12" w16cid:durableId="1583179217">
    <w:abstractNumId w:val="16"/>
  </w:num>
  <w:num w:numId="13" w16cid:durableId="1058360560">
    <w:abstractNumId w:val="15"/>
  </w:num>
  <w:num w:numId="14" w16cid:durableId="416290991">
    <w:abstractNumId w:val="3"/>
  </w:num>
  <w:num w:numId="15" w16cid:durableId="1727028189">
    <w:abstractNumId w:val="11"/>
  </w:num>
  <w:num w:numId="16" w16cid:durableId="843786060">
    <w:abstractNumId w:val="8"/>
  </w:num>
  <w:num w:numId="17" w16cid:durableId="1023674431">
    <w:abstractNumId w:val="18"/>
  </w:num>
  <w:num w:numId="18" w16cid:durableId="446316291">
    <w:abstractNumId w:val="17"/>
  </w:num>
  <w:num w:numId="19" w16cid:durableId="787621221">
    <w:abstractNumId w:val="0"/>
  </w:num>
  <w:num w:numId="20" w16cid:durableId="1530607784">
    <w:abstractNumId w:val="21"/>
  </w:num>
  <w:num w:numId="21" w16cid:durableId="1016928537">
    <w:abstractNumId w:val="24"/>
  </w:num>
  <w:num w:numId="22" w16cid:durableId="2110853169">
    <w:abstractNumId w:val="2"/>
  </w:num>
  <w:num w:numId="23" w16cid:durableId="553664541">
    <w:abstractNumId w:val="6"/>
  </w:num>
  <w:num w:numId="24" w16cid:durableId="144511791">
    <w:abstractNumId w:val="14"/>
  </w:num>
  <w:num w:numId="25" w16cid:durableId="646588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189"/>
    <w:rsid w:val="00000B41"/>
    <w:rsid w:val="00001812"/>
    <w:rsid w:val="0000382A"/>
    <w:rsid w:val="00004012"/>
    <w:rsid w:val="00014944"/>
    <w:rsid w:val="00040652"/>
    <w:rsid w:val="000523CB"/>
    <w:rsid w:val="00054395"/>
    <w:rsid w:val="000663FD"/>
    <w:rsid w:val="000670EF"/>
    <w:rsid w:val="00071BA0"/>
    <w:rsid w:val="000743E9"/>
    <w:rsid w:val="00075226"/>
    <w:rsid w:val="000766C3"/>
    <w:rsid w:val="00085A93"/>
    <w:rsid w:val="00085BE5"/>
    <w:rsid w:val="00093B56"/>
    <w:rsid w:val="00093D81"/>
    <w:rsid w:val="00094FCC"/>
    <w:rsid w:val="00095215"/>
    <w:rsid w:val="00095C5F"/>
    <w:rsid w:val="000A0EDC"/>
    <w:rsid w:val="000A2E8B"/>
    <w:rsid w:val="000A7556"/>
    <w:rsid w:val="000A768D"/>
    <w:rsid w:val="000B12AD"/>
    <w:rsid w:val="000B1A1B"/>
    <w:rsid w:val="000C15D7"/>
    <w:rsid w:val="000C58F6"/>
    <w:rsid w:val="000C67F7"/>
    <w:rsid w:val="000C6804"/>
    <w:rsid w:val="000C7459"/>
    <w:rsid w:val="000E10C7"/>
    <w:rsid w:val="000E30FC"/>
    <w:rsid w:val="000E4244"/>
    <w:rsid w:val="000E5996"/>
    <w:rsid w:val="000F7B5A"/>
    <w:rsid w:val="0010042E"/>
    <w:rsid w:val="00100B39"/>
    <w:rsid w:val="00104BC1"/>
    <w:rsid w:val="00105313"/>
    <w:rsid w:val="00107EBB"/>
    <w:rsid w:val="0011194E"/>
    <w:rsid w:val="001124B8"/>
    <w:rsid w:val="00117351"/>
    <w:rsid w:val="00123207"/>
    <w:rsid w:val="00123394"/>
    <w:rsid w:val="00125B3F"/>
    <w:rsid w:val="00135F16"/>
    <w:rsid w:val="00136728"/>
    <w:rsid w:val="0013734D"/>
    <w:rsid w:val="001379CE"/>
    <w:rsid w:val="00140111"/>
    <w:rsid w:val="001422DE"/>
    <w:rsid w:val="00146ACE"/>
    <w:rsid w:val="00150FCF"/>
    <w:rsid w:val="00160D26"/>
    <w:rsid w:val="0017110F"/>
    <w:rsid w:val="00172845"/>
    <w:rsid w:val="00173FB8"/>
    <w:rsid w:val="001741FB"/>
    <w:rsid w:val="001748B7"/>
    <w:rsid w:val="00174DF4"/>
    <w:rsid w:val="00183AFB"/>
    <w:rsid w:val="00183C73"/>
    <w:rsid w:val="0018580E"/>
    <w:rsid w:val="00186D76"/>
    <w:rsid w:val="00192660"/>
    <w:rsid w:val="001A25F0"/>
    <w:rsid w:val="001A301A"/>
    <w:rsid w:val="001A5D31"/>
    <w:rsid w:val="001C0CC8"/>
    <w:rsid w:val="001C6643"/>
    <w:rsid w:val="001C7D48"/>
    <w:rsid w:val="001D7206"/>
    <w:rsid w:val="001E0908"/>
    <w:rsid w:val="001F0387"/>
    <w:rsid w:val="001F3E5B"/>
    <w:rsid w:val="001F4CD1"/>
    <w:rsid w:val="001F5F10"/>
    <w:rsid w:val="002010B7"/>
    <w:rsid w:val="002013E5"/>
    <w:rsid w:val="00203036"/>
    <w:rsid w:val="00211775"/>
    <w:rsid w:val="00212B01"/>
    <w:rsid w:val="002147A7"/>
    <w:rsid w:val="00214FE3"/>
    <w:rsid w:val="00232D38"/>
    <w:rsid w:val="00233FAC"/>
    <w:rsid w:val="00236212"/>
    <w:rsid w:val="0023777A"/>
    <w:rsid w:val="0024316D"/>
    <w:rsid w:val="00245C11"/>
    <w:rsid w:val="0025053E"/>
    <w:rsid w:val="002506AB"/>
    <w:rsid w:val="00251B71"/>
    <w:rsid w:val="00252F1E"/>
    <w:rsid w:val="002540E2"/>
    <w:rsid w:val="00262265"/>
    <w:rsid w:val="002624F0"/>
    <w:rsid w:val="002653AB"/>
    <w:rsid w:val="00267934"/>
    <w:rsid w:val="00281E62"/>
    <w:rsid w:val="00282D7E"/>
    <w:rsid w:val="00291E18"/>
    <w:rsid w:val="002A3B81"/>
    <w:rsid w:val="002B2044"/>
    <w:rsid w:val="002B3391"/>
    <w:rsid w:val="002B3F73"/>
    <w:rsid w:val="002B6A5F"/>
    <w:rsid w:val="002D4ACD"/>
    <w:rsid w:val="002E0BF4"/>
    <w:rsid w:val="002E0EDA"/>
    <w:rsid w:val="002E18A8"/>
    <w:rsid w:val="002E74F4"/>
    <w:rsid w:val="002F779C"/>
    <w:rsid w:val="00301975"/>
    <w:rsid w:val="003022B9"/>
    <w:rsid w:val="00302879"/>
    <w:rsid w:val="00311FAB"/>
    <w:rsid w:val="003124B0"/>
    <w:rsid w:val="003124F6"/>
    <w:rsid w:val="00312AFA"/>
    <w:rsid w:val="00317FB3"/>
    <w:rsid w:val="00320EF6"/>
    <w:rsid w:val="00336477"/>
    <w:rsid w:val="003377F6"/>
    <w:rsid w:val="00342255"/>
    <w:rsid w:val="00342E7D"/>
    <w:rsid w:val="00355699"/>
    <w:rsid w:val="00364B8E"/>
    <w:rsid w:val="00386F12"/>
    <w:rsid w:val="00390F52"/>
    <w:rsid w:val="00396483"/>
    <w:rsid w:val="003A1A29"/>
    <w:rsid w:val="003A2008"/>
    <w:rsid w:val="003A7189"/>
    <w:rsid w:val="003A7B95"/>
    <w:rsid w:val="003B17C2"/>
    <w:rsid w:val="003C068E"/>
    <w:rsid w:val="003C1591"/>
    <w:rsid w:val="003C3E74"/>
    <w:rsid w:val="003D0079"/>
    <w:rsid w:val="003D0247"/>
    <w:rsid w:val="003D0520"/>
    <w:rsid w:val="003E117A"/>
    <w:rsid w:val="003E14E6"/>
    <w:rsid w:val="003E3170"/>
    <w:rsid w:val="003E40E0"/>
    <w:rsid w:val="003E584D"/>
    <w:rsid w:val="003F1EA9"/>
    <w:rsid w:val="003F7897"/>
    <w:rsid w:val="00400F5F"/>
    <w:rsid w:val="00401AD1"/>
    <w:rsid w:val="00403A51"/>
    <w:rsid w:val="00403E7C"/>
    <w:rsid w:val="0040568B"/>
    <w:rsid w:val="00411751"/>
    <w:rsid w:val="00412CC3"/>
    <w:rsid w:val="00413E6D"/>
    <w:rsid w:val="00414272"/>
    <w:rsid w:val="00417E01"/>
    <w:rsid w:val="004228A7"/>
    <w:rsid w:val="004234FD"/>
    <w:rsid w:val="00433C5C"/>
    <w:rsid w:val="00440359"/>
    <w:rsid w:val="004422B6"/>
    <w:rsid w:val="004474D3"/>
    <w:rsid w:val="00447948"/>
    <w:rsid w:val="0045059A"/>
    <w:rsid w:val="00461423"/>
    <w:rsid w:val="00461459"/>
    <w:rsid w:val="00463E60"/>
    <w:rsid w:val="00472483"/>
    <w:rsid w:val="00482FC8"/>
    <w:rsid w:val="004917D5"/>
    <w:rsid w:val="00493C57"/>
    <w:rsid w:val="00494EC0"/>
    <w:rsid w:val="00496486"/>
    <w:rsid w:val="004A0CBE"/>
    <w:rsid w:val="004A7333"/>
    <w:rsid w:val="004B6264"/>
    <w:rsid w:val="004B73B2"/>
    <w:rsid w:val="004C4B23"/>
    <w:rsid w:val="004D046A"/>
    <w:rsid w:val="004D2F65"/>
    <w:rsid w:val="004D46C5"/>
    <w:rsid w:val="004E5722"/>
    <w:rsid w:val="0050419A"/>
    <w:rsid w:val="00504202"/>
    <w:rsid w:val="00504AF4"/>
    <w:rsid w:val="0050535E"/>
    <w:rsid w:val="00506BD0"/>
    <w:rsid w:val="00511635"/>
    <w:rsid w:val="00513F17"/>
    <w:rsid w:val="00520348"/>
    <w:rsid w:val="005225FD"/>
    <w:rsid w:val="005243D1"/>
    <w:rsid w:val="00527E7A"/>
    <w:rsid w:val="00527F4E"/>
    <w:rsid w:val="00530156"/>
    <w:rsid w:val="0053552C"/>
    <w:rsid w:val="0054269A"/>
    <w:rsid w:val="0054600F"/>
    <w:rsid w:val="00552D7D"/>
    <w:rsid w:val="005530C6"/>
    <w:rsid w:val="0055790C"/>
    <w:rsid w:val="00560465"/>
    <w:rsid w:val="005662D6"/>
    <w:rsid w:val="0057262A"/>
    <w:rsid w:val="00572DF1"/>
    <w:rsid w:val="00573078"/>
    <w:rsid w:val="00574B38"/>
    <w:rsid w:val="0057605D"/>
    <w:rsid w:val="00580B04"/>
    <w:rsid w:val="00581C6F"/>
    <w:rsid w:val="00583560"/>
    <w:rsid w:val="00587D74"/>
    <w:rsid w:val="005A19F7"/>
    <w:rsid w:val="005A20BE"/>
    <w:rsid w:val="005A265C"/>
    <w:rsid w:val="005C35A7"/>
    <w:rsid w:val="005C641C"/>
    <w:rsid w:val="005D0EB3"/>
    <w:rsid w:val="005D61EE"/>
    <w:rsid w:val="005D7464"/>
    <w:rsid w:val="005E21EB"/>
    <w:rsid w:val="005E4A4D"/>
    <w:rsid w:val="005F0FC4"/>
    <w:rsid w:val="005F1026"/>
    <w:rsid w:val="005F4542"/>
    <w:rsid w:val="005F53CC"/>
    <w:rsid w:val="005F73D4"/>
    <w:rsid w:val="00601EB4"/>
    <w:rsid w:val="006022A9"/>
    <w:rsid w:val="006023CF"/>
    <w:rsid w:val="00604F11"/>
    <w:rsid w:val="00607C29"/>
    <w:rsid w:val="0062386A"/>
    <w:rsid w:val="0063006F"/>
    <w:rsid w:val="00631C3E"/>
    <w:rsid w:val="0063592D"/>
    <w:rsid w:val="00641D68"/>
    <w:rsid w:val="006447D8"/>
    <w:rsid w:val="00657366"/>
    <w:rsid w:val="00661F91"/>
    <w:rsid w:val="00667932"/>
    <w:rsid w:val="00672927"/>
    <w:rsid w:val="00673749"/>
    <w:rsid w:val="00674BE1"/>
    <w:rsid w:val="00675E72"/>
    <w:rsid w:val="00676958"/>
    <w:rsid w:val="0067750A"/>
    <w:rsid w:val="00677CFC"/>
    <w:rsid w:val="00682900"/>
    <w:rsid w:val="00684DBE"/>
    <w:rsid w:val="00687B11"/>
    <w:rsid w:val="00691FC2"/>
    <w:rsid w:val="006923E1"/>
    <w:rsid w:val="00696C61"/>
    <w:rsid w:val="006A19F2"/>
    <w:rsid w:val="006A20E7"/>
    <w:rsid w:val="006A26E2"/>
    <w:rsid w:val="006A277B"/>
    <w:rsid w:val="006A5AB5"/>
    <w:rsid w:val="006A67EF"/>
    <w:rsid w:val="006B0E5C"/>
    <w:rsid w:val="006B6440"/>
    <w:rsid w:val="006C13EB"/>
    <w:rsid w:val="006C58B1"/>
    <w:rsid w:val="006C6BA7"/>
    <w:rsid w:val="006C7D79"/>
    <w:rsid w:val="006D2653"/>
    <w:rsid w:val="006D2E38"/>
    <w:rsid w:val="006D59A1"/>
    <w:rsid w:val="006E131E"/>
    <w:rsid w:val="006E589C"/>
    <w:rsid w:val="006E63F3"/>
    <w:rsid w:val="006F3F8E"/>
    <w:rsid w:val="006F665B"/>
    <w:rsid w:val="00700FFA"/>
    <w:rsid w:val="0070703C"/>
    <w:rsid w:val="00707E4B"/>
    <w:rsid w:val="00712114"/>
    <w:rsid w:val="007337CC"/>
    <w:rsid w:val="007437CF"/>
    <w:rsid w:val="007439C0"/>
    <w:rsid w:val="00747645"/>
    <w:rsid w:val="00753732"/>
    <w:rsid w:val="0075473A"/>
    <w:rsid w:val="00754CB2"/>
    <w:rsid w:val="00762442"/>
    <w:rsid w:val="00765041"/>
    <w:rsid w:val="0077198F"/>
    <w:rsid w:val="007730E5"/>
    <w:rsid w:val="007813D2"/>
    <w:rsid w:val="00786365"/>
    <w:rsid w:val="0079459D"/>
    <w:rsid w:val="0079507D"/>
    <w:rsid w:val="007965CD"/>
    <w:rsid w:val="007A0B2F"/>
    <w:rsid w:val="007A3EA8"/>
    <w:rsid w:val="007B2473"/>
    <w:rsid w:val="007C2B95"/>
    <w:rsid w:val="007C30CB"/>
    <w:rsid w:val="007D06D3"/>
    <w:rsid w:val="007D1E75"/>
    <w:rsid w:val="007D58C0"/>
    <w:rsid w:val="007E25AD"/>
    <w:rsid w:val="007E37AF"/>
    <w:rsid w:val="007E7FE6"/>
    <w:rsid w:val="007F2332"/>
    <w:rsid w:val="0080098C"/>
    <w:rsid w:val="008065C8"/>
    <w:rsid w:val="00806986"/>
    <w:rsid w:val="00814616"/>
    <w:rsid w:val="00820C91"/>
    <w:rsid w:val="00821867"/>
    <w:rsid w:val="0082322A"/>
    <w:rsid w:val="00827DC1"/>
    <w:rsid w:val="00830DB6"/>
    <w:rsid w:val="00831BD3"/>
    <w:rsid w:val="00834133"/>
    <w:rsid w:val="00840039"/>
    <w:rsid w:val="008405BA"/>
    <w:rsid w:val="008409EA"/>
    <w:rsid w:val="008552DC"/>
    <w:rsid w:val="00861490"/>
    <w:rsid w:val="00861D15"/>
    <w:rsid w:val="008620A5"/>
    <w:rsid w:val="00863314"/>
    <w:rsid w:val="008645C9"/>
    <w:rsid w:val="00865C9C"/>
    <w:rsid w:val="0088246A"/>
    <w:rsid w:val="008838EE"/>
    <w:rsid w:val="00883D0C"/>
    <w:rsid w:val="008912F5"/>
    <w:rsid w:val="0089284C"/>
    <w:rsid w:val="00894A65"/>
    <w:rsid w:val="00897BEC"/>
    <w:rsid w:val="008A10EC"/>
    <w:rsid w:val="008A4FF5"/>
    <w:rsid w:val="008B198E"/>
    <w:rsid w:val="008B2D46"/>
    <w:rsid w:val="008B4389"/>
    <w:rsid w:val="008B4530"/>
    <w:rsid w:val="008B78B2"/>
    <w:rsid w:val="008C134D"/>
    <w:rsid w:val="008C2026"/>
    <w:rsid w:val="008C3C4C"/>
    <w:rsid w:val="008C5EDF"/>
    <w:rsid w:val="008C6170"/>
    <w:rsid w:val="008C73B8"/>
    <w:rsid w:val="008D23D3"/>
    <w:rsid w:val="008D6161"/>
    <w:rsid w:val="008E0E7C"/>
    <w:rsid w:val="008F6059"/>
    <w:rsid w:val="008F7AB4"/>
    <w:rsid w:val="009039CE"/>
    <w:rsid w:val="0090444E"/>
    <w:rsid w:val="009103E0"/>
    <w:rsid w:val="00913C01"/>
    <w:rsid w:val="00914392"/>
    <w:rsid w:val="00927E18"/>
    <w:rsid w:val="00933125"/>
    <w:rsid w:val="00934535"/>
    <w:rsid w:val="0093500F"/>
    <w:rsid w:val="009350EC"/>
    <w:rsid w:val="00936779"/>
    <w:rsid w:val="009415B3"/>
    <w:rsid w:val="009415BC"/>
    <w:rsid w:val="00942B47"/>
    <w:rsid w:val="00942C3F"/>
    <w:rsid w:val="00942CD0"/>
    <w:rsid w:val="009464DF"/>
    <w:rsid w:val="00946E33"/>
    <w:rsid w:val="00950BEF"/>
    <w:rsid w:val="00952A4C"/>
    <w:rsid w:val="00954D34"/>
    <w:rsid w:val="00971EA9"/>
    <w:rsid w:val="00975721"/>
    <w:rsid w:val="00983C7F"/>
    <w:rsid w:val="00985D26"/>
    <w:rsid w:val="00986A39"/>
    <w:rsid w:val="00987C08"/>
    <w:rsid w:val="00995CE1"/>
    <w:rsid w:val="009961C4"/>
    <w:rsid w:val="00996995"/>
    <w:rsid w:val="00996CF6"/>
    <w:rsid w:val="009A0BC3"/>
    <w:rsid w:val="009A136C"/>
    <w:rsid w:val="009A7B6C"/>
    <w:rsid w:val="009A7FBB"/>
    <w:rsid w:val="009B5699"/>
    <w:rsid w:val="009B69DE"/>
    <w:rsid w:val="009B73AF"/>
    <w:rsid w:val="009C23AD"/>
    <w:rsid w:val="009C7CA5"/>
    <w:rsid w:val="009D0A11"/>
    <w:rsid w:val="009D1F68"/>
    <w:rsid w:val="009D3289"/>
    <w:rsid w:val="009E420C"/>
    <w:rsid w:val="009E57D5"/>
    <w:rsid w:val="009E64DC"/>
    <w:rsid w:val="009E6B70"/>
    <w:rsid w:val="009F41B9"/>
    <w:rsid w:val="009F5C0D"/>
    <w:rsid w:val="00A01B25"/>
    <w:rsid w:val="00A06C43"/>
    <w:rsid w:val="00A078ED"/>
    <w:rsid w:val="00A10E32"/>
    <w:rsid w:val="00A13173"/>
    <w:rsid w:val="00A21847"/>
    <w:rsid w:val="00A225F1"/>
    <w:rsid w:val="00A26007"/>
    <w:rsid w:val="00A26F02"/>
    <w:rsid w:val="00A30703"/>
    <w:rsid w:val="00A3110A"/>
    <w:rsid w:val="00A32BB9"/>
    <w:rsid w:val="00A377C7"/>
    <w:rsid w:val="00A41393"/>
    <w:rsid w:val="00A4642B"/>
    <w:rsid w:val="00A50A60"/>
    <w:rsid w:val="00A524F3"/>
    <w:rsid w:val="00A530E3"/>
    <w:rsid w:val="00A6058A"/>
    <w:rsid w:val="00A63777"/>
    <w:rsid w:val="00A6581A"/>
    <w:rsid w:val="00A6749D"/>
    <w:rsid w:val="00A74370"/>
    <w:rsid w:val="00A7447C"/>
    <w:rsid w:val="00A83476"/>
    <w:rsid w:val="00A865A7"/>
    <w:rsid w:val="00A9174C"/>
    <w:rsid w:val="00A92FED"/>
    <w:rsid w:val="00AA0A39"/>
    <w:rsid w:val="00AA0F3C"/>
    <w:rsid w:val="00AA1C1B"/>
    <w:rsid w:val="00AA28DF"/>
    <w:rsid w:val="00AA55CE"/>
    <w:rsid w:val="00AB44E7"/>
    <w:rsid w:val="00AC0B06"/>
    <w:rsid w:val="00AC7E2E"/>
    <w:rsid w:val="00AD5EAF"/>
    <w:rsid w:val="00AD621C"/>
    <w:rsid w:val="00AE0B75"/>
    <w:rsid w:val="00AE2119"/>
    <w:rsid w:val="00AE41A7"/>
    <w:rsid w:val="00AE524C"/>
    <w:rsid w:val="00AE5C11"/>
    <w:rsid w:val="00AE77D0"/>
    <w:rsid w:val="00AF0AD7"/>
    <w:rsid w:val="00AF0B62"/>
    <w:rsid w:val="00AF0F24"/>
    <w:rsid w:val="00AF2F03"/>
    <w:rsid w:val="00AF3DB1"/>
    <w:rsid w:val="00AF5DF0"/>
    <w:rsid w:val="00AF6576"/>
    <w:rsid w:val="00B02736"/>
    <w:rsid w:val="00B03BD7"/>
    <w:rsid w:val="00B042F5"/>
    <w:rsid w:val="00B04C67"/>
    <w:rsid w:val="00B05119"/>
    <w:rsid w:val="00B05C6B"/>
    <w:rsid w:val="00B1102F"/>
    <w:rsid w:val="00B11308"/>
    <w:rsid w:val="00B15E25"/>
    <w:rsid w:val="00B1635A"/>
    <w:rsid w:val="00B249CC"/>
    <w:rsid w:val="00B270AC"/>
    <w:rsid w:val="00B306AB"/>
    <w:rsid w:val="00B316AF"/>
    <w:rsid w:val="00B3225C"/>
    <w:rsid w:val="00B4746E"/>
    <w:rsid w:val="00B509F9"/>
    <w:rsid w:val="00B51E29"/>
    <w:rsid w:val="00B553DF"/>
    <w:rsid w:val="00B55FA0"/>
    <w:rsid w:val="00B605CA"/>
    <w:rsid w:val="00B60B23"/>
    <w:rsid w:val="00B63481"/>
    <w:rsid w:val="00B65AB8"/>
    <w:rsid w:val="00B66B1F"/>
    <w:rsid w:val="00B67291"/>
    <w:rsid w:val="00B713D0"/>
    <w:rsid w:val="00B71DB9"/>
    <w:rsid w:val="00B722FA"/>
    <w:rsid w:val="00B74A78"/>
    <w:rsid w:val="00B77ABF"/>
    <w:rsid w:val="00B8382F"/>
    <w:rsid w:val="00B85248"/>
    <w:rsid w:val="00B92086"/>
    <w:rsid w:val="00BA03C6"/>
    <w:rsid w:val="00BA090B"/>
    <w:rsid w:val="00BA1F0E"/>
    <w:rsid w:val="00BA5916"/>
    <w:rsid w:val="00BA5D4A"/>
    <w:rsid w:val="00BB1BAF"/>
    <w:rsid w:val="00BB3857"/>
    <w:rsid w:val="00BC25F1"/>
    <w:rsid w:val="00BC2D14"/>
    <w:rsid w:val="00BC7ED9"/>
    <w:rsid w:val="00BD1FDA"/>
    <w:rsid w:val="00BD2484"/>
    <w:rsid w:val="00BD4231"/>
    <w:rsid w:val="00BD47D3"/>
    <w:rsid w:val="00BD531D"/>
    <w:rsid w:val="00BE0218"/>
    <w:rsid w:val="00BE13AF"/>
    <w:rsid w:val="00BE444F"/>
    <w:rsid w:val="00BE4C32"/>
    <w:rsid w:val="00BE51B3"/>
    <w:rsid w:val="00BF0865"/>
    <w:rsid w:val="00BF475C"/>
    <w:rsid w:val="00C01FC8"/>
    <w:rsid w:val="00C03B36"/>
    <w:rsid w:val="00C21493"/>
    <w:rsid w:val="00C31BC2"/>
    <w:rsid w:val="00C417D9"/>
    <w:rsid w:val="00C47F24"/>
    <w:rsid w:val="00C50FBB"/>
    <w:rsid w:val="00C52FE9"/>
    <w:rsid w:val="00C5759B"/>
    <w:rsid w:val="00C61FC0"/>
    <w:rsid w:val="00C64EEC"/>
    <w:rsid w:val="00C66A60"/>
    <w:rsid w:val="00C673C1"/>
    <w:rsid w:val="00C72EE6"/>
    <w:rsid w:val="00C735C4"/>
    <w:rsid w:val="00C741DB"/>
    <w:rsid w:val="00C83DE4"/>
    <w:rsid w:val="00C95F90"/>
    <w:rsid w:val="00CA2C7F"/>
    <w:rsid w:val="00CA49F3"/>
    <w:rsid w:val="00CB349F"/>
    <w:rsid w:val="00CB5111"/>
    <w:rsid w:val="00CB6F1E"/>
    <w:rsid w:val="00CC0C5F"/>
    <w:rsid w:val="00CC6DF2"/>
    <w:rsid w:val="00CD7832"/>
    <w:rsid w:val="00CD7CCF"/>
    <w:rsid w:val="00CD7CD7"/>
    <w:rsid w:val="00CE0B69"/>
    <w:rsid w:val="00CF0F19"/>
    <w:rsid w:val="00CF334C"/>
    <w:rsid w:val="00CF76E3"/>
    <w:rsid w:val="00CF787D"/>
    <w:rsid w:val="00D079B9"/>
    <w:rsid w:val="00D10AED"/>
    <w:rsid w:val="00D13916"/>
    <w:rsid w:val="00D1568E"/>
    <w:rsid w:val="00D15F18"/>
    <w:rsid w:val="00D1643D"/>
    <w:rsid w:val="00D2536C"/>
    <w:rsid w:val="00D25A1A"/>
    <w:rsid w:val="00D2679C"/>
    <w:rsid w:val="00D32F30"/>
    <w:rsid w:val="00D3625D"/>
    <w:rsid w:val="00D4186D"/>
    <w:rsid w:val="00D46B65"/>
    <w:rsid w:val="00D46E31"/>
    <w:rsid w:val="00D51FC0"/>
    <w:rsid w:val="00D53261"/>
    <w:rsid w:val="00D569E1"/>
    <w:rsid w:val="00D57B74"/>
    <w:rsid w:val="00D7024C"/>
    <w:rsid w:val="00D74A0A"/>
    <w:rsid w:val="00D77F45"/>
    <w:rsid w:val="00D8030D"/>
    <w:rsid w:val="00D80A43"/>
    <w:rsid w:val="00D81AAD"/>
    <w:rsid w:val="00D911A4"/>
    <w:rsid w:val="00D9197E"/>
    <w:rsid w:val="00DA5E63"/>
    <w:rsid w:val="00DA7AED"/>
    <w:rsid w:val="00DC4055"/>
    <w:rsid w:val="00DC4564"/>
    <w:rsid w:val="00DC590D"/>
    <w:rsid w:val="00DD2433"/>
    <w:rsid w:val="00DE031C"/>
    <w:rsid w:val="00DE0ACC"/>
    <w:rsid w:val="00DE5B1D"/>
    <w:rsid w:val="00DE6C7B"/>
    <w:rsid w:val="00DE7798"/>
    <w:rsid w:val="00DF13D2"/>
    <w:rsid w:val="00DF4465"/>
    <w:rsid w:val="00E06FC0"/>
    <w:rsid w:val="00E10AA5"/>
    <w:rsid w:val="00E1463A"/>
    <w:rsid w:val="00E15F1C"/>
    <w:rsid w:val="00E1701A"/>
    <w:rsid w:val="00E30B60"/>
    <w:rsid w:val="00E42C66"/>
    <w:rsid w:val="00E44178"/>
    <w:rsid w:val="00E46428"/>
    <w:rsid w:val="00E53B16"/>
    <w:rsid w:val="00E55927"/>
    <w:rsid w:val="00E60EFD"/>
    <w:rsid w:val="00E622BD"/>
    <w:rsid w:val="00E6585B"/>
    <w:rsid w:val="00E70334"/>
    <w:rsid w:val="00E70A60"/>
    <w:rsid w:val="00E713B6"/>
    <w:rsid w:val="00E755C4"/>
    <w:rsid w:val="00E760EB"/>
    <w:rsid w:val="00E77B35"/>
    <w:rsid w:val="00E81084"/>
    <w:rsid w:val="00E850DD"/>
    <w:rsid w:val="00E9238E"/>
    <w:rsid w:val="00EA2321"/>
    <w:rsid w:val="00EA3533"/>
    <w:rsid w:val="00EA3D02"/>
    <w:rsid w:val="00EA3EA2"/>
    <w:rsid w:val="00EA59B1"/>
    <w:rsid w:val="00EA5B7E"/>
    <w:rsid w:val="00EA67F9"/>
    <w:rsid w:val="00EB33C1"/>
    <w:rsid w:val="00EB4444"/>
    <w:rsid w:val="00EB6A55"/>
    <w:rsid w:val="00ED785E"/>
    <w:rsid w:val="00EE28C2"/>
    <w:rsid w:val="00EE62E1"/>
    <w:rsid w:val="00EF2D5C"/>
    <w:rsid w:val="00EF7C91"/>
    <w:rsid w:val="00F00134"/>
    <w:rsid w:val="00F01D7B"/>
    <w:rsid w:val="00F05457"/>
    <w:rsid w:val="00F104AE"/>
    <w:rsid w:val="00F13438"/>
    <w:rsid w:val="00F20089"/>
    <w:rsid w:val="00F23463"/>
    <w:rsid w:val="00F25186"/>
    <w:rsid w:val="00F257A7"/>
    <w:rsid w:val="00F25F50"/>
    <w:rsid w:val="00F4344E"/>
    <w:rsid w:val="00F43E94"/>
    <w:rsid w:val="00F47941"/>
    <w:rsid w:val="00F57ED9"/>
    <w:rsid w:val="00F61E31"/>
    <w:rsid w:val="00F62D8A"/>
    <w:rsid w:val="00F63DE9"/>
    <w:rsid w:val="00F67CC3"/>
    <w:rsid w:val="00F747DC"/>
    <w:rsid w:val="00F907EE"/>
    <w:rsid w:val="00F92626"/>
    <w:rsid w:val="00FA098B"/>
    <w:rsid w:val="00FA1DCC"/>
    <w:rsid w:val="00FB5C94"/>
    <w:rsid w:val="00FB6CFC"/>
    <w:rsid w:val="00FB7CBA"/>
    <w:rsid w:val="00FC1810"/>
    <w:rsid w:val="00FC3CE2"/>
    <w:rsid w:val="00FC4E19"/>
    <w:rsid w:val="00FC6425"/>
    <w:rsid w:val="00FC6B06"/>
    <w:rsid w:val="00FC6EAB"/>
    <w:rsid w:val="00FD14AE"/>
    <w:rsid w:val="00FD2616"/>
    <w:rsid w:val="00FD5B24"/>
    <w:rsid w:val="00FE0C5A"/>
    <w:rsid w:val="00FE242B"/>
    <w:rsid w:val="00FF10D0"/>
    <w:rsid w:val="00FF5B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18670"/>
  <w15:chartTrackingRefBased/>
  <w15:docId w15:val="{C94002CE-D153-4E4B-A189-70F86194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5C9C"/>
  </w:style>
  <w:style w:type="paragraph" w:styleId="Heading1">
    <w:name w:val="heading 1"/>
    <w:aliases w:val="Core headings intro and discussion"/>
    <w:basedOn w:val="NoSpacing"/>
    <w:next w:val="NoSpacing"/>
    <w:link w:val="Heading1Char"/>
    <w:autoRedefine/>
    <w:uiPriority w:val="9"/>
    <w:qFormat/>
    <w:rsid w:val="00107EBB"/>
    <w:pPr>
      <w:keepNext/>
      <w:keepLines/>
      <w:spacing w:before="240" w:line="480" w:lineRule="auto"/>
      <w:jc w:val="center"/>
      <w:outlineLvl w:val="0"/>
    </w:pPr>
    <w:rPr>
      <w:rFonts w:ascii="Times New Roman" w:eastAsiaTheme="majorEastAsia" w:hAnsi="Times New Roman" w:cstheme="majorBidi"/>
      <w:b/>
      <w:color w:val="000000" w:themeColor="text1"/>
      <w:szCs w:val="32"/>
    </w:rPr>
  </w:style>
  <w:style w:type="paragraph" w:styleId="Heading2">
    <w:name w:val="heading 2"/>
    <w:aliases w:val="Sub headings"/>
    <w:basedOn w:val="NoSpacing"/>
    <w:next w:val="NoSpacing"/>
    <w:link w:val="Heading2Char"/>
    <w:autoRedefine/>
    <w:uiPriority w:val="9"/>
    <w:unhideWhenUsed/>
    <w:qFormat/>
    <w:rsid w:val="00573078"/>
    <w:pPr>
      <w:keepNext/>
      <w:keepLines/>
      <w:spacing w:before="40" w:line="480" w:lineRule="auto"/>
      <w:outlineLvl w:val="1"/>
    </w:pPr>
    <w:rPr>
      <w:rFonts w:ascii="Times New Roman" w:eastAsiaTheme="majorEastAsia" w:hAnsi="Times New Roman" w:cstheme="majorBidi"/>
      <w:b/>
      <w:color w:val="000000" w:themeColor="text1"/>
      <w:szCs w:val="26"/>
    </w:rPr>
  </w:style>
  <w:style w:type="paragraph" w:styleId="Heading3">
    <w:name w:val="heading 3"/>
    <w:aliases w:val="Sub-sub heading"/>
    <w:basedOn w:val="NoSpacing"/>
    <w:next w:val="NoSpacing"/>
    <w:link w:val="Heading3Char"/>
    <w:autoRedefine/>
    <w:uiPriority w:val="9"/>
    <w:unhideWhenUsed/>
    <w:qFormat/>
    <w:rsid w:val="00AC0B06"/>
    <w:pPr>
      <w:keepNext/>
      <w:keepLines/>
      <w:spacing w:before="40"/>
      <w:outlineLvl w:val="2"/>
    </w:pPr>
    <w:rPr>
      <w:rFonts w:ascii="Times New Roman" w:eastAsiaTheme="majorEastAsia" w:hAnsi="Times New Roman" w:cstheme="majorBidi"/>
      <w:b/>
      <w:color w:val="000000" w:themeColor="text1"/>
    </w:rPr>
  </w:style>
  <w:style w:type="paragraph" w:styleId="Heading4">
    <w:name w:val="heading 4"/>
    <w:aliases w:val="abstract and empirical subheading"/>
    <w:basedOn w:val="NoSpacing"/>
    <w:next w:val="NoSpacing"/>
    <w:link w:val="Heading4Char"/>
    <w:autoRedefine/>
    <w:uiPriority w:val="9"/>
    <w:unhideWhenUsed/>
    <w:qFormat/>
    <w:rsid w:val="00573078"/>
    <w:pPr>
      <w:keepNext/>
      <w:keepLines/>
      <w:spacing w:before="120" w:after="120" w:line="360" w:lineRule="auto"/>
      <w:jc w:val="center"/>
      <w:outlineLvl w:val="3"/>
    </w:pPr>
    <w:rPr>
      <w:rFonts w:ascii="Times New Roman" w:eastAsiaTheme="majorEastAsia" w:hAnsi="Times New Roman" w:cs="Times New Roman (Headings CS)"/>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7189"/>
    <w:pPr>
      <w:tabs>
        <w:tab w:val="center" w:pos="4680"/>
        <w:tab w:val="right" w:pos="9360"/>
      </w:tabs>
    </w:pPr>
  </w:style>
  <w:style w:type="character" w:customStyle="1" w:styleId="FooterChar">
    <w:name w:val="Footer Char"/>
    <w:basedOn w:val="DefaultParagraphFont"/>
    <w:link w:val="Footer"/>
    <w:uiPriority w:val="99"/>
    <w:rsid w:val="003A7189"/>
  </w:style>
  <w:style w:type="character" w:styleId="PageNumber">
    <w:name w:val="page number"/>
    <w:basedOn w:val="DefaultParagraphFont"/>
    <w:uiPriority w:val="99"/>
    <w:semiHidden/>
    <w:unhideWhenUsed/>
    <w:rsid w:val="003A7189"/>
  </w:style>
  <w:style w:type="paragraph" w:styleId="NoSpacing">
    <w:name w:val="No Spacing"/>
    <w:uiPriority w:val="1"/>
    <w:qFormat/>
    <w:rsid w:val="003A7189"/>
  </w:style>
  <w:style w:type="character" w:styleId="Hyperlink">
    <w:name w:val="Hyperlink"/>
    <w:basedOn w:val="DefaultParagraphFont"/>
    <w:uiPriority w:val="99"/>
    <w:unhideWhenUsed/>
    <w:rsid w:val="00F23463"/>
    <w:rPr>
      <w:color w:val="0563C1" w:themeColor="hyperlink"/>
      <w:u w:val="single"/>
    </w:rPr>
  </w:style>
  <w:style w:type="character" w:styleId="UnresolvedMention">
    <w:name w:val="Unresolved Mention"/>
    <w:basedOn w:val="DefaultParagraphFont"/>
    <w:uiPriority w:val="99"/>
    <w:semiHidden/>
    <w:unhideWhenUsed/>
    <w:rsid w:val="00F23463"/>
    <w:rPr>
      <w:color w:val="605E5C"/>
      <w:shd w:val="clear" w:color="auto" w:fill="E1DFDD"/>
    </w:rPr>
  </w:style>
  <w:style w:type="character" w:customStyle="1" w:styleId="Heading1Char">
    <w:name w:val="Heading 1 Char"/>
    <w:aliases w:val="Core headings intro and discussion Char"/>
    <w:basedOn w:val="DefaultParagraphFont"/>
    <w:link w:val="Heading1"/>
    <w:uiPriority w:val="9"/>
    <w:rsid w:val="00107EBB"/>
    <w:rPr>
      <w:rFonts w:ascii="Times New Roman" w:eastAsiaTheme="majorEastAsia" w:hAnsi="Times New Roman" w:cstheme="majorBidi"/>
      <w:b/>
      <w:color w:val="000000" w:themeColor="text1"/>
      <w:szCs w:val="32"/>
    </w:rPr>
  </w:style>
  <w:style w:type="character" w:customStyle="1" w:styleId="Heading2Char">
    <w:name w:val="Heading 2 Char"/>
    <w:aliases w:val="Sub headings Char"/>
    <w:basedOn w:val="DefaultParagraphFont"/>
    <w:link w:val="Heading2"/>
    <w:uiPriority w:val="9"/>
    <w:rsid w:val="00573078"/>
    <w:rPr>
      <w:rFonts w:ascii="Times New Roman" w:eastAsiaTheme="majorEastAsia" w:hAnsi="Times New Roman" w:cstheme="majorBidi"/>
      <w:b/>
      <w:color w:val="000000" w:themeColor="text1"/>
      <w:szCs w:val="26"/>
    </w:rPr>
  </w:style>
  <w:style w:type="paragraph" w:styleId="TOCHeading">
    <w:name w:val="TOC Heading"/>
    <w:basedOn w:val="Heading1"/>
    <w:next w:val="Normal"/>
    <w:uiPriority w:val="39"/>
    <w:unhideWhenUsed/>
    <w:qFormat/>
    <w:rsid w:val="00861490"/>
    <w:pPr>
      <w:spacing w:before="480" w:line="276" w:lineRule="auto"/>
      <w:outlineLvl w:val="9"/>
    </w:pPr>
    <w:rPr>
      <w:b w:val="0"/>
      <w:bCs/>
      <w:sz w:val="28"/>
      <w:szCs w:val="28"/>
      <w:lang w:val="en-US"/>
    </w:rPr>
  </w:style>
  <w:style w:type="paragraph" w:styleId="TOC1">
    <w:name w:val="toc 1"/>
    <w:aliases w:val="Thesis"/>
    <w:basedOn w:val="NoSpacing"/>
    <w:next w:val="NoSpacing"/>
    <w:autoRedefine/>
    <w:uiPriority w:val="39"/>
    <w:unhideWhenUsed/>
    <w:rsid w:val="00C673C1"/>
    <w:pPr>
      <w:spacing w:before="120" w:after="120" w:line="360" w:lineRule="auto"/>
    </w:pPr>
    <w:rPr>
      <w:rFonts w:ascii="Times New Roman" w:hAnsi="Times New Roman" w:cs="Calibri (Body)"/>
      <w:bCs/>
      <w:color w:val="000000" w:themeColor="text1"/>
      <w:szCs w:val="20"/>
    </w:rPr>
  </w:style>
  <w:style w:type="paragraph" w:styleId="TOC2">
    <w:name w:val="toc 2"/>
    <w:basedOn w:val="NoSpacing"/>
    <w:next w:val="NoSpacing"/>
    <w:autoRedefine/>
    <w:uiPriority w:val="39"/>
    <w:unhideWhenUsed/>
    <w:rsid w:val="00B1102F"/>
    <w:pPr>
      <w:spacing w:before="120" w:after="120" w:line="360" w:lineRule="auto"/>
      <w:ind w:left="238"/>
    </w:pPr>
    <w:rPr>
      <w:rFonts w:ascii="Times New Roman" w:hAnsi="Times New Roman" w:cs="Calibri (Body)"/>
      <w:szCs w:val="20"/>
    </w:rPr>
  </w:style>
  <w:style w:type="paragraph" w:styleId="TOC3">
    <w:name w:val="toc 3"/>
    <w:basedOn w:val="NoSpacing"/>
    <w:next w:val="NoSpacing"/>
    <w:autoRedefine/>
    <w:uiPriority w:val="39"/>
    <w:unhideWhenUsed/>
    <w:rsid w:val="00B1102F"/>
    <w:pPr>
      <w:spacing w:before="120" w:after="120" w:line="360" w:lineRule="auto"/>
      <w:ind w:left="482"/>
    </w:pPr>
    <w:rPr>
      <w:rFonts w:ascii="Times New Roman" w:hAnsi="Times New Roman" w:cs="Calibri (Body)"/>
      <w:iCs/>
      <w:color w:val="000000" w:themeColor="text1"/>
      <w:szCs w:val="20"/>
    </w:rPr>
  </w:style>
  <w:style w:type="paragraph" w:styleId="TOC4">
    <w:name w:val="toc 4"/>
    <w:basedOn w:val="NoSpacing"/>
    <w:next w:val="NoSpacing"/>
    <w:autoRedefine/>
    <w:uiPriority w:val="39"/>
    <w:unhideWhenUsed/>
    <w:rsid w:val="00C417D9"/>
    <w:pPr>
      <w:spacing w:before="120" w:after="120" w:line="360" w:lineRule="auto"/>
      <w:ind w:left="238"/>
      <w:jc w:val="center"/>
    </w:pPr>
    <w:rPr>
      <w:rFonts w:ascii="Times New Roman" w:hAnsi="Times New Roman" w:cs="Calibri (Body)"/>
      <w:color w:val="000000" w:themeColor="text1"/>
      <w:szCs w:val="18"/>
    </w:rPr>
  </w:style>
  <w:style w:type="paragraph" w:styleId="TOC5">
    <w:name w:val="toc 5"/>
    <w:basedOn w:val="Normal"/>
    <w:next w:val="Normal"/>
    <w:autoRedefine/>
    <w:uiPriority w:val="39"/>
    <w:unhideWhenUsed/>
    <w:rsid w:val="00861490"/>
    <w:pPr>
      <w:ind w:left="960"/>
    </w:pPr>
    <w:rPr>
      <w:rFonts w:cstheme="minorHAnsi"/>
      <w:sz w:val="18"/>
      <w:szCs w:val="18"/>
    </w:rPr>
  </w:style>
  <w:style w:type="paragraph" w:styleId="TOC6">
    <w:name w:val="toc 6"/>
    <w:basedOn w:val="Normal"/>
    <w:next w:val="Normal"/>
    <w:autoRedefine/>
    <w:uiPriority w:val="39"/>
    <w:unhideWhenUsed/>
    <w:rsid w:val="00861490"/>
    <w:pPr>
      <w:ind w:left="1200"/>
    </w:pPr>
    <w:rPr>
      <w:rFonts w:cstheme="minorHAnsi"/>
      <w:sz w:val="18"/>
      <w:szCs w:val="18"/>
    </w:rPr>
  </w:style>
  <w:style w:type="paragraph" w:styleId="TOC7">
    <w:name w:val="toc 7"/>
    <w:basedOn w:val="Normal"/>
    <w:next w:val="Normal"/>
    <w:autoRedefine/>
    <w:uiPriority w:val="39"/>
    <w:unhideWhenUsed/>
    <w:rsid w:val="00861490"/>
    <w:pPr>
      <w:ind w:left="1440"/>
    </w:pPr>
    <w:rPr>
      <w:rFonts w:cstheme="minorHAnsi"/>
      <w:sz w:val="18"/>
      <w:szCs w:val="18"/>
    </w:rPr>
  </w:style>
  <w:style w:type="paragraph" w:styleId="TOC8">
    <w:name w:val="toc 8"/>
    <w:basedOn w:val="Normal"/>
    <w:next w:val="Normal"/>
    <w:autoRedefine/>
    <w:uiPriority w:val="39"/>
    <w:unhideWhenUsed/>
    <w:rsid w:val="00861490"/>
    <w:pPr>
      <w:ind w:left="1680"/>
    </w:pPr>
    <w:rPr>
      <w:rFonts w:cstheme="minorHAnsi"/>
      <w:sz w:val="18"/>
      <w:szCs w:val="18"/>
    </w:rPr>
  </w:style>
  <w:style w:type="paragraph" w:styleId="TOC9">
    <w:name w:val="toc 9"/>
    <w:basedOn w:val="Normal"/>
    <w:next w:val="Normal"/>
    <w:autoRedefine/>
    <w:uiPriority w:val="39"/>
    <w:unhideWhenUsed/>
    <w:rsid w:val="00861490"/>
    <w:pPr>
      <w:ind w:left="1920"/>
    </w:pPr>
    <w:rPr>
      <w:rFonts w:cstheme="minorHAnsi"/>
      <w:sz w:val="18"/>
      <w:szCs w:val="18"/>
    </w:rPr>
  </w:style>
  <w:style w:type="paragraph" w:styleId="Header">
    <w:name w:val="header"/>
    <w:basedOn w:val="Normal"/>
    <w:link w:val="HeaderChar"/>
    <w:uiPriority w:val="99"/>
    <w:unhideWhenUsed/>
    <w:rsid w:val="00A3110A"/>
    <w:pPr>
      <w:tabs>
        <w:tab w:val="center" w:pos="4680"/>
        <w:tab w:val="right" w:pos="9360"/>
      </w:tabs>
    </w:pPr>
  </w:style>
  <w:style w:type="character" w:customStyle="1" w:styleId="HeaderChar">
    <w:name w:val="Header Char"/>
    <w:basedOn w:val="DefaultParagraphFont"/>
    <w:link w:val="Header"/>
    <w:uiPriority w:val="99"/>
    <w:rsid w:val="00A3110A"/>
  </w:style>
  <w:style w:type="character" w:customStyle="1" w:styleId="Heading3Char">
    <w:name w:val="Heading 3 Char"/>
    <w:aliases w:val="Sub-sub heading Char"/>
    <w:basedOn w:val="DefaultParagraphFont"/>
    <w:link w:val="Heading3"/>
    <w:uiPriority w:val="9"/>
    <w:rsid w:val="00AC0B06"/>
    <w:rPr>
      <w:rFonts w:ascii="Times New Roman" w:eastAsiaTheme="majorEastAsia" w:hAnsi="Times New Roman" w:cstheme="majorBidi"/>
      <w:b/>
      <w:color w:val="000000" w:themeColor="text1"/>
    </w:rPr>
  </w:style>
  <w:style w:type="character" w:customStyle="1" w:styleId="Heading4Char">
    <w:name w:val="Heading 4 Char"/>
    <w:aliases w:val="abstract and empirical subheading Char"/>
    <w:basedOn w:val="DefaultParagraphFont"/>
    <w:link w:val="Heading4"/>
    <w:uiPriority w:val="9"/>
    <w:rsid w:val="00573078"/>
    <w:rPr>
      <w:rFonts w:ascii="Times New Roman" w:eastAsiaTheme="majorEastAsia" w:hAnsi="Times New Roman" w:cs="Times New Roman (Headings CS)"/>
      <w:b/>
      <w:iCs/>
      <w:color w:val="000000" w:themeColor="text1"/>
    </w:rPr>
  </w:style>
  <w:style w:type="paragraph" w:styleId="FootnoteText">
    <w:name w:val="footnote text"/>
    <w:basedOn w:val="Normal"/>
    <w:link w:val="FootnoteTextChar"/>
    <w:uiPriority w:val="99"/>
    <w:semiHidden/>
    <w:unhideWhenUsed/>
    <w:rsid w:val="002E18A8"/>
    <w:rPr>
      <w:rFonts w:eastAsiaTheme="minorEastAsia"/>
      <w:sz w:val="20"/>
      <w:szCs w:val="20"/>
      <w:lang w:eastAsia="zh-CN"/>
    </w:rPr>
  </w:style>
  <w:style w:type="character" w:customStyle="1" w:styleId="FootnoteTextChar">
    <w:name w:val="Footnote Text Char"/>
    <w:basedOn w:val="DefaultParagraphFont"/>
    <w:link w:val="FootnoteText"/>
    <w:uiPriority w:val="99"/>
    <w:semiHidden/>
    <w:qFormat/>
    <w:rsid w:val="002E18A8"/>
    <w:rPr>
      <w:rFonts w:eastAsiaTheme="minorEastAsia"/>
      <w:sz w:val="20"/>
      <w:szCs w:val="20"/>
      <w:lang w:eastAsia="zh-CN"/>
    </w:rPr>
  </w:style>
  <w:style w:type="character" w:styleId="FootnoteReference">
    <w:name w:val="footnote reference"/>
    <w:basedOn w:val="DefaultParagraphFont"/>
    <w:uiPriority w:val="99"/>
    <w:semiHidden/>
    <w:unhideWhenUsed/>
    <w:rsid w:val="002E18A8"/>
    <w:rPr>
      <w:vertAlign w:val="superscript"/>
    </w:rPr>
  </w:style>
  <w:style w:type="character" w:styleId="IntenseEmphasis">
    <w:name w:val="Intense Emphasis"/>
    <w:basedOn w:val="DefaultParagraphFont"/>
    <w:uiPriority w:val="21"/>
    <w:rsid w:val="00A524F3"/>
    <w:rPr>
      <w:i/>
      <w:iCs/>
      <w:color w:val="4472C4" w:themeColor="accent1"/>
    </w:rPr>
  </w:style>
  <w:style w:type="table" w:styleId="TableGrid">
    <w:name w:val="Table Grid"/>
    <w:basedOn w:val="TableNormal"/>
    <w:uiPriority w:val="39"/>
    <w:rsid w:val="00754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C4E19"/>
    <w:rPr>
      <w:rFonts w:eastAsiaTheme="minorEastAsia"/>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sid w:val="00607C29"/>
    <w:rPr>
      <w:vertAlign w:val="superscript"/>
    </w:rPr>
  </w:style>
  <w:style w:type="paragraph" w:styleId="Bibliography">
    <w:name w:val="Bibliography"/>
    <w:basedOn w:val="Normal"/>
    <w:next w:val="Normal"/>
    <w:uiPriority w:val="37"/>
    <w:unhideWhenUsed/>
    <w:rsid w:val="008409EA"/>
    <w:pPr>
      <w:spacing w:line="480" w:lineRule="auto"/>
      <w:ind w:left="720" w:hanging="720"/>
    </w:pPr>
  </w:style>
  <w:style w:type="table" w:customStyle="1" w:styleId="TableGrid2">
    <w:name w:val="Table Grid2"/>
    <w:basedOn w:val="TableNormal"/>
    <w:next w:val="TableGrid"/>
    <w:uiPriority w:val="39"/>
    <w:rsid w:val="00D53261"/>
    <w:pPr>
      <w:suppressAutoHyphens/>
    </w:pPr>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72845"/>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60EFD"/>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03C6"/>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865A7"/>
    <w:rPr>
      <w:rFonts w:eastAsia="DengXi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8246A"/>
  </w:style>
  <w:style w:type="character" w:styleId="FollowedHyperlink">
    <w:name w:val="FollowedHyperlink"/>
    <w:basedOn w:val="DefaultParagraphFont"/>
    <w:uiPriority w:val="99"/>
    <w:semiHidden/>
    <w:unhideWhenUsed/>
    <w:rsid w:val="00107EBB"/>
    <w:rPr>
      <w:color w:val="954F72" w:themeColor="followedHyperlink"/>
      <w:u w:val="single"/>
    </w:rPr>
  </w:style>
  <w:style w:type="character" w:styleId="CommentReference">
    <w:name w:val="annotation reference"/>
    <w:basedOn w:val="DefaultParagraphFont"/>
    <w:uiPriority w:val="99"/>
    <w:semiHidden/>
    <w:unhideWhenUsed/>
    <w:rsid w:val="00107EBB"/>
    <w:rPr>
      <w:sz w:val="16"/>
      <w:szCs w:val="16"/>
    </w:rPr>
  </w:style>
  <w:style w:type="paragraph" w:styleId="CommentText">
    <w:name w:val="annotation text"/>
    <w:basedOn w:val="Normal"/>
    <w:link w:val="CommentTextChar"/>
    <w:uiPriority w:val="99"/>
    <w:semiHidden/>
    <w:unhideWhenUsed/>
    <w:rsid w:val="00107EBB"/>
    <w:rPr>
      <w:sz w:val="20"/>
      <w:szCs w:val="20"/>
    </w:rPr>
  </w:style>
  <w:style w:type="character" w:customStyle="1" w:styleId="CommentTextChar">
    <w:name w:val="Comment Text Char"/>
    <w:basedOn w:val="DefaultParagraphFont"/>
    <w:link w:val="CommentText"/>
    <w:uiPriority w:val="99"/>
    <w:semiHidden/>
    <w:rsid w:val="00107EBB"/>
    <w:rPr>
      <w:sz w:val="20"/>
      <w:szCs w:val="20"/>
    </w:rPr>
  </w:style>
  <w:style w:type="paragraph" w:styleId="CommentSubject">
    <w:name w:val="annotation subject"/>
    <w:basedOn w:val="CommentText"/>
    <w:next w:val="CommentText"/>
    <w:link w:val="CommentSubjectChar"/>
    <w:uiPriority w:val="99"/>
    <w:semiHidden/>
    <w:unhideWhenUsed/>
    <w:rsid w:val="00107EBB"/>
    <w:rPr>
      <w:b/>
      <w:bCs/>
    </w:rPr>
  </w:style>
  <w:style w:type="character" w:customStyle="1" w:styleId="CommentSubjectChar">
    <w:name w:val="Comment Subject Char"/>
    <w:basedOn w:val="CommentTextChar"/>
    <w:link w:val="CommentSubject"/>
    <w:uiPriority w:val="99"/>
    <w:semiHidden/>
    <w:rsid w:val="00107EB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04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olific.co/" TargetMode="External"/><Relationship Id="rId21" Type="http://schemas.openxmlformats.org/officeDocument/2006/relationships/hyperlink" Target="https://unsplash.com/photos/rhkwKunIXyI" TargetMode="External"/><Relationship Id="rId42" Type="http://schemas.openxmlformats.org/officeDocument/2006/relationships/hyperlink" Target="https://www.prolific.co/" TargetMode="External"/><Relationship Id="rId47" Type="http://schemas.openxmlformats.org/officeDocument/2006/relationships/image" Target="media/image18.png"/><Relationship Id="rId63" Type="http://schemas.openxmlformats.org/officeDocument/2006/relationships/hyperlink" Target="https://www.addiction-ssa.org/author-publications/modelling-value-based-decision-making-vbdm-in-current-smokers-and-ex-smokers/" TargetMode="External"/><Relationship Id="rId68" Type="http://schemas.openxmlformats.org/officeDocument/2006/relationships/image" Target="media/image32.png"/><Relationship Id="rId84" Type="http://schemas.openxmlformats.org/officeDocument/2006/relationships/footer" Target="footer3.xml"/><Relationship Id="rId89" Type="http://schemas.openxmlformats.org/officeDocument/2006/relationships/image" Target="media/image44.png"/><Relationship Id="rId16" Type="http://schemas.openxmlformats.org/officeDocument/2006/relationships/hyperlink" Target="https://www.addiction-ssa.org/author-publications/modelling-value-based-decision-making-vbdm-in-daily-tobacco-smokers-after-experimental-manipulation-of-mood/" TargetMode="External"/><Relationship Id="rId11" Type="http://schemas.openxmlformats.org/officeDocument/2006/relationships/hyperlink" Target="https://doi.org/10.1080/23311908.2022.2079801" TargetMode="External"/><Relationship Id="rId32" Type="http://schemas.openxmlformats.org/officeDocument/2006/relationships/hyperlink" Target="http://aspredicted.org/blind.php?x=fp9z36" TargetMode="External"/><Relationship Id="rId37" Type="http://schemas.openxmlformats.org/officeDocument/2006/relationships/image" Target="media/image12.png"/><Relationship Id="rId53" Type="http://schemas.openxmlformats.org/officeDocument/2006/relationships/hyperlink" Target="https://doi.org/10.1037/adb0000873" TargetMode="External"/><Relationship Id="rId58" Type="http://schemas.openxmlformats.org/officeDocument/2006/relationships/image" Target="media/image25.png"/><Relationship Id="rId74" Type="http://schemas.openxmlformats.org/officeDocument/2006/relationships/hyperlink" Target="https://researchbox.org/" TargetMode="External"/><Relationship Id="rId79" Type="http://schemas.openxmlformats.org/officeDocument/2006/relationships/image" Target="media/image39.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image" Target="media/image48.png"/><Relationship Id="rId22" Type="http://schemas.openxmlformats.org/officeDocument/2006/relationships/hyperlink" Target="https://aspredicted.org/blind.php?x=/6SF_RQ8" TargetMode="External"/><Relationship Id="rId27" Type="http://schemas.openxmlformats.org/officeDocument/2006/relationships/hyperlink" Target="https://osf.io/5jtqx" TargetMode="External"/><Relationship Id="rId43" Type="http://schemas.openxmlformats.org/officeDocument/2006/relationships/hyperlink" Target="https://www.prolific.co/" TargetMode="External"/><Relationship Id="rId48" Type="http://schemas.openxmlformats.org/officeDocument/2006/relationships/image" Target="media/image19.png"/><Relationship Id="rId64" Type="http://schemas.openxmlformats.org/officeDocument/2006/relationships/hyperlink" Target="http://aspredicted.org/blind.php?x=cc4ir6" TargetMode="External"/><Relationship Id="rId69" Type="http://schemas.openxmlformats.org/officeDocument/2006/relationships/image" Target="media/image33.png"/><Relationship Id="rId80" Type="http://schemas.openxmlformats.org/officeDocument/2006/relationships/footer" Target="footer1.xml"/><Relationship Id="rId85"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https://doi.org/10.1037/adb0000873" TargetMode="External"/><Relationship Id="rId17" Type="http://schemas.openxmlformats.org/officeDocument/2006/relationships/hyperlink" Target="https://doi.org/10.1016/B978-0-12-816720-5.00002-5" TargetMode="External"/><Relationship Id="rId25" Type="http://schemas.openxmlformats.org/officeDocument/2006/relationships/hyperlink" Target="https://aspredicted.org/2tm3s.pdf"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image" Target="media/image31.png"/><Relationship Id="rId20" Type="http://schemas.openxmlformats.org/officeDocument/2006/relationships/hyperlink" Target="https://unsplash.com/photos/AtfA8NDgpKA" TargetMode="External"/><Relationship Id="rId41" Type="http://schemas.openxmlformats.org/officeDocument/2006/relationships/hyperlink" Target="https://aspredicted.org/see_one.php" TargetMode="External"/><Relationship Id="rId54" Type="http://schemas.openxmlformats.org/officeDocument/2006/relationships/hyperlink" Target="https://aspredicted.org/dh7vp.pdf" TargetMode="External"/><Relationship Id="rId62" Type="http://schemas.openxmlformats.org/officeDocument/2006/relationships/hyperlink" Target="https://doi.org/10.31234/osf.io/3jrze" TargetMode="External"/><Relationship Id="rId70" Type="http://schemas.openxmlformats.org/officeDocument/2006/relationships/image" Target="media/image34.png"/><Relationship Id="rId75" Type="http://schemas.openxmlformats.org/officeDocument/2006/relationships/hyperlink" Target="https://www.prolific.co/" TargetMode="External"/><Relationship Id="rId83" Type="http://schemas.openxmlformats.org/officeDocument/2006/relationships/header" Target="header1.xml"/><Relationship Id="rId88" Type="http://schemas.openxmlformats.org/officeDocument/2006/relationships/image" Target="media/image43.jpeg"/><Relationship Id="rId91" Type="http://schemas.openxmlformats.org/officeDocument/2006/relationships/image" Target="media/image46.emf"/><Relationship Id="rId96"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ddiction-ssa.org/author-publications/modelling-value-based-decision-making-vbdm-in-current-smokers-and-ex-smokers/"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s://researchbox.org/597" TargetMode="External"/><Relationship Id="rId10" Type="http://schemas.openxmlformats.org/officeDocument/2006/relationships/hyperlink" Target="https://doi.org/10.1016/B978-0-12-816720-5.00002-5" TargetMode="External"/><Relationship Id="rId31" Type="http://schemas.openxmlformats.org/officeDocument/2006/relationships/hyperlink" Target="https://www.addiction-ssa.org/author-publications/modelling-value-based-decision-making-in-regular-alcohol-consumers-after-experimental-manipulation-of-the-value-of-alcohol/" TargetMode="Externa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media/image29.png"/><Relationship Id="rId73" Type="http://schemas.openxmlformats.org/officeDocument/2006/relationships/hyperlink" Target="https://aspredicted.org/" TargetMode="External"/><Relationship Id="rId78" Type="http://schemas.openxmlformats.org/officeDocument/2006/relationships/image" Target="media/image38.png"/><Relationship Id="rId81" Type="http://schemas.openxmlformats.org/officeDocument/2006/relationships/footer" Target="footer2.xml"/><Relationship Id="rId86" Type="http://schemas.openxmlformats.org/officeDocument/2006/relationships/image" Target="media/image41.png"/><Relationship Id="rId94"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www.sheffield.ac.uk/ssid/unfair-means" TargetMode="External"/><Relationship Id="rId13" Type="http://schemas.openxmlformats.org/officeDocument/2006/relationships/hyperlink" Target="https://doi.org/10.31234/osf.io/3jrze" TargetMode="External"/><Relationship Id="rId18" Type="http://schemas.openxmlformats.org/officeDocument/2006/relationships/image" Target="media/image2.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1.png"/><Relationship Id="rId55" Type="http://schemas.openxmlformats.org/officeDocument/2006/relationships/hyperlink" Target="https://www.prolific.co/" TargetMode="External"/><Relationship Id="rId76" Type="http://schemas.openxmlformats.org/officeDocument/2006/relationships/hyperlink" Target="https://pavlovia.org/"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s://www.karger.com/Article/Fulltext/335083" TargetMode="Externa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doi.org/10.1080/23311908.2022.2079801" TargetMode="External"/><Relationship Id="rId40" Type="http://schemas.openxmlformats.org/officeDocument/2006/relationships/hyperlink" Target="https://www.addiction-ssa.org/author-publications/modelling-value-based-decision-making-vbdm-in-daily-tobacco-smokers-after-experimental-manipulation-of-mood/" TargetMode="External"/><Relationship Id="rId45" Type="http://schemas.openxmlformats.org/officeDocument/2006/relationships/image" Target="media/image16.png"/><Relationship Id="rId66" Type="http://schemas.openxmlformats.org/officeDocument/2006/relationships/image" Target="media/image30.png"/><Relationship Id="rId87" Type="http://schemas.openxmlformats.org/officeDocument/2006/relationships/image" Target="media/image42.png"/><Relationship Id="rId61" Type="http://schemas.openxmlformats.org/officeDocument/2006/relationships/image" Target="media/image28.png"/><Relationship Id="rId82" Type="http://schemas.openxmlformats.org/officeDocument/2006/relationships/hyperlink" Target="https://osf.io/5jtqx" TargetMode="External"/><Relationship Id="rId19" Type="http://schemas.openxmlformats.org/officeDocument/2006/relationships/image" Target="media/image3.png"/><Relationship Id="rId14" Type="http://schemas.openxmlformats.org/officeDocument/2006/relationships/hyperlink" Target="https://www.addiction-ssa.org/author-publications/modelling-value-based-decision-making-in-regular-alcohol-consumers-after-experimental-manipulation-of-the-value-of-alcohol/" TargetMode="External"/><Relationship Id="rId30" Type="http://schemas.openxmlformats.org/officeDocument/2006/relationships/image" Target="media/image7.png"/><Relationship Id="rId35" Type="http://schemas.openxmlformats.org/officeDocument/2006/relationships/image" Target="media/image10.png"/><Relationship Id="rId56" Type="http://schemas.openxmlformats.org/officeDocument/2006/relationships/image" Target="media/image24.png"/><Relationship Id="rId77"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image" Target="media/image36.png"/><Relationship Id="rId93" Type="http://schemas.openxmlformats.org/officeDocument/2006/relationships/hyperlink" Target="https://csea.phhp.ufl.edu/media/iapsmessage.html"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CA272-3B51-0043-A11A-BCFB0ED7F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451</Pages>
  <Words>477410</Words>
  <Characters>2721239</Characters>
  <Application>Microsoft Office Word</Application>
  <DocSecurity>0</DocSecurity>
  <Lines>22676</Lines>
  <Paragraphs>6384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Copeland</dc:creator>
  <cp:keywords/>
  <dc:description/>
  <cp:lastModifiedBy>Amber Copeland</cp:lastModifiedBy>
  <cp:revision>2</cp:revision>
  <cp:lastPrinted>2022-08-09T08:06:00Z</cp:lastPrinted>
  <dcterms:created xsi:type="dcterms:W3CDTF">2022-11-10T10:27:00Z</dcterms:created>
  <dcterms:modified xsi:type="dcterms:W3CDTF">2022-11-10T10:27:00Z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id="DCx2O1qX"/&gt;&lt;style id="http://www.zotero.org/styles/apa" locale="en-GB" hasBibliography="1" bibliographyStyleHasBeenSet="1"/&gt;&lt;prefs&gt;&lt;pref name="fieldType" value="Field"/&gt;&lt;pref name="dontAskDelayCi</vt:lpwstr>
  </property>
  <property fmtid="{D5CDD505-2E9C-101B-9397-08002B2CF9AE}" pid="3" name="ZOTERO_PREF_2">
    <vt:lpwstr>tationUpdates" value="true"/&gt;&lt;/prefs&gt;&lt;/data&gt;</vt:lpwstr>
  </property>
</Properties>
</file>